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D2192" w:rsidRPr="0031251B" w:rsidRDefault="00A713C3" w:rsidP="0031251B">
      <w:pPr>
        <w:pStyle w:val="ListParagraph"/>
        <w:numPr>
          <w:ilvl w:val="0"/>
          <w:numId w:val="1"/>
        </w:numPr>
        <w:rPr>
          <w:b/>
        </w:rPr>
      </w:pPr>
      <w:r w:rsidRPr="0031251B">
        <w:rPr>
          <w:b/>
        </w:rPr>
        <w:t>What is meant by the "Great Vehicle" and the "Little Vehicle?"  Give an example of a belief or practice associated with the "Little Vehicle."</w:t>
      </w:r>
    </w:p>
    <w:p w:rsidR="005C35DB" w:rsidRDefault="00A713C3">
      <w:r>
        <w:t>The two vehicles within Buddhism are Theravada Buddhism and Mahayana Buddhism. The “Great Vehicle” being Mahayana traditions, followed by</w:t>
      </w:r>
      <w:r w:rsidR="009B4063">
        <w:t xml:space="preserve"> </w:t>
      </w:r>
      <w:r>
        <w:t>“Little Vehicle”</w:t>
      </w:r>
      <w:r w:rsidR="009B4063">
        <w:t xml:space="preserve"> which means Hinayana.</w:t>
      </w:r>
      <w:r w:rsidR="00AB77EF">
        <w:t xml:space="preserve"> </w:t>
      </w:r>
      <w:r w:rsidR="009B4063">
        <w:t xml:space="preserve"> An example of this “Little Vehicle” is</w:t>
      </w:r>
      <w:r>
        <w:t xml:space="preserve"> Theravada Buddhism. Buddhism had split into different schools after the Siddhartha, there were many disagreements arising in regards of how the </w:t>
      </w:r>
      <w:proofErr w:type="spellStart"/>
      <w:r>
        <w:t>Abhidharma</w:t>
      </w:r>
      <w:proofErr w:type="spellEnd"/>
      <w:r>
        <w:t xml:space="preserve"> was interpreting sutras which were made known by Nirvana. The attempts to interpret the sutras </w:t>
      </w:r>
      <w:r w:rsidR="005C35DB">
        <w:t xml:space="preserve">created further contradictions and problems as more schools began to develop new and different interpretations. </w:t>
      </w:r>
      <w:r w:rsidR="00AB77EF">
        <w:t>According to Ron Epstein, Mahayana and Hinayana were did not begin as entirely separate schools of Buddhism. They began with different goals and intentions, however over many centuries they had become two different schools and spread out geographically too.</w:t>
      </w:r>
      <w:r w:rsidR="00D312FF">
        <w:rPr>
          <w:rStyle w:val="FootnoteReference"/>
        </w:rPr>
        <w:footnoteReference w:id="1"/>
      </w:r>
      <w:r w:rsidR="00AB77EF">
        <w:t xml:space="preserve"> </w:t>
      </w:r>
    </w:p>
    <w:p w:rsidR="00B76108" w:rsidRDefault="00B76108">
      <w:r>
        <w:t>According to Rupert Gethin, Theravada Buddhism’s “initial formative phase”</w:t>
      </w:r>
      <w:r>
        <w:rPr>
          <w:rStyle w:val="FootnoteReference"/>
        </w:rPr>
        <w:footnoteReference w:id="2"/>
      </w:r>
      <w:r>
        <w:t xml:space="preserve"> in 1000CE in Sri Lanka.  Gethin also adds that defines itself by teachings from between the fifth and tenth centuries, following this, the twelfth and thirteenth centuries should also be regarded as a “significant creative period”</w:t>
      </w:r>
      <w:r>
        <w:rPr>
          <w:rStyle w:val="FootnoteReference"/>
        </w:rPr>
        <w:footnoteReference w:id="3"/>
      </w:r>
      <w:r>
        <w:t xml:space="preserve">. </w:t>
      </w:r>
    </w:p>
    <w:p w:rsidR="005C35DB" w:rsidRDefault="005C35DB">
      <w:r>
        <w:t>Theravada Buddhism was just one school within the three baskets. The first basket was the ‘basket of discipline’ or ‘</w:t>
      </w:r>
      <w:r w:rsidR="009F2D5D">
        <w:t>V</w:t>
      </w:r>
      <w:r>
        <w:t xml:space="preserve">inaya </w:t>
      </w:r>
      <w:proofErr w:type="spellStart"/>
      <w:r w:rsidR="009F2D5D">
        <w:t>P</w:t>
      </w:r>
      <w:r>
        <w:t>itaka</w:t>
      </w:r>
      <w:proofErr w:type="spellEnd"/>
      <w:r>
        <w:t>’. These are the rules taught by Buddha, applied for monks and nuns. The second basket was the ‘basket of discourse’ or ‘</w:t>
      </w:r>
      <w:r w:rsidR="009F2D5D">
        <w:t>S</w:t>
      </w:r>
      <w:r>
        <w:t xml:space="preserve">utta </w:t>
      </w:r>
      <w:proofErr w:type="spellStart"/>
      <w:r w:rsidR="009F2D5D">
        <w:t>P</w:t>
      </w:r>
      <w:r>
        <w:t>itaka</w:t>
      </w:r>
      <w:proofErr w:type="spellEnd"/>
      <w:r>
        <w:t>’. This is the ‘basket of discourse’, it holds the teachings of Buddha. These teachings included the necessary ac</w:t>
      </w:r>
      <w:r w:rsidR="009F2D5D">
        <w:t>tions required to reach nirvana and the doctrine and practices of nirvana. The final basket is the ‘basket of metaphysics’ or ‘</w:t>
      </w:r>
      <w:proofErr w:type="spellStart"/>
      <w:r w:rsidR="009F2D5D">
        <w:t>Abhidhamma</w:t>
      </w:r>
      <w:proofErr w:type="spellEnd"/>
      <w:r w:rsidR="009F2D5D">
        <w:t xml:space="preserve"> </w:t>
      </w:r>
      <w:proofErr w:type="spellStart"/>
      <w:r w:rsidR="009F2D5D">
        <w:t>Pitaka</w:t>
      </w:r>
      <w:proofErr w:type="spellEnd"/>
      <w:r w:rsidR="009F2D5D">
        <w:t xml:space="preserve">’. These are the commentaries created in order to unfold the teachings of the Buddha. This is the basket including Theravada Buddhism. The core text for Theravada Buddhism is The Pali Canon and is the doctrine of the elders. The key focus of Theravada Buddhism is the attainment of wisdom, or </w:t>
      </w:r>
      <w:proofErr w:type="spellStart"/>
      <w:r w:rsidR="009F2D5D">
        <w:t>Prajna</w:t>
      </w:r>
      <w:proofErr w:type="spellEnd"/>
      <w:r w:rsidR="009F2D5D">
        <w:t>. The school applies emphasis on living a monastic life and adhering to Vinaya rules of conduct, Theravada Buddhism tends to be a</w:t>
      </w:r>
      <w:r w:rsidR="003739BC">
        <w:t xml:space="preserve"> more controlled</w:t>
      </w:r>
      <w:r w:rsidR="009F2D5D">
        <w:t xml:space="preserve"> school than that of Mahayana. The ideal for Theravada Buddhism is that of the </w:t>
      </w:r>
      <w:proofErr w:type="spellStart"/>
      <w:r w:rsidR="009F2D5D">
        <w:t>Arhat</w:t>
      </w:r>
      <w:proofErr w:type="spellEnd"/>
      <w:r w:rsidR="009F2D5D">
        <w:t xml:space="preserve"> or ‘Noble one’. This is a person </w:t>
      </w:r>
      <w:r w:rsidR="009B4063">
        <w:t xml:space="preserve">of perfect knowledge and one whom has attained enlightenment. Many Buddhist traditions also use this term in regards of one whom is advanced and on the path to Enlightenment however has not reached Buddhahood </w:t>
      </w:r>
      <w:proofErr w:type="gramStart"/>
      <w:r w:rsidR="009B4063">
        <w:t>as of yet</w:t>
      </w:r>
      <w:proofErr w:type="gramEnd"/>
      <w:r w:rsidR="009B4063">
        <w:t>.</w:t>
      </w:r>
    </w:p>
    <w:p w:rsidR="00AB77EF" w:rsidRDefault="00AB77EF">
      <w:r>
        <w:t xml:space="preserve">Theravada beliefs tend </w:t>
      </w:r>
      <w:r w:rsidR="0036665A">
        <w:t>t</w:t>
      </w:r>
      <w:r>
        <w:t xml:space="preserve">o be more conservative than the beliefs of others. Theravada teachings believe that the leading the life of a monk will put one on the surest path towards nirvana and the way to reach nirvana is through </w:t>
      </w:r>
      <w:r w:rsidR="00D312FF">
        <w:t xml:space="preserve">acting on detachment and understanding ridding oneself of all desires through the means of meditation. In the early years, Theravada Buddhism was the most popular form of early Buddhism, especially in regards of Buddhist practices in monasteries. Theravada Buddhism has seen some change over centuries too, especially after becoming known in the West. </w:t>
      </w:r>
    </w:p>
    <w:p w:rsidR="00D312FF" w:rsidRDefault="00D312FF">
      <w:r>
        <w:t xml:space="preserve">“The Great Vehicle” is Mahayana Buddhism. </w:t>
      </w:r>
      <w:r w:rsidR="00B76108">
        <w:t>According to Peter Harvey the Mahayana ‘movement’</w:t>
      </w:r>
      <w:r w:rsidR="003739BC">
        <w:rPr>
          <w:rStyle w:val="FootnoteReference"/>
        </w:rPr>
        <w:footnoteReference w:id="4"/>
      </w:r>
      <w:r w:rsidR="003739BC">
        <w:t xml:space="preserve"> arose between 150BC and AD100. Mahayana had led to numerous different schools in Buddhism whereas Theravada Buddhism stayed mostly stable with the exceptions of changes occurring in the Western world. </w:t>
      </w:r>
      <w:proofErr w:type="spellStart"/>
      <w:r w:rsidR="003739BC">
        <w:t>Mahayna</w:t>
      </w:r>
      <w:proofErr w:type="spellEnd"/>
      <w:r w:rsidR="003739BC">
        <w:t xml:space="preserve"> Buddhism encompasses Northern Buddhism </w:t>
      </w:r>
      <w:proofErr w:type="gramStart"/>
      <w:r w:rsidR="003739BC">
        <w:t>and also</w:t>
      </w:r>
      <w:proofErr w:type="gramEnd"/>
      <w:r w:rsidR="003739BC">
        <w:t xml:space="preserve"> Buddhism in East Asia and is more common in laity. Mahayana Buddhism is also often regarded as the ‘large raft’. The </w:t>
      </w:r>
      <w:r w:rsidR="003739BC">
        <w:lastRenderedPageBreak/>
        <w:t xml:space="preserve">story behind this is of a large fire, if one did occur and one could only find a small raft – then only a few would be able to escape said fire. However, if a larger raft is found, almost all would be able to escape this fire.  Mahayana is the large raft because it is available to more people, it is not as strict as Theravada is regarded and is more ‘open’ many could say. In the early years, the division is Buddhism was not initial. It became divisive when Mahayana Buddhism spread to the laity. </w:t>
      </w:r>
    </w:p>
    <w:p w:rsidR="00B76A71" w:rsidRDefault="00B76A71">
      <w:r>
        <w:t xml:space="preserve">The core text of Mahayana Buddhism is the Prajnaparamita, and the school’s focus being karuna, or compassion. The Mahayana lifestyle is for both monks and laypersons, unlike Theravada of which focuses on the lifestyle in the monasteries. </w:t>
      </w:r>
      <w:r w:rsidR="00D553A8">
        <w:t xml:space="preserve">According to Peter Harvey, it is true that laypersons often spend their early years as monks and nuns however continue to come become parents and householders. The ideal of Mahayana Buddhism is that of the Bodhisattva – the being of infinite compassion. Mahayana Buddhism has two primary schools, these being the school of Yogacara, meaning the analysis of consciousness, and </w:t>
      </w:r>
      <w:proofErr w:type="spellStart"/>
      <w:r w:rsidR="00D553A8">
        <w:t>Mahyamaka</w:t>
      </w:r>
      <w:proofErr w:type="spellEnd"/>
      <w:r w:rsidR="00D553A8">
        <w:t xml:space="preserve">, the analysis of </w:t>
      </w:r>
      <w:proofErr w:type="spellStart"/>
      <w:r w:rsidR="00D553A8">
        <w:t>shunyata</w:t>
      </w:r>
      <w:proofErr w:type="spellEnd"/>
      <w:r w:rsidR="00D553A8">
        <w:t>.</w:t>
      </w:r>
      <w:r w:rsidR="00D553A8">
        <w:rPr>
          <w:rStyle w:val="FootnoteReference"/>
        </w:rPr>
        <w:footnoteReference w:id="5"/>
      </w:r>
    </w:p>
    <w:p w:rsidR="00452023" w:rsidRDefault="00D553A8">
      <w:r>
        <w:t xml:space="preserve">According to Rupert Gethin, Mahayana Buddhism’s most crucial sutras can be grouped according to </w:t>
      </w:r>
      <w:r w:rsidR="00452023">
        <w:t>“</w:t>
      </w:r>
      <w:r>
        <w:t>characteristic</w:t>
      </w:r>
      <w:r w:rsidR="00452023">
        <w:t xml:space="preserve"> ideas”</w:t>
      </w:r>
      <w:r w:rsidR="00452023">
        <w:rPr>
          <w:rStyle w:val="FootnoteReference"/>
        </w:rPr>
        <w:footnoteReference w:id="6"/>
      </w:r>
      <w:r w:rsidR="00452023">
        <w:t xml:space="preserve">. For example, the sutras that explain the different stages of the Bodhisattva’s path are the Bodhisattva </w:t>
      </w:r>
      <w:proofErr w:type="spellStart"/>
      <w:r w:rsidR="00452023">
        <w:t>Pitaka</w:t>
      </w:r>
      <w:proofErr w:type="spellEnd"/>
      <w:r w:rsidR="00452023">
        <w:t xml:space="preserve"> and the </w:t>
      </w:r>
      <w:proofErr w:type="spellStart"/>
      <w:r w:rsidR="00452023">
        <w:t>Dasabhumika</w:t>
      </w:r>
      <w:proofErr w:type="spellEnd"/>
      <w:r w:rsidR="00452023">
        <w:t xml:space="preserve"> Sutra. The ‘ideas only’ sutras are those that explain the doctrine of the mind or our ideas as being real. The most important sutra regarding this according to Gethin is the </w:t>
      </w:r>
      <w:proofErr w:type="spellStart"/>
      <w:r w:rsidR="00452023">
        <w:t>Samdhinirmocana</w:t>
      </w:r>
      <w:proofErr w:type="spellEnd"/>
      <w:r w:rsidR="00452023">
        <w:t xml:space="preserve"> Sutra. There are seven of these groupings in total.</w:t>
      </w:r>
      <w:r w:rsidR="00DF30A6">
        <w:t xml:space="preserve"> Two significant sutras are also the Diamond sutra, which focuses on independent arising. This diamond is said to have the ability of cutting through ‘illusion’. The second is the Heart sutra, which focuses on emptiness. The ignorance of emptiness contributes to the cause of our suffering.</w:t>
      </w:r>
      <w:r w:rsidR="00452023">
        <w:t xml:space="preserve"> Mahayana Buddhism also focuses on the path of the Bodhisattva and the qualities required the become a Bodhisattva. The six perfections demonstrate the actions taken, however this is not necessarily a path to follow or a set of compulsory rules. These perfections are; giving, morality, patience, energy, meditation and wisdom. </w:t>
      </w:r>
    </w:p>
    <w:p w:rsidR="00452023" w:rsidRDefault="0056704E">
      <w:r>
        <w:t>P</w:t>
      </w:r>
      <w:r w:rsidR="00DF30A6">
        <w:t>ositive words have</w:t>
      </w:r>
      <w:r>
        <w:t xml:space="preserve"> consistently</w:t>
      </w:r>
      <w:r w:rsidR="00DF30A6">
        <w:t xml:space="preserve"> been used in discussions regarding the status of nirvana. For example, in early Buddhism, nirvana was the ‘refuge’, the ‘other shore’, ‘peace’ or the ‘ocean’. The identity of nirvana tends to </w:t>
      </w:r>
      <w:proofErr w:type="gramStart"/>
      <w:r w:rsidR="00DF30A6">
        <w:t>similar to</w:t>
      </w:r>
      <w:proofErr w:type="gramEnd"/>
      <w:r w:rsidR="00DF30A6">
        <w:t xml:space="preserve"> all Mahayana</w:t>
      </w:r>
      <w:r>
        <w:t xml:space="preserve"> </w:t>
      </w:r>
      <w:r w:rsidR="00DF30A6">
        <w:t>schools.</w:t>
      </w:r>
      <w:r>
        <w:t xml:space="preserve"> </w:t>
      </w:r>
      <w:proofErr w:type="spellStart"/>
      <w:r w:rsidRPr="0056704E">
        <w:t>Ma</w:t>
      </w:r>
      <w:r>
        <w:t>dhyamaka</w:t>
      </w:r>
      <w:proofErr w:type="spellEnd"/>
      <w:r w:rsidRPr="0056704E">
        <w:t xml:space="preserve"> teaches the Middle Way in terms of reaching Enlightenment. The purpose of this Middle Way is to avoid both ideas of nihilism and </w:t>
      </w:r>
      <w:proofErr w:type="spellStart"/>
      <w:r w:rsidRPr="0056704E">
        <w:t>eternalism</w:t>
      </w:r>
      <w:proofErr w:type="spellEnd"/>
      <w:r w:rsidRPr="0056704E">
        <w:t xml:space="preserve">. </w:t>
      </w:r>
      <w:r>
        <w:t xml:space="preserve">This was founded by Nagarjuna in the second century BCE. The Middle Way builds on the Buddha’s teaching of his first sermon, it teaches the importance of the doctrine of emptiness and the logical form of reasoning. </w:t>
      </w:r>
    </w:p>
    <w:p w:rsidR="0056704E" w:rsidRDefault="0056704E">
      <w:r>
        <w:t>The two vehicles are different in numerous ways. According to Theravada Budd</w:t>
      </w:r>
      <w:r w:rsidR="0031251B">
        <w:t>h</w:t>
      </w:r>
      <w:r>
        <w:t>i</w:t>
      </w:r>
      <w:r w:rsidR="0031251B">
        <w:t>s</w:t>
      </w:r>
      <w:r>
        <w:t xml:space="preserve">m, in order to </w:t>
      </w:r>
      <w:r w:rsidR="0031251B">
        <w:t>a</w:t>
      </w:r>
      <w:r w:rsidR="0036665A">
        <w:t>ttain enlightenment,</w:t>
      </w:r>
      <w:r>
        <w:t xml:space="preserve"> one </w:t>
      </w:r>
      <w:proofErr w:type="gramStart"/>
      <w:r>
        <w:t>has to be committed to practices at all times</w:t>
      </w:r>
      <w:proofErr w:type="gramEnd"/>
      <w:r>
        <w:t>. Thus</w:t>
      </w:r>
      <w:r w:rsidR="0031251B">
        <w:t>,</w:t>
      </w:r>
      <w:r>
        <w:t xml:space="preserve"> explaining why Theravada Buddhism is aimed majorly towards monks and nuns. Mahayana Buddhism believes that practices can be a part of a lay</w:t>
      </w:r>
      <w:r w:rsidR="0031251B">
        <w:t xml:space="preserve"> </w:t>
      </w:r>
      <w:r>
        <w:t>person</w:t>
      </w:r>
      <w:r w:rsidR="0031251B">
        <w:t>’</w:t>
      </w:r>
      <w:r>
        <w:t>s daily life. Ther</w:t>
      </w:r>
      <w:r w:rsidR="0031251B">
        <w:t>a</w:t>
      </w:r>
      <w:r>
        <w:t xml:space="preserve">vada Buddhism sees the Buddha as a saint, one of inspiration and whom is a supreme teacher; </w:t>
      </w:r>
      <w:proofErr w:type="gramStart"/>
      <w:r>
        <w:t>however</w:t>
      </w:r>
      <w:proofErr w:type="gramEnd"/>
      <w:r>
        <w:t xml:space="preserve"> Mahayana </w:t>
      </w:r>
      <w:r w:rsidR="00604AE3">
        <w:t>understands the Buddha as a saviour, one to help those aiming for enlightenment. Mahayana Buddhism tends to elaborate on the topic of Metaphysics and emphasises the importance of ritual, however Ther</w:t>
      </w:r>
      <w:r w:rsidR="0031251B">
        <w:t>a</w:t>
      </w:r>
      <w:r w:rsidR="00604AE3">
        <w:t>vada Buddhism minimises both elements. Ther</w:t>
      </w:r>
      <w:r w:rsidR="00984AB1">
        <w:t>a</w:t>
      </w:r>
      <w:r w:rsidR="00604AE3">
        <w:t>vada Buddhism does not leave room for philosophical ideas whereas Mahayana sutras like Yog</w:t>
      </w:r>
      <w:r w:rsidR="00984AB1">
        <w:t>a</w:t>
      </w:r>
      <w:r w:rsidR="00604AE3">
        <w:t xml:space="preserve">cara focus on it. Finally, Theravada Buddhism believes that beings are </w:t>
      </w:r>
      <w:r w:rsidR="00984AB1">
        <w:t xml:space="preserve">emancipated through the work of their own efforts. No supernatural aid is given, to reach nirvana, one </w:t>
      </w:r>
      <w:proofErr w:type="gramStart"/>
      <w:r w:rsidR="00984AB1">
        <w:t>has to</w:t>
      </w:r>
      <w:proofErr w:type="gramEnd"/>
      <w:r w:rsidR="00984AB1">
        <w:t xml:space="preserve"> work towards it themselves. Mahayana however, would argue that the aspirations of human beings are supported and pushed by divine powers and grace. Theravada Buddhism also </w:t>
      </w:r>
      <w:r w:rsidR="00984AB1">
        <w:lastRenderedPageBreak/>
        <w:t xml:space="preserve">believes that once one has attained enlightenment, that individual remains in the world and helps others attain enlightenment also. The Bodhisattva vows state that if one </w:t>
      </w:r>
      <w:proofErr w:type="gramStart"/>
      <w:r w:rsidR="00984AB1">
        <w:t>is able to</w:t>
      </w:r>
      <w:proofErr w:type="gramEnd"/>
      <w:r w:rsidR="00984AB1">
        <w:t xml:space="preserve"> swim and another can’t, then the able will stay and show the other how to ‘swim’ and save themselves. The use of ‘themselves’ is important as the able does not show them exactly how it is attained, </w:t>
      </w:r>
      <w:r w:rsidR="00611B7B">
        <w:t>however</w:t>
      </w:r>
      <w:r w:rsidR="00984AB1">
        <w:t xml:space="preserve"> aids them on their path. </w:t>
      </w:r>
    </w:p>
    <w:p w:rsidR="0031251B" w:rsidRDefault="00984AB1">
      <w:r>
        <w:t xml:space="preserve">In conclusion, the two vehicles attain their goals in different ways and their methods of attainment differ in numerous ways. For example, the differences in monastic life. However, both are two different forms of worshipping one tradition. </w:t>
      </w:r>
      <w:r w:rsidR="00611B7B">
        <w:t>“The Little Vehicle” often referred to as ‘lesser vehicle’ means ‘Hinayana’, however due to the meaning behind the term ‘Hinayana’, no Theravadin Buddhist would refer to their form of Buddhism as such due to its intentionally negative overtones. ‘Hinayana’ is regarded as a derogatory term due to the ‘</w:t>
      </w:r>
      <w:proofErr w:type="spellStart"/>
      <w:r w:rsidR="00611B7B">
        <w:t>hina</w:t>
      </w:r>
      <w:proofErr w:type="spellEnd"/>
      <w:r w:rsidR="00611B7B">
        <w:t>’ meaning ‘poor’ or ‘deficient’</w:t>
      </w:r>
      <w:r w:rsidR="00611B7B">
        <w:rPr>
          <w:rStyle w:val="FootnoteReference"/>
        </w:rPr>
        <w:footnoteReference w:id="7"/>
      </w:r>
      <w:r w:rsidR="00611B7B">
        <w:t xml:space="preserve"> , therefore the term “The Little Vehicle” came to existence in order to </w:t>
      </w:r>
      <w:r w:rsidR="0031251B">
        <w:t xml:space="preserve">cease any negative connotations. “The Little Vehicle” means that it is smaller than Mahayana. </w:t>
      </w:r>
      <w:proofErr w:type="gramStart"/>
      <w:r w:rsidR="0031251B">
        <w:t>Referring back</w:t>
      </w:r>
      <w:proofErr w:type="gramEnd"/>
      <w:r w:rsidR="0031251B">
        <w:t xml:space="preserve"> to the example of the raft, if a smaller raft is found when trying to escape a fire, less people are able to escape on said raft. Thus meaning, Mahayana is a wider form of Buddhism whereas Theravada is not.</w:t>
      </w:r>
    </w:p>
    <w:p w:rsidR="00C57337" w:rsidRDefault="0031251B" w:rsidP="0031251B">
      <w:pPr>
        <w:rPr>
          <w:b/>
        </w:rPr>
      </w:pPr>
      <w:r w:rsidRPr="0031251B">
        <w:rPr>
          <w:b/>
        </w:rPr>
        <w:t>(1,451 words)</w:t>
      </w:r>
    </w:p>
    <w:p w:rsidR="00C57337" w:rsidRDefault="00C57337" w:rsidP="0031251B"/>
    <w:p w:rsidR="0031251B" w:rsidRDefault="0031251B" w:rsidP="0031251B">
      <w:pPr>
        <w:rPr>
          <w:b/>
        </w:rPr>
      </w:pPr>
      <w:r>
        <w:t xml:space="preserve"> </w:t>
      </w:r>
      <w:r w:rsidRPr="0031251B">
        <w:rPr>
          <w:b/>
        </w:rPr>
        <w:t xml:space="preserve">V. How does the Yogacara theory of consciousness compare to other Buddhist theories of "mind?" </w:t>
      </w:r>
    </w:p>
    <w:p w:rsidR="0031251B" w:rsidRDefault="00BD2723" w:rsidP="0031251B">
      <w:r>
        <w:t xml:space="preserve">The Yogacara theory of consciousness in the second of two central philosophical schools of Mahayana. </w:t>
      </w:r>
      <w:r w:rsidR="00112339">
        <w:t>I will be explaining how Yogacara is unique</w:t>
      </w:r>
      <w:r w:rsidR="0036665A">
        <w:t xml:space="preserve"> and </w:t>
      </w:r>
      <w:proofErr w:type="gramStart"/>
      <w:r w:rsidR="0036665A">
        <w:t>similar</w:t>
      </w:r>
      <w:r w:rsidR="00112339">
        <w:t xml:space="preserve"> to</w:t>
      </w:r>
      <w:proofErr w:type="gramEnd"/>
      <w:r w:rsidR="00112339">
        <w:t xml:space="preserve"> other theories of mind within Buddhism. </w:t>
      </w:r>
      <w:r>
        <w:t xml:space="preserve">By analysing the </w:t>
      </w:r>
      <w:proofErr w:type="gramStart"/>
      <w:r>
        <w:t>word</w:t>
      </w:r>
      <w:proofErr w:type="gramEnd"/>
      <w:r>
        <w:t xml:space="preserve"> itself, </w:t>
      </w:r>
      <w:r w:rsidR="004C37BE">
        <w:t>Yogacara literally means the practice of discipline.</w:t>
      </w:r>
      <w:r w:rsidR="00112339">
        <w:t xml:space="preserve"> </w:t>
      </w:r>
      <w:r w:rsidR="000F0F5D">
        <w:t xml:space="preserve">The Yogacara school arose in some sutras that began appearing in the third century AD. </w:t>
      </w:r>
      <w:r w:rsidR="000F0F5D">
        <w:rPr>
          <w:rStyle w:val="FootnoteReference"/>
        </w:rPr>
        <w:footnoteReference w:id="8"/>
      </w:r>
      <w:r w:rsidR="000F0F5D">
        <w:t xml:space="preserve"> Yogacara had been features in many sutras over time, however it became a separate school in possibl</w:t>
      </w:r>
      <w:r w:rsidR="0036665A">
        <w:t>y</w:t>
      </w:r>
      <w:r w:rsidR="000F0F5D">
        <w:t xml:space="preserve"> the fourth or fifth century. </w:t>
      </w:r>
      <w:r w:rsidR="00112339">
        <w:t xml:space="preserve">The purpose of Yogacara is to focus on one’s consciousness – what it is and how it works. </w:t>
      </w:r>
      <w:r w:rsidR="004C37BE">
        <w:t xml:space="preserve"> There </w:t>
      </w:r>
      <w:r w:rsidR="00112339">
        <w:t xml:space="preserve">are two central philosophers in Yogacara, </w:t>
      </w:r>
      <w:proofErr w:type="spellStart"/>
      <w:r w:rsidR="00112339">
        <w:t>Vasubandhu</w:t>
      </w:r>
      <w:proofErr w:type="spellEnd"/>
      <w:r w:rsidR="00112339">
        <w:t xml:space="preserve"> and </w:t>
      </w:r>
      <w:proofErr w:type="spellStart"/>
      <w:r w:rsidR="00112339">
        <w:t>Asanga</w:t>
      </w:r>
      <w:proofErr w:type="spellEnd"/>
      <w:r w:rsidR="00112339">
        <w:t xml:space="preserve">. </w:t>
      </w:r>
    </w:p>
    <w:p w:rsidR="00112339" w:rsidRDefault="00112339" w:rsidP="0031251B">
      <w:r>
        <w:t>Within teachings of Yogacara, there are three aspects of how things can be known. These are these the Three Aspects of Knowledge. Firstly</w:t>
      </w:r>
      <w:r w:rsidR="00382405">
        <w:t>,</w:t>
      </w:r>
      <w:r>
        <w:t xml:space="preserve"> something can be known through its conceptual constructs; we are able to spot the signs that point to something, but not at the </w:t>
      </w:r>
      <w:proofErr w:type="gramStart"/>
      <w:r>
        <w:t>particular thing</w:t>
      </w:r>
      <w:proofErr w:type="gramEnd"/>
      <w:r>
        <w:t xml:space="preserve"> itself. Secondly, we can know something through its conditioning from other things. </w:t>
      </w:r>
      <w:r w:rsidR="00382405">
        <w:t xml:space="preserve">We </w:t>
      </w:r>
      <w:proofErr w:type="gramStart"/>
      <w:r w:rsidR="00382405">
        <w:t>are able to</w:t>
      </w:r>
      <w:proofErr w:type="gramEnd"/>
      <w:r w:rsidR="00382405">
        <w:t xml:space="preserve"> understand how it relates to something, how it can arise and how it inter-exists. This however still means we are seeing something conceptually. It is still not the thing itself. Finally, we can see it as it is, free from conceptual constructs. This is ‘</w:t>
      </w:r>
      <w:proofErr w:type="spellStart"/>
      <w:r w:rsidR="00382405">
        <w:t>tahita</w:t>
      </w:r>
      <w:proofErr w:type="spellEnd"/>
      <w:r w:rsidR="00382405">
        <w:t xml:space="preserve">’. This is how we experience things. These aspects are an attempt to deepen our knowledge of how we understand the world, and how things are in themselves. What these things </w:t>
      </w:r>
      <w:r w:rsidR="00382405">
        <w:rPr>
          <w:i/>
        </w:rPr>
        <w:t xml:space="preserve">really </w:t>
      </w:r>
      <w:r w:rsidR="00382405">
        <w:t xml:space="preserve">are. </w:t>
      </w:r>
    </w:p>
    <w:p w:rsidR="000F0F5D" w:rsidRDefault="00670AD4" w:rsidP="0031251B">
      <w:r>
        <w:t>According to Rupert Gethin, Yogacara gives a “positive account on the workings of the mind in terms of dharmas”</w:t>
      </w:r>
      <w:r>
        <w:rPr>
          <w:rStyle w:val="FootnoteReference"/>
        </w:rPr>
        <w:footnoteReference w:id="9"/>
      </w:r>
      <w:r>
        <w:t xml:space="preserve"> Early Buddhist traditions concluded that there are six types of consciousness which correspond with our five senses. Yogacara however gives a deeper insight to that sixth sense, mind consciousness. There are two types of consciousness according to Yogacara teachings, the first type of consciousness concerns the eight types of c</w:t>
      </w:r>
      <w:r w:rsidR="005A667D">
        <w:t xml:space="preserve">onsciousness in Buddhism, </w:t>
      </w:r>
      <w:proofErr w:type="spellStart"/>
      <w:r w:rsidR="005A667D">
        <w:t>Vijnana</w:t>
      </w:r>
      <w:proofErr w:type="spellEnd"/>
      <w:r w:rsidR="005A667D">
        <w:t xml:space="preserve">; which Yogacara </w:t>
      </w:r>
      <w:r w:rsidR="005A667D">
        <w:lastRenderedPageBreak/>
        <w:t>regards as nothing more than just a “flow of ideas”.</w:t>
      </w:r>
      <w:r w:rsidR="005A667D">
        <w:rPr>
          <w:rStyle w:val="FootnoteReference"/>
        </w:rPr>
        <w:footnoteReference w:id="10"/>
      </w:r>
      <w:r w:rsidR="005A667D">
        <w:t xml:space="preserve"> This first type is the ordinary, discursive and dualistic consciousness. Often referred to as the defiled mind. This consciousness regards subject and object as two separate ideas yet the relationship between the knower and the known is identified. This type of consciousness defiled by grasping and attachment. Attachment, which is known to cause suffering within Buddhism, causes the belief that the subject and object are one. The second type of consciousness concerns the three natures, tri – </w:t>
      </w:r>
      <w:proofErr w:type="spellStart"/>
      <w:r w:rsidR="005A667D">
        <w:t>svabhava</w:t>
      </w:r>
      <w:proofErr w:type="spellEnd"/>
      <w:r w:rsidR="005A667D">
        <w:t>. This is the ‘store’ or ‘seed’ consciousness</w:t>
      </w:r>
      <w:r w:rsidR="000F0F5D">
        <w:t xml:space="preserve">; where ordinary consciousness arises and returns. It is </w:t>
      </w:r>
      <w:proofErr w:type="gramStart"/>
      <w:r w:rsidR="000F0F5D">
        <w:t>similar to</w:t>
      </w:r>
      <w:proofErr w:type="gramEnd"/>
      <w:r w:rsidR="000F0F5D">
        <w:t xml:space="preserve"> that of a ‘storehouse’ for thoughts and experiences. This consciousness is free from both dualism and </w:t>
      </w:r>
      <w:r w:rsidR="00B800F0">
        <w:t xml:space="preserve">discursiveness. It is also able to explain the continuity of personality, memory and karma as a person’s experiences and thoughts remain in one convenient location. </w:t>
      </w:r>
    </w:p>
    <w:p w:rsidR="006013DD" w:rsidRDefault="00B800F0" w:rsidP="0031251B">
      <w:r>
        <w:t xml:space="preserve">To place these two kinds of consciousness together, Yogacara believes that everything in existence is a product of one’s mind. When one becomes enlightened, one becomes aware of the two kinds of consciousness. The individual is awakening to their own consciousness. This can be compared to an ocean and its waves; </w:t>
      </w:r>
      <w:proofErr w:type="gramStart"/>
      <w:r>
        <w:t>all of</w:t>
      </w:r>
      <w:proofErr w:type="gramEnd"/>
      <w:r>
        <w:t xml:space="preserve"> our thoughts and actions are one wave, thus meaning we are a wave and a wave is physical. This wave will continue </w:t>
      </w:r>
      <w:proofErr w:type="gramStart"/>
      <w:r>
        <w:t>as long as</w:t>
      </w:r>
      <w:proofErr w:type="gramEnd"/>
      <w:r>
        <w:t xml:space="preserve"> we remain aware that the sea is what is creating the wave, therefore allowing our movement. The sea does not </w:t>
      </w:r>
      <w:r w:rsidR="006013DD">
        <w:t xml:space="preserve">cease to </w:t>
      </w:r>
      <w:proofErr w:type="gramStart"/>
      <w:r>
        <w:t>exist,</w:t>
      </w:r>
      <w:proofErr w:type="gramEnd"/>
      <w:r>
        <w:t xml:space="preserve"> however the wave does. The wave is never the same as when one wave goes, another begins. Similarly</w:t>
      </w:r>
      <w:r w:rsidR="006013DD">
        <w:t>,</w:t>
      </w:r>
      <w:r>
        <w:t xml:space="preserve"> </w:t>
      </w:r>
      <w:r w:rsidR="006013DD">
        <w:t>a</w:t>
      </w:r>
      <w:r>
        <w:t xml:space="preserve"> candle </w:t>
      </w:r>
      <w:r w:rsidR="006013DD">
        <w:t>when lit has a flame which</w:t>
      </w:r>
      <w:r>
        <w:t xml:space="preserve"> is always there but is never the same flame as it is constantly changing. </w:t>
      </w:r>
      <w:r w:rsidR="006013DD">
        <w:t xml:space="preserve">This describes our consciousness; our consciousness is always here but it is constantly changing; it is continuously returning to that ‘storehouse’. Awareness is that experience of being conscious. Once one becomes aware of this state of consciousness, the knower and known are no longer separate. </w:t>
      </w:r>
    </w:p>
    <w:p w:rsidR="00331CD3" w:rsidRDefault="00331CD3" w:rsidP="0031251B">
      <w:r>
        <w:t xml:space="preserve">This theory of a constantly changing conscious is supported in a passage created by Siddhartha, whom explains that after becoming enlightened, he saw the different states of which had passes through one being. </w:t>
      </w:r>
    </w:p>
    <w:p w:rsidR="00B66962" w:rsidRDefault="00331CD3" w:rsidP="00331CD3">
      <w:r>
        <w:t>“A flowing river of faces, of hundreds, of thousand, which all came and disappeared, and yet all seemed to be there simultaneously, which all constantly changed and renewed themselves, and which were still all Siddhartha…</w:t>
      </w:r>
      <w:r w:rsidRPr="00331CD3">
        <w:t xml:space="preserve"> </w:t>
      </w:r>
      <w:r>
        <w:t>he saw the face of a new-born child, red and full of wrinkles, distorted from crying—he saw the face of a murderer…</w:t>
      </w:r>
      <w:r w:rsidRPr="00331CD3">
        <w:t xml:space="preserve"> </w:t>
      </w:r>
      <w:r>
        <w:t>he saw gods</w:t>
      </w:r>
      <w:r w:rsidR="00B66962">
        <w:t>”</w:t>
      </w:r>
    </w:p>
    <w:p w:rsidR="00B66962" w:rsidRDefault="00B66962" w:rsidP="00331CD3">
      <w:r>
        <w:t xml:space="preserve">Yogacara’s view of the mind is </w:t>
      </w:r>
      <w:proofErr w:type="gramStart"/>
      <w:r>
        <w:t>similar to</w:t>
      </w:r>
      <w:proofErr w:type="gramEnd"/>
      <w:r>
        <w:t xml:space="preserve"> that of the self. The view of no – self argues that our experiences, thoughts and feelings are impermanent and in a state of constant change. Our conscious, according to Yogacara, is also constantly changing. We are not the same person when we die as we are when we are born. </w:t>
      </w:r>
    </w:p>
    <w:p w:rsidR="00B66962" w:rsidRDefault="00B66962" w:rsidP="00331CD3">
      <w:r>
        <w:t>Yogacara’s middle way suggests that the objects and subjects we come across are simply ideas created in our ‘mind’.</w:t>
      </w:r>
      <w:r w:rsidR="006D24C0">
        <w:t xml:space="preserve"> The things we experience and objects we see are not true reality, they are ‘</w:t>
      </w:r>
      <w:proofErr w:type="spellStart"/>
      <w:r w:rsidR="006D24C0">
        <w:t>illiusionary</w:t>
      </w:r>
      <w:proofErr w:type="spellEnd"/>
      <w:r w:rsidR="006D24C0">
        <w:t>’.</w:t>
      </w:r>
      <w:r>
        <w:t xml:space="preserve"> Yogacara has been regarded as a school of metaphysical idealism because its theories suggest that everything in existence is only existent within the mind and is not reality. Yogacara however does not explain whether it speculates on a ‘mind – dependent reality’, instead, reflections are restricted to what can be found out from experience only. </w:t>
      </w:r>
      <w:proofErr w:type="gramStart"/>
      <w:r w:rsidR="006D24C0">
        <w:t>Thus</w:t>
      </w:r>
      <w:proofErr w:type="gramEnd"/>
      <w:r w:rsidR="006D24C0">
        <w:t xml:space="preserve"> meaning that only things which have been experienced through the mind can be known to be ‘illusionary’, whereas things that exist beyond experience or mind cannot be spoken for. This would mean that claiming a ‘mind-independent reality’ would be non – sensical as a ‘mind – independent reality’ is groundless </w:t>
      </w:r>
      <w:proofErr w:type="gramStart"/>
      <w:r w:rsidR="006D24C0">
        <w:t>due to the fact that</w:t>
      </w:r>
      <w:proofErr w:type="gramEnd"/>
      <w:r w:rsidR="006D24C0">
        <w:t xml:space="preserve"> if it is to be intelligible it would require an appeal to things that are experienced. These grounds would suggest that Yogacara supporters are not metaphysical idealists. </w:t>
      </w:r>
    </w:p>
    <w:p w:rsidR="006D24C0" w:rsidRPr="00C57337" w:rsidRDefault="006D24C0" w:rsidP="00331CD3">
      <w:r>
        <w:lastRenderedPageBreak/>
        <w:t xml:space="preserve">In conclusion, the Yogacara view of the ‘mind’ is </w:t>
      </w:r>
      <w:proofErr w:type="gramStart"/>
      <w:r>
        <w:t>similar to</w:t>
      </w:r>
      <w:proofErr w:type="gramEnd"/>
      <w:r>
        <w:t xml:space="preserve"> the Buddhist idea of no -self in the way that it claims we are impermanent. One’s conscious is constantly changing and one person is never the same. The theory of no – self i</w:t>
      </w:r>
      <w:r w:rsidR="00C57337">
        <w:t>s</w:t>
      </w:r>
      <w:r>
        <w:t xml:space="preserve"> criticised</w:t>
      </w:r>
      <w:r w:rsidR="00C57337">
        <w:t xml:space="preserve"> though</w:t>
      </w:r>
      <w:r>
        <w:t xml:space="preserve"> as many believe there </w:t>
      </w:r>
      <w:proofErr w:type="gramStart"/>
      <w:r>
        <w:t>has to</w:t>
      </w:r>
      <w:proofErr w:type="gramEnd"/>
      <w:r>
        <w:t xml:space="preserve"> be an owner to the experiences had be a being. In contrast to the idea of no – self</w:t>
      </w:r>
      <w:r w:rsidR="00C57337">
        <w:t xml:space="preserve"> however</w:t>
      </w:r>
      <w:r>
        <w:t>, Yogacara explains that there is a ‘storehouse’ where our experiences and thoughts arise and return</w:t>
      </w:r>
      <w:r w:rsidR="00C57337">
        <w:t xml:space="preserve">. It could be argued that Yogacara makes more sense </w:t>
      </w:r>
      <w:proofErr w:type="gramStart"/>
      <w:r w:rsidR="00C57337">
        <w:t>in regards to</w:t>
      </w:r>
      <w:proofErr w:type="gramEnd"/>
      <w:r w:rsidR="00C57337">
        <w:t xml:space="preserve"> the mind due to it offering a solution to the problem of </w:t>
      </w:r>
      <w:r w:rsidR="00C57337">
        <w:rPr>
          <w:i/>
        </w:rPr>
        <w:t xml:space="preserve">who </w:t>
      </w:r>
      <w:r w:rsidR="00C57337">
        <w:t xml:space="preserve">actually experiences the things we experiences, and where our own thoughts and memories reside. </w:t>
      </w:r>
    </w:p>
    <w:p w:rsidR="00B800F0" w:rsidRDefault="00C57337" w:rsidP="0031251B">
      <w:pPr>
        <w:rPr>
          <w:b/>
        </w:rPr>
      </w:pPr>
      <w:r w:rsidRPr="00C57337">
        <w:rPr>
          <w:b/>
        </w:rPr>
        <w:t>(1,107 words)</w:t>
      </w:r>
    </w:p>
    <w:p w:rsidR="00C57337" w:rsidRDefault="00C57337" w:rsidP="0031251B">
      <w:pPr>
        <w:rPr>
          <w:b/>
        </w:rPr>
      </w:pPr>
    </w:p>
    <w:p w:rsidR="00C57337" w:rsidRPr="00C57337" w:rsidRDefault="00C57337" w:rsidP="0031251B">
      <w:pPr>
        <w:rPr>
          <w:b/>
        </w:rPr>
      </w:pPr>
      <w:r>
        <w:rPr>
          <w:b/>
        </w:rPr>
        <w:t>(Total words – 2,558)</w:t>
      </w:r>
    </w:p>
    <w:p w:rsidR="00C57337" w:rsidRDefault="00C57337" w:rsidP="0031251B"/>
    <w:p w:rsidR="00C57337" w:rsidRDefault="00C57337" w:rsidP="0031251B"/>
    <w:p w:rsidR="00C57337" w:rsidRDefault="00C57337" w:rsidP="0031251B"/>
    <w:p w:rsidR="00C57337" w:rsidRDefault="00C57337" w:rsidP="0031251B"/>
    <w:p w:rsidR="00C57337" w:rsidRDefault="00C57337" w:rsidP="0031251B"/>
    <w:p w:rsidR="00207896" w:rsidRPr="00207896" w:rsidRDefault="00207896" w:rsidP="00207896">
      <w:pPr>
        <w:rPr>
          <w:b/>
        </w:rPr>
      </w:pPr>
      <w:r w:rsidRPr="00207896">
        <w:rPr>
          <w:b/>
        </w:rPr>
        <w:t>Bibliography</w:t>
      </w:r>
    </w:p>
    <w:p w:rsidR="00207896" w:rsidRDefault="00207896" w:rsidP="00207896"/>
    <w:p w:rsidR="00207896" w:rsidRDefault="00207896" w:rsidP="00207896">
      <w:r>
        <w:t xml:space="preserve"> Epstein, R. 1999. 'Clearing up Some </w:t>
      </w:r>
      <w:bookmarkStart w:id="0" w:name="_GoBack"/>
      <w:r>
        <w:t xml:space="preserve">Misconceptions </w:t>
      </w:r>
      <w:bookmarkEnd w:id="0"/>
      <w:r>
        <w:t>About Buddhism', A Monthly Journal of Orthodox Buddhism: 43</w:t>
      </w:r>
    </w:p>
    <w:p w:rsidR="00207896" w:rsidRDefault="00207896" w:rsidP="00207896">
      <w:r>
        <w:t>Gethin, R. 1998. The Foundations of Buddhism (Oxford, New York: Oxford University Press)</w:t>
      </w:r>
    </w:p>
    <w:p w:rsidR="00207896" w:rsidRDefault="00207896" w:rsidP="00207896">
      <w:r>
        <w:t>Harvey, P. 1990. An Introduction to Buddhism; Teachings, History and Practices (Great Britain: Cambridge University Press)</w:t>
      </w:r>
    </w:p>
    <w:p w:rsidR="00207896" w:rsidRDefault="00207896" w:rsidP="00207896">
      <w:proofErr w:type="spellStart"/>
      <w:r>
        <w:t>Rahula</w:t>
      </w:r>
      <w:proofErr w:type="spellEnd"/>
      <w:r>
        <w:t>, D.V.W. 1996. Theravada - Mahayana Buddhism ()</w:t>
      </w:r>
    </w:p>
    <w:p w:rsidR="00C57337" w:rsidRPr="00A713C3" w:rsidRDefault="00207896" w:rsidP="00207896">
      <w:r>
        <w:t>Williams, P. 1989. Mahayana Buddhism; The Doctrinal Foundations (Great Britain: Routledge)</w:t>
      </w:r>
    </w:p>
    <w:sectPr w:rsidR="00C57337" w:rsidRPr="00A713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D2333" w:rsidRDefault="002D2333" w:rsidP="00D312FF">
      <w:pPr>
        <w:spacing w:after="0" w:line="240" w:lineRule="auto"/>
      </w:pPr>
      <w:r>
        <w:separator/>
      </w:r>
    </w:p>
  </w:endnote>
  <w:endnote w:type="continuationSeparator" w:id="0">
    <w:p w:rsidR="002D2333" w:rsidRDefault="002D2333" w:rsidP="00D312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D2333" w:rsidRDefault="002D2333" w:rsidP="00D312FF">
      <w:pPr>
        <w:spacing w:after="0" w:line="240" w:lineRule="auto"/>
      </w:pPr>
      <w:r>
        <w:separator/>
      </w:r>
    </w:p>
  </w:footnote>
  <w:footnote w:type="continuationSeparator" w:id="0">
    <w:p w:rsidR="002D2333" w:rsidRDefault="002D2333" w:rsidP="00D312FF">
      <w:pPr>
        <w:spacing w:after="0" w:line="240" w:lineRule="auto"/>
      </w:pPr>
      <w:r>
        <w:continuationSeparator/>
      </w:r>
    </w:p>
  </w:footnote>
  <w:footnote w:id="1">
    <w:p w:rsidR="005A667D" w:rsidRDefault="005A667D">
      <w:pPr>
        <w:pStyle w:val="FootnoteText"/>
      </w:pPr>
      <w:r>
        <w:rPr>
          <w:rStyle w:val="FootnoteReference"/>
        </w:rPr>
        <w:footnoteRef/>
      </w:r>
      <w:r>
        <w:t xml:space="preserve"> </w:t>
      </w:r>
      <w:r w:rsidRPr="00D312FF">
        <w:t>(Epstein 1999:  43)</w:t>
      </w:r>
    </w:p>
  </w:footnote>
  <w:footnote w:id="2">
    <w:p w:rsidR="005A667D" w:rsidRDefault="005A667D">
      <w:pPr>
        <w:pStyle w:val="FootnoteText"/>
      </w:pPr>
      <w:r>
        <w:rPr>
          <w:rStyle w:val="FootnoteReference"/>
        </w:rPr>
        <w:footnoteRef/>
      </w:r>
      <w:r>
        <w:t xml:space="preserve"> </w:t>
      </w:r>
      <w:r w:rsidRPr="00B76108">
        <w:t>(Gethin 1998: 253-254)</w:t>
      </w:r>
    </w:p>
  </w:footnote>
  <w:footnote w:id="3">
    <w:p w:rsidR="005A667D" w:rsidRDefault="005A667D">
      <w:pPr>
        <w:pStyle w:val="FootnoteText"/>
      </w:pPr>
      <w:r>
        <w:rPr>
          <w:rStyle w:val="FootnoteReference"/>
        </w:rPr>
        <w:footnoteRef/>
      </w:r>
      <w:r>
        <w:t xml:space="preserve"> </w:t>
      </w:r>
      <w:r w:rsidRPr="00B76108">
        <w:t>(Gethin 1998: 253-254)</w:t>
      </w:r>
    </w:p>
  </w:footnote>
  <w:footnote w:id="4">
    <w:p w:rsidR="005A667D" w:rsidRDefault="005A667D">
      <w:pPr>
        <w:pStyle w:val="FootnoteText"/>
      </w:pPr>
      <w:r>
        <w:rPr>
          <w:rStyle w:val="FootnoteReference"/>
        </w:rPr>
        <w:footnoteRef/>
      </w:r>
      <w:r>
        <w:t xml:space="preserve"> </w:t>
      </w:r>
      <w:r w:rsidRPr="003739BC">
        <w:t>(Harvey 1990: 89)</w:t>
      </w:r>
    </w:p>
  </w:footnote>
  <w:footnote w:id="5">
    <w:p w:rsidR="005A667D" w:rsidRDefault="005A667D">
      <w:pPr>
        <w:pStyle w:val="FootnoteText"/>
      </w:pPr>
      <w:r>
        <w:rPr>
          <w:rStyle w:val="FootnoteReference"/>
        </w:rPr>
        <w:footnoteRef/>
      </w:r>
      <w:r>
        <w:t xml:space="preserve"> </w:t>
      </w:r>
      <w:r w:rsidRPr="00D553A8">
        <w:t>(Williams 1989)</w:t>
      </w:r>
    </w:p>
  </w:footnote>
  <w:footnote w:id="6">
    <w:p w:rsidR="005A667D" w:rsidRDefault="005A667D">
      <w:pPr>
        <w:pStyle w:val="FootnoteText"/>
      </w:pPr>
      <w:r>
        <w:rPr>
          <w:rStyle w:val="FootnoteReference"/>
        </w:rPr>
        <w:footnoteRef/>
      </w:r>
      <w:r>
        <w:t xml:space="preserve"> </w:t>
      </w:r>
      <w:r w:rsidRPr="00452023">
        <w:t>(Gethin 1998: 2</w:t>
      </w:r>
      <w:r>
        <w:t>24 – 225)</w:t>
      </w:r>
    </w:p>
  </w:footnote>
  <w:footnote w:id="7">
    <w:p w:rsidR="005A667D" w:rsidRDefault="005A667D">
      <w:pPr>
        <w:pStyle w:val="FootnoteText"/>
      </w:pPr>
      <w:r>
        <w:rPr>
          <w:rStyle w:val="FootnoteReference"/>
        </w:rPr>
        <w:footnoteRef/>
      </w:r>
      <w:r>
        <w:t xml:space="preserve"> </w:t>
      </w:r>
      <w:r w:rsidRPr="00611B7B">
        <w:t>(</w:t>
      </w:r>
      <w:proofErr w:type="spellStart"/>
      <w:r w:rsidRPr="00611B7B">
        <w:t>Rahula</w:t>
      </w:r>
      <w:proofErr w:type="spellEnd"/>
      <w:r w:rsidRPr="00611B7B">
        <w:t xml:space="preserve"> 1996)</w:t>
      </w:r>
    </w:p>
  </w:footnote>
  <w:footnote w:id="8">
    <w:p w:rsidR="000F0F5D" w:rsidRDefault="000F0F5D">
      <w:pPr>
        <w:pStyle w:val="FootnoteText"/>
      </w:pPr>
      <w:r>
        <w:rPr>
          <w:rStyle w:val="FootnoteReference"/>
        </w:rPr>
        <w:footnoteRef/>
      </w:r>
      <w:r>
        <w:t xml:space="preserve"> </w:t>
      </w:r>
      <w:r w:rsidRPr="000F0F5D">
        <w:t>(Harvey 1990: 104-105)</w:t>
      </w:r>
    </w:p>
  </w:footnote>
  <w:footnote w:id="9">
    <w:p w:rsidR="005A667D" w:rsidRDefault="005A667D">
      <w:pPr>
        <w:pStyle w:val="FootnoteText"/>
      </w:pPr>
      <w:r>
        <w:rPr>
          <w:rStyle w:val="FootnoteReference"/>
        </w:rPr>
        <w:footnoteRef/>
      </w:r>
      <w:r>
        <w:t xml:space="preserve"> </w:t>
      </w:r>
      <w:r w:rsidRPr="00670AD4">
        <w:t>(Gethin 1998: 244-246)</w:t>
      </w:r>
    </w:p>
  </w:footnote>
  <w:footnote w:id="10">
    <w:p w:rsidR="005A667D" w:rsidRDefault="005A667D">
      <w:pPr>
        <w:pStyle w:val="FootnoteText"/>
      </w:pPr>
      <w:r>
        <w:rPr>
          <w:rStyle w:val="FootnoteReference"/>
        </w:rPr>
        <w:footnoteRef/>
      </w:r>
      <w:r>
        <w:t xml:space="preserve"> </w:t>
      </w:r>
      <w:r w:rsidRPr="005A667D">
        <w:t>(Gethin 1998: 244-246)</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585A4D"/>
    <w:multiLevelType w:val="hybridMultilevel"/>
    <w:tmpl w:val="798A39C4"/>
    <w:lvl w:ilvl="0" w:tplc="13D4017E">
      <w:start w:val="1"/>
      <w:numFmt w:val="upperRoman"/>
      <w:lvlText w:val="%1)"/>
      <w:lvlJc w:val="left"/>
      <w:pPr>
        <w:ind w:left="765" w:hanging="72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13C3"/>
    <w:rsid w:val="000F0F5D"/>
    <w:rsid w:val="00100C2C"/>
    <w:rsid w:val="00101694"/>
    <w:rsid w:val="00112339"/>
    <w:rsid w:val="001D2192"/>
    <w:rsid w:val="0020147D"/>
    <w:rsid w:val="00207896"/>
    <w:rsid w:val="0026645F"/>
    <w:rsid w:val="002C438D"/>
    <w:rsid w:val="002D134E"/>
    <w:rsid w:val="002D2333"/>
    <w:rsid w:val="0031251B"/>
    <w:rsid w:val="00331CD3"/>
    <w:rsid w:val="0036665A"/>
    <w:rsid w:val="003739BC"/>
    <w:rsid w:val="00382405"/>
    <w:rsid w:val="00452023"/>
    <w:rsid w:val="00494F7B"/>
    <w:rsid w:val="004C37BE"/>
    <w:rsid w:val="0056704E"/>
    <w:rsid w:val="005756C5"/>
    <w:rsid w:val="005A667D"/>
    <w:rsid w:val="005C35DB"/>
    <w:rsid w:val="006013DD"/>
    <w:rsid w:val="00604AE3"/>
    <w:rsid w:val="00611B7B"/>
    <w:rsid w:val="00670AD4"/>
    <w:rsid w:val="006D24C0"/>
    <w:rsid w:val="00823554"/>
    <w:rsid w:val="008D1279"/>
    <w:rsid w:val="00984AB1"/>
    <w:rsid w:val="009B4063"/>
    <w:rsid w:val="009F2D5D"/>
    <w:rsid w:val="00A713C3"/>
    <w:rsid w:val="00AB77EF"/>
    <w:rsid w:val="00B01004"/>
    <w:rsid w:val="00B66962"/>
    <w:rsid w:val="00B76108"/>
    <w:rsid w:val="00B76A71"/>
    <w:rsid w:val="00B800F0"/>
    <w:rsid w:val="00BD2723"/>
    <w:rsid w:val="00C57337"/>
    <w:rsid w:val="00D003EB"/>
    <w:rsid w:val="00D30340"/>
    <w:rsid w:val="00D312FF"/>
    <w:rsid w:val="00D45A0C"/>
    <w:rsid w:val="00D553A8"/>
    <w:rsid w:val="00DF30A6"/>
    <w:rsid w:val="00DF78EB"/>
    <w:rsid w:val="00E14C6C"/>
    <w:rsid w:val="00EE3064"/>
    <w:rsid w:val="00F67971"/>
    <w:rsid w:val="00FC15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A95A5AC-9EAD-4A3F-A3C0-C9833FD7B2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312F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312FF"/>
    <w:rPr>
      <w:sz w:val="20"/>
      <w:szCs w:val="20"/>
    </w:rPr>
  </w:style>
  <w:style w:type="character" w:styleId="FootnoteReference">
    <w:name w:val="footnote reference"/>
    <w:basedOn w:val="DefaultParagraphFont"/>
    <w:uiPriority w:val="99"/>
    <w:semiHidden/>
    <w:unhideWhenUsed/>
    <w:rsid w:val="00D312FF"/>
    <w:rPr>
      <w:vertAlign w:val="superscript"/>
    </w:rPr>
  </w:style>
  <w:style w:type="paragraph" w:styleId="ListParagraph">
    <w:name w:val="List Paragraph"/>
    <w:basedOn w:val="Normal"/>
    <w:uiPriority w:val="34"/>
    <w:qFormat/>
    <w:rsid w:val="0031251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06F99B-A944-46E6-A58C-6F2E74F6B9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318</TotalTime>
  <Pages>5</Pages>
  <Words>2438</Words>
  <Characters>13897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Shaunna Campbell - cross</dc:creator>
  <cp:keywords/>
  <dc:description/>
  <cp:lastModifiedBy>Shaunna Campbell - cross</cp:lastModifiedBy>
  <cp:revision>4</cp:revision>
  <dcterms:created xsi:type="dcterms:W3CDTF">2018-12-18T10:30:00Z</dcterms:created>
  <dcterms:modified xsi:type="dcterms:W3CDTF">2018-12-18T15:50:00Z</dcterms:modified>
</cp:coreProperties>
</file>