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0047" w:rsidRDefault="00830047">
      <w:pPr>
        <w:pStyle w:val="BodyText"/>
        <w:rPr>
          <w:rFonts w:ascii="Times New Roman"/>
          <w:sz w:val="20"/>
        </w:rPr>
      </w:pPr>
    </w:p>
    <w:p w:rsidR="00830047" w:rsidRDefault="00830047">
      <w:pPr>
        <w:pStyle w:val="BodyText"/>
        <w:rPr>
          <w:rFonts w:ascii="Times New Roman"/>
          <w:sz w:val="20"/>
        </w:rPr>
      </w:pPr>
    </w:p>
    <w:p w:rsidR="00830047" w:rsidRDefault="00830047">
      <w:pPr>
        <w:pStyle w:val="BodyText"/>
        <w:rPr>
          <w:rFonts w:ascii="Times New Roman"/>
          <w:sz w:val="20"/>
        </w:rPr>
      </w:pPr>
    </w:p>
    <w:p w:rsidR="00830047" w:rsidRDefault="00830047">
      <w:pPr>
        <w:pStyle w:val="BodyText"/>
        <w:spacing w:before="8"/>
        <w:rPr>
          <w:rFonts w:ascii="Times New Roman"/>
          <w:sz w:val="19"/>
        </w:rPr>
      </w:pPr>
    </w:p>
    <w:p w:rsidR="00830047" w:rsidRDefault="0036266F">
      <w:pPr>
        <w:pStyle w:val="BodyText"/>
        <w:ind w:left="900"/>
      </w:pPr>
      <w:r>
        <w:t>Section 1.</w:t>
      </w:r>
    </w:p>
    <w:p w:rsidR="00830047" w:rsidRDefault="0036266F">
      <w:pPr>
        <w:pStyle w:val="BodyText"/>
        <w:spacing w:before="182" w:line="360" w:lineRule="auto"/>
        <w:ind w:left="900" w:right="891"/>
        <w:jc w:val="both"/>
      </w:pPr>
      <w:r>
        <w:t>According to the ALNET Act (Welsh Government, 2018), Autism is identified as an additional learning need. The National Assembly for Wales (2015) reports that at least one in five learners have an identified</w:t>
      </w:r>
      <w:r>
        <w:rPr>
          <w:spacing w:val="-12"/>
        </w:rPr>
        <w:t xml:space="preserve"> </w:t>
      </w:r>
      <w:r>
        <w:t>additional</w:t>
      </w:r>
      <w:r>
        <w:rPr>
          <w:spacing w:val="-11"/>
        </w:rPr>
        <w:t xml:space="preserve"> </w:t>
      </w:r>
      <w:r>
        <w:t>learning</w:t>
      </w:r>
      <w:r>
        <w:rPr>
          <w:spacing w:val="-11"/>
        </w:rPr>
        <w:t xml:space="preserve"> </w:t>
      </w:r>
      <w:r>
        <w:t>need.</w:t>
      </w:r>
      <w:r>
        <w:rPr>
          <w:spacing w:val="-10"/>
        </w:rPr>
        <w:t xml:space="preserve"> </w:t>
      </w:r>
      <w:r>
        <w:t>The</w:t>
      </w:r>
      <w:r>
        <w:rPr>
          <w:spacing w:val="-10"/>
        </w:rPr>
        <w:t xml:space="preserve"> </w:t>
      </w:r>
      <w:r>
        <w:t>Act</w:t>
      </w:r>
      <w:r>
        <w:rPr>
          <w:spacing w:val="-10"/>
        </w:rPr>
        <w:t xml:space="preserve"> </w:t>
      </w:r>
      <w:r>
        <w:t>supports</w:t>
      </w:r>
      <w:r>
        <w:rPr>
          <w:spacing w:val="-10"/>
        </w:rPr>
        <w:t xml:space="preserve"> </w:t>
      </w:r>
      <w:r>
        <w:t>children</w:t>
      </w:r>
      <w:r>
        <w:rPr>
          <w:spacing w:val="-11"/>
        </w:rPr>
        <w:t xml:space="preserve"> </w:t>
      </w:r>
      <w:r>
        <w:t>with</w:t>
      </w:r>
      <w:r>
        <w:rPr>
          <w:spacing w:val="-11"/>
        </w:rPr>
        <w:t xml:space="preserve"> </w:t>
      </w:r>
      <w:r>
        <w:t>an</w:t>
      </w:r>
      <w:r>
        <w:rPr>
          <w:spacing w:val="-11"/>
        </w:rPr>
        <w:t xml:space="preserve"> </w:t>
      </w:r>
      <w:r>
        <w:t>identified</w:t>
      </w:r>
      <w:r>
        <w:rPr>
          <w:spacing w:val="-10"/>
        </w:rPr>
        <w:t xml:space="preserve"> </w:t>
      </w:r>
      <w:r>
        <w:t>ALN</w:t>
      </w:r>
      <w:r>
        <w:rPr>
          <w:spacing w:val="-13"/>
        </w:rPr>
        <w:t xml:space="preserve"> </w:t>
      </w:r>
      <w:r>
        <w:t>both</w:t>
      </w:r>
      <w:r>
        <w:rPr>
          <w:spacing w:val="-11"/>
        </w:rPr>
        <w:t xml:space="preserve"> </w:t>
      </w:r>
      <w:r>
        <w:t>pre</w:t>
      </w:r>
      <w:r>
        <w:rPr>
          <w:spacing w:val="-10"/>
        </w:rPr>
        <w:t xml:space="preserve"> </w:t>
      </w:r>
      <w:r>
        <w:t>and</w:t>
      </w:r>
      <w:r>
        <w:rPr>
          <w:spacing w:val="-11"/>
        </w:rPr>
        <w:t xml:space="preserve"> </w:t>
      </w:r>
      <w:r>
        <w:t>post diagnosis, by producing an Individual Development plan or an IDP. The IDP identifies key strategies that will support the individual child in a person centred approach (PCP) (Welsh Government, 201</w:t>
      </w:r>
      <w:r>
        <w:t>8). As article 12 in the UN conventions of the rights of the child state, (UNICEF, 1992) every child has the right to have their view heard, with consideration to this right the child’s views on their education within the early years, more so in their adol</w:t>
      </w:r>
      <w:r>
        <w:t>escent years continuing through to age 25. The child has the</w:t>
      </w:r>
      <w:r>
        <w:rPr>
          <w:spacing w:val="-10"/>
        </w:rPr>
        <w:t xml:space="preserve"> </w:t>
      </w:r>
      <w:r>
        <w:t>right</w:t>
      </w:r>
      <w:r>
        <w:rPr>
          <w:spacing w:val="-12"/>
        </w:rPr>
        <w:t xml:space="preserve"> </w:t>
      </w:r>
      <w:r>
        <w:t>to</w:t>
      </w:r>
      <w:r>
        <w:rPr>
          <w:spacing w:val="-9"/>
        </w:rPr>
        <w:t xml:space="preserve"> </w:t>
      </w:r>
      <w:r>
        <w:t>have</w:t>
      </w:r>
      <w:r>
        <w:rPr>
          <w:spacing w:val="-12"/>
        </w:rPr>
        <w:t xml:space="preserve"> </w:t>
      </w:r>
      <w:r>
        <w:t>a</w:t>
      </w:r>
      <w:r>
        <w:rPr>
          <w:spacing w:val="-11"/>
        </w:rPr>
        <w:t xml:space="preserve"> </w:t>
      </w:r>
      <w:r>
        <w:t>say</w:t>
      </w:r>
      <w:r>
        <w:rPr>
          <w:spacing w:val="-10"/>
        </w:rPr>
        <w:t xml:space="preserve"> </w:t>
      </w:r>
      <w:r>
        <w:t>in</w:t>
      </w:r>
      <w:r>
        <w:rPr>
          <w:spacing w:val="-14"/>
        </w:rPr>
        <w:t xml:space="preserve"> </w:t>
      </w:r>
      <w:r>
        <w:t>which</w:t>
      </w:r>
      <w:r>
        <w:rPr>
          <w:spacing w:val="-11"/>
        </w:rPr>
        <w:t xml:space="preserve"> </w:t>
      </w:r>
      <w:r>
        <w:t>way</w:t>
      </w:r>
      <w:r>
        <w:rPr>
          <w:spacing w:val="-10"/>
        </w:rPr>
        <w:t xml:space="preserve"> </w:t>
      </w:r>
      <w:r>
        <w:t>they</w:t>
      </w:r>
      <w:r>
        <w:rPr>
          <w:spacing w:val="-11"/>
        </w:rPr>
        <w:t xml:space="preserve"> </w:t>
      </w:r>
      <w:r>
        <w:t>should</w:t>
      </w:r>
      <w:r>
        <w:rPr>
          <w:spacing w:val="-14"/>
        </w:rPr>
        <w:t xml:space="preserve"> </w:t>
      </w:r>
      <w:r>
        <w:t>be</w:t>
      </w:r>
      <w:r>
        <w:rPr>
          <w:spacing w:val="-10"/>
        </w:rPr>
        <w:t xml:space="preserve"> </w:t>
      </w:r>
      <w:r>
        <w:t>supported</w:t>
      </w:r>
      <w:r>
        <w:rPr>
          <w:spacing w:val="-13"/>
        </w:rPr>
        <w:t xml:space="preserve"> </w:t>
      </w:r>
      <w:r>
        <w:t>with</w:t>
      </w:r>
      <w:r>
        <w:rPr>
          <w:spacing w:val="-13"/>
        </w:rPr>
        <w:t xml:space="preserve"> </w:t>
      </w:r>
      <w:r>
        <w:t>early</w:t>
      </w:r>
      <w:r>
        <w:rPr>
          <w:spacing w:val="-12"/>
        </w:rPr>
        <w:t xml:space="preserve"> </w:t>
      </w:r>
      <w:r>
        <w:t>years</w:t>
      </w:r>
      <w:r>
        <w:rPr>
          <w:spacing w:val="-12"/>
        </w:rPr>
        <w:t xml:space="preserve"> </w:t>
      </w:r>
      <w:r>
        <w:t>provision</w:t>
      </w:r>
      <w:r>
        <w:rPr>
          <w:spacing w:val="-14"/>
        </w:rPr>
        <w:t xml:space="preserve"> </w:t>
      </w:r>
      <w:r>
        <w:t>and</w:t>
      </w:r>
      <w:r>
        <w:rPr>
          <w:spacing w:val="-11"/>
        </w:rPr>
        <w:t xml:space="preserve"> </w:t>
      </w:r>
      <w:r>
        <w:t xml:space="preserve">education (Welsh Government, 2018). Moreover, there is a clear right of appeal if there are disagreements </w:t>
      </w:r>
      <w:r>
        <w:t>regarding the strategies and intervention stated within the IDP, additionally, the act states that settings must have due regard to the individual child’s identity, including their language, therefor reasonable</w:t>
      </w:r>
      <w:r>
        <w:rPr>
          <w:spacing w:val="-7"/>
        </w:rPr>
        <w:t xml:space="preserve"> </w:t>
      </w:r>
      <w:r>
        <w:t>steps</w:t>
      </w:r>
      <w:r>
        <w:rPr>
          <w:spacing w:val="-4"/>
        </w:rPr>
        <w:t xml:space="preserve"> </w:t>
      </w:r>
      <w:r>
        <w:t>to</w:t>
      </w:r>
      <w:r>
        <w:rPr>
          <w:spacing w:val="-6"/>
        </w:rPr>
        <w:t xml:space="preserve"> </w:t>
      </w:r>
      <w:r>
        <w:t>make</w:t>
      </w:r>
      <w:r>
        <w:rPr>
          <w:spacing w:val="-4"/>
        </w:rPr>
        <w:t xml:space="preserve"> </w:t>
      </w:r>
      <w:r>
        <w:t>adjustments</w:t>
      </w:r>
      <w:r>
        <w:rPr>
          <w:spacing w:val="-4"/>
        </w:rPr>
        <w:t xml:space="preserve"> </w:t>
      </w:r>
      <w:r>
        <w:t>to</w:t>
      </w:r>
      <w:r>
        <w:rPr>
          <w:spacing w:val="-3"/>
        </w:rPr>
        <w:t xml:space="preserve"> </w:t>
      </w:r>
      <w:r>
        <w:t>support</w:t>
      </w:r>
      <w:r>
        <w:rPr>
          <w:spacing w:val="-4"/>
        </w:rPr>
        <w:t xml:space="preserve"> </w:t>
      </w:r>
      <w:r>
        <w:t>the</w:t>
      </w:r>
      <w:r>
        <w:rPr>
          <w:spacing w:val="-6"/>
        </w:rPr>
        <w:t xml:space="preserve"> </w:t>
      </w:r>
      <w:r>
        <w:t>child</w:t>
      </w:r>
      <w:r>
        <w:rPr>
          <w:spacing w:val="-5"/>
        </w:rPr>
        <w:t xml:space="preserve"> </w:t>
      </w:r>
      <w:r>
        <w:t>in</w:t>
      </w:r>
      <w:r>
        <w:rPr>
          <w:spacing w:val="-5"/>
        </w:rPr>
        <w:t xml:space="preserve"> </w:t>
      </w:r>
      <w:r>
        <w:t>a</w:t>
      </w:r>
      <w:r>
        <w:rPr>
          <w:spacing w:val="-4"/>
        </w:rPr>
        <w:t xml:space="preserve"> </w:t>
      </w:r>
      <w:r>
        <w:t>bilingual</w:t>
      </w:r>
      <w:r>
        <w:rPr>
          <w:spacing w:val="-5"/>
        </w:rPr>
        <w:t xml:space="preserve"> </w:t>
      </w:r>
      <w:r>
        <w:t>setting</w:t>
      </w:r>
      <w:r>
        <w:rPr>
          <w:spacing w:val="-5"/>
        </w:rPr>
        <w:t xml:space="preserve"> </w:t>
      </w:r>
      <w:r>
        <w:t>should</w:t>
      </w:r>
      <w:r>
        <w:rPr>
          <w:spacing w:val="-5"/>
        </w:rPr>
        <w:t xml:space="preserve"> </w:t>
      </w:r>
      <w:r>
        <w:t>be</w:t>
      </w:r>
      <w:r>
        <w:rPr>
          <w:spacing w:val="-4"/>
        </w:rPr>
        <w:t xml:space="preserve"> </w:t>
      </w:r>
      <w:r>
        <w:t>considered (Welsh Government,</w:t>
      </w:r>
      <w:r>
        <w:rPr>
          <w:spacing w:val="-4"/>
        </w:rPr>
        <w:t xml:space="preserve"> </w:t>
      </w:r>
      <w:r>
        <w:t>2020).</w:t>
      </w:r>
    </w:p>
    <w:p w:rsidR="00830047" w:rsidRDefault="0036266F">
      <w:pPr>
        <w:pStyle w:val="BodyText"/>
        <w:spacing w:before="160" w:line="360" w:lineRule="auto"/>
        <w:ind w:left="900" w:right="891"/>
        <w:jc w:val="both"/>
      </w:pPr>
      <w:r>
        <w:t>The Person centred practice is supportive of this right of the child, (Swansea Council, 2019) furthermore it has been identified as an effective strategy in early year’s provisions</w:t>
      </w:r>
      <w:r>
        <w:t>. Parental input is also</w:t>
      </w:r>
      <w:r>
        <w:rPr>
          <w:spacing w:val="-8"/>
        </w:rPr>
        <w:t xml:space="preserve"> </w:t>
      </w:r>
      <w:r>
        <w:t>important</w:t>
      </w:r>
      <w:r>
        <w:rPr>
          <w:spacing w:val="-7"/>
        </w:rPr>
        <w:t xml:space="preserve"> </w:t>
      </w:r>
      <w:r>
        <w:t>as</w:t>
      </w:r>
      <w:r>
        <w:rPr>
          <w:spacing w:val="-8"/>
        </w:rPr>
        <w:t xml:space="preserve"> </w:t>
      </w:r>
      <w:r>
        <w:t>the</w:t>
      </w:r>
      <w:r>
        <w:rPr>
          <w:spacing w:val="-8"/>
        </w:rPr>
        <w:t xml:space="preserve"> </w:t>
      </w:r>
      <w:r>
        <w:t>parent</w:t>
      </w:r>
      <w:r>
        <w:rPr>
          <w:spacing w:val="-8"/>
        </w:rPr>
        <w:t xml:space="preserve"> </w:t>
      </w:r>
      <w:r>
        <w:t>will</w:t>
      </w:r>
      <w:r>
        <w:rPr>
          <w:spacing w:val="-8"/>
        </w:rPr>
        <w:t xml:space="preserve"> </w:t>
      </w:r>
      <w:r>
        <w:t>know</w:t>
      </w:r>
      <w:r>
        <w:rPr>
          <w:spacing w:val="-7"/>
        </w:rPr>
        <w:t xml:space="preserve"> </w:t>
      </w:r>
      <w:r>
        <w:t>how</w:t>
      </w:r>
      <w:r>
        <w:rPr>
          <w:spacing w:val="-7"/>
        </w:rPr>
        <w:t xml:space="preserve"> </w:t>
      </w:r>
      <w:r>
        <w:t>best</w:t>
      </w:r>
      <w:r>
        <w:rPr>
          <w:spacing w:val="-10"/>
        </w:rPr>
        <w:t xml:space="preserve"> </w:t>
      </w:r>
      <w:r>
        <w:t>to</w:t>
      </w:r>
      <w:r>
        <w:rPr>
          <w:spacing w:val="-6"/>
        </w:rPr>
        <w:t xml:space="preserve"> </w:t>
      </w:r>
      <w:r>
        <w:t>support</w:t>
      </w:r>
      <w:r>
        <w:rPr>
          <w:spacing w:val="-8"/>
        </w:rPr>
        <w:t xml:space="preserve"> </w:t>
      </w:r>
      <w:r>
        <w:t>their</w:t>
      </w:r>
      <w:r>
        <w:rPr>
          <w:spacing w:val="-9"/>
        </w:rPr>
        <w:t xml:space="preserve"> </w:t>
      </w:r>
      <w:r>
        <w:t>child,</w:t>
      </w:r>
      <w:r>
        <w:rPr>
          <w:spacing w:val="-8"/>
        </w:rPr>
        <w:t xml:space="preserve"> </w:t>
      </w:r>
      <w:r>
        <w:t>additionally</w:t>
      </w:r>
      <w:r>
        <w:rPr>
          <w:spacing w:val="-7"/>
        </w:rPr>
        <w:t xml:space="preserve"> </w:t>
      </w:r>
      <w:r>
        <w:t>practitioners</w:t>
      </w:r>
      <w:r>
        <w:rPr>
          <w:spacing w:val="-8"/>
        </w:rPr>
        <w:t xml:space="preserve"> </w:t>
      </w:r>
      <w:r>
        <w:t>input regarding the child likes or dislikes would also form part of the Individual development plan (Welsh Government, 2018). The informa</w:t>
      </w:r>
      <w:r>
        <w:t>tion provided for an IDP will consist of high quality observations completed by practitioners, Hobart and Frankel, (2004) discuss that observations can support practitioners in identifying the individual child’s preferred type of play in addition to how th</w:t>
      </w:r>
      <w:r>
        <w:t>ey play, whether the child interacts with others, or if they appear to avoid social interactions with others, observations can also support early identification of developmental delay. According to Nice guidelines, (2011) recognition of particular signs an</w:t>
      </w:r>
      <w:r>
        <w:t>d symptoms can support practitioners to identify particular impairments or any delay in social and communication</w:t>
      </w:r>
      <w:r>
        <w:rPr>
          <w:spacing w:val="-8"/>
        </w:rPr>
        <w:t xml:space="preserve"> </w:t>
      </w:r>
      <w:r>
        <w:t>skills.</w:t>
      </w:r>
    </w:p>
    <w:p w:rsidR="00830047" w:rsidRDefault="0036266F">
      <w:pPr>
        <w:pStyle w:val="BodyText"/>
        <w:spacing w:before="161" w:line="360" w:lineRule="auto"/>
        <w:ind w:left="900" w:right="892"/>
        <w:jc w:val="both"/>
      </w:pPr>
      <w:r>
        <w:t>Dawson,</w:t>
      </w:r>
      <w:r>
        <w:rPr>
          <w:spacing w:val="-9"/>
        </w:rPr>
        <w:t xml:space="preserve"> </w:t>
      </w:r>
      <w:r>
        <w:t>(2008),</w:t>
      </w:r>
      <w:r>
        <w:rPr>
          <w:spacing w:val="-9"/>
        </w:rPr>
        <w:t xml:space="preserve"> </w:t>
      </w:r>
      <w:r>
        <w:t>recognises</w:t>
      </w:r>
      <w:r>
        <w:rPr>
          <w:spacing w:val="-10"/>
        </w:rPr>
        <w:t xml:space="preserve"> </w:t>
      </w:r>
      <w:r>
        <w:t>autism</w:t>
      </w:r>
      <w:r>
        <w:rPr>
          <w:spacing w:val="-8"/>
        </w:rPr>
        <w:t xml:space="preserve"> </w:t>
      </w:r>
      <w:r>
        <w:t>as</w:t>
      </w:r>
      <w:r>
        <w:rPr>
          <w:spacing w:val="-9"/>
        </w:rPr>
        <w:t xml:space="preserve"> </w:t>
      </w:r>
      <w:r>
        <w:t>a</w:t>
      </w:r>
      <w:r>
        <w:rPr>
          <w:spacing w:val="-9"/>
        </w:rPr>
        <w:t xml:space="preserve"> </w:t>
      </w:r>
      <w:r>
        <w:t>lifelong</w:t>
      </w:r>
      <w:r>
        <w:rPr>
          <w:spacing w:val="-9"/>
        </w:rPr>
        <w:t xml:space="preserve"> </w:t>
      </w:r>
      <w:r>
        <w:t>disorder,</w:t>
      </w:r>
      <w:r>
        <w:rPr>
          <w:spacing w:val="-9"/>
        </w:rPr>
        <w:t xml:space="preserve"> </w:t>
      </w:r>
      <w:r>
        <w:t>Dawson’s</w:t>
      </w:r>
      <w:r>
        <w:rPr>
          <w:spacing w:val="-9"/>
        </w:rPr>
        <w:t xml:space="preserve"> </w:t>
      </w:r>
      <w:r>
        <w:t>research</w:t>
      </w:r>
      <w:r>
        <w:rPr>
          <w:spacing w:val="-9"/>
        </w:rPr>
        <w:t xml:space="preserve"> </w:t>
      </w:r>
      <w:r>
        <w:t>discusses</w:t>
      </w:r>
      <w:r>
        <w:rPr>
          <w:spacing w:val="-9"/>
        </w:rPr>
        <w:t xml:space="preserve"> </w:t>
      </w:r>
      <w:r>
        <w:t>the</w:t>
      </w:r>
      <w:r>
        <w:rPr>
          <w:spacing w:val="-9"/>
        </w:rPr>
        <w:t xml:space="preserve"> </w:t>
      </w:r>
      <w:r>
        <w:t>importance of early intervention strategies t</w:t>
      </w:r>
      <w:r>
        <w:t>o support children with autism to overcome some of the developmental barriers. Additionally, the Autism society, (2020) state that early intervention is significantly important for the individual child with individualised strategies for the child’s abiliti</w:t>
      </w:r>
      <w:r>
        <w:t>es. Wetherby, et al. (2004) discusses that ongoing research has identified that intervention strategies within</w:t>
      </w:r>
      <w:r>
        <w:rPr>
          <w:spacing w:val="17"/>
        </w:rPr>
        <w:t xml:space="preserve"> </w:t>
      </w:r>
      <w:r>
        <w:t>the</w:t>
      </w:r>
      <w:r>
        <w:rPr>
          <w:spacing w:val="18"/>
        </w:rPr>
        <w:t xml:space="preserve"> </w:t>
      </w:r>
      <w:r>
        <w:t>early</w:t>
      </w:r>
      <w:r>
        <w:rPr>
          <w:spacing w:val="16"/>
        </w:rPr>
        <w:t xml:space="preserve"> </w:t>
      </w:r>
      <w:r>
        <w:t>years</w:t>
      </w:r>
      <w:r>
        <w:rPr>
          <w:spacing w:val="20"/>
        </w:rPr>
        <w:t xml:space="preserve"> </w:t>
      </w:r>
      <w:r>
        <w:t>has</w:t>
      </w:r>
      <w:r>
        <w:rPr>
          <w:spacing w:val="16"/>
        </w:rPr>
        <w:t xml:space="preserve"> </w:t>
      </w:r>
      <w:r>
        <w:t>a</w:t>
      </w:r>
      <w:r>
        <w:rPr>
          <w:spacing w:val="18"/>
        </w:rPr>
        <w:t xml:space="preserve"> </w:t>
      </w:r>
      <w:r>
        <w:t>greater</w:t>
      </w:r>
      <w:r>
        <w:rPr>
          <w:spacing w:val="18"/>
        </w:rPr>
        <w:t xml:space="preserve"> </w:t>
      </w:r>
      <w:r>
        <w:t>impact</w:t>
      </w:r>
      <w:r>
        <w:rPr>
          <w:spacing w:val="20"/>
        </w:rPr>
        <w:t xml:space="preserve"> </w:t>
      </w:r>
      <w:r>
        <w:t>in</w:t>
      </w:r>
      <w:r>
        <w:rPr>
          <w:spacing w:val="17"/>
        </w:rPr>
        <w:t xml:space="preserve"> </w:t>
      </w:r>
      <w:r>
        <w:t>comparison</w:t>
      </w:r>
      <w:r>
        <w:rPr>
          <w:spacing w:val="17"/>
        </w:rPr>
        <w:t xml:space="preserve"> </w:t>
      </w:r>
      <w:r>
        <w:t>to</w:t>
      </w:r>
      <w:r>
        <w:rPr>
          <w:spacing w:val="20"/>
        </w:rPr>
        <w:t xml:space="preserve"> </w:t>
      </w:r>
      <w:r>
        <w:t>these</w:t>
      </w:r>
      <w:r>
        <w:rPr>
          <w:spacing w:val="20"/>
        </w:rPr>
        <w:t xml:space="preserve"> </w:t>
      </w:r>
      <w:r>
        <w:t>identified</w:t>
      </w:r>
      <w:r>
        <w:rPr>
          <w:spacing w:val="18"/>
        </w:rPr>
        <w:t xml:space="preserve"> </w:t>
      </w:r>
      <w:r>
        <w:t>after</w:t>
      </w:r>
      <w:r>
        <w:rPr>
          <w:spacing w:val="20"/>
        </w:rPr>
        <w:t xml:space="preserve"> </w:t>
      </w:r>
      <w:r>
        <w:t>the</w:t>
      </w:r>
      <w:r>
        <w:rPr>
          <w:spacing w:val="18"/>
        </w:rPr>
        <w:t xml:space="preserve"> </w:t>
      </w:r>
      <w:r>
        <w:t>age</w:t>
      </w:r>
      <w:r>
        <w:rPr>
          <w:spacing w:val="16"/>
        </w:rPr>
        <w:t xml:space="preserve"> </w:t>
      </w:r>
      <w:r>
        <w:t>of</w:t>
      </w:r>
      <w:r>
        <w:rPr>
          <w:spacing w:val="18"/>
        </w:rPr>
        <w:t xml:space="preserve"> </w:t>
      </w:r>
      <w:r>
        <w:t>five.</w:t>
      </w:r>
    </w:p>
    <w:p w:rsidR="00830047" w:rsidRDefault="00830047">
      <w:pPr>
        <w:spacing w:line="360" w:lineRule="auto"/>
        <w:jc w:val="both"/>
        <w:sectPr w:rsidR="00830047">
          <w:headerReference w:type="default" r:id="rId6"/>
          <w:footerReference w:type="default" r:id="rId7"/>
          <w:type w:val="continuous"/>
          <w:pgSz w:w="11910" w:h="16840"/>
          <w:pgMar w:top="960" w:right="540" w:bottom="1200" w:left="540" w:header="749" w:footer="1003" w:gutter="0"/>
          <w:pgNumType w:start="1"/>
          <w:cols w:space="720"/>
        </w:sectPr>
      </w:pPr>
    </w:p>
    <w:p w:rsidR="00830047" w:rsidRDefault="00830047">
      <w:pPr>
        <w:pStyle w:val="BodyText"/>
        <w:rPr>
          <w:sz w:val="20"/>
        </w:rPr>
      </w:pPr>
    </w:p>
    <w:p w:rsidR="00830047" w:rsidRDefault="00830047">
      <w:pPr>
        <w:pStyle w:val="BodyText"/>
        <w:spacing w:before="3"/>
        <w:rPr>
          <w:sz w:val="18"/>
        </w:rPr>
      </w:pPr>
    </w:p>
    <w:p w:rsidR="00830047" w:rsidRDefault="0036266F">
      <w:pPr>
        <w:pStyle w:val="BodyText"/>
        <w:spacing w:line="360" w:lineRule="auto"/>
        <w:ind w:left="900" w:right="890"/>
        <w:jc w:val="both"/>
      </w:pPr>
      <w:r>
        <w:t>However, there appear to be many forms of autism, Welsh Government, (2019) claim that one in a one hundred people are autistic, additionally there are many intervention strategies but not all strategies are one size fits all, according to Brock, et al. (20</w:t>
      </w:r>
      <w:r>
        <w:t>15), a child with autism can be severely disabled</w:t>
      </w:r>
      <w:r>
        <w:rPr>
          <w:spacing w:val="-9"/>
        </w:rPr>
        <w:t xml:space="preserve"> </w:t>
      </w:r>
      <w:r>
        <w:t>with</w:t>
      </w:r>
      <w:r>
        <w:rPr>
          <w:spacing w:val="-8"/>
        </w:rPr>
        <w:t xml:space="preserve"> </w:t>
      </w:r>
      <w:r>
        <w:t>significant</w:t>
      </w:r>
      <w:r>
        <w:rPr>
          <w:spacing w:val="-7"/>
        </w:rPr>
        <w:t xml:space="preserve"> </w:t>
      </w:r>
      <w:r>
        <w:t>communication</w:t>
      </w:r>
      <w:r>
        <w:rPr>
          <w:spacing w:val="-9"/>
        </w:rPr>
        <w:t xml:space="preserve"> </w:t>
      </w:r>
      <w:r>
        <w:t>difficulties,</w:t>
      </w:r>
      <w:r>
        <w:rPr>
          <w:spacing w:val="-7"/>
        </w:rPr>
        <w:t xml:space="preserve"> </w:t>
      </w:r>
      <w:r>
        <w:t>additionally</w:t>
      </w:r>
      <w:r>
        <w:rPr>
          <w:spacing w:val="-7"/>
        </w:rPr>
        <w:t xml:space="preserve"> </w:t>
      </w:r>
      <w:r>
        <w:t>another</w:t>
      </w:r>
      <w:r>
        <w:rPr>
          <w:spacing w:val="-8"/>
        </w:rPr>
        <w:t xml:space="preserve"> </w:t>
      </w:r>
      <w:r>
        <w:t>child</w:t>
      </w:r>
      <w:r>
        <w:rPr>
          <w:spacing w:val="-9"/>
        </w:rPr>
        <w:t xml:space="preserve"> </w:t>
      </w:r>
      <w:r>
        <w:t>with</w:t>
      </w:r>
      <w:r>
        <w:rPr>
          <w:spacing w:val="-8"/>
        </w:rPr>
        <w:t xml:space="preserve"> </w:t>
      </w:r>
      <w:r>
        <w:t>autism</w:t>
      </w:r>
      <w:r>
        <w:rPr>
          <w:spacing w:val="-7"/>
        </w:rPr>
        <w:t xml:space="preserve"> </w:t>
      </w:r>
      <w:r>
        <w:t>could</w:t>
      </w:r>
      <w:r>
        <w:rPr>
          <w:spacing w:val="-9"/>
        </w:rPr>
        <w:t xml:space="preserve"> </w:t>
      </w:r>
      <w:r>
        <w:t>have mild</w:t>
      </w:r>
      <w:r>
        <w:rPr>
          <w:spacing w:val="-8"/>
        </w:rPr>
        <w:t xml:space="preserve"> </w:t>
      </w:r>
      <w:r>
        <w:t>symptoms</w:t>
      </w:r>
      <w:r>
        <w:rPr>
          <w:spacing w:val="-9"/>
        </w:rPr>
        <w:t xml:space="preserve"> </w:t>
      </w:r>
      <w:r>
        <w:t>with</w:t>
      </w:r>
      <w:r>
        <w:rPr>
          <w:spacing w:val="-9"/>
        </w:rPr>
        <w:t xml:space="preserve"> </w:t>
      </w:r>
      <w:r>
        <w:t>excellent</w:t>
      </w:r>
      <w:r>
        <w:rPr>
          <w:spacing w:val="-7"/>
        </w:rPr>
        <w:t xml:space="preserve"> </w:t>
      </w:r>
      <w:r>
        <w:t>communication</w:t>
      </w:r>
      <w:r>
        <w:rPr>
          <w:spacing w:val="-9"/>
        </w:rPr>
        <w:t xml:space="preserve"> </w:t>
      </w:r>
      <w:r>
        <w:t>skills.</w:t>
      </w:r>
      <w:r>
        <w:rPr>
          <w:spacing w:val="-8"/>
        </w:rPr>
        <w:t xml:space="preserve"> </w:t>
      </w:r>
      <w:r>
        <w:t>Notably</w:t>
      </w:r>
      <w:r>
        <w:rPr>
          <w:spacing w:val="-8"/>
        </w:rPr>
        <w:t xml:space="preserve"> </w:t>
      </w:r>
      <w:r>
        <w:t>any</w:t>
      </w:r>
      <w:r>
        <w:rPr>
          <w:spacing w:val="-7"/>
        </w:rPr>
        <w:t xml:space="preserve"> </w:t>
      </w:r>
      <w:r>
        <w:t>delay</w:t>
      </w:r>
      <w:r>
        <w:rPr>
          <w:spacing w:val="-8"/>
        </w:rPr>
        <w:t xml:space="preserve"> </w:t>
      </w:r>
      <w:r>
        <w:t>in</w:t>
      </w:r>
      <w:r>
        <w:rPr>
          <w:spacing w:val="-8"/>
        </w:rPr>
        <w:t xml:space="preserve"> </w:t>
      </w:r>
      <w:r>
        <w:t>communication</w:t>
      </w:r>
      <w:r>
        <w:rPr>
          <w:spacing w:val="-8"/>
        </w:rPr>
        <w:t xml:space="preserve"> </w:t>
      </w:r>
      <w:r>
        <w:t>skills</w:t>
      </w:r>
      <w:r>
        <w:rPr>
          <w:spacing w:val="-8"/>
        </w:rPr>
        <w:t xml:space="preserve"> </w:t>
      </w:r>
      <w:r>
        <w:t>should be addressed by an appropriate referral to speech and language support, however if a child has digressed in their speech and social skills, particularly under the age of three then a referral to the neurodevelopmental team should be actioned (NICE,</w:t>
      </w:r>
      <w:r>
        <w:rPr>
          <w:spacing w:val="-10"/>
        </w:rPr>
        <w:t xml:space="preserve"> </w:t>
      </w:r>
      <w:r>
        <w:t>2011a).</w:t>
      </w:r>
    </w:p>
    <w:p w:rsidR="00830047" w:rsidRDefault="0036266F">
      <w:pPr>
        <w:pStyle w:val="BodyText"/>
        <w:spacing w:before="160" w:line="360" w:lineRule="auto"/>
        <w:ind w:left="900" w:right="892"/>
        <w:jc w:val="both"/>
      </w:pPr>
      <w:r>
        <w:t>The signs and symptoms of autism are not always recognised by practitioners or parents, this is due to the diversity of this disorder, including the different variations, examples of these include, autistic disorder, Asperger, and or pathological d</w:t>
      </w:r>
      <w:r>
        <w:t>emand avoidance (PDA). However, Yates and Le Couteur, (2009) discuss that evidence has shown that awareness of autism has increased due to the provision of early years parenting programmes. Considering the variety of these disorders, understandably symptom</w:t>
      </w:r>
      <w:r>
        <w:t>s can be missed, however this is of detriment to the child, having a direct impact on the individual child’s development and social skills (Yingling, 2019). Moreover, aim 2 of the seven core aims</w:t>
      </w:r>
      <w:r>
        <w:rPr>
          <w:spacing w:val="-5"/>
        </w:rPr>
        <w:t xml:space="preserve"> </w:t>
      </w:r>
      <w:r>
        <w:t>require</w:t>
      </w:r>
      <w:r>
        <w:rPr>
          <w:spacing w:val="-6"/>
        </w:rPr>
        <w:t xml:space="preserve"> </w:t>
      </w:r>
      <w:r>
        <w:t>children</w:t>
      </w:r>
      <w:r>
        <w:rPr>
          <w:spacing w:val="-6"/>
        </w:rPr>
        <w:t xml:space="preserve"> </w:t>
      </w:r>
      <w:r>
        <w:t>to</w:t>
      </w:r>
      <w:r>
        <w:rPr>
          <w:spacing w:val="-2"/>
        </w:rPr>
        <w:t xml:space="preserve"> </w:t>
      </w:r>
      <w:r>
        <w:t>have</w:t>
      </w:r>
      <w:r>
        <w:rPr>
          <w:spacing w:val="-5"/>
        </w:rPr>
        <w:t xml:space="preserve"> </w:t>
      </w:r>
      <w:r>
        <w:t>access</w:t>
      </w:r>
      <w:r>
        <w:rPr>
          <w:spacing w:val="-5"/>
        </w:rPr>
        <w:t xml:space="preserve"> </w:t>
      </w:r>
      <w:r>
        <w:t>to</w:t>
      </w:r>
      <w:r>
        <w:rPr>
          <w:spacing w:val="-5"/>
        </w:rPr>
        <w:t xml:space="preserve"> </w:t>
      </w:r>
      <w:r>
        <w:t>education</w:t>
      </w:r>
      <w:r>
        <w:rPr>
          <w:spacing w:val="-4"/>
        </w:rPr>
        <w:t xml:space="preserve"> </w:t>
      </w:r>
      <w:r>
        <w:t>learning</w:t>
      </w:r>
      <w:r>
        <w:rPr>
          <w:spacing w:val="-4"/>
        </w:rPr>
        <w:t xml:space="preserve"> </w:t>
      </w:r>
      <w:r>
        <w:t>and</w:t>
      </w:r>
      <w:r>
        <w:rPr>
          <w:spacing w:val="-4"/>
        </w:rPr>
        <w:t xml:space="preserve"> </w:t>
      </w:r>
      <w:r>
        <w:t>op</w:t>
      </w:r>
      <w:r>
        <w:t>portunities,</w:t>
      </w:r>
      <w:r>
        <w:rPr>
          <w:spacing w:val="-5"/>
        </w:rPr>
        <w:t xml:space="preserve"> </w:t>
      </w:r>
      <w:r>
        <w:t>the</w:t>
      </w:r>
      <w:r>
        <w:rPr>
          <w:spacing w:val="-6"/>
        </w:rPr>
        <w:t xml:space="preserve"> </w:t>
      </w:r>
      <w:r>
        <w:t>seven</w:t>
      </w:r>
      <w:r>
        <w:rPr>
          <w:spacing w:val="-6"/>
        </w:rPr>
        <w:t xml:space="preserve"> </w:t>
      </w:r>
      <w:r>
        <w:t>core</w:t>
      </w:r>
      <w:r>
        <w:rPr>
          <w:spacing w:val="-5"/>
        </w:rPr>
        <w:t xml:space="preserve"> </w:t>
      </w:r>
      <w:r>
        <w:t>aims</w:t>
      </w:r>
      <w:r>
        <w:rPr>
          <w:spacing w:val="-6"/>
        </w:rPr>
        <w:t xml:space="preserve"> </w:t>
      </w:r>
      <w:r>
        <w:t>are exclusive to all children, incorporating Articles 23, 28, 29 and 32 of the rights of the child (Welsh Government, 2016: Welsh Government</w:t>
      </w:r>
      <w:r>
        <w:rPr>
          <w:spacing w:val="-9"/>
        </w:rPr>
        <w:t xml:space="preserve"> </w:t>
      </w:r>
      <w:r>
        <w:t>2015).</w:t>
      </w:r>
    </w:p>
    <w:p w:rsidR="00830047" w:rsidRDefault="0036266F">
      <w:pPr>
        <w:pStyle w:val="BodyText"/>
        <w:spacing w:before="163" w:line="360" w:lineRule="auto"/>
        <w:ind w:left="900" w:right="893"/>
        <w:jc w:val="both"/>
      </w:pPr>
      <w:r>
        <w:t>Early Years practitioner’s knowledge of atypical child development is recog</w:t>
      </w:r>
      <w:r>
        <w:t>nised as an important aspect of their role, (Harvard University, 2021) however knowledge of Additional Learning Needs, specifically autism has not been recognised within higher education in regards to this role, similarly, (McLeod</w:t>
      </w:r>
      <w:r>
        <w:rPr>
          <w:spacing w:val="-12"/>
        </w:rPr>
        <w:t xml:space="preserve"> </w:t>
      </w:r>
      <w:r>
        <w:t>and</w:t>
      </w:r>
      <w:r>
        <w:rPr>
          <w:spacing w:val="-15"/>
        </w:rPr>
        <w:t xml:space="preserve"> </w:t>
      </w:r>
      <w:r>
        <w:t>Perepa,</w:t>
      </w:r>
      <w:r>
        <w:rPr>
          <w:spacing w:val="-14"/>
        </w:rPr>
        <w:t xml:space="preserve"> </w:t>
      </w:r>
      <w:r>
        <w:t>2020)</w:t>
      </w:r>
      <w:r>
        <w:rPr>
          <w:spacing w:val="-14"/>
        </w:rPr>
        <w:t xml:space="preserve"> </w:t>
      </w:r>
      <w:r>
        <w:t>discuss</w:t>
      </w:r>
      <w:r>
        <w:rPr>
          <w:spacing w:val="-14"/>
        </w:rPr>
        <w:t xml:space="preserve"> </w:t>
      </w:r>
      <w:r>
        <w:t>that</w:t>
      </w:r>
      <w:r>
        <w:rPr>
          <w:spacing w:val="-14"/>
        </w:rPr>
        <w:t xml:space="preserve"> </w:t>
      </w:r>
      <w:r>
        <w:t>even</w:t>
      </w:r>
      <w:r>
        <w:rPr>
          <w:spacing w:val="-11"/>
        </w:rPr>
        <w:t xml:space="preserve"> </w:t>
      </w:r>
      <w:r>
        <w:t>though</w:t>
      </w:r>
      <w:r>
        <w:rPr>
          <w:spacing w:val="-12"/>
        </w:rPr>
        <w:t xml:space="preserve"> </w:t>
      </w:r>
      <w:r>
        <w:t>there</w:t>
      </w:r>
      <w:r>
        <w:rPr>
          <w:spacing w:val="-11"/>
        </w:rPr>
        <w:t xml:space="preserve"> </w:t>
      </w:r>
      <w:r>
        <w:t>are</w:t>
      </w:r>
      <w:r>
        <w:rPr>
          <w:spacing w:val="-11"/>
        </w:rPr>
        <w:t xml:space="preserve"> </w:t>
      </w:r>
      <w:r>
        <w:t>significant</w:t>
      </w:r>
      <w:r>
        <w:rPr>
          <w:spacing w:val="-16"/>
        </w:rPr>
        <w:t xml:space="preserve"> </w:t>
      </w:r>
      <w:r>
        <w:t>markers</w:t>
      </w:r>
      <w:r>
        <w:rPr>
          <w:spacing w:val="-11"/>
        </w:rPr>
        <w:t xml:space="preserve"> </w:t>
      </w:r>
      <w:r>
        <w:t>available</w:t>
      </w:r>
      <w:r>
        <w:rPr>
          <w:spacing w:val="-11"/>
        </w:rPr>
        <w:t xml:space="preserve"> </w:t>
      </w:r>
      <w:r>
        <w:t>to</w:t>
      </w:r>
      <w:r>
        <w:rPr>
          <w:spacing w:val="-13"/>
        </w:rPr>
        <w:t xml:space="preserve"> </w:t>
      </w:r>
      <w:r>
        <w:t>identify autism, for example Robins, et al. (2001) Modified Checklist of Autism in Toddlers, MCHAT scale, this tool is generally used by Health visiting practitioners at a child’s 27 month development assessment, (Welsh Government, 2017). Both tools suppor</w:t>
      </w:r>
      <w:r>
        <w:t>t the early identification of Autism alongside the NICE, (2011) signs and symptoms</w:t>
      </w:r>
      <w:r>
        <w:rPr>
          <w:spacing w:val="-5"/>
        </w:rPr>
        <w:t xml:space="preserve"> </w:t>
      </w:r>
      <w:r>
        <w:t>checklist.</w:t>
      </w:r>
    </w:p>
    <w:p w:rsidR="00830047" w:rsidRDefault="0036266F">
      <w:pPr>
        <w:pStyle w:val="BodyText"/>
        <w:spacing w:before="159" w:line="360" w:lineRule="auto"/>
        <w:ind w:left="900" w:right="890"/>
        <w:jc w:val="both"/>
      </w:pPr>
      <w:r>
        <w:t>Practitioner’s knowledge of child development is essential for their role as childcare practitioners, however</w:t>
      </w:r>
      <w:r>
        <w:rPr>
          <w:spacing w:val="-12"/>
        </w:rPr>
        <w:t xml:space="preserve"> </w:t>
      </w:r>
      <w:r>
        <w:t>training</w:t>
      </w:r>
      <w:r>
        <w:rPr>
          <w:spacing w:val="-11"/>
        </w:rPr>
        <w:t xml:space="preserve"> </w:t>
      </w:r>
      <w:r>
        <w:t>is</w:t>
      </w:r>
      <w:r>
        <w:rPr>
          <w:spacing w:val="-11"/>
        </w:rPr>
        <w:t xml:space="preserve"> </w:t>
      </w:r>
      <w:r>
        <w:t>limited.</w:t>
      </w:r>
      <w:r>
        <w:rPr>
          <w:spacing w:val="-11"/>
        </w:rPr>
        <w:t xml:space="preserve"> </w:t>
      </w:r>
      <w:r>
        <w:t>Currently</w:t>
      </w:r>
      <w:r>
        <w:rPr>
          <w:spacing w:val="-10"/>
        </w:rPr>
        <w:t xml:space="preserve"> </w:t>
      </w:r>
      <w:r>
        <w:t>the</w:t>
      </w:r>
      <w:r>
        <w:rPr>
          <w:spacing w:val="-10"/>
        </w:rPr>
        <w:t xml:space="preserve"> </w:t>
      </w:r>
      <w:r>
        <w:t>ALNET,</w:t>
      </w:r>
      <w:r>
        <w:rPr>
          <w:spacing w:val="-10"/>
        </w:rPr>
        <w:t xml:space="preserve"> </w:t>
      </w:r>
      <w:r>
        <w:t>bill</w:t>
      </w:r>
      <w:r>
        <w:rPr>
          <w:spacing w:val="-11"/>
        </w:rPr>
        <w:t xml:space="preserve"> </w:t>
      </w:r>
      <w:r>
        <w:t>(Welsh</w:t>
      </w:r>
      <w:r>
        <w:rPr>
          <w:spacing w:val="-11"/>
        </w:rPr>
        <w:t xml:space="preserve"> </w:t>
      </w:r>
      <w:r>
        <w:t>Government,</w:t>
      </w:r>
      <w:r>
        <w:rPr>
          <w:spacing w:val="-11"/>
        </w:rPr>
        <w:t xml:space="preserve"> </w:t>
      </w:r>
      <w:r>
        <w:t>2018)</w:t>
      </w:r>
      <w:r>
        <w:rPr>
          <w:spacing w:val="-13"/>
        </w:rPr>
        <w:t xml:space="preserve"> </w:t>
      </w:r>
      <w:r>
        <w:t>holds</w:t>
      </w:r>
      <w:r>
        <w:rPr>
          <w:spacing w:val="-10"/>
        </w:rPr>
        <w:t xml:space="preserve"> </w:t>
      </w:r>
      <w:r>
        <w:t>great</w:t>
      </w:r>
      <w:r>
        <w:rPr>
          <w:spacing w:val="-10"/>
        </w:rPr>
        <w:t xml:space="preserve"> </w:t>
      </w:r>
      <w:r>
        <w:t>hope</w:t>
      </w:r>
      <w:r>
        <w:rPr>
          <w:spacing w:val="-10"/>
        </w:rPr>
        <w:t xml:space="preserve"> </w:t>
      </w:r>
      <w:r>
        <w:t>with the information it provides practitioners from all aspects of early years childcare, moreover it identifies</w:t>
      </w:r>
      <w:r>
        <w:rPr>
          <w:spacing w:val="-11"/>
        </w:rPr>
        <w:t xml:space="preserve"> </w:t>
      </w:r>
      <w:r>
        <w:t>that</w:t>
      </w:r>
      <w:r>
        <w:rPr>
          <w:spacing w:val="-13"/>
        </w:rPr>
        <w:t xml:space="preserve"> </w:t>
      </w:r>
      <w:r>
        <w:t>awareness</w:t>
      </w:r>
      <w:r>
        <w:rPr>
          <w:spacing w:val="-11"/>
        </w:rPr>
        <w:t xml:space="preserve"> </w:t>
      </w:r>
      <w:r>
        <w:t>training</w:t>
      </w:r>
      <w:r>
        <w:rPr>
          <w:spacing w:val="-11"/>
        </w:rPr>
        <w:t xml:space="preserve"> </w:t>
      </w:r>
      <w:r>
        <w:t>to</w:t>
      </w:r>
      <w:r>
        <w:rPr>
          <w:spacing w:val="-10"/>
        </w:rPr>
        <w:t xml:space="preserve"> </w:t>
      </w:r>
      <w:r>
        <w:t>support</w:t>
      </w:r>
      <w:r>
        <w:rPr>
          <w:spacing w:val="-11"/>
        </w:rPr>
        <w:t xml:space="preserve"> </w:t>
      </w:r>
      <w:r>
        <w:t>practitioners</w:t>
      </w:r>
      <w:r>
        <w:rPr>
          <w:spacing w:val="-11"/>
        </w:rPr>
        <w:t xml:space="preserve"> </w:t>
      </w:r>
      <w:r>
        <w:t>have</w:t>
      </w:r>
      <w:r>
        <w:rPr>
          <w:spacing w:val="-11"/>
        </w:rPr>
        <w:t xml:space="preserve"> </w:t>
      </w:r>
      <w:r>
        <w:t>a</w:t>
      </w:r>
      <w:r>
        <w:rPr>
          <w:spacing w:val="-11"/>
        </w:rPr>
        <w:t xml:space="preserve"> </w:t>
      </w:r>
      <w:r>
        <w:t>better</w:t>
      </w:r>
      <w:r>
        <w:rPr>
          <w:spacing w:val="-11"/>
        </w:rPr>
        <w:t xml:space="preserve"> </w:t>
      </w:r>
      <w:r>
        <w:t>understanding</w:t>
      </w:r>
      <w:r>
        <w:rPr>
          <w:spacing w:val="-11"/>
        </w:rPr>
        <w:t xml:space="preserve"> </w:t>
      </w:r>
      <w:r>
        <w:t>of</w:t>
      </w:r>
      <w:r>
        <w:rPr>
          <w:spacing w:val="-11"/>
        </w:rPr>
        <w:t xml:space="preserve"> </w:t>
      </w:r>
      <w:r>
        <w:t>what</w:t>
      </w:r>
      <w:r>
        <w:rPr>
          <w:spacing w:val="-11"/>
        </w:rPr>
        <w:t xml:space="preserve"> </w:t>
      </w:r>
      <w:r>
        <w:t>should happen wi</w:t>
      </w:r>
      <w:r>
        <w:t>th the implementation of the Act. Manikiza, (2015) alongside ASD info Wales, provides a document</w:t>
      </w:r>
      <w:r>
        <w:rPr>
          <w:spacing w:val="-12"/>
        </w:rPr>
        <w:t xml:space="preserve"> </w:t>
      </w:r>
      <w:r>
        <w:t>that</w:t>
      </w:r>
      <w:r>
        <w:rPr>
          <w:spacing w:val="-13"/>
        </w:rPr>
        <w:t xml:space="preserve"> </w:t>
      </w:r>
      <w:r>
        <w:t>practitioners</w:t>
      </w:r>
      <w:r>
        <w:rPr>
          <w:spacing w:val="-13"/>
        </w:rPr>
        <w:t xml:space="preserve"> </w:t>
      </w:r>
      <w:r>
        <w:t>can</w:t>
      </w:r>
      <w:r>
        <w:rPr>
          <w:spacing w:val="-13"/>
        </w:rPr>
        <w:t xml:space="preserve"> </w:t>
      </w:r>
      <w:r>
        <w:t>use</w:t>
      </w:r>
      <w:r>
        <w:rPr>
          <w:spacing w:val="-12"/>
        </w:rPr>
        <w:t xml:space="preserve"> </w:t>
      </w:r>
      <w:r>
        <w:t>as</w:t>
      </w:r>
      <w:r>
        <w:rPr>
          <w:spacing w:val="-13"/>
        </w:rPr>
        <w:t xml:space="preserve"> </w:t>
      </w:r>
      <w:r>
        <w:t>guidance</w:t>
      </w:r>
      <w:r>
        <w:rPr>
          <w:spacing w:val="-12"/>
        </w:rPr>
        <w:t xml:space="preserve"> </w:t>
      </w:r>
      <w:r>
        <w:t>to</w:t>
      </w:r>
      <w:r>
        <w:rPr>
          <w:spacing w:val="-11"/>
        </w:rPr>
        <w:t xml:space="preserve"> </w:t>
      </w:r>
      <w:r>
        <w:t>support</w:t>
      </w:r>
      <w:r>
        <w:rPr>
          <w:spacing w:val="-12"/>
        </w:rPr>
        <w:t xml:space="preserve"> </w:t>
      </w:r>
      <w:r>
        <w:t>settings</w:t>
      </w:r>
      <w:r>
        <w:rPr>
          <w:spacing w:val="-13"/>
        </w:rPr>
        <w:t xml:space="preserve"> </w:t>
      </w:r>
      <w:r>
        <w:t>become</w:t>
      </w:r>
      <w:r>
        <w:rPr>
          <w:spacing w:val="-12"/>
        </w:rPr>
        <w:t xml:space="preserve"> </w:t>
      </w:r>
      <w:r>
        <w:t>autism</w:t>
      </w:r>
      <w:r>
        <w:rPr>
          <w:spacing w:val="-12"/>
        </w:rPr>
        <w:t xml:space="preserve"> </w:t>
      </w:r>
      <w:r>
        <w:t>aware,</w:t>
      </w:r>
      <w:r>
        <w:rPr>
          <w:spacing w:val="-12"/>
        </w:rPr>
        <w:t xml:space="preserve"> </w:t>
      </w:r>
      <w:r>
        <w:t>in</w:t>
      </w:r>
      <w:r>
        <w:rPr>
          <w:spacing w:val="-14"/>
        </w:rPr>
        <w:t xml:space="preserve"> </w:t>
      </w:r>
      <w:r>
        <w:t>addition to this, settings can become autism friendly on completion of the autism friendly</w:t>
      </w:r>
      <w:r>
        <w:rPr>
          <w:spacing w:val="-16"/>
        </w:rPr>
        <w:t xml:space="preserve"> </w:t>
      </w:r>
      <w:r>
        <w:t>award.</w:t>
      </w:r>
    </w:p>
    <w:p w:rsidR="00830047" w:rsidRDefault="00830047">
      <w:pPr>
        <w:spacing w:line="360" w:lineRule="auto"/>
        <w:jc w:val="both"/>
        <w:sectPr w:rsidR="00830047">
          <w:pgSz w:w="11910" w:h="16840"/>
          <w:pgMar w:top="960" w:right="540" w:bottom="1200" w:left="540" w:header="749" w:footer="1003" w:gutter="0"/>
          <w:cols w:space="720"/>
        </w:sectPr>
      </w:pPr>
    </w:p>
    <w:p w:rsidR="00830047" w:rsidRDefault="00830047">
      <w:pPr>
        <w:pStyle w:val="BodyText"/>
        <w:rPr>
          <w:sz w:val="20"/>
        </w:rPr>
      </w:pPr>
    </w:p>
    <w:p w:rsidR="00830047" w:rsidRDefault="00830047">
      <w:pPr>
        <w:pStyle w:val="BodyText"/>
        <w:spacing w:before="3"/>
        <w:rPr>
          <w:sz w:val="18"/>
        </w:rPr>
      </w:pPr>
    </w:p>
    <w:p w:rsidR="00830047" w:rsidRDefault="0036266F">
      <w:pPr>
        <w:pStyle w:val="BodyText"/>
        <w:spacing w:line="360" w:lineRule="auto"/>
        <w:ind w:left="900" w:right="893"/>
        <w:jc w:val="both"/>
      </w:pPr>
      <w:r>
        <w:t>Autism</w:t>
      </w:r>
      <w:r>
        <w:rPr>
          <w:spacing w:val="-5"/>
        </w:rPr>
        <w:t xml:space="preserve"> </w:t>
      </w:r>
      <w:r>
        <w:t>has</w:t>
      </w:r>
      <w:r>
        <w:rPr>
          <w:spacing w:val="-7"/>
        </w:rPr>
        <w:t xml:space="preserve"> </w:t>
      </w:r>
      <w:r>
        <w:t>no</w:t>
      </w:r>
      <w:r>
        <w:rPr>
          <w:spacing w:val="-6"/>
        </w:rPr>
        <w:t xml:space="preserve"> </w:t>
      </w:r>
      <w:r>
        <w:t>preference</w:t>
      </w:r>
      <w:r>
        <w:rPr>
          <w:spacing w:val="-8"/>
        </w:rPr>
        <w:t xml:space="preserve"> </w:t>
      </w:r>
      <w:r>
        <w:t>to</w:t>
      </w:r>
      <w:r>
        <w:rPr>
          <w:spacing w:val="-6"/>
        </w:rPr>
        <w:t xml:space="preserve"> </w:t>
      </w:r>
      <w:r>
        <w:t>gender</w:t>
      </w:r>
      <w:r>
        <w:rPr>
          <w:spacing w:val="-8"/>
        </w:rPr>
        <w:t xml:space="preserve"> </w:t>
      </w:r>
      <w:r>
        <w:t>or</w:t>
      </w:r>
      <w:r>
        <w:rPr>
          <w:spacing w:val="-7"/>
        </w:rPr>
        <w:t xml:space="preserve"> </w:t>
      </w:r>
      <w:r>
        <w:t>ethnicity,</w:t>
      </w:r>
      <w:r>
        <w:rPr>
          <w:spacing w:val="-8"/>
        </w:rPr>
        <w:t xml:space="preserve"> </w:t>
      </w:r>
      <w:r>
        <w:t>Dr</w:t>
      </w:r>
      <w:r>
        <w:rPr>
          <w:spacing w:val="-7"/>
        </w:rPr>
        <w:t xml:space="preserve"> </w:t>
      </w:r>
      <w:r>
        <w:t>Chris</w:t>
      </w:r>
      <w:r>
        <w:rPr>
          <w:spacing w:val="-7"/>
        </w:rPr>
        <w:t xml:space="preserve"> </w:t>
      </w:r>
      <w:r>
        <w:t>Papadopoulos,</w:t>
      </w:r>
      <w:r>
        <w:rPr>
          <w:spacing w:val="-6"/>
        </w:rPr>
        <w:t xml:space="preserve"> </w:t>
      </w:r>
      <w:r>
        <w:t>(2016)</w:t>
      </w:r>
      <w:r>
        <w:rPr>
          <w:spacing w:val="-6"/>
        </w:rPr>
        <w:t xml:space="preserve"> </w:t>
      </w:r>
      <w:r>
        <w:t>states</w:t>
      </w:r>
      <w:r>
        <w:rPr>
          <w:spacing w:val="-7"/>
        </w:rPr>
        <w:t xml:space="preserve"> </w:t>
      </w:r>
      <w:r>
        <w:t>that</w:t>
      </w:r>
      <w:r>
        <w:rPr>
          <w:spacing w:val="-8"/>
        </w:rPr>
        <w:t xml:space="preserve"> </w:t>
      </w:r>
      <w:r>
        <w:t>families</w:t>
      </w:r>
      <w:r>
        <w:rPr>
          <w:spacing w:val="-8"/>
        </w:rPr>
        <w:t xml:space="preserve"> </w:t>
      </w:r>
      <w:r>
        <w:t>of different ethnicities face particul</w:t>
      </w:r>
      <w:r>
        <w:t>ar barriers accessing support services. As cited in Ennis-Cole, Durodoye and Harris, (2013), Helms &amp; Cook, (1999)</w:t>
      </w:r>
      <w:r>
        <w:rPr>
          <w:spacing w:val="-7"/>
        </w:rPr>
        <w:t xml:space="preserve"> </w:t>
      </w:r>
      <w:r>
        <w:t>state,</w:t>
      </w:r>
    </w:p>
    <w:p w:rsidR="00830047" w:rsidRDefault="0036266F">
      <w:pPr>
        <w:spacing w:before="160" w:line="360" w:lineRule="auto"/>
        <w:ind w:left="1997" w:right="1262" w:firstLine="14"/>
        <w:rPr>
          <w:i/>
        </w:rPr>
      </w:pPr>
      <w:r>
        <w:t>“</w:t>
      </w:r>
      <w:r>
        <w:rPr>
          <w:i/>
        </w:rPr>
        <w:t>Culture can be defined as the values, beliefs, language, rituals, traditions, and other behaviours that are passed from one generation</w:t>
      </w:r>
      <w:r>
        <w:rPr>
          <w:i/>
        </w:rPr>
        <w:t xml:space="preserve"> to another within any social group”.</w:t>
      </w:r>
    </w:p>
    <w:p w:rsidR="00830047" w:rsidRDefault="0036266F">
      <w:pPr>
        <w:pStyle w:val="BodyText"/>
        <w:spacing w:before="162" w:line="360" w:lineRule="auto"/>
        <w:ind w:left="900" w:right="894" w:firstLine="50"/>
        <w:jc w:val="both"/>
      </w:pPr>
      <w:r>
        <w:t>Therefore, acceptance of autism within other cultures appears to be a barrier in its self. Notably, culture</w:t>
      </w:r>
      <w:r>
        <w:rPr>
          <w:spacing w:val="-13"/>
        </w:rPr>
        <w:t xml:space="preserve"> </w:t>
      </w:r>
      <w:r>
        <w:t>and</w:t>
      </w:r>
      <w:r>
        <w:rPr>
          <w:spacing w:val="-14"/>
        </w:rPr>
        <w:t xml:space="preserve"> </w:t>
      </w:r>
      <w:r>
        <w:t>religion</w:t>
      </w:r>
      <w:r>
        <w:rPr>
          <w:spacing w:val="-14"/>
        </w:rPr>
        <w:t xml:space="preserve"> </w:t>
      </w:r>
      <w:r>
        <w:t>create</w:t>
      </w:r>
      <w:r>
        <w:rPr>
          <w:spacing w:val="-15"/>
        </w:rPr>
        <w:t xml:space="preserve"> </w:t>
      </w:r>
      <w:r>
        <w:t>an</w:t>
      </w:r>
      <w:r>
        <w:rPr>
          <w:spacing w:val="-14"/>
        </w:rPr>
        <w:t xml:space="preserve"> </w:t>
      </w:r>
      <w:r>
        <w:t>identity</w:t>
      </w:r>
      <w:r>
        <w:rPr>
          <w:spacing w:val="-12"/>
        </w:rPr>
        <w:t xml:space="preserve"> </w:t>
      </w:r>
      <w:r>
        <w:t>for</w:t>
      </w:r>
      <w:r>
        <w:rPr>
          <w:spacing w:val="-13"/>
        </w:rPr>
        <w:t xml:space="preserve"> </w:t>
      </w:r>
      <w:r>
        <w:t>an</w:t>
      </w:r>
      <w:r>
        <w:rPr>
          <w:spacing w:val="-14"/>
        </w:rPr>
        <w:t xml:space="preserve"> </w:t>
      </w:r>
      <w:r>
        <w:t>individual,</w:t>
      </w:r>
      <w:r>
        <w:rPr>
          <w:spacing w:val="-13"/>
        </w:rPr>
        <w:t xml:space="preserve"> </w:t>
      </w:r>
      <w:r>
        <w:t>however,</w:t>
      </w:r>
      <w:r>
        <w:rPr>
          <w:spacing w:val="-12"/>
        </w:rPr>
        <w:t xml:space="preserve"> </w:t>
      </w:r>
      <w:r>
        <w:t>cultural</w:t>
      </w:r>
      <w:r>
        <w:rPr>
          <w:spacing w:val="-13"/>
        </w:rPr>
        <w:t xml:space="preserve"> </w:t>
      </w:r>
      <w:r>
        <w:t>differences</w:t>
      </w:r>
      <w:r>
        <w:rPr>
          <w:spacing w:val="-12"/>
        </w:rPr>
        <w:t xml:space="preserve"> </w:t>
      </w:r>
      <w:r>
        <w:t>alongside</w:t>
      </w:r>
      <w:r>
        <w:rPr>
          <w:spacing w:val="-13"/>
        </w:rPr>
        <w:t xml:space="preserve"> </w:t>
      </w:r>
      <w:r>
        <w:t>mental ill-health o</w:t>
      </w:r>
      <w:r>
        <w:t>r autism in children creates a stigma for the child for life (Ennis-Cole, Durodoye and Harris, (2013;</w:t>
      </w:r>
      <w:r>
        <w:rPr>
          <w:spacing w:val="-8"/>
        </w:rPr>
        <w:t xml:space="preserve"> </w:t>
      </w:r>
      <w:r>
        <w:t>Papadopoulos,</w:t>
      </w:r>
      <w:r>
        <w:rPr>
          <w:spacing w:val="-9"/>
        </w:rPr>
        <w:t xml:space="preserve"> </w:t>
      </w:r>
      <w:r>
        <w:t>2016).</w:t>
      </w:r>
      <w:r>
        <w:rPr>
          <w:spacing w:val="35"/>
        </w:rPr>
        <w:t xml:space="preserve"> </w:t>
      </w:r>
      <w:r>
        <w:t>Furthermore,</w:t>
      </w:r>
      <w:r>
        <w:rPr>
          <w:spacing w:val="-9"/>
        </w:rPr>
        <w:t xml:space="preserve"> </w:t>
      </w:r>
      <w:r>
        <w:t>Social</w:t>
      </w:r>
      <w:r>
        <w:rPr>
          <w:spacing w:val="-7"/>
        </w:rPr>
        <w:t xml:space="preserve"> </w:t>
      </w:r>
      <w:r>
        <w:t>Care</w:t>
      </w:r>
      <w:r>
        <w:rPr>
          <w:spacing w:val="-8"/>
        </w:rPr>
        <w:t xml:space="preserve"> </w:t>
      </w:r>
      <w:r>
        <w:t>Institute</w:t>
      </w:r>
      <w:r>
        <w:rPr>
          <w:spacing w:val="-11"/>
        </w:rPr>
        <w:t xml:space="preserve"> </w:t>
      </w:r>
      <w:r>
        <w:t>of</w:t>
      </w:r>
      <w:r>
        <w:rPr>
          <w:spacing w:val="-7"/>
        </w:rPr>
        <w:t xml:space="preserve"> </w:t>
      </w:r>
      <w:r>
        <w:t>Excellence,</w:t>
      </w:r>
      <w:r>
        <w:rPr>
          <w:spacing w:val="-8"/>
        </w:rPr>
        <w:t xml:space="preserve"> </w:t>
      </w:r>
      <w:r>
        <w:t>(no</w:t>
      </w:r>
      <w:r>
        <w:rPr>
          <w:spacing w:val="-11"/>
        </w:rPr>
        <w:t xml:space="preserve"> </w:t>
      </w:r>
      <w:r>
        <w:t>date)</w:t>
      </w:r>
      <w:r>
        <w:rPr>
          <w:spacing w:val="-6"/>
        </w:rPr>
        <w:t xml:space="preserve"> </w:t>
      </w:r>
      <w:r>
        <w:t>reported</w:t>
      </w:r>
      <w:r>
        <w:rPr>
          <w:spacing w:val="-10"/>
        </w:rPr>
        <w:t xml:space="preserve"> </w:t>
      </w:r>
      <w:r>
        <w:t>that a professionals lack of understanding of the child’s culture and religion also contributes to the</w:t>
      </w:r>
      <w:r>
        <w:rPr>
          <w:spacing w:val="-32"/>
        </w:rPr>
        <w:t xml:space="preserve"> </w:t>
      </w:r>
      <w:r>
        <w:t>overall uptake or lack of uptake of intervention services, which of course impacts early intervention and diagnosis for the individual</w:t>
      </w:r>
      <w:r>
        <w:rPr>
          <w:spacing w:val="-8"/>
        </w:rPr>
        <w:t xml:space="preserve"> </w:t>
      </w:r>
      <w:r>
        <w:t>child.</w:t>
      </w:r>
    </w:p>
    <w:p w:rsidR="00830047" w:rsidRDefault="0036266F">
      <w:pPr>
        <w:pStyle w:val="BodyText"/>
        <w:spacing w:before="159" w:line="360" w:lineRule="auto"/>
        <w:ind w:left="900" w:right="892"/>
        <w:jc w:val="both"/>
      </w:pPr>
      <w:r>
        <w:t>According t</w:t>
      </w:r>
      <w:r>
        <w:t>o NHS, (2019) the waiting time for an autism assessment can be quite a long period, furthermore</w:t>
      </w:r>
      <w:r>
        <w:rPr>
          <w:spacing w:val="-13"/>
        </w:rPr>
        <w:t xml:space="preserve"> </w:t>
      </w:r>
      <w:r>
        <w:t>the</w:t>
      </w:r>
      <w:r>
        <w:rPr>
          <w:spacing w:val="-13"/>
        </w:rPr>
        <w:t xml:space="preserve"> </w:t>
      </w:r>
      <w:r>
        <w:t>Centre</w:t>
      </w:r>
      <w:r>
        <w:rPr>
          <w:spacing w:val="-10"/>
        </w:rPr>
        <w:t xml:space="preserve"> </w:t>
      </w:r>
      <w:r>
        <w:t>for</w:t>
      </w:r>
      <w:r>
        <w:rPr>
          <w:spacing w:val="-15"/>
        </w:rPr>
        <w:t xml:space="preserve"> </w:t>
      </w:r>
      <w:r>
        <w:t>Disease</w:t>
      </w:r>
      <w:r>
        <w:rPr>
          <w:spacing w:val="-10"/>
        </w:rPr>
        <w:t xml:space="preserve"> </w:t>
      </w:r>
      <w:r>
        <w:t>Control</w:t>
      </w:r>
      <w:r>
        <w:rPr>
          <w:spacing w:val="-11"/>
        </w:rPr>
        <w:t xml:space="preserve"> </w:t>
      </w:r>
      <w:r>
        <w:t>and</w:t>
      </w:r>
      <w:r>
        <w:rPr>
          <w:spacing w:val="-14"/>
        </w:rPr>
        <w:t xml:space="preserve"> </w:t>
      </w:r>
      <w:r>
        <w:t>Prevention,</w:t>
      </w:r>
      <w:r>
        <w:rPr>
          <w:spacing w:val="-13"/>
        </w:rPr>
        <w:t xml:space="preserve"> </w:t>
      </w:r>
      <w:r>
        <w:t>(2020)</w:t>
      </w:r>
      <w:r>
        <w:rPr>
          <w:spacing w:val="-13"/>
        </w:rPr>
        <w:t xml:space="preserve"> </w:t>
      </w:r>
      <w:r>
        <w:t>the</w:t>
      </w:r>
      <w:r>
        <w:rPr>
          <w:spacing w:val="-10"/>
        </w:rPr>
        <w:t xml:space="preserve"> </w:t>
      </w:r>
      <w:r>
        <w:t>process</w:t>
      </w:r>
      <w:r>
        <w:rPr>
          <w:spacing w:val="-12"/>
        </w:rPr>
        <w:t xml:space="preserve"> </w:t>
      </w:r>
      <w:r>
        <w:t>of</w:t>
      </w:r>
      <w:r>
        <w:rPr>
          <w:spacing w:val="-13"/>
        </w:rPr>
        <w:t xml:space="preserve"> </w:t>
      </w:r>
      <w:r>
        <w:t>a</w:t>
      </w:r>
      <w:r>
        <w:rPr>
          <w:spacing w:val="-11"/>
        </w:rPr>
        <w:t xml:space="preserve"> </w:t>
      </w:r>
      <w:r>
        <w:t>diagnosis</w:t>
      </w:r>
      <w:r>
        <w:rPr>
          <w:spacing w:val="-13"/>
        </w:rPr>
        <w:t xml:space="preserve"> </w:t>
      </w:r>
      <w:r>
        <w:t>is</w:t>
      </w:r>
      <w:r>
        <w:rPr>
          <w:spacing w:val="-11"/>
        </w:rPr>
        <w:t xml:space="preserve"> </w:t>
      </w:r>
      <w:r>
        <w:t>usually by attending a number of appointments led by a paediatrician, eviden</w:t>
      </w:r>
      <w:r>
        <w:t>ce is gathered to support any concerns</w:t>
      </w:r>
      <w:r>
        <w:rPr>
          <w:spacing w:val="-5"/>
        </w:rPr>
        <w:t xml:space="preserve"> </w:t>
      </w:r>
      <w:r>
        <w:t>regarding</w:t>
      </w:r>
      <w:r>
        <w:rPr>
          <w:spacing w:val="-5"/>
        </w:rPr>
        <w:t xml:space="preserve"> </w:t>
      </w:r>
      <w:r>
        <w:t>a</w:t>
      </w:r>
      <w:r>
        <w:rPr>
          <w:spacing w:val="-5"/>
        </w:rPr>
        <w:t xml:space="preserve"> </w:t>
      </w:r>
      <w:r>
        <w:t>child</w:t>
      </w:r>
      <w:r>
        <w:rPr>
          <w:spacing w:val="-6"/>
        </w:rPr>
        <w:t xml:space="preserve"> </w:t>
      </w:r>
      <w:r>
        <w:t>developmental</w:t>
      </w:r>
      <w:r>
        <w:rPr>
          <w:spacing w:val="-5"/>
        </w:rPr>
        <w:t xml:space="preserve"> </w:t>
      </w:r>
      <w:r>
        <w:t>delay</w:t>
      </w:r>
      <w:r>
        <w:rPr>
          <w:spacing w:val="-4"/>
        </w:rPr>
        <w:t xml:space="preserve"> </w:t>
      </w:r>
      <w:r>
        <w:t>over</w:t>
      </w:r>
      <w:r>
        <w:rPr>
          <w:spacing w:val="-7"/>
        </w:rPr>
        <w:t xml:space="preserve"> </w:t>
      </w:r>
      <w:r>
        <w:t>a</w:t>
      </w:r>
      <w:r>
        <w:rPr>
          <w:spacing w:val="-5"/>
        </w:rPr>
        <w:t xml:space="preserve"> </w:t>
      </w:r>
      <w:r>
        <w:t>period</w:t>
      </w:r>
      <w:r>
        <w:rPr>
          <w:spacing w:val="-5"/>
        </w:rPr>
        <w:t xml:space="preserve"> </w:t>
      </w:r>
      <w:r>
        <w:t>of</w:t>
      </w:r>
      <w:r>
        <w:rPr>
          <w:spacing w:val="-5"/>
        </w:rPr>
        <w:t xml:space="preserve"> </w:t>
      </w:r>
      <w:r>
        <w:t>time.</w:t>
      </w:r>
      <w:r>
        <w:rPr>
          <w:spacing w:val="-4"/>
        </w:rPr>
        <w:t xml:space="preserve"> </w:t>
      </w:r>
      <w:r>
        <w:t>Firstly</w:t>
      </w:r>
      <w:r>
        <w:rPr>
          <w:spacing w:val="-6"/>
        </w:rPr>
        <w:t xml:space="preserve"> </w:t>
      </w:r>
      <w:r>
        <w:t>monitoring</w:t>
      </w:r>
      <w:r>
        <w:rPr>
          <w:spacing w:val="-5"/>
        </w:rPr>
        <w:t xml:space="preserve"> </w:t>
      </w:r>
      <w:r>
        <w:t>of</w:t>
      </w:r>
      <w:r>
        <w:rPr>
          <w:spacing w:val="-5"/>
        </w:rPr>
        <w:t xml:space="preserve"> </w:t>
      </w:r>
      <w:r>
        <w:t>the</w:t>
      </w:r>
      <w:r>
        <w:rPr>
          <w:spacing w:val="-8"/>
        </w:rPr>
        <w:t xml:space="preserve"> </w:t>
      </w:r>
      <w:r>
        <w:t>child’s development by parents and carers discussing any initial developmental concerns, secondly information regarding the child’s development within childcare settings, using a signs and symptoms checklist (NICE, 2013) to support the practitioner to iden</w:t>
      </w:r>
      <w:r>
        <w:t>tify any developmental concerns and lastly a developmental assessment by a paediatrician to identify the type of delay. Swansea council, (2019a) discuss</w:t>
      </w:r>
      <w:r>
        <w:rPr>
          <w:spacing w:val="-10"/>
        </w:rPr>
        <w:t xml:space="preserve"> </w:t>
      </w:r>
      <w:r>
        <w:t>that</w:t>
      </w:r>
      <w:r>
        <w:rPr>
          <w:spacing w:val="-13"/>
        </w:rPr>
        <w:t xml:space="preserve"> </w:t>
      </w:r>
      <w:r>
        <w:t>the</w:t>
      </w:r>
      <w:r>
        <w:rPr>
          <w:spacing w:val="-13"/>
        </w:rPr>
        <w:t xml:space="preserve"> </w:t>
      </w:r>
      <w:r>
        <w:t>current</w:t>
      </w:r>
      <w:r>
        <w:rPr>
          <w:spacing w:val="-10"/>
        </w:rPr>
        <w:t xml:space="preserve"> </w:t>
      </w:r>
      <w:r>
        <w:t>policy</w:t>
      </w:r>
      <w:r>
        <w:rPr>
          <w:spacing w:val="-12"/>
        </w:rPr>
        <w:t xml:space="preserve"> </w:t>
      </w:r>
      <w:r>
        <w:t>of</w:t>
      </w:r>
      <w:r>
        <w:rPr>
          <w:spacing w:val="-11"/>
        </w:rPr>
        <w:t xml:space="preserve"> </w:t>
      </w:r>
      <w:r>
        <w:t>identification</w:t>
      </w:r>
      <w:r>
        <w:rPr>
          <w:spacing w:val="-14"/>
        </w:rPr>
        <w:t xml:space="preserve"> </w:t>
      </w:r>
      <w:r>
        <w:t>of</w:t>
      </w:r>
      <w:r>
        <w:rPr>
          <w:spacing w:val="-13"/>
        </w:rPr>
        <w:t xml:space="preserve"> </w:t>
      </w:r>
      <w:r>
        <w:t>an</w:t>
      </w:r>
      <w:r>
        <w:rPr>
          <w:spacing w:val="-11"/>
        </w:rPr>
        <w:t xml:space="preserve"> </w:t>
      </w:r>
      <w:r>
        <w:t>additional</w:t>
      </w:r>
      <w:r>
        <w:rPr>
          <w:spacing w:val="-11"/>
        </w:rPr>
        <w:t xml:space="preserve"> </w:t>
      </w:r>
      <w:r>
        <w:t>learning</w:t>
      </w:r>
      <w:r>
        <w:rPr>
          <w:spacing w:val="-11"/>
        </w:rPr>
        <w:t xml:space="preserve"> </w:t>
      </w:r>
      <w:r>
        <w:t>need</w:t>
      </w:r>
      <w:r>
        <w:rPr>
          <w:spacing w:val="-14"/>
        </w:rPr>
        <w:t xml:space="preserve"> </w:t>
      </w:r>
      <w:r>
        <w:t>is</w:t>
      </w:r>
      <w:r>
        <w:rPr>
          <w:spacing w:val="-11"/>
        </w:rPr>
        <w:t xml:space="preserve"> </w:t>
      </w:r>
      <w:r>
        <w:t>the</w:t>
      </w:r>
      <w:r>
        <w:rPr>
          <w:spacing w:val="-12"/>
        </w:rPr>
        <w:t xml:space="preserve"> </w:t>
      </w:r>
      <w:r>
        <w:t>special</w:t>
      </w:r>
      <w:r>
        <w:rPr>
          <w:spacing w:val="-14"/>
        </w:rPr>
        <w:t xml:space="preserve"> </w:t>
      </w:r>
      <w:r>
        <w:t>educational nee</w:t>
      </w:r>
      <w:r>
        <w:t xml:space="preserve">ds code of practice for Wales. Teachers within school monitor children using appropriate assessments such as the foundation phase profile (Welsh Government, 2017) and the Wellcomm screening tool (GL Education, 2021) to identify any developmental or speech </w:t>
      </w:r>
      <w:r>
        <w:t>and language delay. Similarly,</w:t>
      </w:r>
      <w:r>
        <w:rPr>
          <w:spacing w:val="-7"/>
        </w:rPr>
        <w:t xml:space="preserve"> </w:t>
      </w:r>
      <w:r>
        <w:t>within</w:t>
      </w:r>
      <w:r>
        <w:rPr>
          <w:spacing w:val="-5"/>
        </w:rPr>
        <w:t xml:space="preserve"> </w:t>
      </w:r>
      <w:r>
        <w:t>early</w:t>
      </w:r>
      <w:r>
        <w:rPr>
          <w:spacing w:val="-6"/>
        </w:rPr>
        <w:t xml:space="preserve"> </w:t>
      </w:r>
      <w:r>
        <w:t>years</w:t>
      </w:r>
      <w:r>
        <w:rPr>
          <w:spacing w:val="-6"/>
        </w:rPr>
        <w:t xml:space="preserve"> </w:t>
      </w:r>
      <w:r>
        <w:t>settings,</w:t>
      </w:r>
      <w:r>
        <w:rPr>
          <w:spacing w:val="-4"/>
        </w:rPr>
        <w:t xml:space="preserve"> </w:t>
      </w:r>
      <w:r>
        <w:t>the</w:t>
      </w:r>
      <w:r>
        <w:rPr>
          <w:spacing w:val="-4"/>
        </w:rPr>
        <w:t xml:space="preserve"> </w:t>
      </w:r>
      <w:r>
        <w:t>aim</w:t>
      </w:r>
      <w:r>
        <w:rPr>
          <w:spacing w:val="-6"/>
        </w:rPr>
        <w:t xml:space="preserve"> </w:t>
      </w:r>
      <w:r>
        <w:t>continues</w:t>
      </w:r>
      <w:r>
        <w:rPr>
          <w:spacing w:val="-6"/>
        </w:rPr>
        <w:t xml:space="preserve"> </w:t>
      </w:r>
      <w:r>
        <w:t>to</w:t>
      </w:r>
      <w:r>
        <w:rPr>
          <w:spacing w:val="-5"/>
        </w:rPr>
        <w:t xml:space="preserve"> </w:t>
      </w:r>
      <w:r>
        <w:t>be</w:t>
      </w:r>
      <w:r>
        <w:rPr>
          <w:spacing w:val="-6"/>
        </w:rPr>
        <w:t xml:space="preserve"> </w:t>
      </w:r>
      <w:r>
        <w:t>early</w:t>
      </w:r>
      <w:r>
        <w:rPr>
          <w:spacing w:val="-4"/>
        </w:rPr>
        <w:t xml:space="preserve"> </w:t>
      </w:r>
      <w:r>
        <w:t>identification</w:t>
      </w:r>
      <w:r>
        <w:rPr>
          <w:spacing w:val="-7"/>
        </w:rPr>
        <w:t xml:space="preserve"> </w:t>
      </w:r>
      <w:r>
        <w:t>of</w:t>
      </w:r>
      <w:r>
        <w:rPr>
          <w:spacing w:val="-4"/>
        </w:rPr>
        <w:t xml:space="preserve"> </w:t>
      </w:r>
      <w:r>
        <w:t>needs,</w:t>
      </w:r>
      <w:r>
        <w:rPr>
          <w:spacing w:val="-7"/>
        </w:rPr>
        <w:t xml:space="preserve"> </w:t>
      </w:r>
      <w:r>
        <w:t>Flying</w:t>
      </w:r>
      <w:r>
        <w:rPr>
          <w:spacing w:val="-5"/>
        </w:rPr>
        <w:t xml:space="preserve"> </w:t>
      </w:r>
      <w:r>
        <w:t>Start in particular use this approach for all children within their setting (Welsh Government,</w:t>
      </w:r>
      <w:r>
        <w:rPr>
          <w:spacing w:val="-20"/>
        </w:rPr>
        <w:t xml:space="preserve"> </w:t>
      </w:r>
      <w:r>
        <w:t>2012).</w:t>
      </w:r>
    </w:p>
    <w:p w:rsidR="00830047" w:rsidRDefault="0036266F">
      <w:pPr>
        <w:pStyle w:val="BodyText"/>
        <w:spacing w:before="162"/>
        <w:ind w:left="900"/>
        <w:jc w:val="both"/>
      </w:pPr>
      <w:r>
        <w:t>Section 2</w:t>
      </w:r>
    </w:p>
    <w:p w:rsidR="00830047" w:rsidRDefault="00830047">
      <w:pPr>
        <w:pStyle w:val="BodyText"/>
        <w:rPr>
          <w:sz w:val="24"/>
        </w:rPr>
      </w:pPr>
    </w:p>
    <w:p w:rsidR="00830047" w:rsidRDefault="0036266F">
      <w:pPr>
        <w:pStyle w:val="BodyText"/>
        <w:spacing w:line="360" w:lineRule="auto"/>
        <w:ind w:left="900" w:right="893"/>
        <w:jc w:val="both"/>
      </w:pPr>
      <w:r>
        <w:t>Dr Papadopoulos, (201</w:t>
      </w:r>
      <w:r>
        <w:t>6) claims that a diagnosis of autism creates a stigma that attaches to the child or adult. Society may portray negative attitudes, which contribute to stereotyping due to a lack of knowledge</w:t>
      </w:r>
      <w:r>
        <w:rPr>
          <w:spacing w:val="-11"/>
        </w:rPr>
        <w:t xml:space="preserve"> </w:t>
      </w:r>
      <w:r>
        <w:t>regarding</w:t>
      </w:r>
      <w:r>
        <w:rPr>
          <w:spacing w:val="-12"/>
        </w:rPr>
        <w:t xml:space="preserve"> </w:t>
      </w:r>
      <w:r>
        <w:t>the</w:t>
      </w:r>
      <w:r>
        <w:rPr>
          <w:spacing w:val="-14"/>
        </w:rPr>
        <w:t xml:space="preserve"> </w:t>
      </w:r>
      <w:r>
        <w:t>disorder,</w:t>
      </w:r>
      <w:r>
        <w:rPr>
          <w:spacing w:val="-13"/>
        </w:rPr>
        <w:t xml:space="preserve"> </w:t>
      </w:r>
      <w:r>
        <w:t>additionally</w:t>
      </w:r>
      <w:r>
        <w:rPr>
          <w:spacing w:val="-13"/>
        </w:rPr>
        <w:t xml:space="preserve"> </w:t>
      </w:r>
      <w:r>
        <w:t>displaying</w:t>
      </w:r>
      <w:r>
        <w:rPr>
          <w:spacing w:val="-12"/>
        </w:rPr>
        <w:t xml:space="preserve"> </w:t>
      </w:r>
      <w:r>
        <w:t>negative</w:t>
      </w:r>
      <w:r>
        <w:rPr>
          <w:spacing w:val="-11"/>
        </w:rPr>
        <w:t xml:space="preserve"> </w:t>
      </w:r>
      <w:r>
        <w:t>behaviours</w:t>
      </w:r>
      <w:r>
        <w:rPr>
          <w:spacing w:val="-14"/>
        </w:rPr>
        <w:t xml:space="preserve"> </w:t>
      </w:r>
      <w:r>
        <w:t>that</w:t>
      </w:r>
      <w:r>
        <w:rPr>
          <w:spacing w:val="-11"/>
        </w:rPr>
        <w:t xml:space="preserve"> </w:t>
      </w:r>
      <w:r>
        <w:t>are</w:t>
      </w:r>
      <w:r>
        <w:rPr>
          <w:spacing w:val="-14"/>
        </w:rPr>
        <w:t xml:space="preserve"> </w:t>
      </w:r>
      <w:r>
        <w:t>discriminatory. According to National Institute For Health and Care Excellence, (NICE, 2013) children with autism encounter</w:t>
      </w:r>
      <w:r>
        <w:rPr>
          <w:spacing w:val="31"/>
        </w:rPr>
        <w:t xml:space="preserve"> </w:t>
      </w:r>
      <w:r>
        <w:t>barriers</w:t>
      </w:r>
      <w:r>
        <w:rPr>
          <w:spacing w:val="28"/>
        </w:rPr>
        <w:t xml:space="preserve"> </w:t>
      </w:r>
      <w:r>
        <w:t>within</w:t>
      </w:r>
      <w:r>
        <w:rPr>
          <w:spacing w:val="27"/>
        </w:rPr>
        <w:t xml:space="preserve"> </w:t>
      </w:r>
      <w:r>
        <w:t>their</w:t>
      </w:r>
      <w:r>
        <w:rPr>
          <w:spacing w:val="30"/>
        </w:rPr>
        <w:t xml:space="preserve"> </w:t>
      </w:r>
      <w:r>
        <w:t>everyday</w:t>
      </w:r>
      <w:r>
        <w:rPr>
          <w:spacing w:val="30"/>
        </w:rPr>
        <w:t xml:space="preserve"> </w:t>
      </w:r>
      <w:r>
        <w:t>life,</w:t>
      </w:r>
      <w:r>
        <w:rPr>
          <w:spacing w:val="28"/>
        </w:rPr>
        <w:t xml:space="preserve"> </w:t>
      </w:r>
      <w:r>
        <w:t>children</w:t>
      </w:r>
      <w:r>
        <w:rPr>
          <w:spacing w:val="30"/>
        </w:rPr>
        <w:t xml:space="preserve"> </w:t>
      </w:r>
      <w:r>
        <w:t>with</w:t>
      </w:r>
      <w:r>
        <w:rPr>
          <w:spacing w:val="28"/>
        </w:rPr>
        <w:t xml:space="preserve"> </w:t>
      </w:r>
      <w:r>
        <w:t>autism</w:t>
      </w:r>
      <w:r>
        <w:rPr>
          <w:spacing w:val="32"/>
        </w:rPr>
        <w:t xml:space="preserve"> </w:t>
      </w:r>
      <w:r>
        <w:t>have</w:t>
      </w:r>
      <w:r>
        <w:rPr>
          <w:spacing w:val="30"/>
        </w:rPr>
        <w:t xml:space="preserve"> </w:t>
      </w:r>
      <w:r>
        <w:t>a</w:t>
      </w:r>
      <w:r>
        <w:rPr>
          <w:spacing w:val="31"/>
        </w:rPr>
        <w:t xml:space="preserve"> </w:t>
      </w:r>
      <w:r>
        <w:t>lifelong</w:t>
      </w:r>
      <w:r>
        <w:rPr>
          <w:spacing w:val="30"/>
        </w:rPr>
        <w:t xml:space="preserve"> </w:t>
      </w:r>
      <w:r>
        <w:t>developmental</w:t>
      </w:r>
    </w:p>
    <w:p w:rsidR="00830047" w:rsidRDefault="00830047">
      <w:pPr>
        <w:spacing w:line="360" w:lineRule="auto"/>
        <w:jc w:val="both"/>
        <w:sectPr w:rsidR="00830047">
          <w:pgSz w:w="11910" w:h="16840"/>
          <w:pgMar w:top="960" w:right="540" w:bottom="1200" w:left="540" w:header="749" w:footer="1003" w:gutter="0"/>
          <w:cols w:space="720"/>
        </w:sectPr>
      </w:pPr>
    </w:p>
    <w:p w:rsidR="00830047" w:rsidRDefault="00830047">
      <w:pPr>
        <w:pStyle w:val="BodyText"/>
        <w:rPr>
          <w:sz w:val="20"/>
        </w:rPr>
      </w:pPr>
    </w:p>
    <w:p w:rsidR="00830047" w:rsidRDefault="00830047">
      <w:pPr>
        <w:pStyle w:val="BodyText"/>
        <w:spacing w:before="3"/>
        <w:rPr>
          <w:sz w:val="18"/>
        </w:rPr>
      </w:pPr>
    </w:p>
    <w:p w:rsidR="00830047" w:rsidRDefault="0036266F">
      <w:pPr>
        <w:pStyle w:val="BodyText"/>
        <w:spacing w:line="360" w:lineRule="auto"/>
        <w:ind w:left="900" w:right="898"/>
        <w:jc w:val="both"/>
      </w:pPr>
      <w:r>
        <w:t>delay, affecting a child’s social skills. As cited in Anastasiou and Kauffman, (2013) Abberley, (1987, 7) states that,</w:t>
      </w:r>
    </w:p>
    <w:p w:rsidR="00830047" w:rsidRDefault="0036266F">
      <w:pPr>
        <w:pStyle w:val="BodyText"/>
        <w:spacing w:before="160" w:line="360" w:lineRule="auto"/>
        <w:ind w:left="900" w:right="205" w:firstLine="100"/>
      </w:pPr>
      <w:r>
        <w:t>“a social theory of disability can best be developed through the use of the concept of oppression” (Abberley, 1987, 7).</w:t>
      </w:r>
    </w:p>
    <w:p w:rsidR="00830047" w:rsidRDefault="0036266F">
      <w:pPr>
        <w:pStyle w:val="BodyText"/>
        <w:spacing w:before="161" w:line="360" w:lineRule="auto"/>
        <w:ind w:left="900" w:right="892"/>
        <w:jc w:val="both"/>
      </w:pPr>
      <w:r>
        <w:t>According to Camb</w:t>
      </w:r>
      <w:r>
        <w:t>ridge dictionary, (2021) oppression is described as ‘a situation in which people are governed</w:t>
      </w:r>
      <w:r>
        <w:rPr>
          <w:spacing w:val="-8"/>
        </w:rPr>
        <w:t xml:space="preserve"> </w:t>
      </w:r>
      <w:r>
        <w:t>in</w:t>
      </w:r>
      <w:r>
        <w:rPr>
          <w:spacing w:val="-9"/>
        </w:rPr>
        <w:t xml:space="preserve"> </w:t>
      </w:r>
      <w:r>
        <w:t>an</w:t>
      </w:r>
      <w:r>
        <w:rPr>
          <w:spacing w:val="-9"/>
        </w:rPr>
        <w:t xml:space="preserve"> </w:t>
      </w:r>
      <w:r>
        <w:t>unfair</w:t>
      </w:r>
      <w:r>
        <w:rPr>
          <w:spacing w:val="-8"/>
        </w:rPr>
        <w:t xml:space="preserve"> </w:t>
      </w:r>
      <w:r>
        <w:t>and</w:t>
      </w:r>
      <w:r>
        <w:rPr>
          <w:spacing w:val="-9"/>
        </w:rPr>
        <w:t xml:space="preserve"> </w:t>
      </w:r>
      <w:r>
        <w:t>cruel</w:t>
      </w:r>
      <w:r>
        <w:rPr>
          <w:spacing w:val="-8"/>
        </w:rPr>
        <w:t xml:space="preserve"> </w:t>
      </w:r>
      <w:r>
        <w:t>way</w:t>
      </w:r>
      <w:r>
        <w:rPr>
          <w:spacing w:val="-7"/>
        </w:rPr>
        <w:t xml:space="preserve"> </w:t>
      </w:r>
      <w:r>
        <w:t>and</w:t>
      </w:r>
      <w:r>
        <w:rPr>
          <w:spacing w:val="-9"/>
        </w:rPr>
        <w:t xml:space="preserve"> </w:t>
      </w:r>
      <w:r>
        <w:t>prevented</w:t>
      </w:r>
      <w:r>
        <w:rPr>
          <w:spacing w:val="-8"/>
        </w:rPr>
        <w:t xml:space="preserve"> </w:t>
      </w:r>
      <w:r>
        <w:t>from</w:t>
      </w:r>
      <w:r>
        <w:rPr>
          <w:spacing w:val="-7"/>
        </w:rPr>
        <w:t xml:space="preserve"> </w:t>
      </w:r>
      <w:r>
        <w:t>having</w:t>
      </w:r>
      <w:r>
        <w:rPr>
          <w:spacing w:val="-11"/>
        </w:rPr>
        <w:t xml:space="preserve"> </w:t>
      </w:r>
      <w:r>
        <w:t>opportunities</w:t>
      </w:r>
      <w:r>
        <w:rPr>
          <w:spacing w:val="-7"/>
        </w:rPr>
        <w:t xml:space="preserve"> </w:t>
      </w:r>
      <w:r>
        <w:t>and</w:t>
      </w:r>
      <w:r>
        <w:rPr>
          <w:spacing w:val="-9"/>
        </w:rPr>
        <w:t xml:space="preserve"> </w:t>
      </w:r>
      <w:r>
        <w:t>freedom’.</w:t>
      </w:r>
      <w:r>
        <w:rPr>
          <w:spacing w:val="32"/>
        </w:rPr>
        <w:t xml:space="preserve"> </w:t>
      </w:r>
      <w:r>
        <w:t>Children with a diagnosis or label of autism are exposed to many barriers related</w:t>
      </w:r>
      <w:r>
        <w:t xml:space="preserve"> to their disorder which can exacerbate unfairness in their community and school provision. Although children have equal rights as stated in the UNCRC rights of the child, (UNICEF, 1992) children with disabilities and neurodevelopmental delay are exposed t</w:t>
      </w:r>
      <w:r>
        <w:t>o many social barriers. Social care institute for excellence, (2017) discuss that children and adults with a diagnosis of autism experience a multitude of barriers that prevent them from accessing support and services, a lack of awareness of autism specifi</w:t>
      </w:r>
      <w:r>
        <w:t>cally, alongside an understanding of how best to support an autistic child or</w:t>
      </w:r>
      <w:r>
        <w:rPr>
          <w:spacing w:val="-9"/>
        </w:rPr>
        <w:t xml:space="preserve"> </w:t>
      </w:r>
      <w:r>
        <w:t>adult.</w:t>
      </w:r>
    </w:p>
    <w:p w:rsidR="00830047" w:rsidRDefault="0036266F">
      <w:pPr>
        <w:pStyle w:val="BodyText"/>
        <w:spacing w:before="160" w:line="360" w:lineRule="auto"/>
        <w:ind w:left="900" w:right="892"/>
        <w:jc w:val="both"/>
      </w:pPr>
      <w:r>
        <w:t>Additionally, maintained and non-maintained early years provisions occasionally refuse admission of a child with ALN as they are unable to provide educational provision du</w:t>
      </w:r>
      <w:r>
        <w:t>e to the complexity of the child’s needs, Welsh Government (2015) state that all early years provisions should apply an special education need (SEN) policy to support identification of additional learning needs providing an equal provision for all children</w:t>
      </w:r>
      <w:r>
        <w:t>. Furthermore, Stobbs, (2015) discusses that the early years foundation phase should provide an inclusive approach for all children, including children with an additional learning need including autism. Provisions are in place to support the development of</w:t>
      </w:r>
      <w:r>
        <w:t xml:space="preserve"> all children supporting children to progress and thrive within the setting.</w:t>
      </w:r>
    </w:p>
    <w:p w:rsidR="00830047" w:rsidRDefault="0036266F">
      <w:pPr>
        <w:pStyle w:val="BodyText"/>
        <w:spacing w:before="159" w:line="360" w:lineRule="auto"/>
        <w:ind w:left="900" w:right="892"/>
        <w:jc w:val="both"/>
      </w:pPr>
      <w:r>
        <w:t>According</w:t>
      </w:r>
      <w:r>
        <w:rPr>
          <w:spacing w:val="-7"/>
        </w:rPr>
        <w:t xml:space="preserve"> </w:t>
      </w:r>
      <w:r>
        <w:t>to</w:t>
      </w:r>
      <w:r>
        <w:rPr>
          <w:spacing w:val="-8"/>
        </w:rPr>
        <w:t xml:space="preserve"> </w:t>
      </w:r>
      <w:r>
        <w:t>Memari,</w:t>
      </w:r>
      <w:r>
        <w:rPr>
          <w:spacing w:val="-8"/>
        </w:rPr>
        <w:t xml:space="preserve"> </w:t>
      </w:r>
      <w:r>
        <w:t>(2015)</w:t>
      </w:r>
      <w:r>
        <w:rPr>
          <w:spacing w:val="-6"/>
        </w:rPr>
        <w:t xml:space="preserve"> </w:t>
      </w:r>
      <w:r>
        <w:t>children</w:t>
      </w:r>
      <w:r>
        <w:rPr>
          <w:spacing w:val="-9"/>
        </w:rPr>
        <w:t xml:space="preserve"> </w:t>
      </w:r>
      <w:r>
        <w:t>with</w:t>
      </w:r>
      <w:r>
        <w:rPr>
          <w:spacing w:val="-7"/>
        </w:rPr>
        <w:t xml:space="preserve"> </w:t>
      </w:r>
      <w:r>
        <w:t>autism</w:t>
      </w:r>
      <w:r>
        <w:rPr>
          <w:spacing w:val="-8"/>
        </w:rPr>
        <w:t xml:space="preserve"> </w:t>
      </w:r>
      <w:r>
        <w:t>experience</w:t>
      </w:r>
      <w:r>
        <w:rPr>
          <w:spacing w:val="-8"/>
        </w:rPr>
        <w:t xml:space="preserve"> </w:t>
      </w:r>
      <w:r>
        <w:t>barriers</w:t>
      </w:r>
      <w:r>
        <w:rPr>
          <w:spacing w:val="-8"/>
        </w:rPr>
        <w:t xml:space="preserve"> </w:t>
      </w:r>
      <w:r>
        <w:t>specifically</w:t>
      </w:r>
      <w:r>
        <w:rPr>
          <w:spacing w:val="-8"/>
        </w:rPr>
        <w:t xml:space="preserve"> </w:t>
      </w:r>
      <w:r>
        <w:t>relating</w:t>
      </w:r>
      <w:r>
        <w:rPr>
          <w:spacing w:val="-7"/>
        </w:rPr>
        <w:t xml:space="preserve"> </w:t>
      </w:r>
      <w:r>
        <w:t>to</w:t>
      </w:r>
      <w:r>
        <w:rPr>
          <w:spacing w:val="-6"/>
        </w:rPr>
        <w:t xml:space="preserve"> </w:t>
      </w:r>
      <w:r>
        <w:t>access</w:t>
      </w:r>
      <w:r>
        <w:rPr>
          <w:spacing w:val="-7"/>
        </w:rPr>
        <w:t xml:space="preserve"> </w:t>
      </w:r>
      <w:r>
        <w:t>to physical activities. Additionally, Memari discusses that as a result of this particular barrier children with social and behavioural impairments often become overweight or obese. Furthermore, Memari discusses that particular barriers to accessing physic</w:t>
      </w:r>
      <w:r>
        <w:t>al activities for autistic children with social and behavioural difficulties identified by parents and carers would be a lack of transportation to take the children to specialist activities and access to safe and appropriate equipment. Additionally, feedba</w:t>
      </w:r>
      <w:r>
        <w:t>ck from the children who are autistic discussed exclusion by other children is also a barrier to the social aspect</w:t>
      </w:r>
      <w:r>
        <w:rPr>
          <w:spacing w:val="-12"/>
        </w:rPr>
        <w:t xml:space="preserve"> </w:t>
      </w:r>
      <w:r>
        <w:t>of</w:t>
      </w:r>
      <w:r>
        <w:rPr>
          <w:spacing w:val="-11"/>
        </w:rPr>
        <w:t xml:space="preserve"> </w:t>
      </w:r>
      <w:r>
        <w:t>play</w:t>
      </w:r>
      <w:r>
        <w:rPr>
          <w:spacing w:val="-10"/>
        </w:rPr>
        <w:t xml:space="preserve"> </w:t>
      </w:r>
      <w:r>
        <w:t>and</w:t>
      </w:r>
      <w:r>
        <w:rPr>
          <w:spacing w:val="-11"/>
        </w:rPr>
        <w:t xml:space="preserve"> </w:t>
      </w:r>
      <w:r>
        <w:t>physical</w:t>
      </w:r>
      <w:r>
        <w:rPr>
          <w:spacing w:val="-13"/>
        </w:rPr>
        <w:t xml:space="preserve"> </w:t>
      </w:r>
      <w:r>
        <w:t>activities.</w:t>
      </w:r>
      <w:r>
        <w:rPr>
          <w:spacing w:val="-10"/>
        </w:rPr>
        <w:t xml:space="preserve"> </w:t>
      </w:r>
      <w:r>
        <w:t>One</w:t>
      </w:r>
      <w:r>
        <w:rPr>
          <w:spacing w:val="-10"/>
        </w:rPr>
        <w:t xml:space="preserve"> </w:t>
      </w:r>
      <w:r>
        <w:t>can</w:t>
      </w:r>
      <w:r>
        <w:rPr>
          <w:spacing w:val="-11"/>
        </w:rPr>
        <w:t xml:space="preserve"> </w:t>
      </w:r>
      <w:r>
        <w:t>go</w:t>
      </w:r>
      <w:r>
        <w:rPr>
          <w:spacing w:val="-9"/>
        </w:rPr>
        <w:t xml:space="preserve"> </w:t>
      </w:r>
      <w:r>
        <w:t>as</w:t>
      </w:r>
      <w:r>
        <w:rPr>
          <w:spacing w:val="-13"/>
        </w:rPr>
        <w:t xml:space="preserve"> </w:t>
      </w:r>
      <w:r>
        <w:t>far</w:t>
      </w:r>
      <w:r>
        <w:rPr>
          <w:spacing w:val="-14"/>
        </w:rPr>
        <w:t xml:space="preserve"> </w:t>
      </w:r>
      <w:r>
        <w:t>as</w:t>
      </w:r>
      <w:r>
        <w:rPr>
          <w:spacing w:val="-10"/>
        </w:rPr>
        <w:t xml:space="preserve"> </w:t>
      </w:r>
      <w:r>
        <w:t>to</w:t>
      </w:r>
      <w:r>
        <w:rPr>
          <w:spacing w:val="-11"/>
        </w:rPr>
        <w:t xml:space="preserve"> </w:t>
      </w:r>
      <w:r>
        <w:t>say</w:t>
      </w:r>
      <w:r>
        <w:rPr>
          <w:spacing w:val="-12"/>
        </w:rPr>
        <w:t xml:space="preserve"> </w:t>
      </w:r>
      <w:r>
        <w:t>that</w:t>
      </w:r>
      <w:r>
        <w:rPr>
          <w:spacing w:val="-13"/>
        </w:rPr>
        <w:t xml:space="preserve"> </w:t>
      </w:r>
      <w:r>
        <w:t>parents</w:t>
      </w:r>
      <w:r>
        <w:rPr>
          <w:spacing w:val="-12"/>
        </w:rPr>
        <w:t xml:space="preserve"> </w:t>
      </w:r>
      <w:r>
        <w:t>can</w:t>
      </w:r>
      <w:r>
        <w:rPr>
          <w:spacing w:val="-11"/>
        </w:rPr>
        <w:t xml:space="preserve"> </w:t>
      </w:r>
      <w:r>
        <w:t>provide</w:t>
      </w:r>
      <w:r>
        <w:rPr>
          <w:spacing w:val="-12"/>
        </w:rPr>
        <w:t xml:space="preserve"> </w:t>
      </w:r>
      <w:r>
        <w:t>other</w:t>
      </w:r>
      <w:r>
        <w:rPr>
          <w:spacing w:val="-11"/>
        </w:rPr>
        <w:t xml:space="preserve"> </w:t>
      </w:r>
      <w:r>
        <w:t>aspects of play and stimulation to overcome these</w:t>
      </w:r>
      <w:r>
        <w:t xml:space="preserve"> social barriers, however Majoko, (2015), states that it has been</w:t>
      </w:r>
      <w:r>
        <w:rPr>
          <w:spacing w:val="-9"/>
        </w:rPr>
        <w:t xml:space="preserve"> </w:t>
      </w:r>
      <w:r>
        <w:t>recognised</w:t>
      </w:r>
      <w:r>
        <w:rPr>
          <w:spacing w:val="-11"/>
        </w:rPr>
        <w:t xml:space="preserve"> </w:t>
      </w:r>
      <w:r>
        <w:t>that</w:t>
      </w:r>
      <w:r>
        <w:rPr>
          <w:spacing w:val="-10"/>
        </w:rPr>
        <w:t xml:space="preserve"> </w:t>
      </w:r>
      <w:r>
        <w:t>children</w:t>
      </w:r>
      <w:r>
        <w:rPr>
          <w:spacing w:val="-8"/>
        </w:rPr>
        <w:t xml:space="preserve"> </w:t>
      </w:r>
      <w:r>
        <w:t>within</w:t>
      </w:r>
      <w:r>
        <w:rPr>
          <w:spacing w:val="-12"/>
        </w:rPr>
        <w:t xml:space="preserve"> </w:t>
      </w:r>
      <w:r>
        <w:t>mainstream</w:t>
      </w:r>
      <w:r>
        <w:rPr>
          <w:spacing w:val="-7"/>
        </w:rPr>
        <w:t xml:space="preserve"> </w:t>
      </w:r>
      <w:r>
        <w:t>schools</w:t>
      </w:r>
      <w:r>
        <w:rPr>
          <w:spacing w:val="-8"/>
        </w:rPr>
        <w:t xml:space="preserve"> </w:t>
      </w:r>
      <w:r>
        <w:t>dislike</w:t>
      </w:r>
      <w:r>
        <w:rPr>
          <w:spacing w:val="-7"/>
        </w:rPr>
        <w:t xml:space="preserve"> </w:t>
      </w:r>
      <w:r>
        <w:t>interacting</w:t>
      </w:r>
      <w:r>
        <w:rPr>
          <w:spacing w:val="-12"/>
        </w:rPr>
        <w:t xml:space="preserve"> </w:t>
      </w:r>
      <w:r>
        <w:t>with</w:t>
      </w:r>
      <w:r>
        <w:rPr>
          <w:spacing w:val="-11"/>
        </w:rPr>
        <w:t xml:space="preserve"> </w:t>
      </w:r>
      <w:r>
        <w:t>others</w:t>
      </w:r>
      <w:r>
        <w:rPr>
          <w:spacing w:val="-10"/>
        </w:rPr>
        <w:t xml:space="preserve"> </w:t>
      </w:r>
      <w:r>
        <w:t>of</w:t>
      </w:r>
      <w:r>
        <w:rPr>
          <w:spacing w:val="-11"/>
        </w:rPr>
        <w:t xml:space="preserve"> </w:t>
      </w:r>
      <w:r>
        <w:t>similar</w:t>
      </w:r>
      <w:r>
        <w:rPr>
          <w:spacing w:val="-8"/>
        </w:rPr>
        <w:t xml:space="preserve"> </w:t>
      </w:r>
      <w:r>
        <w:t>age, preferring to interact with adults. Additionally, Majoko claims that children with autism a</w:t>
      </w:r>
      <w:r>
        <w:t>re usually</w:t>
      </w:r>
      <w:r>
        <w:rPr>
          <w:spacing w:val="-20"/>
        </w:rPr>
        <w:t xml:space="preserve"> </w:t>
      </w:r>
      <w:r>
        <w:t>in</w:t>
      </w:r>
    </w:p>
    <w:p w:rsidR="00830047" w:rsidRDefault="00830047">
      <w:pPr>
        <w:spacing w:line="360" w:lineRule="auto"/>
        <w:jc w:val="both"/>
        <w:sectPr w:rsidR="00830047">
          <w:pgSz w:w="11910" w:h="16840"/>
          <w:pgMar w:top="960" w:right="540" w:bottom="1200" w:left="540" w:header="749" w:footer="1003" w:gutter="0"/>
          <w:cols w:space="720"/>
        </w:sectPr>
      </w:pPr>
    </w:p>
    <w:p w:rsidR="00830047" w:rsidRDefault="00830047">
      <w:pPr>
        <w:pStyle w:val="BodyText"/>
        <w:rPr>
          <w:sz w:val="20"/>
        </w:rPr>
      </w:pPr>
    </w:p>
    <w:p w:rsidR="00830047" w:rsidRDefault="00830047">
      <w:pPr>
        <w:pStyle w:val="BodyText"/>
        <w:spacing w:before="3"/>
        <w:rPr>
          <w:sz w:val="18"/>
        </w:rPr>
      </w:pPr>
    </w:p>
    <w:p w:rsidR="00830047" w:rsidRDefault="0036266F">
      <w:pPr>
        <w:pStyle w:val="BodyText"/>
        <w:spacing w:line="360" w:lineRule="auto"/>
        <w:ind w:left="900" w:right="894"/>
        <w:jc w:val="both"/>
      </w:pPr>
      <w:r>
        <w:t>their own little world, rarely initiating play or discussions with others thus creating their own social barriers.</w:t>
      </w:r>
    </w:p>
    <w:p w:rsidR="00830047" w:rsidRDefault="0036266F">
      <w:pPr>
        <w:pStyle w:val="BodyText"/>
        <w:spacing w:before="160"/>
        <w:ind w:left="950"/>
      </w:pPr>
      <w:r>
        <w:t>Section 3.</w:t>
      </w:r>
    </w:p>
    <w:p w:rsidR="00830047" w:rsidRDefault="00830047">
      <w:pPr>
        <w:pStyle w:val="BodyText"/>
        <w:spacing w:before="2"/>
        <w:rPr>
          <w:sz w:val="24"/>
        </w:rPr>
      </w:pPr>
    </w:p>
    <w:p w:rsidR="00830047" w:rsidRDefault="0036266F">
      <w:pPr>
        <w:pStyle w:val="BodyText"/>
        <w:spacing w:line="360" w:lineRule="auto"/>
        <w:ind w:left="900" w:right="894"/>
        <w:jc w:val="both"/>
      </w:pPr>
      <w:r>
        <w:t>Diagnosis of autism for children is a long process, Sullivan, (2020) states that due to the global pandemic, the waiting list for a diagnosis of autism has exceeded four years. However, during the period of consultation between professionals, evidence is g</w:t>
      </w:r>
      <w:r>
        <w:t>athered from parents and professionals involved in the child’s wellbeing. Children within the early years experiencing a developmental delay will require support within the setting to ensure effective strategies are delivered to enable the child to make su</w:t>
      </w:r>
      <w:r>
        <w:t xml:space="preserve">fficient progress to support transitions into school (Forest, </w:t>
      </w:r>
      <w:r>
        <w:rPr>
          <w:i/>
        </w:rPr>
        <w:t xml:space="preserve">et al. </w:t>
      </w:r>
      <w:r>
        <w:t>2004)</w:t>
      </w:r>
    </w:p>
    <w:p w:rsidR="00830047" w:rsidRDefault="0036266F">
      <w:pPr>
        <w:pStyle w:val="BodyText"/>
        <w:spacing w:before="161" w:line="360" w:lineRule="auto"/>
        <w:ind w:left="900" w:right="892"/>
        <w:jc w:val="both"/>
      </w:pPr>
      <w:r>
        <w:t>According to Welsh Government, (no date) Flying start provisions in Wales provide early intervention programmes following the early years pathway for additional learning needs, is s</w:t>
      </w:r>
      <w:r>
        <w:t>imilar to Swansea based schools graduated response triangle, (Swansea Council, 2019b). Additionally, Welsh Government (no date) state that, these three stages of intervention and identification of needs are, early years’ action, early years action plus and</w:t>
      </w:r>
      <w:r>
        <w:t xml:space="preserve"> additional support. Additional support can be implemented if the developmental need of the child is greater than the usual provision of a 1:4 ratio. Additional</w:t>
      </w:r>
      <w:r>
        <w:rPr>
          <w:spacing w:val="-5"/>
        </w:rPr>
        <w:t xml:space="preserve"> </w:t>
      </w:r>
      <w:r>
        <w:t>support</w:t>
      </w:r>
      <w:r>
        <w:rPr>
          <w:spacing w:val="-6"/>
        </w:rPr>
        <w:t xml:space="preserve"> </w:t>
      </w:r>
      <w:r>
        <w:t>requests</w:t>
      </w:r>
      <w:r>
        <w:rPr>
          <w:spacing w:val="-4"/>
        </w:rPr>
        <w:t xml:space="preserve"> </w:t>
      </w:r>
      <w:r>
        <w:t>are</w:t>
      </w:r>
      <w:r>
        <w:rPr>
          <w:spacing w:val="-7"/>
        </w:rPr>
        <w:t xml:space="preserve"> </w:t>
      </w:r>
      <w:r>
        <w:t>considered</w:t>
      </w:r>
      <w:r>
        <w:rPr>
          <w:spacing w:val="-4"/>
        </w:rPr>
        <w:t xml:space="preserve"> </w:t>
      </w:r>
      <w:r>
        <w:t>by</w:t>
      </w:r>
      <w:r>
        <w:rPr>
          <w:spacing w:val="-4"/>
        </w:rPr>
        <w:t xml:space="preserve"> </w:t>
      </w:r>
      <w:r>
        <w:t>a</w:t>
      </w:r>
      <w:r>
        <w:rPr>
          <w:spacing w:val="-9"/>
        </w:rPr>
        <w:t xml:space="preserve"> </w:t>
      </w:r>
      <w:r>
        <w:t>multiagency</w:t>
      </w:r>
      <w:r>
        <w:rPr>
          <w:spacing w:val="-6"/>
        </w:rPr>
        <w:t xml:space="preserve"> </w:t>
      </w:r>
      <w:r>
        <w:t>team</w:t>
      </w:r>
      <w:r>
        <w:rPr>
          <w:spacing w:val="-6"/>
        </w:rPr>
        <w:t xml:space="preserve"> </w:t>
      </w:r>
      <w:r>
        <w:t>to</w:t>
      </w:r>
      <w:r>
        <w:rPr>
          <w:spacing w:val="-6"/>
        </w:rPr>
        <w:t xml:space="preserve"> </w:t>
      </w:r>
      <w:r>
        <w:t>discuss</w:t>
      </w:r>
      <w:r>
        <w:rPr>
          <w:spacing w:val="-7"/>
        </w:rPr>
        <w:t xml:space="preserve"> </w:t>
      </w:r>
      <w:r>
        <w:t>how</w:t>
      </w:r>
      <w:r>
        <w:rPr>
          <w:spacing w:val="-4"/>
        </w:rPr>
        <w:t xml:space="preserve"> </w:t>
      </w:r>
      <w:r>
        <w:t>best</w:t>
      </w:r>
      <w:r>
        <w:rPr>
          <w:spacing w:val="-6"/>
        </w:rPr>
        <w:t xml:space="preserve"> </w:t>
      </w:r>
      <w:r>
        <w:t>to</w:t>
      </w:r>
      <w:r>
        <w:rPr>
          <w:spacing w:val="-3"/>
        </w:rPr>
        <w:t xml:space="preserve"> </w:t>
      </w:r>
      <w:r>
        <w:t>support</w:t>
      </w:r>
      <w:r>
        <w:rPr>
          <w:spacing w:val="-6"/>
        </w:rPr>
        <w:t xml:space="preserve"> </w:t>
      </w:r>
      <w:r>
        <w:t>the child,</w:t>
      </w:r>
      <w:r>
        <w:t xml:space="preserve"> evidence from the Flying Start Health Visitor’s developmental check or Schedule of Growing Skills, (2021) at the child’s 27-month review contributes to this request, additionally speech and language</w:t>
      </w:r>
      <w:r>
        <w:rPr>
          <w:spacing w:val="-12"/>
        </w:rPr>
        <w:t xml:space="preserve"> </w:t>
      </w:r>
      <w:r>
        <w:t>concerns</w:t>
      </w:r>
      <w:r>
        <w:rPr>
          <w:spacing w:val="-15"/>
        </w:rPr>
        <w:t xml:space="preserve"> </w:t>
      </w:r>
      <w:r>
        <w:t>are</w:t>
      </w:r>
      <w:r>
        <w:rPr>
          <w:spacing w:val="-13"/>
        </w:rPr>
        <w:t xml:space="preserve"> </w:t>
      </w:r>
      <w:r>
        <w:t>also</w:t>
      </w:r>
      <w:r>
        <w:rPr>
          <w:spacing w:val="-14"/>
        </w:rPr>
        <w:t xml:space="preserve"> </w:t>
      </w:r>
      <w:r>
        <w:t>identified</w:t>
      </w:r>
      <w:r>
        <w:rPr>
          <w:spacing w:val="-13"/>
        </w:rPr>
        <w:t xml:space="preserve"> </w:t>
      </w:r>
      <w:r>
        <w:t>at</w:t>
      </w:r>
      <w:r>
        <w:rPr>
          <w:spacing w:val="-13"/>
        </w:rPr>
        <w:t xml:space="preserve"> </w:t>
      </w:r>
      <w:r>
        <w:t>this</w:t>
      </w:r>
      <w:r>
        <w:rPr>
          <w:spacing w:val="-13"/>
        </w:rPr>
        <w:t xml:space="preserve"> </w:t>
      </w:r>
      <w:r>
        <w:t>review</w:t>
      </w:r>
      <w:r>
        <w:rPr>
          <w:spacing w:val="-12"/>
        </w:rPr>
        <w:t xml:space="preserve"> </w:t>
      </w:r>
      <w:r>
        <w:t>(Welsh</w:t>
      </w:r>
      <w:r>
        <w:rPr>
          <w:spacing w:val="-13"/>
        </w:rPr>
        <w:t xml:space="preserve"> </w:t>
      </w:r>
      <w:r>
        <w:t>Gover</w:t>
      </w:r>
      <w:r>
        <w:t>nment,</w:t>
      </w:r>
      <w:r>
        <w:rPr>
          <w:spacing w:val="-15"/>
        </w:rPr>
        <w:t xml:space="preserve"> </w:t>
      </w:r>
      <w:r>
        <w:t>2017).</w:t>
      </w:r>
      <w:r>
        <w:rPr>
          <w:spacing w:val="23"/>
        </w:rPr>
        <w:t xml:space="preserve"> </w:t>
      </w:r>
      <w:r>
        <w:t>Early</w:t>
      </w:r>
      <w:r>
        <w:rPr>
          <w:spacing w:val="-12"/>
        </w:rPr>
        <w:t xml:space="preserve"> </w:t>
      </w:r>
      <w:r>
        <w:t>years’</w:t>
      </w:r>
      <w:r>
        <w:rPr>
          <w:spacing w:val="-13"/>
        </w:rPr>
        <w:t xml:space="preserve"> </w:t>
      </w:r>
      <w:r>
        <w:t>provisions staff to child ratios are significantly lower to meet the needs of the children (Welsh Government, 2016),</w:t>
      </w:r>
      <w:r>
        <w:rPr>
          <w:spacing w:val="-15"/>
        </w:rPr>
        <w:t xml:space="preserve"> </w:t>
      </w:r>
      <w:r>
        <w:t>additional</w:t>
      </w:r>
      <w:r>
        <w:rPr>
          <w:spacing w:val="-16"/>
        </w:rPr>
        <w:t xml:space="preserve"> </w:t>
      </w:r>
      <w:r>
        <w:t>support</w:t>
      </w:r>
      <w:r>
        <w:rPr>
          <w:spacing w:val="-12"/>
        </w:rPr>
        <w:t xml:space="preserve"> </w:t>
      </w:r>
      <w:r>
        <w:t>for</w:t>
      </w:r>
      <w:r>
        <w:rPr>
          <w:spacing w:val="-13"/>
        </w:rPr>
        <w:t xml:space="preserve"> </w:t>
      </w:r>
      <w:r>
        <w:t>the</w:t>
      </w:r>
      <w:r>
        <w:rPr>
          <w:spacing w:val="-15"/>
        </w:rPr>
        <w:t xml:space="preserve"> </w:t>
      </w:r>
      <w:r>
        <w:t>individual</w:t>
      </w:r>
      <w:r>
        <w:rPr>
          <w:spacing w:val="-13"/>
        </w:rPr>
        <w:t xml:space="preserve"> </w:t>
      </w:r>
      <w:r>
        <w:t>child</w:t>
      </w:r>
      <w:r>
        <w:rPr>
          <w:spacing w:val="-14"/>
        </w:rPr>
        <w:t xml:space="preserve"> </w:t>
      </w:r>
      <w:r>
        <w:t>if</w:t>
      </w:r>
      <w:r>
        <w:rPr>
          <w:spacing w:val="-13"/>
        </w:rPr>
        <w:t xml:space="preserve"> </w:t>
      </w:r>
      <w:r>
        <w:t>deemed</w:t>
      </w:r>
      <w:r>
        <w:rPr>
          <w:spacing w:val="-13"/>
        </w:rPr>
        <w:t xml:space="preserve"> </w:t>
      </w:r>
      <w:r>
        <w:t>necessary</w:t>
      </w:r>
      <w:r>
        <w:rPr>
          <w:spacing w:val="-15"/>
        </w:rPr>
        <w:t xml:space="preserve"> </w:t>
      </w:r>
      <w:r>
        <w:t>would</w:t>
      </w:r>
      <w:r>
        <w:rPr>
          <w:spacing w:val="-14"/>
        </w:rPr>
        <w:t xml:space="preserve"> </w:t>
      </w:r>
      <w:r>
        <w:t>contribute</w:t>
      </w:r>
      <w:r>
        <w:rPr>
          <w:spacing w:val="-12"/>
        </w:rPr>
        <w:t xml:space="preserve"> </w:t>
      </w:r>
      <w:r>
        <w:t>to</w:t>
      </w:r>
      <w:r>
        <w:rPr>
          <w:spacing w:val="-13"/>
        </w:rPr>
        <w:t xml:space="preserve"> </w:t>
      </w:r>
      <w:r>
        <w:t>these</w:t>
      </w:r>
      <w:r>
        <w:rPr>
          <w:spacing w:val="-12"/>
        </w:rPr>
        <w:t xml:space="preserve"> </w:t>
      </w:r>
      <w:r>
        <w:t>ratios. Notably school settings guidance provided by The National Education Union, (2019) recommend that classroom sizes do not exceed 20 children, of course early years’ school provisions cannot provide similar ratios as recommended by Welsh Government Na</w:t>
      </w:r>
      <w:r>
        <w:t xml:space="preserve">tional Minimum Standards guidance (Welsh Government, 2016), due to the continuous budget cuts for schools across Wales, however support is provided within educational settings once a statement of educational needs has been received identifying the support </w:t>
      </w:r>
      <w:r>
        <w:t>needed for that child. The current process for a statement of educational needs has been modified under the ALNET, (Welsh Government, 2018) Act, creating a more diverse approach for children to receive the support that is needed as a statutory document. No</w:t>
      </w:r>
      <w:r>
        <w:t>t only will an Individual development plan will inform practitioners how best to support the child, but additionally the</w:t>
      </w:r>
      <w:r>
        <w:rPr>
          <w:spacing w:val="-3"/>
        </w:rPr>
        <w:t xml:space="preserve"> </w:t>
      </w:r>
      <w:r>
        <w:t>aim</w:t>
      </w:r>
      <w:r>
        <w:rPr>
          <w:spacing w:val="-5"/>
        </w:rPr>
        <w:t xml:space="preserve"> </w:t>
      </w:r>
      <w:r>
        <w:t>of</w:t>
      </w:r>
      <w:r>
        <w:rPr>
          <w:spacing w:val="-6"/>
        </w:rPr>
        <w:t xml:space="preserve"> </w:t>
      </w:r>
      <w:r>
        <w:t>the</w:t>
      </w:r>
      <w:r>
        <w:rPr>
          <w:spacing w:val="-3"/>
        </w:rPr>
        <w:t xml:space="preserve"> </w:t>
      </w:r>
      <w:r>
        <w:t>plan</w:t>
      </w:r>
      <w:r>
        <w:rPr>
          <w:spacing w:val="-7"/>
        </w:rPr>
        <w:t xml:space="preserve"> </w:t>
      </w:r>
      <w:r>
        <w:t>will</w:t>
      </w:r>
      <w:r>
        <w:rPr>
          <w:spacing w:val="-6"/>
        </w:rPr>
        <w:t xml:space="preserve"> </w:t>
      </w:r>
      <w:r>
        <w:t>improve</w:t>
      </w:r>
      <w:r>
        <w:rPr>
          <w:spacing w:val="-5"/>
        </w:rPr>
        <w:t xml:space="preserve"> </w:t>
      </w:r>
      <w:r>
        <w:t>outcomes</w:t>
      </w:r>
      <w:r>
        <w:rPr>
          <w:spacing w:val="-5"/>
        </w:rPr>
        <w:t xml:space="preserve"> </w:t>
      </w:r>
      <w:r>
        <w:t>for</w:t>
      </w:r>
      <w:r>
        <w:rPr>
          <w:spacing w:val="-6"/>
        </w:rPr>
        <w:t xml:space="preserve"> </w:t>
      </w:r>
      <w:r>
        <w:t>children</w:t>
      </w:r>
      <w:r>
        <w:rPr>
          <w:spacing w:val="-6"/>
        </w:rPr>
        <w:t xml:space="preserve"> </w:t>
      </w:r>
      <w:r>
        <w:t>in</w:t>
      </w:r>
      <w:r>
        <w:rPr>
          <w:spacing w:val="-4"/>
        </w:rPr>
        <w:t xml:space="preserve"> </w:t>
      </w:r>
      <w:r>
        <w:t>a</w:t>
      </w:r>
      <w:r>
        <w:rPr>
          <w:spacing w:val="-6"/>
        </w:rPr>
        <w:t xml:space="preserve"> </w:t>
      </w:r>
      <w:r>
        <w:t>collaborative</w:t>
      </w:r>
      <w:r>
        <w:rPr>
          <w:spacing w:val="-5"/>
        </w:rPr>
        <w:t xml:space="preserve"> </w:t>
      </w:r>
      <w:r>
        <w:t>approach,</w:t>
      </w:r>
      <w:r>
        <w:rPr>
          <w:spacing w:val="-3"/>
        </w:rPr>
        <w:t xml:space="preserve"> </w:t>
      </w:r>
      <w:r>
        <w:t>including</w:t>
      </w:r>
      <w:r>
        <w:rPr>
          <w:spacing w:val="-4"/>
        </w:rPr>
        <w:t xml:space="preserve"> </w:t>
      </w:r>
      <w:r>
        <w:t>both</w:t>
      </w:r>
      <w:r>
        <w:rPr>
          <w:spacing w:val="-6"/>
        </w:rPr>
        <w:t xml:space="preserve"> </w:t>
      </w:r>
      <w:r>
        <w:t>the child</w:t>
      </w:r>
      <w:r>
        <w:rPr>
          <w:spacing w:val="-14"/>
        </w:rPr>
        <w:t xml:space="preserve"> </w:t>
      </w:r>
      <w:r>
        <w:t>and</w:t>
      </w:r>
      <w:r>
        <w:rPr>
          <w:spacing w:val="-14"/>
        </w:rPr>
        <w:t xml:space="preserve"> </w:t>
      </w:r>
      <w:r>
        <w:t>parent’s</w:t>
      </w:r>
      <w:r>
        <w:rPr>
          <w:spacing w:val="-15"/>
        </w:rPr>
        <w:t xml:space="preserve"> </w:t>
      </w:r>
      <w:r>
        <w:t>views</w:t>
      </w:r>
      <w:r>
        <w:rPr>
          <w:spacing w:val="-15"/>
        </w:rPr>
        <w:t xml:space="preserve"> </w:t>
      </w:r>
      <w:r>
        <w:t>on</w:t>
      </w:r>
      <w:r>
        <w:rPr>
          <w:spacing w:val="-16"/>
        </w:rPr>
        <w:t xml:space="preserve"> </w:t>
      </w:r>
      <w:r>
        <w:t>how</w:t>
      </w:r>
      <w:r>
        <w:rPr>
          <w:spacing w:val="-12"/>
        </w:rPr>
        <w:t xml:space="preserve"> </w:t>
      </w:r>
      <w:r>
        <w:t>best</w:t>
      </w:r>
      <w:r>
        <w:rPr>
          <w:spacing w:val="-14"/>
        </w:rPr>
        <w:t xml:space="preserve"> </w:t>
      </w:r>
      <w:r>
        <w:t>to</w:t>
      </w:r>
      <w:r>
        <w:rPr>
          <w:spacing w:val="-13"/>
        </w:rPr>
        <w:t xml:space="preserve"> </w:t>
      </w:r>
      <w:r>
        <w:t>provide</w:t>
      </w:r>
      <w:r>
        <w:rPr>
          <w:spacing w:val="-15"/>
        </w:rPr>
        <w:t xml:space="preserve"> </w:t>
      </w:r>
      <w:r>
        <w:t>educational</w:t>
      </w:r>
      <w:r>
        <w:rPr>
          <w:spacing w:val="-13"/>
        </w:rPr>
        <w:t xml:space="preserve"> </w:t>
      </w:r>
      <w:r>
        <w:t>support</w:t>
      </w:r>
      <w:r>
        <w:rPr>
          <w:spacing w:val="-12"/>
        </w:rPr>
        <w:t xml:space="preserve"> </w:t>
      </w:r>
      <w:r>
        <w:t>within</w:t>
      </w:r>
      <w:r>
        <w:rPr>
          <w:spacing w:val="-14"/>
        </w:rPr>
        <w:t xml:space="preserve"> </w:t>
      </w:r>
      <w:r>
        <w:t>school</w:t>
      </w:r>
      <w:r>
        <w:rPr>
          <w:spacing w:val="-18"/>
        </w:rPr>
        <w:t xml:space="preserve"> </w:t>
      </w:r>
      <w:r>
        <w:t>supporting</w:t>
      </w:r>
      <w:r>
        <w:rPr>
          <w:spacing w:val="-14"/>
        </w:rPr>
        <w:t xml:space="preserve"> </w:t>
      </w:r>
      <w:r>
        <w:t>a</w:t>
      </w:r>
      <w:r>
        <w:rPr>
          <w:spacing w:val="-13"/>
        </w:rPr>
        <w:t xml:space="preserve"> </w:t>
      </w:r>
      <w:r>
        <w:t>person centred practice approach (Welsh Government, 2018; Swansea Council,</w:t>
      </w:r>
      <w:r>
        <w:rPr>
          <w:spacing w:val="-20"/>
        </w:rPr>
        <w:t xml:space="preserve"> </w:t>
      </w:r>
      <w:r>
        <w:t>2019).</w:t>
      </w:r>
    </w:p>
    <w:p w:rsidR="00830047" w:rsidRDefault="00830047">
      <w:pPr>
        <w:spacing w:line="360" w:lineRule="auto"/>
        <w:jc w:val="both"/>
        <w:sectPr w:rsidR="00830047">
          <w:pgSz w:w="11910" w:h="16840"/>
          <w:pgMar w:top="960" w:right="540" w:bottom="1200" w:left="540" w:header="749" w:footer="1003" w:gutter="0"/>
          <w:cols w:space="720"/>
        </w:sectPr>
      </w:pPr>
    </w:p>
    <w:p w:rsidR="00830047" w:rsidRDefault="00830047">
      <w:pPr>
        <w:pStyle w:val="BodyText"/>
        <w:rPr>
          <w:sz w:val="20"/>
        </w:rPr>
      </w:pPr>
    </w:p>
    <w:p w:rsidR="00830047" w:rsidRDefault="00830047">
      <w:pPr>
        <w:pStyle w:val="BodyText"/>
        <w:spacing w:before="3"/>
        <w:rPr>
          <w:sz w:val="18"/>
        </w:rPr>
      </w:pPr>
    </w:p>
    <w:p w:rsidR="00830047" w:rsidRDefault="0036266F">
      <w:pPr>
        <w:pStyle w:val="BodyText"/>
        <w:spacing w:line="360" w:lineRule="auto"/>
        <w:ind w:left="900" w:right="892"/>
        <w:jc w:val="both"/>
      </w:pPr>
      <w:r>
        <w:t>Overall the development of the ALNET act (Welsh Government, 2018) has identified key statutory guidance to enable practitioners in all early years’ settings to provide the best opportunities for the children</w:t>
      </w:r>
      <w:r>
        <w:rPr>
          <w:spacing w:val="-6"/>
        </w:rPr>
        <w:t xml:space="preserve"> </w:t>
      </w:r>
      <w:r>
        <w:t>they</w:t>
      </w:r>
      <w:r>
        <w:rPr>
          <w:spacing w:val="-7"/>
        </w:rPr>
        <w:t xml:space="preserve"> </w:t>
      </w:r>
      <w:r>
        <w:t>care</w:t>
      </w:r>
      <w:r>
        <w:rPr>
          <w:spacing w:val="-5"/>
        </w:rPr>
        <w:t xml:space="preserve"> </w:t>
      </w:r>
      <w:r>
        <w:t>for.</w:t>
      </w:r>
      <w:r>
        <w:rPr>
          <w:spacing w:val="-9"/>
        </w:rPr>
        <w:t xml:space="preserve"> </w:t>
      </w:r>
      <w:r>
        <w:t>The</w:t>
      </w:r>
      <w:r>
        <w:rPr>
          <w:spacing w:val="-8"/>
        </w:rPr>
        <w:t xml:space="preserve"> </w:t>
      </w:r>
      <w:r>
        <w:t>UN</w:t>
      </w:r>
      <w:r>
        <w:rPr>
          <w:spacing w:val="-7"/>
        </w:rPr>
        <w:t xml:space="preserve"> </w:t>
      </w:r>
      <w:r>
        <w:t>convention</w:t>
      </w:r>
      <w:r>
        <w:rPr>
          <w:spacing w:val="-6"/>
        </w:rPr>
        <w:t xml:space="preserve"> </w:t>
      </w:r>
      <w:r>
        <w:t>of</w:t>
      </w:r>
      <w:r>
        <w:rPr>
          <w:spacing w:val="-8"/>
        </w:rPr>
        <w:t xml:space="preserve"> </w:t>
      </w:r>
      <w:r>
        <w:t>the</w:t>
      </w:r>
      <w:r>
        <w:rPr>
          <w:spacing w:val="-6"/>
        </w:rPr>
        <w:t xml:space="preserve"> </w:t>
      </w:r>
      <w:r>
        <w:t>rights</w:t>
      </w:r>
      <w:r>
        <w:rPr>
          <w:spacing w:val="-6"/>
        </w:rPr>
        <w:t xml:space="preserve"> </w:t>
      </w:r>
      <w:r>
        <w:t>o</w:t>
      </w:r>
      <w:r>
        <w:t>f</w:t>
      </w:r>
      <w:r>
        <w:rPr>
          <w:spacing w:val="-8"/>
        </w:rPr>
        <w:t xml:space="preserve"> </w:t>
      </w:r>
      <w:r>
        <w:t>the</w:t>
      </w:r>
      <w:r>
        <w:rPr>
          <w:spacing w:val="-6"/>
        </w:rPr>
        <w:t xml:space="preserve"> </w:t>
      </w:r>
      <w:r>
        <w:t>child,</w:t>
      </w:r>
      <w:r>
        <w:rPr>
          <w:spacing w:val="-5"/>
        </w:rPr>
        <w:t xml:space="preserve"> </w:t>
      </w:r>
      <w:r>
        <w:t>disability</w:t>
      </w:r>
      <w:r>
        <w:rPr>
          <w:spacing w:val="-5"/>
        </w:rPr>
        <w:t xml:space="preserve"> </w:t>
      </w:r>
      <w:r>
        <w:t>legislation</w:t>
      </w:r>
      <w:r>
        <w:rPr>
          <w:spacing w:val="-6"/>
        </w:rPr>
        <w:t xml:space="preserve"> </w:t>
      </w:r>
      <w:r>
        <w:t>and</w:t>
      </w:r>
      <w:r>
        <w:rPr>
          <w:spacing w:val="-9"/>
        </w:rPr>
        <w:t xml:space="preserve"> </w:t>
      </w:r>
      <w:r>
        <w:t>wellbeing of future generations are all incorporated within the Act, providing an</w:t>
      </w:r>
      <w:r>
        <w:rPr>
          <w:spacing w:val="-9"/>
        </w:rPr>
        <w:t xml:space="preserve"> </w:t>
      </w:r>
      <w:r>
        <w:t>inclusive</w:t>
      </w:r>
    </w:p>
    <w:p w:rsidR="00830047" w:rsidRDefault="00830047">
      <w:pPr>
        <w:spacing w:line="360" w:lineRule="auto"/>
        <w:jc w:val="both"/>
        <w:sectPr w:rsidR="00830047">
          <w:pgSz w:w="11910" w:h="16840"/>
          <w:pgMar w:top="960" w:right="540" w:bottom="1200" w:left="540" w:header="749" w:footer="1003" w:gutter="0"/>
          <w:cols w:space="720"/>
        </w:sectPr>
      </w:pPr>
    </w:p>
    <w:p w:rsidR="00830047" w:rsidRDefault="00830047">
      <w:pPr>
        <w:pStyle w:val="BodyText"/>
        <w:spacing w:before="4"/>
        <w:rPr>
          <w:rFonts w:ascii="Times New Roman"/>
          <w:sz w:val="17"/>
        </w:rPr>
      </w:pPr>
    </w:p>
    <w:p w:rsidR="00830047" w:rsidRDefault="00830047">
      <w:pPr>
        <w:rPr>
          <w:rFonts w:ascii="Times New Roman"/>
          <w:sz w:val="17"/>
        </w:rPr>
        <w:sectPr w:rsidR="00830047">
          <w:pgSz w:w="11910" w:h="16840"/>
          <w:pgMar w:top="960" w:right="540" w:bottom="1200" w:left="540" w:header="749" w:footer="1003" w:gutter="0"/>
          <w:cols w:space="720"/>
        </w:sectPr>
      </w:pPr>
    </w:p>
    <w:p w:rsidR="00830047" w:rsidRDefault="0036266F">
      <w:pPr>
        <w:pStyle w:val="BodyText"/>
        <w:tabs>
          <w:tab w:val="left" w:pos="4118"/>
          <w:tab w:val="left" w:pos="8327"/>
        </w:tabs>
        <w:spacing w:before="26"/>
        <w:ind w:right="189"/>
        <w:jc w:val="center"/>
      </w:pPr>
      <w:r>
        <w:t>EAEE6002</w:t>
      </w:r>
      <w:r>
        <w:tab/>
        <w:t>1904814</w:t>
      </w:r>
      <w:r>
        <w:tab/>
        <w:t>2,316</w:t>
      </w:r>
    </w:p>
    <w:p w:rsidR="00830047" w:rsidRDefault="0036266F">
      <w:pPr>
        <w:pStyle w:val="Heading1"/>
        <w:ind w:right="12"/>
        <w:jc w:val="center"/>
      </w:pPr>
      <w:r>
        <w:t>Impending changes to ALN legislation in Wales.</w:t>
      </w:r>
    </w:p>
    <w:p w:rsidR="00830047" w:rsidRDefault="00830047">
      <w:pPr>
        <w:jc w:val="center"/>
        <w:sectPr w:rsidR="00830047">
          <w:headerReference w:type="default" r:id="rId8"/>
          <w:footerReference w:type="default" r:id="rId9"/>
          <w:pgSz w:w="11910" w:h="16840"/>
          <w:pgMar w:top="660" w:right="540" w:bottom="280" w:left="540" w:header="0" w:footer="0" w:gutter="0"/>
          <w:cols w:space="720"/>
        </w:sectPr>
      </w:pPr>
    </w:p>
    <w:p w:rsidR="00830047" w:rsidRDefault="0036266F">
      <w:pPr>
        <w:spacing w:before="190"/>
        <w:ind w:left="3173"/>
        <w:rPr>
          <w:rFonts w:ascii="Lucida Calligraphy"/>
          <w:i/>
        </w:rPr>
      </w:pPr>
      <w:r>
        <w:rPr>
          <w:rFonts w:ascii="Lucida Calligraphy"/>
          <w:i/>
          <w:sz w:val="28"/>
        </w:rPr>
        <w:t>Information for practitioners</w:t>
      </w:r>
      <w:r>
        <w:rPr>
          <w:rFonts w:ascii="Lucida Calligraphy"/>
          <w:i/>
        </w:rPr>
        <w:t>.</w:t>
      </w:r>
    </w:p>
    <w:p w:rsidR="00830047" w:rsidRDefault="0036266F">
      <w:pPr>
        <w:pStyle w:val="BodyText"/>
        <w:spacing w:before="175"/>
        <w:ind w:left="2710"/>
      </w:pPr>
      <w:r>
        <w:rPr>
          <w:u w:val="single"/>
        </w:rPr>
        <w:t>Introduction</w:t>
      </w:r>
    </w:p>
    <w:p w:rsidR="00830047" w:rsidRDefault="0036266F">
      <w:pPr>
        <w:spacing w:before="24" w:line="259" w:lineRule="auto"/>
        <w:ind w:left="103" w:right="1238"/>
        <w:jc w:val="both"/>
        <w:rPr>
          <w:sz w:val="16"/>
        </w:rPr>
      </w:pPr>
      <w:r>
        <w:rPr>
          <w:sz w:val="16"/>
        </w:rPr>
        <w:t>This document will set out the impending changes to early year’s practitioner’s current SEN practice. (Welsh Government, 2020) state that funding for the implementation of the ALN Bill has been</w:t>
      </w:r>
      <w:r>
        <w:rPr>
          <w:sz w:val="16"/>
        </w:rPr>
        <w:t xml:space="preserve"> agreed by Welsh Government with an estimated cost of £20.244 million. The bill will be implemented in Wales, September 2021, from this date forward the code will be live however it may take up to three years to be fully implemented across Wales. During th</w:t>
      </w:r>
      <w:r>
        <w:rPr>
          <w:sz w:val="16"/>
        </w:rPr>
        <w:t>is transition period early years providers and education must still comply with the Education Act (1996) with continuous regard to the SEN code of Practice for Wales, (2004) for all children. (Welsh Government, 2020).</w:t>
      </w:r>
    </w:p>
    <w:p w:rsidR="00830047" w:rsidRDefault="00830047">
      <w:pPr>
        <w:pStyle w:val="BodyText"/>
        <w:spacing w:before="11"/>
        <w:rPr>
          <w:sz w:val="12"/>
        </w:rPr>
      </w:pPr>
    </w:p>
    <w:p w:rsidR="00830047" w:rsidRDefault="0036266F">
      <w:pPr>
        <w:spacing w:line="259" w:lineRule="auto"/>
        <w:ind w:left="103" w:right="1242"/>
        <w:jc w:val="both"/>
        <w:rPr>
          <w:sz w:val="16"/>
        </w:rPr>
      </w:pPr>
      <w:r>
        <w:rPr>
          <w:sz w:val="16"/>
        </w:rPr>
        <w:t>To ensure all children, young people, parents and professionals views were heard during this reform, consultation events were held across Wales, and during October 2019 an eight week consultation</w:t>
      </w:r>
      <w:r>
        <w:rPr>
          <w:spacing w:val="-14"/>
          <w:sz w:val="16"/>
        </w:rPr>
        <w:t xml:space="preserve"> </w:t>
      </w:r>
      <w:r>
        <w:rPr>
          <w:sz w:val="16"/>
        </w:rPr>
        <w:t>period</w:t>
      </w:r>
      <w:r>
        <w:rPr>
          <w:spacing w:val="-12"/>
          <w:sz w:val="16"/>
        </w:rPr>
        <w:t xml:space="preserve"> </w:t>
      </w:r>
      <w:r>
        <w:rPr>
          <w:sz w:val="16"/>
        </w:rPr>
        <w:t>began.</w:t>
      </w:r>
      <w:r>
        <w:rPr>
          <w:spacing w:val="-13"/>
          <w:sz w:val="16"/>
        </w:rPr>
        <w:t xml:space="preserve"> </w:t>
      </w:r>
      <w:r>
        <w:rPr>
          <w:sz w:val="16"/>
        </w:rPr>
        <w:t>Additional</w:t>
      </w:r>
      <w:r>
        <w:rPr>
          <w:spacing w:val="-12"/>
          <w:sz w:val="16"/>
        </w:rPr>
        <w:t xml:space="preserve"> </w:t>
      </w:r>
      <w:r>
        <w:rPr>
          <w:sz w:val="16"/>
        </w:rPr>
        <w:t>consultations</w:t>
      </w:r>
      <w:r>
        <w:rPr>
          <w:spacing w:val="-12"/>
          <w:sz w:val="16"/>
        </w:rPr>
        <w:t xml:space="preserve"> </w:t>
      </w:r>
      <w:r>
        <w:rPr>
          <w:sz w:val="16"/>
        </w:rPr>
        <w:t>within</w:t>
      </w:r>
      <w:r>
        <w:rPr>
          <w:spacing w:val="-12"/>
          <w:sz w:val="16"/>
        </w:rPr>
        <w:t xml:space="preserve"> </w:t>
      </w:r>
      <w:r>
        <w:rPr>
          <w:sz w:val="16"/>
        </w:rPr>
        <w:t>two</w:t>
      </w:r>
      <w:r>
        <w:rPr>
          <w:spacing w:val="-14"/>
          <w:sz w:val="16"/>
        </w:rPr>
        <w:t xml:space="preserve"> </w:t>
      </w:r>
      <w:r>
        <w:rPr>
          <w:sz w:val="16"/>
        </w:rPr>
        <w:t>special</w:t>
      </w:r>
      <w:r>
        <w:rPr>
          <w:spacing w:val="-12"/>
          <w:sz w:val="16"/>
        </w:rPr>
        <w:t xml:space="preserve"> </w:t>
      </w:r>
      <w:r>
        <w:rPr>
          <w:sz w:val="16"/>
        </w:rPr>
        <w:t>schools</w:t>
      </w:r>
      <w:r>
        <w:rPr>
          <w:spacing w:val="-14"/>
          <w:sz w:val="16"/>
        </w:rPr>
        <w:t xml:space="preserve"> </w:t>
      </w:r>
      <w:r>
        <w:rPr>
          <w:sz w:val="16"/>
        </w:rPr>
        <w:t>were</w:t>
      </w:r>
      <w:r>
        <w:rPr>
          <w:spacing w:val="-12"/>
          <w:sz w:val="16"/>
        </w:rPr>
        <w:t xml:space="preserve"> </w:t>
      </w:r>
      <w:r>
        <w:rPr>
          <w:sz w:val="16"/>
        </w:rPr>
        <w:t>held</w:t>
      </w:r>
      <w:r>
        <w:rPr>
          <w:spacing w:val="-12"/>
          <w:sz w:val="16"/>
        </w:rPr>
        <w:t xml:space="preserve"> </w:t>
      </w:r>
      <w:r>
        <w:rPr>
          <w:sz w:val="16"/>
        </w:rPr>
        <w:t>to</w:t>
      </w:r>
      <w:r>
        <w:rPr>
          <w:spacing w:val="-12"/>
          <w:sz w:val="16"/>
        </w:rPr>
        <w:t xml:space="preserve"> </w:t>
      </w:r>
      <w:r>
        <w:rPr>
          <w:sz w:val="16"/>
        </w:rPr>
        <w:t>ensure there was sufficient representation of the child’s voice (Welsh Government,</w:t>
      </w:r>
      <w:r>
        <w:rPr>
          <w:spacing w:val="-17"/>
          <w:sz w:val="16"/>
        </w:rPr>
        <w:t xml:space="preserve"> </w:t>
      </w:r>
      <w:r>
        <w:rPr>
          <w:sz w:val="16"/>
        </w:rPr>
        <w:t>2021)</w:t>
      </w:r>
    </w:p>
    <w:p w:rsidR="00830047" w:rsidRDefault="00830047">
      <w:pPr>
        <w:pStyle w:val="BodyText"/>
        <w:spacing w:before="1"/>
        <w:rPr>
          <w:sz w:val="13"/>
        </w:rPr>
      </w:pPr>
    </w:p>
    <w:p w:rsidR="00830047" w:rsidRDefault="0036266F">
      <w:pPr>
        <w:spacing w:before="1" w:line="259" w:lineRule="auto"/>
        <w:ind w:left="103" w:right="1237"/>
        <w:jc w:val="both"/>
        <w:rPr>
          <w:sz w:val="16"/>
        </w:rPr>
      </w:pPr>
      <w:r>
        <w:rPr>
          <w:sz w:val="16"/>
        </w:rPr>
        <w:t>Welsh Government, (2020) state that the aim of the reform is to ensure that the programme is fully</w:t>
      </w:r>
      <w:r>
        <w:rPr>
          <w:spacing w:val="-6"/>
          <w:sz w:val="16"/>
        </w:rPr>
        <w:t xml:space="preserve"> </w:t>
      </w:r>
      <w:r>
        <w:rPr>
          <w:sz w:val="16"/>
        </w:rPr>
        <w:t>inclusive</w:t>
      </w:r>
      <w:r>
        <w:rPr>
          <w:spacing w:val="-6"/>
          <w:sz w:val="16"/>
        </w:rPr>
        <w:t xml:space="preserve"> </w:t>
      </w:r>
      <w:r>
        <w:rPr>
          <w:sz w:val="16"/>
        </w:rPr>
        <w:t>for</w:t>
      </w:r>
      <w:r>
        <w:rPr>
          <w:spacing w:val="-6"/>
          <w:sz w:val="16"/>
        </w:rPr>
        <w:t xml:space="preserve"> </w:t>
      </w:r>
      <w:r>
        <w:rPr>
          <w:sz w:val="16"/>
        </w:rPr>
        <w:t>all</w:t>
      </w:r>
      <w:r>
        <w:rPr>
          <w:spacing w:val="-6"/>
          <w:sz w:val="16"/>
        </w:rPr>
        <w:t xml:space="preserve"> </w:t>
      </w:r>
      <w:r>
        <w:rPr>
          <w:sz w:val="16"/>
        </w:rPr>
        <w:t>learners</w:t>
      </w:r>
      <w:r>
        <w:rPr>
          <w:spacing w:val="-8"/>
          <w:sz w:val="16"/>
        </w:rPr>
        <w:t xml:space="preserve"> </w:t>
      </w:r>
      <w:r>
        <w:rPr>
          <w:sz w:val="16"/>
        </w:rPr>
        <w:t>in</w:t>
      </w:r>
      <w:r>
        <w:rPr>
          <w:spacing w:val="-6"/>
          <w:sz w:val="16"/>
        </w:rPr>
        <w:t xml:space="preserve"> </w:t>
      </w:r>
      <w:r>
        <w:rPr>
          <w:sz w:val="16"/>
        </w:rPr>
        <w:t>early</w:t>
      </w:r>
      <w:r>
        <w:rPr>
          <w:spacing w:val="-8"/>
          <w:sz w:val="16"/>
        </w:rPr>
        <w:t xml:space="preserve"> </w:t>
      </w:r>
      <w:r>
        <w:rPr>
          <w:sz w:val="16"/>
        </w:rPr>
        <w:t>year’s</w:t>
      </w:r>
      <w:r>
        <w:rPr>
          <w:spacing w:val="-8"/>
          <w:sz w:val="16"/>
        </w:rPr>
        <w:t xml:space="preserve"> </w:t>
      </w:r>
      <w:r>
        <w:rPr>
          <w:sz w:val="16"/>
        </w:rPr>
        <w:t>edu</w:t>
      </w:r>
      <w:r>
        <w:rPr>
          <w:sz w:val="16"/>
        </w:rPr>
        <w:t>cation</w:t>
      </w:r>
      <w:r>
        <w:rPr>
          <w:spacing w:val="-8"/>
          <w:sz w:val="16"/>
        </w:rPr>
        <w:t xml:space="preserve"> </w:t>
      </w:r>
      <w:r>
        <w:rPr>
          <w:sz w:val="16"/>
        </w:rPr>
        <w:t>and</w:t>
      </w:r>
      <w:r>
        <w:rPr>
          <w:spacing w:val="-8"/>
          <w:sz w:val="16"/>
        </w:rPr>
        <w:t xml:space="preserve"> </w:t>
      </w:r>
      <w:r>
        <w:rPr>
          <w:sz w:val="16"/>
        </w:rPr>
        <w:t>provisions</w:t>
      </w:r>
      <w:r>
        <w:rPr>
          <w:spacing w:val="-9"/>
          <w:sz w:val="16"/>
        </w:rPr>
        <w:t xml:space="preserve"> </w:t>
      </w:r>
      <w:r>
        <w:rPr>
          <w:sz w:val="16"/>
        </w:rPr>
        <w:t>across</w:t>
      </w:r>
      <w:r>
        <w:rPr>
          <w:spacing w:val="-6"/>
          <w:sz w:val="16"/>
        </w:rPr>
        <w:t xml:space="preserve"> </w:t>
      </w:r>
      <w:r>
        <w:rPr>
          <w:sz w:val="16"/>
        </w:rPr>
        <w:t>Wales.</w:t>
      </w:r>
      <w:r>
        <w:rPr>
          <w:spacing w:val="-8"/>
          <w:sz w:val="16"/>
        </w:rPr>
        <w:t xml:space="preserve"> </w:t>
      </w:r>
      <w:r>
        <w:rPr>
          <w:sz w:val="16"/>
        </w:rPr>
        <w:t>A</w:t>
      </w:r>
      <w:r>
        <w:rPr>
          <w:spacing w:val="-7"/>
          <w:sz w:val="16"/>
        </w:rPr>
        <w:t xml:space="preserve"> </w:t>
      </w:r>
      <w:r>
        <w:rPr>
          <w:sz w:val="16"/>
        </w:rPr>
        <w:t>collaborative approach will include opinions from all professionals, young children and families in the planning of their education, creating a plan that incorporates all of the child’s strengths and abilities, it will</w:t>
      </w:r>
      <w:r>
        <w:rPr>
          <w:sz w:val="16"/>
        </w:rPr>
        <w:t xml:space="preserve"> identify</w:t>
      </w:r>
      <w:r>
        <w:rPr>
          <w:spacing w:val="-6"/>
          <w:sz w:val="16"/>
        </w:rPr>
        <w:t xml:space="preserve"> </w:t>
      </w:r>
      <w:r>
        <w:rPr>
          <w:sz w:val="16"/>
        </w:rPr>
        <w:t>what</w:t>
      </w:r>
      <w:r>
        <w:rPr>
          <w:spacing w:val="-6"/>
          <w:sz w:val="16"/>
        </w:rPr>
        <w:t xml:space="preserve"> </w:t>
      </w:r>
      <w:r>
        <w:rPr>
          <w:sz w:val="16"/>
        </w:rPr>
        <w:t>works</w:t>
      </w:r>
      <w:r>
        <w:rPr>
          <w:spacing w:val="-6"/>
          <w:sz w:val="16"/>
        </w:rPr>
        <w:t xml:space="preserve"> </w:t>
      </w:r>
      <w:r>
        <w:rPr>
          <w:sz w:val="16"/>
        </w:rPr>
        <w:t>best</w:t>
      </w:r>
      <w:r>
        <w:rPr>
          <w:spacing w:val="-7"/>
          <w:sz w:val="16"/>
        </w:rPr>
        <w:t xml:space="preserve"> </w:t>
      </w:r>
      <w:r>
        <w:rPr>
          <w:sz w:val="16"/>
        </w:rPr>
        <w:t>for</w:t>
      </w:r>
      <w:r>
        <w:rPr>
          <w:spacing w:val="-6"/>
          <w:sz w:val="16"/>
        </w:rPr>
        <w:t xml:space="preserve"> </w:t>
      </w:r>
      <w:r>
        <w:rPr>
          <w:sz w:val="16"/>
        </w:rPr>
        <w:t>the</w:t>
      </w:r>
      <w:r>
        <w:rPr>
          <w:spacing w:val="-6"/>
          <w:sz w:val="16"/>
        </w:rPr>
        <w:t xml:space="preserve"> </w:t>
      </w:r>
      <w:r>
        <w:rPr>
          <w:sz w:val="16"/>
        </w:rPr>
        <w:t>individual</w:t>
      </w:r>
      <w:r>
        <w:rPr>
          <w:spacing w:val="-6"/>
          <w:sz w:val="16"/>
        </w:rPr>
        <w:t xml:space="preserve"> </w:t>
      </w:r>
      <w:r>
        <w:rPr>
          <w:sz w:val="16"/>
        </w:rPr>
        <w:t>child</w:t>
      </w:r>
      <w:r>
        <w:rPr>
          <w:spacing w:val="-6"/>
          <w:sz w:val="16"/>
        </w:rPr>
        <w:t xml:space="preserve"> </w:t>
      </w:r>
      <w:r>
        <w:rPr>
          <w:sz w:val="16"/>
        </w:rPr>
        <w:t>as</w:t>
      </w:r>
      <w:r>
        <w:rPr>
          <w:spacing w:val="-6"/>
          <w:sz w:val="16"/>
        </w:rPr>
        <w:t xml:space="preserve"> </w:t>
      </w:r>
      <w:r>
        <w:rPr>
          <w:sz w:val="16"/>
        </w:rPr>
        <w:t>a</w:t>
      </w:r>
      <w:r>
        <w:rPr>
          <w:spacing w:val="-5"/>
          <w:sz w:val="16"/>
        </w:rPr>
        <w:t xml:space="preserve"> </w:t>
      </w:r>
      <w:r>
        <w:rPr>
          <w:sz w:val="16"/>
        </w:rPr>
        <w:t>person</w:t>
      </w:r>
      <w:r>
        <w:rPr>
          <w:spacing w:val="-6"/>
          <w:sz w:val="16"/>
        </w:rPr>
        <w:t xml:space="preserve"> </w:t>
      </w:r>
      <w:r>
        <w:rPr>
          <w:sz w:val="16"/>
        </w:rPr>
        <w:t>centred</w:t>
      </w:r>
      <w:r>
        <w:rPr>
          <w:spacing w:val="-6"/>
          <w:sz w:val="16"/>
        </w:rPr>
        <w:t xml:space="preserve"> </w:t>
      </w:r>
      <w:r>
        <w:rPr>
          <w:sz w:val="16"/>
        </w:rPr>
        <w:t>practice</w:t>
      </w:r>
      <w:r>
        <w:rPr>
          <w:spacing w:val="-6"/>
          <w:sz w:val="16"/>
        </w:rPr>
        <w:t xml:space="preserve"> </w:t>
      </w:r>
      <w:r>
        <w:rPr>
          <w:sz w:val="16"/>
        </w:rPr>
        <w:t>rather</w:t>
      </w:r>
      <w:r>
        <w:rPr>
          <w:spacing w:val="-6"/>
          <w:sz w:val="16"/>
        </w:rPr>
        <w:t xml:space="preserve"> </w:t>
      </w:r>
      <w:r>
        <w:rPr>
          <w:sz w:val="16"/>
        </w:rPr>
        <w:t>than</w:t>
      </w:r>
      <w:r>
        <w:rPr>
          <w:spacing w:val="-6"/>
          <w:sz w:val="16"/>
        </w:rPr>
        <w:t xml:space="preserve"> </w:t>
      </w:r>
      <w:r>
        <w:rPr>
          <w:sz w:val="16"/>
        </w:rPr>
        <w:t>a</w:t>
      </w:r>
      <w:r>
        <w:rPr>
          <w:spacing w:val="-5"/>
          <w:sz w:val="16"/>
        </w:rPr>
        <w:t xml:space="preserve"> </w:t>
      </w:r>
      <w:r>
        <w:rPr>
          <w:sz w:val="16"/>
        </w:rPr>
        <w:t>blanket approach to additional learning needs (Welsh Government, 2018). The code will give specific operational guidance for practitioners, explaining the responsibilities of the local authority, educational</w:t>
      </w:r>
      <w:r>
        <w:rPr>
          <w:spacing w:val="-4"/>
          <w:sz w:val="16"/>
        </w:rPr>
        <w:t xml:space="preserve"> </w:t>
      </w:r>
      <w:r>
        <w:rPr>
          <w:sz w:val="16"/>
        </w:rPr>
        <w:t>settings</w:t>
      </w:r>
      <w:r>
        <w:rPr>
          <w:spacing w:val="-6"/>
          <w:sz w:val="16"/>
        </w:rPr>
        <w:t xml:space="preserve"> </w:t>
      </w:r>
      <w:r>
        <w:rPr>
          <w:sz w:val="16"/>
        </w:rPr>
        <w:t>and</w:t>
      </w:r>
      <w:r>
        <w:rPr>
          <w:spacing w:val="-3"/>
          <w:sz w:val="16"/>
        </w:rPr>
        <w:t xml:space="preserve"> </w:t>
      </w:r>
      <w:r>
        <w:rPr>
          <w:sz w:val="16"/>
        </w:rPr>
        <w:t>childcare</w:t>
      </w:r>
      <w:r>
        <w:rPr>
          <w:spacing w:val="-6"/>
          <w:sz w:val="16"/>
        </w:rPr>
        <w:t xml:space="preserve"> </w:t>
      </w:r>
      <w:r>
        <w:rPr>
          <w:sz w:val="16"/>
        </w:rPr>
        <w:t>settings</w:t>
      </w:r>
      <w:r>
        <w:rPr>
          <w:spacing w:val="-6"/>
          <w:sz w:val="16"/>
        </w:rPr>
        <w:t xml:space="preserve"> </w:t>
      </w:r>
      <w:r>
        <w:rPr>
          <w:sz w:val="16"/>
        </w:rPr>
        <w:t>in</w:t>
      </w:r>
      <w:r>
        <w:rPr>
          <w:spacing w:val="-3"/>
          <w:sz w:val="16"/>
        </w:rPr>
        <w:t xml:space="preserve"> </w:t>
      </w:r>
      <w:r>
        <w:rPr>
          <w:sz w:val="16"/>
        </w:rPr>
        <w:t>regards</w:t>
      </w:r>
      <w:r>
        <w:rPr>
          <w:spacing w:val="-6"/>
          <w:sz w:val="16"/>
        </w:rPr>
        <w:t xml:space="preserve"> </w:t>
      </w:r>
      <w:r>
        <w:rPr>
          <w:sz w:val="16"/>
        </w:rPr>
        <w:t>to</w:t>
      </w:r>
      <w:r>
        <w:rPr>
          <w:spacing w:val="-4"/>
          <w:sz w:val="16"/>
        </w:rPr>
        <w:t xml:space="preserve"> </w:t>
      </w:r>
      <w:r>
        <w:rPr>
          <w:sz w:val="16"/>
        </w:rPr>
        <w:t>a</w:t>
      </w:r>
      <w:r>
        <w:rPr>
          <w:spacing w:val="-5"/>
          <w:sz w:val="16"/>
        </w:rPr>
        <w:t xml:space="preserve"> </w:t>
      </w:r>
      <w:r>
        <w:rPr>
          <w:sz w:val="16"/>
        </w:rPr>
        <w:t>child</w:t>
      </w:r>
      <w:r>
        <w:rPr>
          <w:spacing w:val="-3"/>
          <w:sz w:val="16"/>
        </w:rPr>
        <w:t xml:space="preserve"> </w:t>
      </w:r>
      <w:r>
        <w:rPr>
          <w:sz w:val="16"/>
        </w:rPr>
        <w:t>or</w:t>
      </w:r>
      <w:r>
        <w:rPr>
          <w:spacing w:val="-6"/>
          <w:sz w:val="16"/>
        </w:rPr>
        <w:t xml:space="preserve"> </w:t>
      </w:r>
      <w:r>
        <w:rPr>
          <w:sz w:val="16"/>
        </w:rPr>
        <w:t>young</w:t>
      </w:r>
      <w:r>
        <w:rPr>
          <w:spacing w:val="-4"/>
          <w:sz w:val="16"/>
        </w:rPr>
        <w:t xml:space="preserve"> </w:t>
      </w:r>
      <w:r>
        <w:rPr>
          <w:sz w:val="16"/>
        </w:rPr>
        <w:t>person</w:t>
      </w:r>
      <w:r>
        <w:rPr>
          <w:spacing w:val="-6"/>
          <w:sz w:val="16"/>
        </w:rPr>
        <w:t xml:space="preserve"> </w:t>
      </w:r>
      <w:r>
        <w:rPr>
          <w:sz w:val="16"/>
        </w:rPr>
        <w:t>with</w:t>
      </w:r>
      <w:r>
        <w:rPr>
          <w:spacing w:val="-3"/>
          <w:sz w:val="16"/>
        </w:rPr>
        <w:t xml:space="preserve"> </w:t>
      </w:r>
      <w:r>
        <w:rPr>
          <w:sz w:val="16"/>
        </w:rPr>
        <w:t>an</w:t>
      </w:r>
      <w:r>
        <w:rPr>
          <w:spacing w:val="-6"/>
          <w:sz w:val="16"/>
        </w:rPr>
        <w:t xml:space="preserve"> </w:t>
      </w:r>
      <w:r>
        <w:rPr>
          <w:sz w:val="16"/>
        </w:rPr>
        <w:t>identified additional learning need. As a statutory support framework, the bill is aimed to support children and young people aged 0-25. The support provided will be part of an early intervention and a collaborative multiagenc</w:t>
      </w:r>
      <w:r>
        <w:rPr>
          <w:sz w:val="16"/>
        </w:rPr>
        <w:t>y approach that will also include advice, planning and monitoring of the support provided to the child or young person (Welsh Government,</w:t>
      </w:r>
      <w:r>
        <w:rPr>
          <w:spacing w:val="-9"/>
          <w:sz w:val="16"/>
        </w:rPr>
        <w:t xml:space="preserve"> </w:t>
      </w:r>
      <w:r>
        <w:rPr>
          <w:sz w:val="16"/>
        </w:rPr>
        <w:t>2020).</w:t>
      </w:r>
    </w:p>
    <w:p w:rsidR="00830047" w:rsidRDefault="00830047">
      <w:pPr>
        <w:pStyle w:val="BodyText"/>
        <w:spacing w:before="1"/>
        <w:rPr>
          <w:sz w:val="21"/>
        </w:rPr>
      </w:pPr>
    </w:p>
    <w:p w:rsidR="00830047" w:rsidRDefault="0036266F">
      <w:pPr>
        <w:ind w:left="4618" w:right="1439"/>
        <w:jc w:val="center"/>
        <w:rPr>
          <w:i/>
          <w:sz w:val="18"/>
        </w:rPr>
      </w:pPr>
      <w:r>
        <w:rPr>
          <w:i/>
          <w:sz w:val="18"/>
          <w:u w:val="single"/>
        </w:rPr>
        <w:t>The role of the ALNCo</w:t>
      </w:r>
    </w:p>
    <w:p w:rsidR="00830047" w:rsidRDefault="0036266F">
      <w:pPr>
        <w:pStyle w:val="BodyText"/>
        <w:rPr>
          <w:i/>
          <w:sz w:val="16"/>
        </w:rPr>
      </w:pPr>
      <w:r>
        <w:br w:type="column"/>
      </w:r>
    </w:p>
    <w:p w:rsidR="00830047" w:rsidRDefault="00830047">
      <w:pPr>
        <w:pStyle w:val="BodyText"/>
        <w:spacing w:before="7"/>
        <w:rPr>
          <w:i/>
          <w:sz w:val="14"/>
        </w:rPr>
      </w:pPr>
    </w:p>
    <w:p w:rsidR="00830047" w:rsidRDefault="0036266F">
      <w:pPr>
        <w:ind w:left="103"/>
        <w:rPr>
          <w:sz w:val="16"/>
        </w:rPr>
      </w:pPr>
      <w:r>
        <w:rPr>
          <w:sz w:val="16"/>
        </w:rPr>
        <w:t>Source: (Welsh Government, 2021)</w:t>
      </w:r>
    </w:p>
    <w:p w:rsidR="00830047" w:rsidRDefault="00830047">
      <w:pPr>
        <w:pStyle w:val="BodyText"/>
        <w:rPr>
          <w:sz w:val="16"/>
        </w:rPr>
      </w:pPr>
    </w:p>
    <w:p w:rsidR="00830047" w:rsidRDefault="00830047">
      <w:pPr>
        <w:pStyle w:val="BodyText"/>
        <w:rPr>
          <w:sz w:val="16"/>
        </w:rPr>
      </w:pPr>
    </w:p>
    <w:p w:rsidR="00830047" w:rsidRDefault="00830047">
      <w:pPr>
        <w:pStyle w:val="BodyText"/>
        <w:rPr>
          <w:sz w:val="16"/>
        </w:rPr>
      </w:pPr>
    </w:p>
    <w:p w:rsidR="00830047" w:rsidRDefault="00830047">
      <w:pPr>
        <w:pStyle w:val="BodyText"/>
        <w:rPr>
          <w:sz w:val="16"/>
        </w:rPr>
      </w:pPr>
    </w:p>
    <w:p w:rsidR="00830047" w:rsidRDefault="00830047">
      <w:pPr>
        <w:pStyle w:val="BodyText"/>
        <w:rPr>
          <w:sz w:val="16"/>
        </w:rPr>
      </w:pPr>
    </w:p>
    <w:p w:rsidR="00830047" w:rsidRDefault="00830047">
      <w:pPr>
        <w:pStyle w:val="BodyText"/>
        <w:rPr>
          <w:sz w:val="16"/>
        </w:rPr>
      </w:pPr>
    </w:p>
    <w:p w:rsidR="00830047" w:rsidRDefault="00830047">
      <w:pPr>
        <w:pStyle w:val="BodyText"/>
        <w:rPr>
          <w:sz w:val="16"/>
        </w:rPr>
      </w:pPr>
    </w:p>
    <w:p w:rsidR="00830047" w:rsidRDefault="00830047">
      <w:pPr>
        <w:pStyle w:val="BodyText"/>
        <w:rPr>
          <w:sz w:val="16"/>
        </w:rPr>
      </w:pPr>
    </w:p>
    <w:p w:rsidR="00830047" w:rsidRDefault="00830047">
      <w:pPr>
        <w:pStyle w:val="BodyText"/>
        <w:rPr>
          <w:sz w:val="16"/>
        </w:rPr>
      </w:pPr>
    </w:p>
    <w:p w:rsidR="00830047" w:rsidRDefault="00830047">
      <w:pPr>
        <w:pStyle w:val="BodyText"/>
        <w:rPr>
          <w:sz w:val="16"/>
        </w:rPr>
      </w:pPr>
    </w:p>
    <w:p w:rsidR="00830047" w:rsidRDefault="00830047">
      <w:pPr>
        <w:pStyle w:val="BodyText"/>
        <w:rPr>
          <w:sz w:val="16"/>
        </w:rPr>
      </w:pPr>
    </w:p>
    <w:p w:rsidR="00830047" w:rsidRDefault="00830047">
      <w:pPr>
        <w:pStyle w:val="BodyText"/>
        <w:rPr>
          <w:sz w:val="16"/>
        </w:rPr>
      </w:pPr>
    </w:p>
    <w:p w:rsidR="00830047" w:rsidRDefault="00830047">
      <w:pPr>
        <w:pStyle w:val="BodyText"/>
        <w:rPr>
          <w:sz w:val="16"/>
        </w:rPr>
      </w:pPr>
    </w:p>
    <w:p w:rsidR="00830047" w:rsidRDefault="00830047">
      <w:pPr>
        <w:pStyle w:val="BodyText"/>
        <w:rPr>
          <w:sz w:val="16"/>
        </w:rPr>
      </w:pPr>
    </w:p>
    <w:p w:rsidR="00830047" w:rsidRDefault="00830047">
      <w:pPr>
        <w:pStyle w:val="BodyText"/>
        <w:rPr>
          <w:sz w:val="16"/>
        </w:rPr>
      </w:pPr>
    </w:p>
    <w:p w:rsidR="00830047" w:rsidRDefault="00830047">
      <w:pPr>
        <w:pStyle w:val="BodyText"/>
        <w:rPr>
          <w:sz w:val="16"/>
        </w:rPr>
      </w:pPr>
    </w:p>
    <w:p w:rsidR="00830047" w:rsidRDefault="00830047">
      <w:pPr>
        <w:pStyle w:val="BodyText"/>
        <w:rPr>
          <w:sz w:val="16"/>
        </w:rPr>
      </w:pPr>
    </w:p>
    <w:p w:rsidR="00830047" w:rsidRDefault="00830047">
      <w:pPr>
        <w:pStyle w:val="BodyText"/>
        <w:rPr>
          <w:sz w:val="16"/>
        </w:rPr>
      </w:pPr>
    </w:p>
    <w:p w:rsidR="00830047" w:rsidRDefault="00830047">
      <w:pPr>
        <w:pStyle w:val="BodyText"/>
        <w:rPr>
          <w:sz w:val="16"/>
        </w:rPr>
      </w:pPr>
    </w:p>
    <w:p w:rsidR="00830047" w:rsidRDefault="0036266F">
      <w:pPr>
        <w:spacing w:before="122"/>
        <w:ind w:left="211"/>
        <w:rPr>
          <w:sz w:val="16"/>
        </w:rPr>
      </w:pPr>
      <w:r>
        <w:rPr>
          <w:sz w:val="16"/>
        </w:rPr>
        <w:t>Source: (Welsh Government, 2020)</w:t>
      </w:r>
    </w:p>
    <w:p w:rsidR="00830047" w:rsidRDefault="00830047">
      <w:pPr>
        <w:pStyle w:val="BodyText"/>
        <w:rPr>
          <w:sz w:val="16"/>
        </w:rPr>
      </w:pPr>
    </w:p>
    <w:p w:rsidR="00830047" w:rsidRDefault="00830047">
      <w:pPr>
        <w:pStyle w:val="BodyText"/>
        <w:rPr>
          <w:sz w:val="16"/>
        </w:rPr>
      </w:pPr>
    </w:p>
    <w:p w:rsidR="00830047" w:rsidRDefault="00830047">
      <w:pPr>
        <w:pStyle w:val="BodyText"/>
        <w:rPr>
          <w:sz w:val="16"/>
        </w:rPr>
      </w:pPr>
    </w:p>
    <w:p w:rsidR="00830047" w:rsidRDefault="00830047">
      <w:pPr>
        <w:pStyle w:val="BodyText"/>
        <w:rPr>
          <w:sz w:val="16"/>
        </w:rPr>
      </w:pPr>
    </w:p>
    <w:p w:rsidR="00830047" w:rsidRDefault="00830047">
      <w:pPr>
        <w:pStyle w:val="BodyText"/>
        <w:rPr>
          <w:sz w:val="16"/>
        </w:rPr>
      </w:pPr>
    </w:p>
    <w:p w:rsidR="00830047" w:rsidRDefault="00830047">
      <w:pPr>
        <w:pStyle w:val="BodyText"/>
        <w:rPr>
          <w:sz w:val="16"/>
        </w:rPr>
      </w:pPr>
    </w:p>
    <w:p w:rsidR="00830047" w:rsidRDefault="00830047">
      <w:pPr>
        <w:pStyle w:val="BodyText"/>
        <w:rPr>
          <w:sz w:val="16"/>
        </w:rPr>
      </w:pPr>
    </w:p>
    <w:p w:rsidR="00830047" w:rsidRDefault="00830047">
      <w:pPr>
        <w:pStyle w:val="BodyText"/>
        <w:rPr>
          <w:sz w:val="16"/>
        </w:rPr>
      </w:pPr>
    </w:p>
    <w:p w:rsidR="00830047" w:rsidRDefault="00830047">
      <w:pPr>
        <w:pStyle w:val="BodyText"/>
        <w:spacing w:before="6"/>
      </w:pPr>
    </w:p>
    <w:p w:rsidR="00830047" w:rsidRDefault="0036266F">
      <w:pPr>
        <w:ind w:left="900"/>
        <w:rPr>
          <w:sz w:val="16"/>
        </w:rPr>
      </w:pPr>
      <w:r>
        <w:rPr>
          <w:sz w:val="16"/>
        </w:rPr>
        <w:t>Source: (Cerebra, 2018)</w:t>
      </w:r>
    </w:p>
    <w:p w:rsidR="00830047" w:rsidRDefault="00830047">
      <w:pPr>
        <w:rPr>
          <w:sz w:val="16"/>
        </w:rPr>
        <w:sectPr w:rsidR="00830047">
          <w:type w:val="continuous"/>
          <w:pgSz w:w="11910" w:h="16840"/>
          <w:pgMar w:top="960" w:right="540" w:bottom="1200" w:left="540" w:header="720" w:footer="720" w:gutter="0"/>
          <w:cols w:num="2" w:space="720" w:equalWidth="0">
            <w:col w:w="7676" w:space="529"/>
            <w:col w:w="2625"/>
          </w:cols>
        </w:sectPr>
      </w:pPr>
    </w:p>
    <w:p w:rsidR="00830047" w:rsidRDefault="0036266F">
      <w:pPr>
        <w:pStyle w:val="BodyText"/>
        <w:spacing w:before="10"/>
        <w:rPr>
          <w:sz w:val="8"/>
        </w:rPr>
      </w:pPr>
      <w:r>
        <w:pict>
          <v:group id="_x0000_s2051" style="position:absolute;margin-left:22.9pt;margin-top:46.1pt;width:550.35pt;height:745.45pt;z-index:-6472;mso-position-horizontal-relative:page;mso-position-vertical-relative:page" coordorigin="458,922" coordsize="11007,149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3" type="#_x0000_t75" style="position:absolute;left:1440;top:4140;width:2760;height:420">
              <v:imagedata r:id="rId10" o:title=""/>
            </v:shape>
            <v:rect id="_x0000_s2072" style="position:absolute;left:463;top:926;width:10961;height:1126" fillcolor="#ccebff" stroked="f"/>
            <v:rect id="_x0000_s2071" style="position:absolute;left:463;top:926;width:10961;height:1126" filled="f" strokeweight=".48pt"/>
            <v:rect id="_x0000_s2070" style="position:absolute;left:494;top:2054;width:6632;height:5957" fillcolor="#fcf" stroked="f"/>
            <v:rect id="_x0000_s2069" style="position:absolute;left:494;top:2054;width:6632;height:5957" filled="f" strokeweight=".48pt"/>
            <v:rect id="_x0000_s2068" style="position:absolute;left:541;top:11792;width:10887;height:2802" fillcolor="#fcf" stroked="f"/>
            <v:rect id="_x0000_s2067" style="position:absolute;left:541;top:11792;width:10887;height:3180" filled="f" strokecolor="#006fc0" strokeweight="2.28pt"/>
            <v:rect id="_x0000_s2066" style="position:absolute;left:511;top:14594;width:10920;height:1232" fillcolor="#ccebff" stroked="f"/>
            <v:rect id="_x0000_s2065" style="position:absolute;left:511;top:14594;width:10920;height:1232" filled="f" strokeweight=".48pt"/>
            <v:rect id="_x0000_s2064" style="position:absolute;left:541;top:7966;width:10858;height:3840" fillcolor="#ccebff" stroked="f"/>
            <v:rect id="_x0000_s2063" style="position:absolute;left:541;top:7966;width:10858;height:3840" filled="f" strokecolor="#006fc0" strokeweight="2.28pt"/>
            <v:shape id="_x0000_s2062" type="#_x0000_t75" style="position:absolute;left:7279;top:2128;width:4104;height:2300">
              <v:imagedata r:id="rId11" o:title=""/>
            </v:shape>
            <v:rect id="_x0000_s2061" style="position:absolute;left:7143;top:2101;width:4268;height:2355" filled="f" strokecolor="#006fc0" strokeweight="2.76pt"/>
            <v:rect id="_x0000_s2060" style="position:absolute;left:8697;top:1680;width:2729;height:375" stroked="f"/>
            <v:rect id="_x0000_s2059" style="position:absolute;left:8697;top:1680;width:2729;height:375" filled="f" strokeweight=".48pt"/>
            <v:shape id="_x0000_s2058" type="#_x0000_t75" style="position:absolute;left:7149;top:4358;width:4281;height:1660">
              <v:imagedata r:id="rId12" o:title=""/>
            </v:shape>
            <v:rect id="_x0000_s2057" style="position:absolute;left:8805;top:5704;width:2655;height:332" stroked="f"/>
            <v:rect id="_x0000_s2056" style="position:absolute;left:8805;top:5704;width:2655;height:332" filled="f" strokeweight=".48pt"/>
            <v:shape id="_x0000_s2055" type="#_x0000_t75" style="position:absolute;left:7154;top:6028;width:4229;height:1920">
              <v:imagedata r:id="rId13" o:title=""/>
            </v:shape>
            <v:rect id="_x0000_s2054" style="position:absolute;left:7124;top:5998;width:4289;height:1980" filled="f" strokecolor="#006fc0" strokeweight="3pt"/>
            <v:rect id="_x0000_s2053" style="position:absolute;left:9494;top:7740;width:1966;height:329" stroked="f"/>
            <v:rect id="_x0000_s2052" style="position:absolute;left:9494;top:7740;width:1966;height:329" filled="f" strokeweight=".48pt"/>
            <w10:wrap anchorx="page" anchory="page"/>
          </v:group>
        </w:pict>
      </w:r>
    </w:p>
    <w:p w:rsidR="00830047" w:rsidRDefault="0036266F">
      <w:pPr>
        <w:spacing w:before="68" w:line="360" w:lineRule="auto"/>
        <w:ind w:left="165" w:right="133"/>
        <w:jc w:val="both"/>
        <w:rPr>
          <w:sz w:val="16"/>
        </w:rPr>
      </w:pPr>
      <w:r>
        <w:rPr>
          <w:sz w:val="16"/>
        </w:rPr>
        <w:t>Within Wales over 23% of learners have an identified additional learning need or ALN (Welsh Government, 2020). To support learners Welsh Government have introduced</w:t>
      </w:r>
      <w:r>
        <w:rPr>
          <w:spacing w:val="-6"/>
          <w:sz w:val="16"/>
        </w:rPr>
        <w:t xml:space="preserve"> </w:t>
      </w:r>
      <w:r>
        <w:rPr>
          <w:sz w:val="16"/>
        </w:rPr>
        <w:t>the</w:t>
      </w:r>
      <w:r>
        <w:rPr>
          <w:spacing w:val="-6"/>
          <w:sz w:val="16"/>
        </w:rPr>
        <w:t xml:space="preserve"> </w:t>
      </w:r>
      <w:r>
        <w:rPr>
          <w:sz w:val="16"/>
        </w:rPr>
        <w:t>ALNE</w:t>
      </w:r>
      <w:r>
        <w:rPr>
          <w:sz w:val="16"/>
        </w:rPr>
        <w:t>T,</w:t>
      </w:r>
      <w:r>
        <w:rPr>
          <w:spacing w:val="-5"/>
          <w:sz w:val="16"/>
        </w:rPr>
        <w:t xml:space="preserve"> </w:t>
      </w:r>
      <w:r>
        <w:rPr>
          <w:sz w:val="16"/>
        </w:rPr>
        <w:t>act</w:t>
      </w:r>
      <w:r>
        <w:rPr>
          <w:spacing w:val="-6"/>
          <w:sz w:val="16"/>
        </w:rPr>
        <w:t xml:space="preserve"> </w:t>
      </w:r>
      <w:r>
        <w:rPr>
          <w:sz w:val="16"/>
        </w:rPr>
        <w:t>(Welsh</w:t>
      </w:r>
      <w:r>
        <w:rPr>
          <w:spacing w:val="-4"/>
          <w:sz w:val="16"/>
        </w:rPr>
        <w:t xml:space="preserve"> </w:t>
      </w:r>
      <w:r>
        <w:rPr>
          <w:sz w:val="16"/>
        </w:rPr>
        <w:t>Government,</w:t>
      </w:r>
      <w:r>
        <w:rPr>
          <w:spacing w:val="-5"/>
          <w:sz w:val="16"/>
        </w:rPr>
        <w:t xml:space="preserve"> </w:t>
      </w:r>
      <w:r>
        <w:rPr>
          <w:sz w:val="16"/>
        </w:rPr>
        <w:t>2018)</w:t>
      </w:r>
      <w:r>
        <w:rPr>
          <w:spacing w:val="-5"/>
          <w:sz w:val="16"/>
        </w:rPr>
        <w:t xml:space="preserve"> </w:t>
      </w:r>
      <w:r>
        <w:rPr>
          <w:sz w:val="16"/>
        </w:rPr>
        <w:t>to</w:t>
      </w:r>
      <w:r>
        <w:rPr>
          <w:spacing w:val="-4"/>
          <w:sz w:val="16"/>
        </w:rPr>
        <w:t xml:space="preserve"> </w:t>
      </w:r>
      <w:r>
        <w:rPr>
          <w:sz w:val="16"/>
        </w:rPr>
        <w:t>ensure</w:t>
      </w:r>
      <w:r>
        <w:rPr>
          <w:spacing w:val="-4"/>
          <w:sz w:val="16"/>
        </w:rPr>
        <w:t xml:space="preserve"> </w:t>
      </w:r>
      <w:r>
        <w:rPr>
          <w:sz w:val="16"/>
        </w:rPr>
        <w:t>all</w:t>
      </w:r>
      <w:r>
        <w:rPr>
          <w:spacing w:val="-4"/>
          <w:sz w:val="16"/>
        </w:rPr>
        <w:t xml:space="preserve"> </w:t>
      </w:r>
      <w:r>
        <w:rPr>
          <w:sz w:val="16"/>
        </w:rPr>
        <w:t>children</w:t>
      </w:r>
      <w:r>
        <w:rPr>
          <w:spacing w:val="-6"/>
          <w:sz w:val="16"/>
        </w:rPr>
        <w:t xml:space="preserve"> </w:t>
      </w:r>
      <w:r>
        <w:rPr>
          <w:sz w:val="16"/>
        </w:rPr>
        <w:t>have</w:t>
      </w:r>
      <w:r>
        <w:rPr>
          <w:spacing w:val="-2"/>
          <w:sz w:val="16"/>
        </w:rPr>
        <w:t xml:space="preserve"> </w:t>
      </w:r>
      <w:r>
        <w:rPr>
          <w:sz w:val="16"/>
        </w:rPr>
        <w:t>access</w:t>
      </w:r>
      <w:r>
        <w:rPr>
          <w:spacing w:val="-4"/>
          <w:sz w:val="16"/>
        </w:rPr>
        <w:t xml:space="preserve"> </w:t>
      </w:r>
      <w:r>
        <w:rPr>
          <w:sz w:val="16"/>
        </w:rPr>
        <w:t>to</w:t>
      </w:r>
      <w:r>
        <w:rPr>
          <w:spacing w:val="-4"/>
          <w:sz w:val="16"/>
        </w:rPr>
        <w:t xml:space="preserve"> </w:t>
      </w:r>
      <w:r>
        <w:rPr>
          <w:sz w:val="16"/>
        </w:rPr>
        <w:t>Early</w:t>
      </w:r>
      <w:r>
        <w:rPr>
          <w:spacing w:val="-6"/>
          <w:sz w:val="16"/>
        </w:rPr>
        <w:t xml:space="preserve"> </w:t>
      </w:r>
      <w:r>
        <w:rPr>
          <w:sz w:val="16"/>
        </w:rPr>
        <w:t>Years</w:t>
      </w:r>
      <w:r>
        <w:rPr>
          <w:spacing w:val="-3"/>
          <w:sz w:val="16"/>
        </w:rPr>
        <w:t xml:space="preserve"> </w:t>
      </w:r>
      <w:r>
        <w:rPr>
          <w:sz w:val="16"/>
        </w:rPr>
        <w:t>provision</w:t>
      </w:r>
      <w:r>
        <w:rPr>
          <w:spacing w:val="-3"/>
          <w:sz w:val="16"/>
        </w:rPr>
        <w:t xml:space="preserve"> </w:t>
      </w:r>
      <w:r>
        <w:rPr>
          <w:sz w:val="16"/>
        </w:rPr>
        <w:t>within</w:t>
      </w:r>
      <w:r>
        <w:rPr>
          <w:spacing w:val="-3"/>
          <w:sz w:val="16"/>
        </w:rPr>
        <w:t xml:space="preserve"> </w:t>
      </w:r>
      <w:r>
        <w:rPr>
          <w:sz w:val="16"/>
        </w:rPr>
        <w:t>Wales.</w:t>
      </w:r>
      <w:r>
        <w:rPr>
          <w:spacing w:val="-5"/>
          <w:sz w:val="16"/>
        </w:rPr>
        <w:t xml:space="preserve"> </w:t>
      </w:r>
      <w:r>
        <w:rPr>
          <w:sz w:val="16"/>
        </w:rPr>
        <w:t>To</w:t>
      </w:r>
      <w:r>
        <w:rPr>
          <w:spacing w:val="-6"/>
          <w:sz w:val="16"/>
        </w:rPr>
        <w:t xml:space="preserve"> </w:t>
      </w:r>
      <w:r>
        <w:rPr>
          <w:sz w:val="16"/>
        </w:rPr>
        <w:t>ensure</w:t>
      </w:r>
      <w:r>
        <w:rPr>
          <w:spacing w:val="-3"/>
          <w:sz w:val="16"/>
        </w:rPr>
        <w:t xml:space="preserve"> </w:t>
      </w:r>
      <w:r>
        <w:rPr>
          <w:sz w:val="16"/>
        </w:rPr>
        <w:t>this</w:t>
      </w:r>
      <w:r>
        <w:rPr>
          <w:spacing w:val="-3"/>
          <w:sz w:val="16"/>
        </w:rPr>
        <w:t xml:space="preserve"> </w:t>
      </w:r>
      <w:r>
        <w:rPr>
          <w:sz w:val="16"/>
        </w:rPr>
        <w:t>is</w:t>
      </w:r>
      <w:r>
        <w:rPr>
          <w:spacing w:val="-3"/>
          <w:sz w:val="16"/>
        </w:rPr>
        <w:t xml:space="preserve"> </w:t>
      </w:r>
      <w:r>
        <w:rPr>
          <w:sz w:val="16"/>
        </w:rPr>
        <w:t>consistent,</w:t>
      </w:r>
      <w:r>
        <w:rPr>
          <w:spacing w:val="-5"/>
          <w:sz w:val="16"/>
        </w:rPr>
        <w:t xml:space="preserve"> </w:t>
      </w:r>
      <w:r>
        <w:rPr>
          <w:sz w:val="16"/>
        </w:rPr>
        <w:t>all</w:t>
      </w:r>
      <w:r>
        <w:rPr>
          <w:spacing w:val="-6"/>
          <w:sz w:val="16"/>
        </w:rPr>
        <w:t xml:space="preserve"> </w:t>
      </w:r>
      <w:r>
        <w:rPr>
          <w:sz w:val="16"/>
        </w:rPr>
        <w:t>early years setting and schools must adhere to this</w:t>
      </w:r>
      <w:r>
        <w:rPr>
          <w:spacing w:val="-6"/>
          <w:sz w:val="16"/>
        </w:rPr>
        <w:t xml:space="preserve"> </w:t>
      </w:r>
      <w:r>
        <w:rPr>
          <w:sz w:val="16"/>
        </w:rPr>
        <w:t>act.</w:t>
      </w:r>
    </w:p>
    <w:p w:rsidR="00830047" w:rsidRDefault="00830047">
      <w:pPr>
        <w:pStyle w:val="BodyText"/>
        <w:spacing w:before="2"/>
        <w:rPr>
          <w:sz w:val="13"/>
        </w:rPr>
      </w:pPr>
    </w:p>
    <w:p w:rsidR="00830047" w:rsidRDefault="0036266F">
      <w:pPr>
        <w:spacing w:line="360" w:lineRule="auto"/>
        <w:ind w:left="165" w:right="132"/>
        <w:jc w:val="both"/>
        <w:rPr>
          <w:sz w:val="16"/>
        </w:rPr>
      </w:pPr>
      <w:r>
        <w:rPr>
          <w:sz w:val="16"/>
        </w:rPr>
        <w:t xml:space="preserve">Therefore, the roles of practitioners and school staff will alter. The role of practitioners in response to these changes may not alter greatly, however the SENCo now the ALNCo, has significant changes to their role. According to Welsh Government, (2020), </w:t>
      </w:r>
      <w:r>
        <w:rPr>
          <w:sz w:val="16"/>
        </w:rPr>
        <w:t xml:space="preserve">within all childcare and early years provisions an ALNCo must be recruited. This is to ensure there is a responsibility to provide support for children within the setting. However, the ALNCo must be suitably qualified with a range of experiences that will </w:t>
      </w:r>
      <w:r>
        <w:rPr>
          <w:sz w:val="16"/>
        </w:rPr>
        <w:t xml:space="preserve">contribute to the role (Welsh Government, 2021a). Additionally, continuous personal development must also be evidenced to support the ongoing changes within practice and legislation. The ALNCo will be part of a senior leadership team, as this will provide </w:t>
      </w:r>
      <w:r>
        <w:rPr>
          <w:sz w:val="16"/>
        </w:rPr>
        <w:t>support for the ALNCo in regard to making decisions for provision, additionally managing the purchase and distribution of resources for children with ALN (Welsh Government, 2020: Welsh Government, 2021).</w:t>
      </w:r>
    </w:p>
    <w:p w:rsidR="00830047" w:rsidRDefault="00830047">
      <w:pPr>
        <w:pStyle w:val="BodyText"/>
        <w:spacing w:before="8"/>
      </w:pPr>
    </w:p>
    <w:p w:rsidR="00830047" w:rsidRDefault="0036266F">
      <w:pPr>
        <w:spacing w:before="64"/>
        <w:ind w:left="251" w:right="189"/>
        <w:jc w:val="center"/>
        <w:rPr>
          <w:i/>
          <w:sz w:val="18"/>
        </w:rPr>
      </w:pPr>
      <w:r>
        <w:rPr>
          <w:i/>
          <w:sz w:val="18"/>
          <w:u w:val="single"/>
        </w:rPr>
        <w:t>Individual Development Plans (IDP’s).</w:t>
      </w:r>
    </w:p>
    <w:p w:rsidR="00830047" w:rsidRDefault="00830047">
      <w:pPr>
        <w:pStyle w:val="BodyText"/>
        <w:spacing w:before="10"/>
        <w:rPr>
          <w:i/>
          <w:sz w:val="8"/>
        </w:rPr>
      </w:pPr>
    </w:p>
    <w:p w:rsidR="00830047" w:rsidRDefault="0036266F">
      <w:pPr>
        <w:spacing w:before="68" w:line="259" w:lineRule="auto"/>
        <w:ind w:left="165" w:right="167"/>
        <w:rPr>
          <w:sz w:val="16"/>
        </w:rPr>
      </w:pPr>
      <w:r>
        <w:rPr>
          <w:sz w:val="16"/>
        </w:rPr>
        <w:t>In comparison with the previous SEN code of practice for Wales, (Welsh Government, 2004) Children with special educational needs had access to support within school based education, however the support provided was not statutory within other educational se</w:t>
      </w:r>
      <w:r>
        <w:rPr>
          <w:sz w:val="16"/>
        </w:rPr>
        <w:t>ttings and provisions. the introduction to the ALNET, Act, (Welsh Government, 2018), however is now statutory, childcare providers and early years settings must provide a child with an identified additional learning need, pre and post diagnosis with contin</w:t>
      </w:r>
      <w:r>
        <w:rPr>
          <w:sz w:val="16"/>
        </w:rPr>
        <w:t>uous support within early years settings and education following the guidance set within the act (Welsh Government 2020).</w:t>
      </w:r>
    </w:p>
    <w:p w:rsidR="00830047" w:rsidRDefault="00830047">
      <w:pPr>
        <w:pStyle w:val="BodyText"/>
        <w:spacing w:before="2"/>
        <w:rPr>
          <w:sz w:val="13"/>
        </w:rPr>
      </w:pPr>
    </w:p>
    <w:p w:rsidR="00830047" w:rsidRDefault="0036266F">
      <w:pPr>
        <w:spacing w:line="259" w:lineRule="auto"/>
        <w:ind w:left="165" w:right="160"/>
        <w:rPr>
          <w:sz w:val="16"/>
        </w:rPr>
      </w:pPr>
      <w:r>
        <w:rPr>
          <w:sz w:val="16"/>
        </w:rPr>
        <w:t>According to Welsh Government, (2020), Individual development plans (IDP’s) are now a statutory unified plan that provides informatio</w:t>
      </w:r>
      <w:r>
        <w:rPr>
          <w:sz w:val="16"/>
        </w:rPr>
        <w:t>n to practitioners on how best to support the individual child. The plans are a collaborative working document that record strategies that have been identified by a multi-agency team including participation from the child and parent or carers. The IDP’s ar</w:t>
      </w:r>
      <w:r>
        <w:rPr>
          <w:sz w:val="16"/>
        </w:rPr>
        <w:t>e developed using a person centred practice model that incorporates the child’s views in regards to what works best for them and their additional learning need (Swansea council, 2019). If the child is unable to express their views, then the voice of the ch</w:t>
      </w:r>
      <w:r>
        <w:rPr>
          <w:sz w:val="16"/>
        </w:rPr>
        <w:t>ild must be heard via observations and likes and dislikes identified at home and the setting. As statutory guidance states the IDP is a working document that</w:t>
      </w:r>
    </w:p>
    <w:p w:rsidR="00830047" w:rsidRDefault="0036266F">
      <w:pPr>
        <w:spacing w:before="121" w:line="259" w:lineRule="auto"/>
        <w:ind w:left="120" w:right="109"/>
        <w:rPr>
          <w:sz w:val="16"/>
        </w:rPr>
      </w:pPr>
      <w:r>
        <w:pict>
          <v:shapetype id="_x0000_t202" coordsize="21600,21600" o:spt="202" path="m,l,21600r21600,l21600,xe">
            <v:stroke joinstyle="miter"/>
            <v:path gradientshapeok="t" o:connecttype="rect"/>
          </v:shapetype>
          <v:shape id="_x0000_s2050" type="#_x0000_t202" style="position:absolute;left:0;text-align:left;margin-left:35.3pt;margin-top:1.5pt;width:417.95pt;height:63.75pt;z-index:-6496;mso-position-horizontal-relative:page" filled="f" stroked="f">
            <v:textbox inset="0,0,0,0">
              <w:txbxContent>
                <w:p w:rsidR="00830047" w:rsidRDefault="0036266F">
                  <w:pPr>
                    <w:spacing w:line="164" w:lineRule="exact"/>
                    <w:rPr>
                      <w:sz w:val="16"/>
                    </w:rPr>
                  </w:pPr>
                  <w:r>
                    <w:rPr>
                      <w:sz w:val="16"/>
                    </w:rPr>
                    <w:t>must be reviewed at least every six months to ensure the provision is meeting the needs of the</w:t>
                  </w:r>
                  <w:r>
                    <w:rPr>
                      <w:sz w:val="16"/>
                    </w:rPr>
                    <w:t xml:space="preserve"> child (Welsh Government. 2020).</w:t>
                  </w:r>
                </w:p>
                <w:p w:rsidR="00830047" w:rsidRDefault="00830047">
                  <w:pPr>
                    <w:pStyle w:val="BodyText"/>
                    <w:rPr>
                      <w:sz w:val="16"/>
                    </w:rPr>
                  </w:pPr>
                </w:p>
                <w:p w:rsidR="00830047" w:rsidRDefault="00830047">
                  <w:pPr>
                    <w:pStyle w:val="BodyText"/>
                    <w:rPr>
                      <w:sz w:val="16"/>
                    </w:rPr>
                  </w:pPr>
                </w:p>
                <w:p w:rsidR="00830047" w:rsidRDefault="00830047">
                  <w:pPr>
                    <w:pStyle w:val="BodyText"/>
                    <w:rPr>
                      <w:sz w:val="16"/>
                    </w:rPr>
                  </w:pPr>
                </w:p>
                <w:p w:rsidR="00830047" w:rsidRDefault="00830047">
                  <w:pPr>
                    <w:pStyle w:val="BodyText"/>
                    <w:spacing w:before="4"/>
                    <w:rPr>
                      <w:sz w:val="21"/>
                    </w:rPr>
                  </w:pPr>
                </w:p>
                <w:p w:rsidR="00830047" w:rsidRDefault="0036266F">
                  <w:pPr>
                    <w:pStyle w:val="BodyText"/>
                    <w:spacing w:line="265" w:lineRule="exact"/>
                    <w:ind w:left="2137"/>
                    <w:jc w:val="center"/>
                  </w:pPr>
                  <w:r>
                    <w:t>8</w:t>
                  </w:r>
                </w:p>
              </w:txbxContent>
            </v:textbox>
            <w10:wrap anchorx="page"/>
          </v:shape>
        </w:pict>
      </w:r>
      <w:r>
        <w:rPr>
          <w:sz w:val="16"/>
        </w:rPr>
        <w:t>To conclude, the implementation of the ALNET, (Welsh Government, 2018) will take time to be formally practiced and implemented within Early Years settings and education. The act applies to all settings who provide education and care for children as an incl</w:t>
      </w:r>
      <w:r>
        <w:rPr>
          <w:sz w:val="16"/>
        </w:rPr>
        <w:t xml:space="preserve">usive model. The role of the ALNCo is changing, requiring more accountability from the professional, thus to ensure the correct support is given to all children with an identified ALN. Failure to provide this will have implications for the providers via a </w:t>
      </w:r>
      <w:r>
        <w:rPr>
          <w:sz w:val="16"/>
        </w:rPr>
        <w:t>tribunal process. IDP’s should follow the child throughout their education, IDP’s include feedback from a collaborative multi agency approach including the views of the child. Thus improving developmental outcomes for children using an early intervention a</w:t>
      </w:r>
      <w:r>
        <w:rPr>
          <w:sz w:val="16"/>
        </w:rPr>
        <w:t>pproach.</w:t>
      </w:r>
    </w:p>
    <w:p w:rsidR="00830047" w:rsidRDefault="00830047">
      <w:pPr>
        <w:spacing w:line="259" w:lineRule="auto"/>
        <w:rPr>
          <w:sz w:val="16"/>
        </w:rPr>
        <w:sectPr w:rsidR="00830047">
          <w:type w:val="continuous"/>
          <w:pgSz w:w="11910" w:h="16840"/>
          <w:pgMar w:top="960" w:right="540" w:bottom="1200" w:left="540" w:header="720" w:footer="720" w:gutter="0"/>
          <w:cols w:space="720"/>
        </w:sectPr>
      </w:pPr>
    </w:p>
    <w:p w:rsidR="00830047" w:rsidRDefault="00830047">
      <w:pPr>
        <w:pStyle w:val="BodyText"/>
        <w:spacing w:before="4"/>
        <w:rPr>
          <w:rFonts w:ascii="Times New Roman"/>
          <w:sz w:val="17"/>
        </w:rPr>
      </w:pPr>
    </w:p>
    <w:p w:rsidR="0036266F" w:rsidRPr="00286B2C" w:rsidRDefault="0036266F" w:rsidP="0036266F">
      <w:pPr>
        <w:rPr>
          <w:rFonts w:cstheme="minorHAnsi"/>
          <w:sz w:val="24"/>
          <w:szCs w:val="24"/>
        </w:rPr>
      </w:pPr>
      <w:r w:rsidRPr="00286B2C">
        <w:rPr>
          <w:rFonts w:cstheme="minorHAnsi"/>
          <w:sz w:val="24"/>
          <w:szCs w:val="24"/>
        </w:rPr>
        <w:t>References</w:t>
      </w:r>
    </w:p>
    <w:p w:rsidR="0036266F" w:rsidRPr="00286B2C" w:rsidRDefault="0036266F" w:rsidP="0036266F">
      <w:pPr>
        <w:spacing w:line="360" w:lineRule="auto"/>
        <w:jc w:val="both"/>
        <w:rPr>
          <w:rFonts w:cstheme="minorHAnsi"/>
          <w:sz w:val="24"/>
          <w:szCs w:val="24"/>
        </w:rPr>
      </w:pPr>
      <w:r w:rsidRPr="00286B2C">
        <w:rPr>
          <w:rFonts w:cstheme="minorHAnsi"/>
          <w:sz w:val="24"/>
          <w:szCs w:val="24"/>
        </w:rPr>
        <w:t xml:space="preserve">Anastasiou, D and Kauffman, J.M. (2013). ‘The Social Model of Disability: Dichotomy between Impairment and Disability’, </w:t>
      </w:r>
      <w:r w:rsidRPr="00286B2C">
        <w:rPr>
          <w:rFonts w:cstheme="minorHAnsi"/>
          <w:i/>
          <w:sz w:val="24"/>
          <w:szCs w:val="24"/>
        </w:rPr>
        <w:t>The Journal of Medicine and Philosophy: A Forum for Bioethics and Philosophy of Medicine,</w:t>
      </w:r>
      <w:r w:rsidRPr="00286B2C">
        <w:rPr>
          <w:rFonts w:cstheme="minorHAnsi"/>
          <w:sz w:val="24"/>
          <w:szCs w:val="24"/>
        </w:rPr>
        <w:t xml:space="preserve"> Volume 38, Issue 4, Pages 441–459. Available at: </w:t>
      </w:r>
      <w:hyperlink r:id="rId14" w:history="1">
        <w:r w:rsidRPr="00286B2C">
          <w:rPr>
            <w:rFonts w:cstheme="minorHAnsi"/>
            <w:color w:val="0000FF" w:themeColor="hyperlink"/>
            <w:sz w:val="24"/>
            <w:szCs w:val="24"/>
            <w:u w:val="single"/>
          </w:rPr>
          <w:t>https://doi.org/10.1093/jmp/jht026</w:t>
        </w:r>
      </w:hyperlink>
      <w:r w:rsidRPr="00286B2C">
        <w:rPr>
          <w:rFonts w:cstheme="minorHAnsi"/>
          <w:sz w:val="24"/>
          <w:szCs w:val="24"/>
        </w:rPr>
        <w:t xml:space="preserve"> [Accessed: 13</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spacing w:line="360" w:lineRule="auto"/>
        <w:jc w:val="both"/>
        <w:rPr>
          <w:rFonts w:cstheme="minorHAnsi"/>
          <w:sz w:val="24"/>
          <w:szCs w:val="24"/>
        </w:rPr>
      </w:pPr>
      <w:r w:rsidRPr="00286B2C">
        <w:rPr>
          <w:rFonts w:cstheme="minorHAnsi"/>
          <w:sz w:val="24"/>
          <w:szCs w:val="24"/>
        </w:rPr>
        <w:t xml:space="preserve">Autism Society, (2020) What is Autism, signs and symptoms. Available at: </w:t>
      </w:r>
      <w:hyperlink r:id="rId15" w:history="1">
        <w:r w:rsidRPr="00286B2C">
          <w:rPr>
            <w:rStyle w:val="Hyperlink"/>
            <w:rFonts w:cstheme="minorHAnsi"/>
            <w:sz w:val="24"/>
            <w:szCs w:val="24"/>
          </w:rPr>
          <w:t>https://www.autism-society.org/what-is/symptoms/</w:t>
        </w:r>
      </w:hyperlink>
      <w:r w:rsidRPr="00286B2C">
        <w:rPr>
          <w:rFonts w:cstheme="minorHAnsi"/>
          <w:sz w:val="24"/>
          <w:szCs w:val="24"/>
        </w:rPr>
        <w:t xml:space="preserve"> [Accessed: 12</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spacing w:line="360" w:lineRule="auto"/>
        <w:jc w:val="both"/>
        <w:rPr>
          <w:rFonts w:cstheme="minorHAnsi"/>
          <w:sz w:val="24"/>
          <w:szCs w:val="24"/>
        </w:rPr>
      </w:pPr>
      <w:r w:rsidRPr="00286B2C">
        <w:rPr>
          <w:rFonts w:cstheme="minorHAnsi"/>
          <w:sz w:val="24"/>
          <w:szCs w:val="24"/>
        </w:rPr>
        <w:t xml:space="preserve">Brock, et al., (2017). ‘Medical Model Perspectives on Autism’. </w:t>
      </w:r>
      <w:r w:rsidRPr="00286B2C">
        <w:rPr>
          <w:rFonts w:cstheme="minorHAnsi"/>
          <w:i/>
          <w:sz w:val="24"/>
          <w:szCs w:val="24"/>
        </w:rPr>
        <w:t>Oxford Bibliographies</w:t>
      </w:r>
      <w:r w:rsidRPr="00286B2C">
        <w:rPr>
          <w:rFonts w:cstheme="minorHAnsi"/>
          <w:sz w:val="24"/>
          <w:szCs w:val="24"/>
        </w:rPr>
        <w:t xml:space="preserve"> DOI: 10.1093/OBO/9780199791231-0063. Available at: </w:t>
      </w:r>
      <w:hyperlink r:id="rId16" w:history="1">
        <w:r w:rsidRPr="00286B2C">
          <w:rPr>
            <w:rFonts w:cstheme="minorHAnsi"/>
            <w:color w:val="0000FF" w:themeColor="hyperlink"/>
            <w:sz w:val="24"/>
            <w:szCs w:val="24"/>
            <w:u w:val="single"/>
          </w:rPr>
          <w:t>https://www.oxfordbibliographies.com/view/document/obo-9780199791231/obo-9780199791231-0063.xml</w:t>
        </w:r>
      </w:hyperlink>
      <w:r w:rsidRPr="00286B2C">
        <w:rPr>
          <w:rFonts w:cstheme="minorHAnsi"/>
          <w:sz w:val="24"/>
          <w:szCs w:val="24"/>
        </w:rPr>
        <w:t xml:space="preserve"> [Accessed: 12</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spacing w:line="360" w:lineRule="auto"/>
        <w:jc w:val="both"/>
        <w:rPr>
          <w:rFonts w:cstheme="minorHAnsi"/>
          <w:sz w:val="24"/>
          <w:szCs w:val="24"/>
        </w:rPr>
      </w:pPr>
      <w:r w:rsidRPr="00286B2C">
        <w:rPr>
          <w:rFonts w:cstheme="minorHAnsi"/>
          <w:sz w:val="24"/>
          <w:szCs w:val="24"/>
        </w:rPr>
        <w:t xml:space="preserve">Cambridge dictionary, (2021) define: Oppression Available at: </w:t>
      </w:r>
      <w:hyperlink r:id="rId17" w:history="1">
        <w:r w:rsidRPr="00286B2C">
          <w:rPr>
            <w:rStyle w:val="Hyperlink"/>
            <w:rFonts w:cstheme="minorHAnsi"/>
            <w:sz w:val="24"/>
            <w:szCs w:val="24"/>
          </w:rPr>
          <w:t>https://dictionary.cambridge.org/dictionary/english/oppression</w:t>
        </w:r>
      </w:hyperlink>
      <w:r w:rsidRPr="00286B2C">
        <w:rPr>
          <w:rFonts w:cstheme="minorHAnsi"/>
          <w:sz w:val="24"/>
          <w:szCs w:val="24"/>
        </w:rPr>
        <w:t xml:space="preserve"> [Accessed: 13</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spacing w:line="360" w:lineRule="auto"/>
        <w:jc w:val="both"/>
        <w:rPr>
          <w:rFonts w:cstheme="minorHAnsi"/>
          <w:sz w:val="24"/>
          <w:szCs w:val="24"/>
        </w:rPr>
      </w:pPr>
      <w:r w:rsidRPr="00286B2C">
        <w:rPr>
          <w:rFonts w:cstheme="minorHAnsi"/>
          <w:sz w:val="24"/>
          <w:szCs w:val="24"/>
        </w:rPr>
        <w:t xml:space="preserve">Centre for Disease Control and Prevention, (2020). Autistic Spectrum Disorder (ASD) Screening and Diagnosis of Autism Spectrum Disorder. Available at: </w:t>
      </w:r>
      <w:hyperlink r:id="rId18" w:history="1">
        <w:r w:rsidRPr="00286B2C">
          <w:rPr>
            <w:rFonts w:cstheme="minorHAnsi"/>
            <w:color w:val="0000FF" w:themeColor="hyperlink"/>
            <w:sz w:val="24"/>
            <w:szCs w:val="24"/>
            <w:u w:val="single"/>
          </w:rPr>
          <w:t>https://www.cdc.gov/ncbddd/autism/screening.html</w:t>
        </w:r>
      </w:hyperlink>
      <w:r w:rsidRPr="00286B2C">
        <w:rPr>
          <w:rFonts w:cstheme="minorHAnsi"/>
          <w:sz w:val="24"/>
          <w:szCs w:val="24"/>
        </w:rPr>
        <w:t xml:space="preserve"> [Accessed: 12</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spacing w:line="360" w:lineRule="auto"/>
        <w:jc w:val="both"/>
        <w:rPr>
          <w:rFonts w:cstheme="minorHAnsi"/>
          <w:sz w:val="24"/>
          <w:szCs w:val="24"/>
        </w:rPr>
      </w:pPr>
      <w:r w:rsidRPr="00286B2C">
        <w:rPr>
          <w:rFonts w:cstheme="minorHAnsi"/>
          <w:sz w:val="24"/>
          <w:szCs w:val="24"/>
        </w:rPr>
        <w:t xml:space="preserve">Cerebra, (2018). Special Educational Needs reform in Wales. Available at: </w:t>
      </w:r>
      <w:hyperlink r:id="rId19" w:history="1">
        <w:r w:rsidRPr="00286B2C">
          <w:rPr>
            <w:rFonts w:cstheme="minorHAnsi"/>
            <w:color w:val="0000FF" w:themeColor="hyperlink"/>
            <w:sz w:val="24"/>
            <w:szCs w:val="24"/>
            <w:u w:val="single"/>
          </w:rPr>
          <w:t>https://cerebra.org.uk/latest-news/special-educational-needs-reform-in-wales/</w:t>
        </w:r>
      </w:hyperlink>
      <w:r w:rsidRPr="00286B2C">
        <w:rPr>
          <w:rFonts w:cstheme="minorHAnsi"/>
          <w:sz w:val="24"/>
          <w:szCs w:val="24"/>
        </w:rPr>
        <w:t xml:space="preserve"> [Accessed: 12</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tabs>
          <w:tab w:val="left" w:pos="4554"/>
        </w:tabs>
        <w:spacing w:line="360" w:lineRule="auto"/>
        <w:jc w:val="both"/>
        <w:rPr>
          <w:rFonts w:cstheme="minorHAnsi"/>
          <w:sz w:val="24"/>
          <w:szCs w:val="24"/>
        </w:rPr>
      </w:pPr>
      <w:r w:rsidRPr="00286B2C">
        <w:rPr>
          <w:rFonts w:cstheme="minorHAnsi"/>
          <w:sz w:val="24"/>
          <w:szCs w:val="24"/>
        </w:rPr>
        <w:t xml:space="preserve">Dawson, G. (2008) ‘Early behavioural intervention, brain plasticity, and the prevention of autism spectrum disorder’, </w:t>
      </w:r>
      <w:r w:rsidRPr="00286B2C">
        <w:rPr>
          <w:rFonts w:cstheme="minorHAnsi"/>
          <w:i/>
          <w:sz w:val="24"/>
          <w:szCs w:val="24"/>
        </w:rPr>
        <w:t>Development and Psychopathology</w:t>
      </w:r>
      <w:r w:rsidRPr="00286B2C">
        <w:rPr>
          <w:rFonts w:cstheme="minorHAnsi"/>
          <w:sz w:val="24"/>
          <w:szCs w:val="24"/>
        </w:rPr>
        <w:t xml:space="preserve">. Cambridge University Press, 20(3), pp. 775–803. doi: 10.1017/S0954579408000370. Available at: </w:t>
      </w:r>
      <w:hyperlink r:id="rId20" w:history="1">
        <w:r w:rsidRPr="00286B2C">
          <w:rPr>
            <w:rStyle w:val="Hyperlink"/>
            <w:rFonts w:cstheme="minorHAnsi"/>
            <w:sz w:val="24"/>
            <w:szCs w:val="24"/>
          </w:rPr>
          <w:t>https://www.cambridge.org/core/journals/development-and-psychopathology/article/abs/early-behavioral-intervention-brain-plasticity-and-the-prevention-of-autism-spectrum-disorder/0ED60EB5BD9ADED37EF1EA474F04BAE2</w:t>
        </w:r>
      </w:hyperlink>
      <w:r w:rsidRPr="00286B2C">
        <w:rPr>
          <w:rFonts w:cstheme="minorHAnsi"/>
          <w:sz w:val="24"/>
          <w:szCs w:val="24"/>
        </w:rPr>
        <w:t xml:space="preserve">  [Accessed: 12</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spacing w:line="360" w:lineRule="auto"/>
        <w:jc w:val="both"/>
        <w:rPr>
          <w:rFonts w:cstheme="minorHAnsi"/>
          <w:sz w:val="24"/>
          <w:szCs w:val="24"/>
        </w:rPr>
      </w:pPr>
      <w:r w:rsidRPr="00286B2C">
        <w:rPr>
          <w:rFonts w:cstheme="minorHAnsi"/>
          <w:sz w:val="24"/>
          <w:szCs w:val="24"/>
        </w:rPr>
        <w:t xml:space="preserve">Dr. Papadopoulos, C. (2015). Autism stigma and the role of ethnicity and culture. Available at: </w:t>
      </w:r>
      <w:hyperlink r:id="rId21" w:history="1">
        <w:r w:rsidRPr="00286B2C">
          <w:rPr>
            <w:rStyle w:val="Hyperlink"/>
            <w:rFonts w:cstheme="minorHAnsi"/>
            <w:sz w:val="24"/>
            <w:szCs w:val="24"/>
          </w:rPr>
          <w:t>https://www.autism.org.uk/advice-and-guidance/professional-practice/autism-stigma</w:t>
        </w:r>
      </w:hyperlink>
      <w:r w:rsidRPr="00286B2C">
        <w:rPr>
          <w:rFonts w:cstheme="minorHAnsi"/>
          <w:sz w:val="24"/>
          <w:szCs w:val="24"/>
        </w:rPr>
        <w:t xml:space="preserve"> [Accessed; 11</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spacing w:line="360" w:lineRule="auto"/>
        <w:jc w:val="both"/>
        <w:rPr>
          <w:rFonts w:cstheme="minorHAnsi"/>
          <w:sz w:val="24"/>
          <w:szCs w:val="24"/>
        </w:rPr>
      </w:pPr>
      <w:r w:rsidRPr="00286B2C">
        <w:rPr>
          <w:rFonts w:cstheme="minorHAnsi"/>
          <w:sz w:val="24"/>
          <w:szCs w:val="24"/>
        </w:rPr>
        <w:t xml:space="preserve">Ennis-Cole, D. Durodoye, B.A. and Harris, H.L. (2013).  ‘The Impact of Culture on Autism Diagnosis and Treatment: Considerations for Counselors and Other Professionals’. </w:t>
      </w:r>
      <w:r w:rsidRPr="00286B2C">
        <w:rPr>
          <w:rFonts w:cstheme="minorHAnsi"/>
          <w:i/>
          <w:sz w:val="24"/>
          <w:szCs w:val="24"/>
        </w:rPr>
        <w:t>The Family Journal: Counseling and Therapy for Couples and Families</w:t>
      </w:r>
      <w:r w:rsidRPr="00286B2C">
        <w:rPr>
          <w:rFonts w:cstheme="minorHAnsi"/>
          <w:sz w:val="24"/>
          <w:szCs w:val="24"/>
        </w:rPr>
        <w:t xml:space="preserve"> 21(3) 279-287 Available at: </w:t>
      </w:r>
      <w:hyperlink r:id="rId22" w:history="1">
        <w:r w:rsidRPr="00286B2C">
          <w:rPr>
            <w:rFonts w:cstheme="minorHAnsi"/>
            <w:color w:val="0000FF" w:themeColor="hyperlink"/>
            <w:sz w:val="24"/>
            <w:szCs w:val="24"/>
            <w:u w:val="single"/>
          </w:rPr>
          <w:t>https://journals.sagepub.com/doi/pdf/10.1177/1066480713476834</w:t>
        </w:r>
      </w:hyperlink>
      <w:r w:rsidRPr="00286B2C">
        <w:rPr>
          <w:rFonts w:cstheme="minorHAnsi"/>
          <w:sz w:val="24"/>
          <w:szCs w:val="24"/>
        </w:rPr>
        <w:t xml:space="preserve"> [Accessed; 12</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spacing w:line="360" w:lineRule="auto"/>
        <w:jc w:val="both"/>
        <w:rPr>
          <w:rFonts w:cstheme="minorHAnsi"/>
          <w:sz w:val="24"/>
          <w:szCs w:val="24"/>
        </w:rPr>
      </w:pPr>
      <w:r w:rsidRPr="00286B2C">
        <w:rPr>
          <w:rFonts w:cstheme="minorHAnsi"/>
          <w:sz w:val="24"/>
          <w:szCs w:val="24"/>
        </w:rPr>
        <w:t>Forest, E. J. </w:t>
      </w:r>
      <w:r w:rsidRPr="00286B2C">
        <w:rPr>
          <w:rFonts w:cstheme="minorHAnsi"/>
          <w:i/>
          <w:iCs/>
          <w:sz w:val="24"/>
          <w:szCs w:val="24"/>
        </w:rPr>
        <w:t>et al.</w:t>
      </w:r>
      <w:r w:rsidRPr="00286B2C">
        <w:rPr>
          <w:rFonts w:cstheme="minorHAnsi"/>
          <w:sz w:val="24"/>
          <w:szCs w:val="24"/>
        </w:rPr>
        <w:t> (2004) ‘Transitions for Young Children with Autism From Preschool to Kindergarten’, </w:t>
      </w:r>
      <w:r w:rsidRPr="00286B2C">
        <w:rPr>
          <w:rFonts w:cstheme="minorHAnsi"/>
          <w:i/>
          <w:iCs/>
          <w:sz w:val="24"/>
          <w:szCs w:val="24"/>
        </w:rPr>
        <w:t>Journal of Positive Behavior Interventions</w:t>
      </w:r>
      <w:r w:rsidRPr="00286B2C">
        <w:rPr>
          <w:rFonts w:cstheme="minorHAnsi"/>
          <w:sz w:val="24"/>
          <w:szCs w:val="24"/>
        </w:rPr>
        <w:t>, 6(2), pp. 103–112. doi: </w:t>
      </w:r>
      <w:hyperlink r:id="rId23" w:history="1">
        <w:r w:rsidRPr="00286B2C">
          <w:rPr>
            <w:rStyle w:val="Hyperlink"/>
            <w:rFonts w:cstheme="minorHAnsi"/>
            <w:sz w:val="24"/>
            <w:szCs w:val="24"/>
          </w:rPr>
          <w:t>10.1177/10983007040060020501</w:t>
        </w:r>
      </w:hyperlink>
      <w:r w:rsidRPr="00286B2C">
        <w:rPr>
          <w:rFonts w:cstheme="minorHAnsi"/>
          <w:sz w:val="24"/>
          <w:szCs w:val="24"/>
        </w:rPr>
        <w:t xml:space="preserve">. Available at: </w:t>
      </w:r>
      <w:hyperlink r:id="rId24" w:history="1">
        <w:r w:rsidRPr="00286B2C">
          <w:rPr>
            <w:rStyle w:val="Hyperlink"/>
            <w:rFonts w:cstheme="minorHAnsi"/>
            <w:sz w:val="24"/>
            <w:szCs w:val="24"/>
          </w:rPr>
          <w:t>https://journals.sagepub.com/doi/abs/10.1177/10983007040060020501</w:t>
        </w:r>
      </w:hyperlink>
      <w:r w:rsidRPr="00286B2C">
        <w:rPr>
          <w:rFonts w:cstheme="minorHAnsi"/>
          <w:sz w:val="24"/>
          <w:szCs w:val="24"/>
        </w:rPr>
        <w:t xml:space="preserve"> [Accessed: 12</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spacing w:line="360" w:lineRule="auto"/>
        <w:jc w:val="both"/>
        <w:rPr>
          <w:rFonts w:cstheme="minorHAnsi"/>
          <w:sz w:val="24"/>
          <w:szCs w:val="24"/>
        </w:rPr>
      </w:pPr>
      <w:r w:rsidRPr="00286B2C">
        <w:rPr>
          <w:rFonts w:cstheme="minorHAnsi"/>
          <w:sz w:val="24"/>
          <w:szCs w:val="24"/>
        </w:rPr>
        <w:t xml:space="preserve">GL Assessment, (2021) Schedule of Growing Skills. Available at; </w:t>
      </w:r>
      <w:hyperlink r:id="rId25" w:history="1">
        <w:r w:rsidRPr="00286B2C">
          <w:rPr>
            <w:rStyle w:val="Hyperlink"/>
            <w:rFonts w:cstheme="minorHAnsi"/>
            <w:sz w:val="24"/>
            <w:szCs w:val="24"/>
          </w:rPr>
          <w:t>https://www.gl-assessment.co.uk/assessments/products/schedule-of-growing-skills/</w:t>
        </w:r>
      </w:hyperlink>
      <w:r w:rsidRPr="00286B2C">
        <w:rPr>
          <w:rFonts w:cstheme="minorHAnsi"/>
          <w:sz w:val="24"/>
          <w:szCs w:val="24"/>
        </w:rPr>
        <w:t xml:space="preserve"> [Accessed; 11</w:t>
      </w:r>
      <w:r w:rsidRPr="00286B2C">
        <w:rPr>
          <w:rFonts w:cstheme="minorHAnsi"/>
          <w:sz w:val="24"/>
          <w:szCs w:val="24"/>
          <w:vertAlign w:val="superscript"/>
        </w:rPr>
        <w:t>th</w:t>
      </w:r>
      <w:r w:rsidRPr="00286B2C">
        <w:rPr>
          <w:rFonts w:cstheme="minorHAnsi"/>
          <w:sz w:val="24"/>
          <w:szCs w:val="24"/>
        </w:rPr>
        <w:t xml:space="preserve"> July 2021]. </w:t>
      </w:r>
    </w:p>
    <w:p w:rsidR="0036266F" w:rsidRPr="00286B2C" w:rsidRDefault="0036266F" w:rsidP="0036266F">
      <w:pPr>
        <w:spacing w:line="360" w:lineRule="auto"/>
        <w:jc w:val="both"/>
        <w:rPr>
          <w:rFonts w:cstheme="minorHAnsi"/>
          <w:sz w:val="24"/>
          <w:szCs w:val="24"/>
        </w:rPr>
      </w:pPr>
      <w:r w:rsidRPr="00286B2C">
        <w:rPr>
          <w:rFonts w:cstheme="minorHAnsi"/>
          <w:sz w:val="24"/>
          <w:szCs w:val="24"/>
        </w:rPr>
        <w:t xml:space="preserve">GL-Education, (2021). Wellcomm. Available at: </w:t>
      </w:r>
      <w:hyperlink r:id="rId26" w:history="1">
        <w:r w:rsidRPr="00286B2C">
          <w:rPr>
            <w:rFonts w:cstheme="minorHAnsi"/>
            <w:color w:val="0000FF" w:themeColor="hyperlink"/>
            <w:sz w:val="24"/>
            <w:szCs w:val="24"/>
            <w:u w:val="single"/>
          </w:rPr>
          <w:t>https://www.gl-education.com/assessments/products/wellcomm/</w:t>
        </w:r>
      </w:hyperlink>
      <w:r w:rsidRPr="00286B2C">
        <w:rPr>
          <w:rFonts w:cstheme="minorHAnsi"/>
          <w:sz w:val="24"/>
          <w:szCs w:val="24"/>
        </w:rPr>
        <w:t xml:space="preserve"> [Accessed: 12</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spacing w:line="360" w:lineRule="auto"/>
        <w:jc w:val="both"/>
        <w:rPr>
          <w:rFonts w:cstheme="minorHAnsi"/>
          <w:sz w:val="24"/>
          <w:szCs w:val="24"/>
        </w:rPr>
      </w:pPr>
      <w:r w:rsidRPr="00286B2C">
        <w:rPr>
          <w:rFonts w:cstheme="minorHAnsi"/>
          <w:sz w:val="24"/>
          <w:szCs w:val="24"/>
        </w:rPr>
        <w:t xml:space="preserve">Harvard University, (2021). ‘In Brief: The Science of Early Childhood Development’. </w:t>
      </w:r>
      <w:r w:rsidRPr="00286B2C">
        <w:rPr>
          <w:rFonts w:cstheme="minorHAnsi"/>
          <w:i/>
          <w:sz w:val="24"/>
          <w:szCs w:val="24"/>
        </w:rPr>
        <w:t>Centre on the Developing Child.</w:t>
      </w:r>
      <w:r w:rsidRPr="00286B2C">
        <w:rPr>
          <w:rFonts w:cstheme="minorHAnsi"/>
          <w:sz w:val="24"/>
          <w:szCs w:val="24"/>
        </w:rPr>
        <w:t xml:space="preserve"> Available at: </w:t>
      </w:r>
      <w:hyperlink r:id="rId27" w:history="1">
        <w:r w:rsidRPr="00286B2C">
          <w:rPr>
            <w:rFonts w:cstheme="minorHAnsi"/>
            <w:color w:val="0000FF" w:themeColor="hyperlink"/>
            <w:sz w:val="24"/>
            <w:szCs w:val="24"/>
            <w:u w:val="single"/>
          </w:rPr>
          <w:t>https://developingchild.harvard.edu/resources/inbrief-science-of-ecd/</w:t>
        </w:r>
      </w:hyperlink>
      <w:r w:rsidRPr="00286B2C">
        <w:rPr>
          <w:rFonts w:cstheme="minorHAnsi"/>
          <w:sz w:val="24"/>
          <w:szCs w:val="24"/>
        </w:rPr>
        <w:t xml:space="preserve"> [Accessed: 9</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spacing w:line="360" w:lineRule="auto"/>
        <w:jc w:val="both"/>
        <w:rPr>
          <w:rFonts w:cstheme="minorHAnsi"/>
          <w:sz w:val="24"/>
          <w:szCs w:val="24"/>
        </w:rPr>
      </w:pPr>
      <w:r w:rsidRPr="00286B2C">
        <w:rPr>
          <w:rFonts w:cstheme="minorHAnsi"/>
          <w:sz w:val="24"/>
          <w:szCs w:val="24"/>
        </w:rPr>
        <w:t xml:space="preserve">Hobart, C. and Frankel, J.  (2004) A Practical Guide to Child Observation and Assessment. Available at: </w:t>
      </w:r>
      <w:hyperlink r:id="rId28" w:history="1">
        <w:r w:rsidRPr="00286B2C">
          <w:rPr>
            <w:rStyle w:val="Hyperlink"/>
            <w:rFonts w:cstheme="minorHAnsi"/>
            <w:sz w:val="24"/>
            <w:szCs w:val="24"/>
          </w:rPr>
          <w:t>https://www.google.co.uk/books/edition/A_Practical_Guide_to_Child_Observation_a/TN_FCAXex5kC?hl=en</w:t>
        </w:r>
      </w:hyperlink>
      <w:r w:rsidRPr="00286B2C">
        <w:rPr>
          <w:rFonts w:cstheme="minorHAnsi"/>
          <w:sz w:val="24"/>
          <w:szCs w:val="24"/>
        </w:rPr>
        <w:t xml:space="preserve"> [Accessed: 12</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spacing w:line="360" w:lineRule="auto"/>
        <w:jc w:val="both"/>
        <w:rPr>
          <w:rFonts w:cstheme="minorHAnsi"/>
          <w:sz w:val="24"/>
          <w:szCs w:val="24"/>
        </w:rPr>
      </w:pPr>
      <w:r w:rsidRPr="00286B2C">
        <w:rPr>
          <w:rFonts w:cstheme="minorHAnsi"/>
          <w:sz w:val="24"/>
          <w:szCs w:val="24"/>
        </w:rPr>
        <w:t xml:space="preserve">MacLeod, J. and Perepa, P., (2020). ‘Early years practitioners’ knowledge of early signs of autism in England’. </w:t>
      </w:r>
      <w:r w:rsidRPr="00286B2C">
        <w:rPr>
          <w:rFonts w:cstheme="minorHAnsi"/>
          <w:i/>
          <w:sz w:val="24"/>
          <w:szCs w:val="24"/>
        </w:rPr>
        <w:t>Support for Learning</w:t>
      </w:r>
      <w:r w:rsidRPr="00286B2C">
        <w:rPr>
          <w:rFonts w:cstheme="minorHAnsi"/>
          <w:sz w:val="24"/>
          <w:szCs w:val="24"/>
        </w:rPr>
        <w:t xml:space="preserve">, 35(2), pp.192-204. Available at;  </w:t>
      </w:r>
      <w:hyperlink r:id="rId29" w:history="1">
        <w:r w:rsidRPr="00286B2C">
          <w:rPr>
            <w:rFonts w:cstheme="minorHAnsi"/>
            <w:color w:val="0000FF" w:themeColor="hyperlink"/>
            <w:sz w:val="24"/>
            <w:szCs w:val="24"/>
            <w:u w:val="single"/>
          </w:rPr>
          <w:t>https://nasenjournals.onlinelibrary.wiley.com/doi/epdf/10.1111/1467-9604.12299?saml_referrer</w:t>
        </w:r>
      </w:hyperlink>
      <w:r w:rsidRPr="00286B2C">
        <w:rPr>
          <w:rFonts w:cstheme="minorHAnsi"/>
          <w:sz w:val="24"/>
          <w:szCs w:val="24"/>
        </w:rPr>
        <w:t xml:space="preserve"> [Accessed: 12</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spacing w:line="360" w:lineRule="auto"/>
        <w:jc w:val="both"/>
        <w:rPr>
          <w:rFonts w:cstheme="minorHAnsi"/>
          <w:sz w:val="24"/>
          <w:szCs w:val="24"/>
        </w:rPr>
      </w:pPr>
      <w:r w:rsidRPr="00286B2C">
        <w:rPr>
          <w:rFonts w:cstheme="minorHAnsi"/>
          <w:sz w:val="24"/>
          <w:szCs w:val="24"/>
        </w:rPr>
        <w:t>Majoko, T. Inclusion of Children with Autism Spectrum Disorders: Listening and Hearing to Voices from the Grassroots. </w:t>
      </w:r>
      <w:r w:rsidRPr="00286B2C">
        <w:rPr>
          <w:rFonts w:cstheme="minorHAnsi"/>
          <w:i/>
          <w:iCs/>
          <w:sz w:val="24"/>
          <w:szCs w:val="24"/>
        </w:rPr>
        <w:t>J Autism Dev Disord</w:t>
      </w:r>
      <w:r w:rsidRPr="00286B2C">
        <w:rPr>
          <w:rFonts w:cstheme="minorHAnsi"/>
          <w:sz w:val="24"/>
          <w:szCs w:val="24"/>
        </w:rPr>
        <w:t> </w:t>
      </w:r>
      <w:r w:rsidRPr="00286B2C">
        <w:rPr>
          <w:rFonts w:cstheme="minorHAnsi"/>
          <w:b/>
          <w:bCs/>
          <w:sz w:val="24"/>
          <w:szCs w:val="24"/>
        </w:rPr>
        <w:t>46, </w:t>
      </w:r>
      <w:r w:rsidRPr="00286B2C">
        <w:rPr>
          <w:rFonts w:cstheme="minorHAnsi"/>
          <w:sz w:val="24"/>
          <w:szCs w:val="24"/>
        </w:rPr>
        <w:t xml:space="preserve">1429–1440 (2016). </w:t>
      </w:r>
      <w:hyperlink r:id="rId30" w:history="1">
        <w:r w:rsidRPr="00286B2C">
          <w:rPr>
            <w:rStyle w:val="Hyperlink"/>
            <w:rFonts w:cstheme="minorHAnsi"/>
            <w:sz w:val="24"/>
            <w:szCs w:val="24"/>
          </w:rPr>
          <w:t>https://doi.org/10.1007/s10803-015-2685-1I</w:t>
        </w:r>
      </w:hyperlink>
      <w:r w:rsidRPr="00286B2C">
        <w:rPr>
          <w:rFonts w:cstheme="minorHAnsi"/>
          <w:sz w:val="24"/>
          <w:szCs w:val="24"/>
        </w:rPr>
        <w:t xml:space="preserve"> [Accessed: 12</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spacing w:line="360" w:lineRule="auto"/>
        <w:jc w:val="both"/>
        <w:rPr>
          <w:rFonts w:cstheme="minorHAnsi"/>
          <w:sz w:val="24"/>
          <w:szCs w:val="24"/>
        </w:rPr>
      </w:pPr>
      <w:r w:rsidRPr="00286B2C">
        <w:rPr>
          <w:rFonts w:cstheme="minorHAnsi"/>
          <w:sz w:val="24"/>
          <w:szCs w:val="24"/>
        </w:rPr>
        <w:t xml:space="preserve"> Manikiza, J. (2015). Autism: A Guide for Mainstream Primary Schools</w:t>
      </w:r>
      <w:hyperlink r:id="rId31" w:history="1">
        <w:r w:rsidRPr="00286B2C">
          <w:rPr>
            <w:rStyle w:val="Hyperlink"/>
            <w:rFonts w:cstheme="minorHAnsi"/>
            <w:sz w:val="24"/>
            <w:szCs w:val="24"/>
          </w:rPr>
          <w:t>https://autismwales.org/wp-content/uploads/2020/08/2015_Autism-A-Guide-for-Mainstream-Primary-Schools-ENG.pdf</w:t>
        </w:r>
      </w:hyperlink>
      <w:r w:rsidRPr="00286B2C">
        <w:rPr>
          <w:rFonts w:cstheme="minorHAnsi"/>
          <w:sz w:val="24"/>
          <w:szCs w:val="24"/>
        </w:rPr>
        <w:t>[Accessed; 11</w:t>
      </w:r>
      <w:r w:rsidRPr="00286B2C">
        <w:rPr>
          <w:rFonts w:cstheme="minorHAnsi"/>
          <w:sz w:val="24"/>
          <w:szCs w:val="24"/>
          <w:vertAlign w:val="superscript"/>
        </w:rPr>
        <w:t>th</w:t>
      </w:r>
      <w:r w:rsidRPr="00286B2C">
        <w:rPr>
          <w:rFonts w:cstheme="minorHAnsi"/>
          <w:sz w:val="24"/>
          <w:szCs w:val="24"/>
        </w:rPr>
        <w:t xml:space="preserve"> July 2021].  </w:t>
      </w:r>
    </w:p>
    <w:p w:rsidR="0036266F" w:rsidRPr="00286B2C" w:rsidRDefault="0036266F" w:rsidP="0036266F">
      <w:pPr>
        <w:spacing w:line="360" w:lineRule="auto"/>
        <w:jc w:val="both"/>
        <w:rPr>
          <w:rFonts w:cstheme="minorHAnsi"/>
          <w:sz w:val="24"/>
          <w:szCs w:val="24"/>
        </w:rPr>
      </w:pPr>
      <w:r w:rsidRPr="0036266F">
        <w:rPr>
          <w:rFonts w:cstheme="minorHAnsi"/>
          <w:sz w:val="24"/>
          <w:szCs w:val="24"/>
          <w:lang w:val="it-IT"/>
        </w:rPr>
        <w:t xml:space="preserve">Memari, A.H. et al. </w:t>
      </w:r>
      <w:r w:rsidRPr="00286B2C">
        <w:rPr>
          <w:rFonts w:cstheme="minorHAnsi"/>
          <w:sz w:val="24"/>
          <w:szCs w:val="24"/>
        </w:rPr>
        <w:t xml:space="preserve">(2015). ‘Research Article Children with Autism Spectrum Disorder and Patterns of Participation in Daily Physical and Play Activities’. Neurology Research International Volume 2015, Article ID 531906. Available at: </w:t>
      </w:r>
      <w:hyperlink r:id="rId32" w:history="1">
        <w:r w:rsidRPr="00286B2C">
          <w:rPr>
            <w:rFonts w:cstheme="minorHAnsi"/>
            <w:color w:val="0000FF" w:themeColor="hyperlink"/>
            <w:sz w:val="24"/>
            <w:szCs w:val="24"/>
            <w:u w:val="single"/>
          </w:rPr>
          <w:t>http://dx.doi.org/10.1155/2015/531906</w:t>
        </w:r>
      </w:hyperlink>
      <w:r w:rsidRPr="00286B2C">
        <w:rPr>
          <w:rFonts w:cstheme="minorHAnsi"/>
          <w:sz w:val="24"/>
          <w:szCs w:val="24"/>
        </w:rPr>
        <w:t xml:space="preserve">  [Accessed: 13</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tabs>
          <w:tab w:val="left" w:pos="4554"/>
        </w:tabs>
        <w:spacing w:line="360" w:lineRule="auto"/>
        <w:jc w:val="both"/>
        <w:rPr>
          <w:rFonts w:cstheme="minorHAnsi"/>
          <w:sz w:val="24"/>
          <w:szCs w:val="24"/>
        </w:rPr>
      </w:pPr>
      <w:r w:rsidRPr="00286B2C">
        <w:rPr>
          <w:rFonts w:cstheme="minorHAnsi"/>
          <w:i/>
          <w:sz w:val="24"/>
          <w:szCs w:val="24"/>
        </w:rPr>
        <w:t>National Assembly for Wales, (2015)</w:t>
      </w:r>
      <w:r w:rsidRPr="00286B2C">
        <w:rPr>
          <w:rFonts w:cstheme="minorHAnsi"/>
          <w:sz w:val="24"/>
          <w:szCs w:val="24"/>
        </w:rPr>
        <w:t xml:space="preserve"> Research paper Special Educational Needs (SEN)/ Additional Learning Needs (ALN) in Wales </w:t>
      </w:r>
      <w:hyperlink r:id="rId33" w:history="1">
        <w:r w:rsidRPr="00286B2C">
          <w:rPr>
            <w:rFonts w:cstheme="minorHAnsi"/>
            <w:color w:val="0000FF" w:themeColor="hyperlink"/>
            <w:sz w:val="24"/>
            <w:szCs w:val="24"/>
            <w:u w:val="single"/>
          </w:rPr>
          <w:t>https://dera.ioe.ac.uk/23945/7/15-025_Redacted.pdf</w:t>
        </w:r>
      </w:hyperlink>
      <w:r w:rsidRPr="00286B2C">
        <w:rPr>
          <w:rFonts w:cstheme="minorHAnsi"/>
          <w:sz w:val="24"/>
          <w:szCs w:val="24"/>
        </w:rPr>
        <w:t xml:space="preserve"> [Accessed: 12</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spacing w:line="360" w:lineRule="auto"/>
        <w:jc w:val="both"/>
        <w:rPr>
          <w:rFonts w:cstheme="minorHAnsi"/>
          <w:sz w:val="24"/>
          <w:szCs w:val="24"/>
        </w:rPr>
      </w:pPr>
      <w:r w:rsidRPr="00286B2C">
        <w:rPr>
          <w:rFonts w:cstheme="minorHAnsi"/>
          <w:sz w:val="24"/>
          <w:szCs w:val="24"/>
        </w:rPr>
        <w:t xml:space="preserve">National Education Union, (2019). Class sizes. Available at: </w:t>
      </w:r>
      <w:hyperlink r:id="rId34" w:history="1">
        <w:r w:rsidRPr="00286B2C">
          <w:rPr>
            <w:rFonts w:cstheme="minorHAnsi"/>
            <w:color w:val="0000FF" w:themeColor="hyperlink"/>
            <w:sz w:val="24"/>
            <w:szCs w:val="24"/>
            <w:u w:val="single"/>
          </w:rPr>
          <w:t>https://neu.org.uk/advice/class-sizes</w:t>
        </w:r>
      </w:hyperlink>
      <w:r w:rsidRPr="00286B2C">
        <w:rPr>
          <w:rFonts w:cstheme="minorHAnsi"/>
          <w:sz w:val="24"/>
          <w:szCs w:val="24"/>
        </w:rPr>
        <w:t xml:space="preserve"> [Accessed: 12</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tabs>
          <w:tab w:val="left" w:pos="4554"/>
        </w:tabs>
        <w:spacing w:line="360" w:lineRule="auto"/>
        <w:jc w:val="both"/>
        <w:rPr>
          <w:rFonts w:cstheme="minorHAnsi"/>
          <w:sz w:val="24"/>
          <w:szCs w:val="24"/>
        </w:rPr>
      </w:pPr>
      <w:r w:rsidRPr="00286B2C">
        <w:rPr>
          <w:rFonts w:cstheme="minorHAnsi"/>
          <w:sz w:val="24"/>
          <w:szCs w:val="24"/>
        </w:rPr>
        <w:t xml:space="preserve">National Institute on Deafness and other communication Disorders, (NIDCD) (2020). Autism Spectrum Disorder: Communication Problems in Children. Available at: </w:t>
      </w:r>
      <w:hyperlink r:id="rId35" w:anchor="1" w:history="1">
        <w:r w:rsidRPr="00286B2C">
          <w:rPr>
            <w:rFonts w:cstheme="minorHAnsi"/>
            <w:color w:val="0000FF" w:themeColor="hyperlink"/>
            <w:sz w:val="24"/>
            <w:szCs w:val="24"/>
            <w:u w:val="single"/>
          </w:rPr>
          <w:t>https://www.nidcd.nih.gov/health/autism-spectrum-disorder-communication-problems-children#1</w:t>
        </w:r>
      </w:hyperlink>
      <w:r w:rsidRPr="00286B2C">
        <w:rPr>
          <w:rFonts w:cstheme="minorHAnsi"/>
          <w:sz w:val="24"/>
          <w:szCs w:val="24"/>
        </w:rPr>
        <w:t xml:space="preserve"> [Accessed: 12</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spacing w:line="360" w:lineRule="auto"/>
        <w:jc w:val="both"/>
        <w:rPr>
          <w:rFonts w:cstheme="minorHAnsi"/>
          <w:sz w:val="24"/>
          <w:szCs w:val="24"/>
        </w:rPr>
      </w:pPr>
      <w:r w:rsidRPr="00286B2C">
        <w:rPr>
          <w:rFonts w:cstheme="minorHAnsi"/>
          <w:sz w:val="24"/>
          <w:szCs w:val="24"/>
        </w:rPr>
        <w:t xml:space="preserve">NHS, (2019) How to get diagnosed. Available at: </w:t>
      </w:r>
      <w:hyperlink r:id="rId36" w:history="1">
        <w:r w:rsidRPr="00286B2C">
          <w:rPr>
            <w:rFonts w:cstheme="minorHAnsi"/>
            <w:color w:val="0000FF" w:themeColor="hyperlink"/>
            <w:sz w:val="24"/>
            <w:szCs w:val="24"/>
            <w:u w:val="single"/>
          </w:rPr>
          <w:t>https://www.nhs.uk/conditions/autism/getting-diagnosed/how-to-get-diagnosed/</w:t>
        </w:r>
      </w:hyperlink>
      <w:r w:rsidRPr="00286B2C">
        <w:rPr>
          <w:rFonts w:cstheme="minorHAnsi"/>
          <w:sz w:val="24"/>
          <w:szCs w:val="24"/>
        </w:rPr>
        <w:t xml:space="preserve"> [Accessed: 12</w:t>
      </w:r>
      <w:r w:rsidRPr="00286B2C">
        <w:rPr>
          <w:rFonts w:cstheme="minorHAnsi"/>
          <w:sz w:val="24"/>
          <w:szCs w:val="24"/>
          <w:vertAlign w:val="superscript"/>
        </w:rPr>
        <w:t>th</w:t>
      </w:r>
      <w:r w:rsidRPr="00286B2C">
        <w:rPr>
          <w:rFonts w:cstheme="minorHAnsi"/>
          <w:sz w:val="24"/>
          <w:szCs w:val="24"/>
        </w:rPr>
        <w:t xml:space="preserve"> July 2021].  </w:t>
      </w:r>
    </w:p>
    <w:p w:rsidR="0036266F" w:rsidRPr="00286B2C" w:rsidRDefault="0036266F" w:rsidP="0036266F">
      <w:pPr>
        <w:spacing w:line="360" w:lineRule="auto"/>
        <w:jc w:val="both"/>
        <w:rPr>
          <w:rFonts w:cstheme="minorHAnsi"/>
          <w:sz w:val="24"/>
          <w:szCs w:val="24"/>
        </w:rPr>
      </w:pPr>
      <w:r w:rsidRPr="00286B2C">
        <w:rPr>
          <w:rFonts w:cstheme="minorHAnsi"/>
          <w:sz w:val="24"/>
          <w:szCs w:val="24"/>
        </w:rPr>
        <w:t xml:space="preserve">NHS, (2019a). Autism signs in children. Available at: </w:t>
      </w:r>
      <w:hyperlink r:id="rId37" w:history="1">
        <w:r w:rsidRPr="00286B2C">
          <w:rPr>
            <w:rStyle w:val="Hyperlink"/>
            <w:rFonts w:cstheme="minorHAnsi"/>
            <w:sz w:val="24"/>
            <w:szCs w:val="24"/>
          </w:rPr>
          <w:t>https://www.nhs.uk/conditions/autism/signs/children/</w:t>
        </w:r>
      </w:hyperlink>
      <w:r w:rsidRPr="00286B2C">
        <w:rPr>
          <w:rFonts w:cstheme="minorHAnsi"/>
          <w:sz w:val="24"/>
          <w:szCs w:val="24"/>
        </w:rPr>
        <w:t xml:space="preserve"> [Accessed: 12</w:t>
      </w:r>
      <w:r w:rsidRPr="00286B2C">
        <w:rPr>
          <w:rFonts w:cstheme="minorHAnsi"/>
          <w:sz w:val="24"/>
          <w:szCs w:val="24"/>
          <w:vertAlign w:val="superscript"/>
        </w:rPr>
        <w:t>th</w:t>
      </w:r>
      <w:r w:rsidRPr="00286B2C">
        <w:rPr>
          <w:rFonts w:cstheme="minorHAnsi"/>
          <w:sz w:val="24"/>
          <w:szCs w:val="24"/>
        </w:rPr>
        <w:t xml:space="preserve"> July 2021]. </w:t>
      </w:r>
    </w:p>
    <w:p w:rsidR="0036266F" w:rsidRPr="00286B2C" w:rsidRDefault="0036266F" w:rsidP="0036266F">
      <w:pPr>
        <w:spacing w:line="360" w:lineRule="auto"/>
        <w:jc w:val="both"/>
        <w:rPr>
          <w:rFonts w:cstheme="minorHAnsi"/>
          <w:sz w:val="24"/>
          <w:szCs w:val="24"/>
        </w:rPr>
      </w:pPr>
      <w:r w:rsidRPr="00286B2C">
        <w:rPr>
          <w:rFonts w:cstheme="minorHAnsi"/>
          <w:sz w:val="24"/>
          <w:szCs w:val="24"/>
        </w:rPr>
        <w:t xml:space="preserve">NICE ASD Signs and Symptoms Checklist, (2013). Nottinghamshire County Multi-Agency ASD Pathway (0-19) Available at: </w:t>
      </w:r>
      <w:hyperlink r:id="rId38" w:history="1">
        <w:r w:rsidRPr="00286B2C">
          <w:rPr>
            <w:rFonts w:cstheme="minorHAnsi"/>
            <w:color w:val="0000FF" w:themeColor="hyperlink"/>
            <w:sz w:val="24"/>
            <w:szCs w:val="24"/>
            <w:u w:val="single"/>
          </w:rPr>
          <w:t>https://www.nottinghamshire.gov.uk/media/2421/nice-guidelines-on-asd-signs-and-symptoms.pdf</w:t>
        </w:r>
      </w:hyperlink>
      <w:r w:rsidRPr="00286B2C">
        <w:rPr>
          <w:rFonts w:cstheme="minorHAnsi"/>
          <w:sz w:val="24"/>
          <w:szCs w:val="24"/>
        </w:rPr>
        <w:t xml:space="preserve"> [Accessed: 12</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spacing w:line="360" w:lineRule="auto"/>
        <w:jc w:val="both"/>
        <w:rPr>
          <w:rFonts w:cstheme="minorHAnsi"/>
          <w:sz w:val="24"/>
          <w:szCs w:val="24"/>
        </w:rPr>
      </w:pPr>
      <w:r w:rsidRPr="00286B2C">
        <w:rPr>
          <w:rFonts w:cstheme="minorHAnsi"/>
          <w:sz w:val="24"/>
          <w:szCs w:val="24"/>
        </w:rPr>
        <w:t xml:space="preserve">NICE Guidelines (2011a) Autism spectrum disorder in under 19s: recognition, referral and diagnosis Available at: </w:t>
      </w:r>
      <w:hyperlink r:id="rId39" w:history="1">
        <w:r w:rsidRPr="00286B2C">
          <w:rPr>
            <w:rStyle w:val="Hyperlink"/>
            <w:rFonts w:cstheme="minorHAnsi"/>
            <w:sz w:val="24"/>
            <w:szCs w:val="24"/>
          </w:rPr>
          <w:t>https://www.nice.org.uk/guidance/cg128/resources/autism-spectrum-disorder-in-under-19s-recognition-referral-and-diagnosis-pdf-35109456621253</w:t>
        </w:r>
      </w:hyperlink>
      <w:r w:rsidRPr="00286B2C">
        <w:rPr>
          <w:rFonts w:cstheme="minorHAnsi"/>
          <w:sz w:val="24"/>
          <w:szCs w:val="24"/>
        </w:rPr>
        <w:t xml:space="preserve"> [Accessed: 13</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spacing w:line="360" w:lineRule="auto"/>
        <w:jc w:val="both"/>
        <w:rPr>
          <w:rFonts w:cstheme="minorHAnsi"/>
          <w:sz w:val="24"/>
          <w:szCs w:val="24"/>
        </w:rPr>
      </w:pPr>
      <w:r w:rsidRPr="00286B2C">
        <w:rPr>
          <w:rFonts w:cstheme="minorHAnsi"/>
          <w:sz w:val="24"/>
          <w:szCs w:val="24"/>
        </w:rPr>
        <w:t xml:space="preserve">NICE Guidelines, (2011) Signs and Symptoms tables, Preschool children. Available at: </w:t>
      </w:r>
      <w:hyperlink r:id="rId40" w:history="1">
        <w:r w:rsidRPr="00286B2C">
          <w:rPr>
            <w:rStyle w:val="Hyperlink"/>
            <w:rFonts w:cstheme="minorHAnsi"/>
            <w:sz w:val="24"/>
            <w:szCs w:val="24"/>
          </w:rPr>
          <w:t>https://www.nice.org.uk/guidance/cg128/resources</w:t>
        </w:r>
      </w:hyperlink>
      <w:r w:rsidRPr="00286B2C">
        <w:rPr>
          <w:rFonts w:cstheme="minorHAnsi"/>
          <w:sz w:val="24"/>
          <w:szCs w:val="24"/>
        </w:rPr>
        <w:t xml:space="preserve"> [Accessed: 13</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spacing w:line="360" w:lineRule="auto"/>
        <w:jc w:val="both"/>
        <w:rPr>
          <w:rFonts w:cstheme="minorHAnsi"/>
          <w:sz w:val="24"/>
          <w:szCs w:val="24"/>
        </w:rPr>
      </w:pPr>
      <w:r w:rsidRPr="00286B2C">
        <w:rPr>
          <w:rFonts w:cstheme="minorHAnsi"/>
          <w:sz w:val="24"/>
          <w:szCs w:val="24"/>
        </w:rPr>
        <w:t xml:space="preserve">Robins DL, et al. (2001) ‘The Modified Checklist for Autism in Toddlers: an initial study investigating the early detection of autism and pervasive developmental disorders’. </w:t>
      </w:r>
      <w:r w:rsidRPr="00286B2C">
        <w:rPr>
          <w:rFonts w:cstheme="minorHAnsi"/>
          <w:i/>
          <w:sz w:val="24"/>
          <w:szCs w:val="24"/>
        </w:rPr>
        <w:t>J Autism Dev Disord. National Library of medicine</w:t>
      </w:r>
      <w:r w:rsidRPr="00286B2C">
        <w:rPr>
          <w:rFonts w:cstheme="minorHAnsi"/>
          <w:sz w:val="24"/>
          <w:szCs w:val="24"/>
        </w:rPr>
        <w:t xml:space="preserve">. Apr;31(2):131-44. doi: 10.1023/a:1010738829569. PMID: 11450812. Available at: </w:t>
      </w:r>
      <w:hyperlink r:id="rId41" w:history="1">
        <w:r w:rsidRPr="00286B2C">
          <w:rPr>
            <w:rFonts w:cstheme="minorHAnsi"/>
            <w:color w:val="0000FF" w:themeColor="hyperlink"/>
            <w:sz w:val="24"/>
            <w:szCs w:val="24"/>
            <w:u w:val="single"/>
          </w:rPr>
          <w:t>https://pubmed.ncbi.nlm.nih.gov/11450812/</w:t>
        </w:r>
      </w:hyperlink>
      <w:r w:rsidRPr="00286B2C">
        <w:rPr>
          <w:rFonts w:cstheme="minorHAnsi"/>
          <w:sz w:val="24"/>
          <w:szCs w:val="24"/>
        </w:rPr>
        <w:t xml:space="preserve"> [Available at: 9</w:t>
      </w:r>
      <w:r w:rsidRPr="00286B2C">
        <w:rPr>
          <w:rFonts w:cstheme="minorHAnsi"/>
          <w:sz w:val="24"/>
          <w:szCs w:val="24"/>
          <w:vertAlign w:val="superscript"/>
        </w:rPr>
        <w:t>th</w:t>
      </w:r>
      <w:r w:rsidRPr="00286B2C">
        <w:rPr>
          <w:rFonts w:cstheme="minorHAnsi"/>
          <w:sz w:val="24"/>
          <w:szCs w:val="24"/>
        </w:rPr>
        <w:t xml:space="preserve"> July 2021]. </w:t>
      </w:r>
    </w:p>
    <w:p w:rsidR="0036266F" w:rsidRPr="00286B2C" w:rsidRDefault="0036266F" w:rsidP="0036266F">
      <w:pPr>
        <w:spacing w:line="360" w:lineRule="auto"/>
        <w:jc w:val="both"/>
        <w:rPr>
          <w:rFonts w:cstheme="minorHAnsi"/>
          <w:sz w:val="24"/>
          <w:szCs w:val="24"/>
        </w:rPr>
      </w:pPr>
      <w:r w:rsidRPr="00286B2C">
        <w:rPr>
          <w:rFonts w:cstheme="minorHAnsi"/>
          <w:sz w:val="24"/>
          <w:szCs w:val="24"/>
        </w:rPr>
        <w:t xml:space="preserve">Social Care Institute of Excellence, (2017). Barriers to services. Available at: </w:t>
      </w:r>
      <w:hyperlink r:id="rId42" w:history="1">
        <w:r w:rsidRPr="00286B2C">
          <w:rPr>
            <w:rFonts w:cstheme="minorHAnsi"/>
            <w:color w:val="0000FF" w:themeColor="hyperlink"/>
            <w:sz w:val="24"/>
            <w:szCs w:val="24"/>
            <w:u w:val="single"/>
          </w:rPr>
          <w:t>https://www.scie.org.uk/autism/adults/main-issues/barriers-to-services</w:t>
        </w:r>
      </w:hyperlink>
      <w:r w:rsidRPr="00286B2C">
        <w:rPr>
          <w:rFonts w:cstheme="minorHAnsi"/>
          <w:sz w:val="24"/>
          <w:szCs w:val="24"/>
        </w:rPr>
        <w:t xml:space="preserve"> [Accessed: 12</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spacing w:line="360" w:lineRule="auto"/>
        <w:jc w:val="both"/>
        <w:rPr>
          <w:rFonts w:cstheme="minorHAnsi"/>
          <w:sz w:val="24"/>
          <w:szCs w:val="24"/>
        </w:rPr>
      </w:pPr>
      <w:r w:rsidRPr="00286B2C">
        <w:rPr>
          <w:rFonts w:cstheme="minorHAnsi"/>
          <w:sz w:val="24"/>
          <w:szCs w:val="24"/>
        </w:rPr>
        <w:t xml:space="preserve">Stobbs, (2015). Council for Disabled Children Early years SEN: Identification and Intervention Optimus Education. Available at: </w:t>
      </w:r>
      <w:hyperlink r:id="rId43" w:history="1">
        <w:r w:rsidRPr="00286B2C">
          <w:rPr>
            <w:rStyle w:val="Hyperlink"/>
            <w:rFonts w:cstheme="minorHAnsi"/>
            <w:sz w:val="24"/>
            <w:szCs w:val="24"/>
          </w:rPr>
          <w:t>https://my.optimus-education.com/sites/optimus-education.com/files/p._stobbs._keynote_1.pdf</w:t>
        </w:r>
      </w:hyperlink>
      <w:r w:rsidRPr="00286B2C">
        <w:rPr>
          <w:rFonts w:cstheme="minorHAnsi"/>
          <w:sz w:val="24"/>
          <w:szCs w:val="24"/>
        </w:rPr>
        <w:t xml:space="preserve"> [Accessed: 13</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spacing w:line="360" w:lineRule="auto"/>
        <w:jc w:val="both"/>
        <w:rPr>
          <w:rFonts w:cstheme="minorHAnsi"/>
          <w:sz w:val="24"/>
          <w:szCs w:val="24"/>
        </w:rPr>
      </w:pPr>
      <w:r w:rsidRPr="00286B2C">
        <w:rPr>
          <w:rFonts w:cstheme="minorHAnsi"/>
          <w:sz w:val="24"/>
          <w:szCs w:val="24"/>
        </w:rPr>
        <w:t>Sullivan, K. (2020).</w:t>
      </w:r>
      <w:r w:rsidRPr="00286B2C">
        <w:rPr>
          <w:rFonts w:cstheme="minorHAnsi"/>
          <w:b/>
          <w:bCs/>
          <w:caps/>
          <w:color w:val="242F60"/>
          <w:sz w:val="24"/>
          <w:szCs w:val="24"/>
          <w:shd w:val="clear" w:color="auto" w:fill="FCFCFC"/>
        </w:rPr>
        <w:t xml:space="preserve"> </w:t>
      </w:r>
      <w:r w:rsidRPr="00286B2C">
        <w:rPr>
          <w:rFonts w:cstheme="minorHAnsi"/>
          <w:sz w:val="24"/>
          <w:szCs w:val="24"/>
        </w:rPr>
        <w:t xml:space="preserve">Four-year delay in getting autism diagnosis, but online tools can cut the wait. Swansea University Press. Available at: </w:t>
      </w:r>
      <w:hyperlink r:id="rId44" w:history="1">
        <w:r w:rsidRPr="00286B2C">
          <w:rPr>
            <w:rFonts w:cstheme="minorHAnsi"/>
            <w:color w:val="0000FF" w:themeColor="hyperlink"/>
            <w:sz w:val="24"/>
            <w:szCs w:val="24"/>
            <w:u w:val="single"/>
          </w:rPr>
          <w:t>https://www.swansea.ac.uk/press-office/news-events/news/2020/08/four-year-delay-in-getting-autism-diagnosis-but-online-tools-can-cut-the-wait-.php</w:t>
        </w:r>
      </w:hyperlink>
      <w:r w:rsidRPr="00286B2C">
        <w:rPr>
          <w:rFonts w:cstheme="minorHAnsi"/>
          <w:sz w:val="24"/>
          <w:szCs w:val="24"/>
        </w:rPr>
        <w:t xml:space="preserve"> [Accessed: 12</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spacing w:line="360" w:lineRule="auto"/>
        <w:jc w:val="both"/>
        <w:rPr>
          <w:rFonts w:cstheme="minorHAnsi"/>
          <w:sz w:val="24"/>
          <w:szCs w:val="24"/>
        </w:rPr>
      </w:pPr>
      <w:r w:rsidRPr="00286B2C">
        <w:rPr>
          <w:rFonts w:cstheme="minorHAnsi"/>
          <w:sz w:val="24"/>
          <w:szCs w:val="24"/>
        </w:rPr>
        <w:t xml:space="preserve">Swansea Council, (2019) Person Centred Practice. Available at: </w:t>
      </w:r>
      <w:hyperlink r:id="rId45" w:history="1">
        <w:r w:rsidRPr="00286B2C">
          <w:rPr>
            <w:rFonts w:cstheme="minorHAnsi"/>
            <w:color w:val="0000FF" w:themeColor="hyperlink"/>
            <w:sz w:val="24"/>
            <w:szCs w:val="24"/>
            <w:u w:val="single"/>
          </w:rPr>
          <w:t>https://www.swansea.gov.uk/article/46618/Person-centred-planning</w:t>
        </w:r>
      </w:hyperlink>
      <w:r w:rsidRPr="00286B2C">
        <w:rPr>
          <w:rFonts w:cstheme="minorHAnsi"/>
          <w:sz w:val="24"/>
          <w:szCs w:val="24"/>
        </w:rPr>
        <w:t xml:space="preserve"> [Accessed: 12</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spacing w:line="360" w:lineRule="auto"/>
        <w:jc w:val="both"/>
        <w:rPr>
          <w:rFonts w:cstheme="minorHAnsi"/>
          <w:sz w:val="24"/>
          <w:szCs w:val="24"/>
        </w:rPr>
      </w:pPr>
      <w:r w:rsidRPr="00286B2C">
        <w:rPr>
          <w:rFonts w:cstheme="minorHAnsi"/>
          <w:sz w:val="24"/>
          <w:szCs w:val="24"/>
        </w:rPr>
        <w:t xml:space="preserve">Swansea Council, (2019a). Who decides what ALN support my child has? Available at: </w:t>
      </w:r>
      <w:hyperlink r:id="rId46" w:history="1">
        <w:r w:rsidRPr="00286B2C">
          <w:rPr>
            <w:rStyle w:val="Hyperlink"/>
            <w:rFonts w:cstheme="minorHAnsi"/>
            <w:sz w:val="24"/>
            <w:szCs w:val="24"/>
          </w:rPr>
          <w:t>https://www.swansea.gov.uk/article/46441/Who-decides-what-ALN-support-my-child-has</w:t>
        </w:r>
      </w:hyperlink>
      <w:r w:rsidRPr="00286B2C">
        <w:rPr>
          <w:rFonts w:cstheme="minorHAnsi"/>
          <w:sz w:val="24"/>
          <w:szCs w:val="24"/>
        </w:rPr>
        <w:t xml:space="preserve"> [Accessed: 12</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spacing w:line="360" w:lineRule="auto"/>
        <w:jc w:val="both"/>
        <w:rPr>
          <w:rFonts w:cstheme="minorHAnsi"/>
          <w:sz w:val="24"/>
          <w:szCs w:val="24"/>
        </w:rPr>
      </w:pPr>
      <w:r w:rsidRPr="00286B2C">
        <w:rPr>
          <w:rFonts w:cstheme="minorHAnsi"/>
          <w:sz w:val="24"/>
          <w:szCs w:val="24"/>
        </w:rPr>
        <w:t xml:space="preserve">Swansea Council, (2019b) Graduated Response Triangle. Available at: </w:t>
      </w:r>
      <w:hyperlink r:id="rId47" w:history="1">
        <w:r w:rsidRPr="00286B2C">
          <w:rPr>
            <w:rStyle w:val="Hyperlink"/>
            <w:rFonts w:cstheme="minorHAnsi"/>
            <w:sz w:val="24"/>
            <w:szCs w:val="24"/>
          </w:rPr>
          <w:t>https://www.swansea.gov.uk/article/46616/Assessments-and-the-graduated-response</w:t>
        </w:r>
      </w:hyperlink>
      <w:r w:rsidRPr="00286B2C">
        <w:rPr>
          <w:rFonts w:cstheme="minorHAnsi"/>
          <w:sz w:val="24"/>
          <w:szCs w:val="24"/>
        </w:rPr>
        <w:t xml:space="preserve">  [Accessed: 12</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spacing w:line="360" w:lineRule="auto"/>
        <w:jc w:val="both"/>
        <w:rPr>
          <w:rFonts w:cstheme="minorHAnsi"/>
          <w:sz w:val="24"/>
          <w:szCs w:val="24"/>
        </w:rPr>
      </w:pPr>
      <w:r w:rsidRPr="00286B2C">
        <w:rPr>
          <w:rFonts w:cstheme="minorHAnsi"/>
          <w:sz w:val="24"/>
          <w:szCs w:val="24"/>
        </w:rPr>
        <w:t xml:space="preserve">Swansea Council, (2019c) the role of the ALNCo. Available at: </w:t>
      </w:r>
      <w:hyperlink r:id="rId48" w:history="1">
        <w:r w:rsidRPr="00286B2C">
          <w:rPr>
            <w:rStyle w:val="Hyperlink"/>
            <w:rFonts w:cstheme="minorHAnsi"/>
            <w:sz w:val="24"/>
            <w:szCs w:val="24"/>
          </w:rPr>
          <w:t>https://www.swansea.gov.uk/article/46471/Role-of-the-ALNCo-and-professionals</w:t>
        </w:r>
      </w:hyperlink>
      <w:r w:rsidRPr="00286B2C">
        <w:rPr>
          <w:rFonts w:cstheme="minorHAnsi"/>
          <w:sz w:val="24"/>
          <w:szCs w:val="24"/>
        </w:rPr>
        <w:t xml:space="preserve"> [Accessed: 12</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spacing w:line="360" w:lineRule="auto"/>
        <w:jc w:val="both"/>
        <w:rPr>
          <w:rFonts w:cstheme="minorHAnsi"/>
          <w:sz w:val="24"/>
          <w:szCs w:val="24"/>
        </w:rPr>
      </w:pPr>
      <w:r w:rsidRPr="00286B2C">
        <w:rPr>
          <w:rFonts w:cstheme="minorHAnsi"/>
          <w:sz w:val="24"/>
          <w:szCs w:val="24"/>
        </w:rPr>
        <w:t xml:space="preserve">UNICEF, (1992) The Rights of the Child. Available at: </w:t>
      </w:r>
      <w:hyperlink r:id="rId49" w:history="1">
        <w:r w:rsidRPr="00286B2C">
          <w:rPr>
            <w:rStyle w:val="Hyperlink"/>
            <w:rFonts w:cstheme="minorHAnsi"/>
            <w:sz w:val="24"/>
            <w:szCs w:val="24"/>
          </w:rPr>
          <w:t>https://www.unicef.org.uk/?sisearchengine=377&amp;siproduct=Campaign_%2A%2ABrand-Unicef-Broad&amp;msclkid=d13bad754e1a19eb742ecd85da506111</w:t>
        </w:r>
      </w:hyperlink>
      <w:r w:rsidRPr="00286B2C">
        <w:rPr>
          <w:rFonts w:cstheme="minorHAnsi"/>
          <w:sz w:val="24"/>
          <w:szCs w:val="24"/>
        </w:rPr>
        <w:t xml:space="preserve"> [Accessed: 12</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tabs>
          <w:tab w:val="left" w:pos="4554"/>
        </w:tabs>
        <w:spacing w:line="360" w:lineRule="auto"/>
        <w:jc w:val="both"/>
        <w:rPr>
          <w:rFonts w:cstheme="minorHAnsi"/>
          <w:sz w:val="24"/>
          <w:szCs w:val="24"/>
        </w:rPr>
      </w:pPr>
      <w:r w:rsidRPr="00286B2C">
        <w:rPr>
          <w:rFonts w:cstheme="minorHAnsi"/>
          <w:i/>
          <w:sz w:val="24"/>
          <w:szCs w:val="24"/>
        </w:rPr>
        <w:t>Welsh Government (2021) Types of ALN</w:t>
      </w:r>
      <w:r w:rsidRPr="00286B2C">
        <w:rPr>
          <w:rFonts w:cstheme="minorHAnsi"/>
          <w:sz w:val="24"/>
          <w:szCs w:val="24"/>
        </w:rPr>
        <w:t xml:space="preserve">. Available at: </w:t>
      </w:r>
      <w:hyperlink r:id="rId50" w:history="1">
        <w:r w:rsidRPr="00286B2C">
          <w:rPr>
            <w:rFonts w:cstheme="minorHAnsi"/>
            <w:color w:val="0000FF" w:themeColor="hyperlink"/>
            <w:sz w:val="24"/>
            <w:szCs w:val="24"/>
            <w:u w:val="single"/>
          </w:rPr>
          <w:t>https://resources.hwb.wales.gov.uk/VTC/ALN+L1/story.html</w:t>
        </w:r>
      </w:hyperlink>
      <w:r w:rsidRPr="00286B2C">
        <w:rPr>
          <w:rFonts w:cstheme="minorHAnsi"/>
          <w:sz w:val="24"/>
          <w:szCs w:val="24"/>
        </w:rPr>
        <w:t xml:space="preserve">  [Accessed: 12</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spacing w:line="360" w:lineRule="auto"/>
        <w:jc w:val="both"/>
        <w:rPr>
          <w:rFonts w:cstheme="minorHAnsi"/>
          <w:sz w:val="24"/>
          <w:szCs w:val="24"/>
        </w:rPr>
      </w:pPr>
      <w:r w:rsidRPr="00286B2C">
        <w:rPr>
          <w:rFonts w:cstheme="minorHAnsi"/>
          <w:sz w:val="24"/>
          <w:szCs w:val="24"/>
        </w:rPr>
        <w:t xml:space="preserve">Welsh Government, (2004) SEN code of Practice for Wales. Available at; </w:t>
      </w:r>
      <w:hyperlink r:id="rId51" w:history="1">
        <w:r w:rsidRPr="00286B2C">
          <w:rPr>
            <w:rStyle w:val="Hyperlink"/>
            <w:rFonts w:cstheme="minorHAnsi"/>
            <w:sz w:val="24"/>
            <w:szCs w:val="24"/>
          </w:rPr>
          <w:t>https://gov.wales/sites/default/files/publications/2018-03/special-educational-needs-code-of-practice-for-wales.pdf</w:t>
        </w:r>
      </w:hyperlink>
      <w:r w:rsidRPr="00286B2C">
        <w:rPr>
          <w:rFonts w:cstheme="minorHAnsi"/>
          <w:sz w:val="24"/>
          <w:szCs w:val="24"/>
        </w:rPr>
        <w:t xml:space="preserve"> [Accessed; 13</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spacing w:line="360" w:lineRule="auto"/>
        <w:jc w:val="both"/>
        <w:rPr>
          <w:rFonts w:cstheme="minorHAnsi"/>
          <w:sz w:val="24"/>
          <w:szCs w:val="24"/>
        </w:rPr>
      </w:pPr>
      <w:r w:rsidRPr="00286B2C">
        <w:rPr>
          <w:rFonts w:cstheme="minorHAnsi"/>
          <w:i/>
          <w:sz w:val="24"/>
          <w:szCs w:val="24"/>
        </w:rPr>
        <w:t>Welsh Government, (2004). SEN code of Practice for Wales</w:t>
      </w:r>
      <w:r w:rsidRPr="00286B2C">
        <w:rPr>
          <w:rFonts w:cstheme="minorHAnsi"/>
          <w:sz w:val="24"/>
          <w:szCs w:val="24"/>
        </w:rPr>
        <w:t xml:space="preserve">. Available at: </w:t>
      </w:r>
      <w:hyperlink r:id="rId52" w:history="1">
        <w:r w:rsidRPr="00286B2C">
          <w:rPr>
            <w:rStyle w:val="Hyperlink"/>
            <w:rFonts w:cstheme="minorHAnsi"/>
            <w:sz w:val="24"/>
            <w:szCs w:val="24"/>
          </w:rPr>
          <w:t>https://gov.wales/sites/default/files/publications/2018-03/special-educational-needs-code-of-practice-for-wales.pdf</w:t>
        </w:r>
      </w:hyperlink>
      <w:r w:rsidRPr="00286B2C">
        <w:rPr>
          <w:rFonts w:cstheme="minorHAnsi"/>
          <w:sz w:val="24"/>
          <w:szCs w:val="24"/>
        </w:rPr>
        <w:t xml:space="preserve"> Accessed: 9</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spacing w:line="360" w:lineRule="auto"/>
        <w:jc w:val="both"/>
        <w:rPr>
          <w:rFonts w:cstheme="minorHAnsi"/>
          <w:sz w:val="24"/>
          <w:szCs w:val="24"/>
        </w:rPr>
      </w:pPr>
      <w:r w:rsidRPr="00286B2C">
        <w:rPr>
          <w:rFonts w:cstheme="minorHAnsi"/>
          <w:sz w:val="24"/>
          <w:szCs w:val="24"/>
        </w:rPr>
        <w:t xml:space="preserve">Welsh Government, (2012) Flying Start strategic Guidance. Available at;  </w:t>
      </w:r>
      <w:hyperlink r:id="rId53" w:history="1">
        <w:r w:rsidRPr="00286B2C">
          <w:rPr>
            <w:rStyle w:val="Hyperlink"/>
            <w:rFonts w:cstheme="minorHAnsi"/>
            <w:sz w:val="24"/>
            <w:szCs w:val="24"/>
          </w:rPr>
          <w:t>https://gov.wales/sites/default/files/publications/2019-07/flying-start-strategy-guidance-for-local-authorities.pdf</w:t>
        </w:r>
      </w:hyperlink>
      <w:r w:rsidRPr="00286B2C">
        <w:rPr>
          <w:rFonts w:cstheme="minorHAnsi"/>
          <w:sz w:val="24"/>
          <w:szCs w:val="24"/>
        </w:rPr>
        <w:t xml:space="preserve"> [Accessed: 12</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spacing w:line="360" w:lineRule="auto"/>
        <w:jc w:val="both"/>
        <w:rPr>
          <w:rFonts w:cstheme="minorHAnsi"/>
          <w:sz w:val="24"/>
          <w:szCs w:val="24"/>
        </w:rPr>
      </w:pPr>
      <w:r w:rsidRPr="00286B2C">
        <w:rPr>
          <w:rFonts w:cstheme="minorHAnsi"/>
          <w:sz w:val="24"/>
          <w:szCs w:val="24"/>
        </w:rPr>
        <w:t xml:space="preserve">Welsh Government, (2015) Person Centred Practice Reviews. Available at: </w:t>
      </w:r>
      <w:hyperlink r:id="rId54" w:history="1">
        <w:r w:rsidRPr="00286B2C">
          <w:rPr>
            <w:rStyle w:val="Hyperlink"/>
            <w:rFonts w:cstheme="minorHAnsi"/>
            <w:sz w:val="24"/>
            <w:szCs w:val="24"/>
          </w:rPr>
          <w:t>https://gov.wales/sites/default/files/publications/2018-12/person-centred-reviews-for-professionals.pdf</w:t>
        </w:r>
      </w:hyperlink>
      <w:r w:rsidRPr="00286B2C">
        <w:rPr>
          <w:rFonts w:cstheme="minorHAnsi"/>
          <w:sz w:val="24"/>
          <w:szCs w:val="24"/>
        </w:rPr>
        <w:t xml:space="preserve"> [Accessed; 12</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spacing w:line="360" w:lineRule="auto"/>
        <w:jc w:val="both"/>
        <w:rPr>
          <w:rFonts w:cstheme="minorHAnsi"/>
          <w:sz w:val="24"/>
          <w:szCs w:val="24"/>
        </w:rPr>
      </w:pPr>
      <w:r w:rsidRPr="00286B2C">
        <w:rPr>
          <w:rFonts w:cstheme="minorHAnsi"/>
          <w:i/>
          <w:sz w:val="24"/>
          <w:szCs w:val="24"/>
        </w:rPr>
        <w:t>Welsh Government, (2015) Programme for Children and Young People Comprehensive version – Core Aims 1 to 7 Forging the way for the rights of children and young people in Wales by implementing the UN Convention on the Rights of the Child into everything we do.</w:t>
      </w:r>
      <w:r w:rsidRPr="00286B2C">
        <w:rPr>
          <w:rFonts w:cstheme="minorHAnsi"/>
          <w:sz w:val="24"/>
          <w:szCs w:val="24"/>
        </w:rPr>
        <w:t xml:space="preserve"> Available at: </w:t>
      </w:r>
      <w:hyperlink r:id="rId55" w:history="1">
        <w:r w:rsidRPr="00286B2C">
          <w:rPr>
            <w:rStyle w:val="Hyperlink"/>
            <w:rFonts w:cstheme="minorHAnsi"/>
            <w:sz w:val="24"/>
            <w:szCs w:val="24"/>
          </w:rPr>
          <w:t>https://gov.wales/sites/default/files/publications/2019-06/seven-core-aims-for-children-and-young-people.pdf</w:t>
        </w:r>
      </w:hyperlink>
      <w:r w:rsidRPr="00286B2C">
        <w:rPr>
          <w:rFonts w:cstheme="minorHAnsi"/>
          <w:sz w:val="24"/>
          <w:szCs w:val="24"/>
        </w:rPr>
        <w:t xml:space="preserve"> [Accessed; 6th July 2021].</w:t>
      </w:r>
    </w:p>
    <w:p w:rsidR="0036266F" w:rsidRPr="00286B2C" w:rsidRDefault="0036266F" w:rsidP="0036266F">
      <w:pPr>
        <w:spacing w:line="360" w:lineRule="auto"/>
        <w:jc w:val="both"/>
        <w:rPr>
          <w:rFonts w:cstheme="minorHAnsi"/>
          <w:sz w:val="24"/>
          <w:szCs w:val="24"/>
        </w:rPr>
      </w:pPr>
      <w:r w:rsidRPr="00286B2C">
        <w:rPr>
          <w:rFonts w:cstheme="minorHAnsi"/>
          <w:i/>
          <w:sz w:val="24"/>
          <w:szCs w:val="24"/>
        </w:rPr>
        <w:t>Welsh Government, (2016) National Minimum Standards</w:t>
      </w:r>
      <w:r w:rsidRPr="00286B2C">
        <w:rPr>
          <w:rFonts w:cstheme="minorHAnsi"/>
          <w:sz w:val="24"/>
          <w:szCs w:val="24"/>
        </w:rPr>
        <w:t xml:space="preserve">. Available at; </w:t>
      </w:r>
      <w:hyperlink r:id="rId56" w:history="1">
        <w:r w:rsidRPr="00286B2C">
          <w:rPr>
            <w:rFonts w:cstheme="minorHAnsi"/>
            <w:color w:val="0000FF" w:themeColor="hyperlink"/>
            <w:sz w:val="24"/>
            <w:szCs w:val="24"/>
            <w:u w:val="single"/>
          </w:rPr>
          <w:t>https://careinspectorate.wales/sites/default/files/2018-01/160411regchildcareen.pdf</w:t>
        </w:r>
      </w:hyperlink>
      <w:r w:rsidRPr="00286B2C">
        <w:rPr>
          <w:rFonts w:cstheme="minorHAnsi"/>
          <w:sz w:val="24"/>
          <w:szCs w:val="24"/>
        </w:rPr>
        <w:t xml:space="preserve"> [Accessed: 12</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spacing w:line="360" w:lineRule="auto"/>
        <w:jc w:val="both"/>
        <w:rPr>
          <w:rFonts w:cstheme="minorHAnsi"/>
          <w:sz w:val="24"/>
          <w:szCs w:val="24"/>
        </w:rPr>
      </w:pPr>
      <w:r w:rsidRPr="00286B2C">
        <w:rPr>
          <w:rFonts w:cstheme="minorHAnsi"/>
          <w:i/>
          <w:sz w:val="24"/>
          <w:szCs w:val="24"/>
        </w:rPr>
        <w:t>Welsh Government, (2017) Flying Start Health Programme Guidance.</w:t>
      </w:r>
      <w:r w:rsidRPr="00286B2C">
        <w:rPr>
          <w:rFonts w:cstheme="minorHAnsi"/>
          <w:sz w:val="24"/>
          <w:szCs w:val="24"/>
        </w:rPr>
        <w:t xml:space="preserve"> Available at: </w:t>
      </w:r>
      <w:hyperlink r:id="rId57" w:history="1">
        <w:r w:rsidRPr="00286B2C">
          <w:rPr>
            <w:rFonts w:cstheme="minorHAnsi"/>
            <w:color w:val="0000FF" w:themeColor="hyperlink"/>
            <w:sz w:val="24"/>
            <w:szCs w:val="24"/>
            <w:u w:val="single"/>
          </w:rPr>
          <w:t>https://gov.wales/sites/default/files/publications/2019-07/flying-start-health-programme-guidance_0.pdf</w:t>
        </w:r>
      </w:hyperlink>
      <w:r w:rsidRPr="00286B2C">
        <w:rPr>
          <w:rFonts w:cstheme="minorHAnsi"/>
          <w:sz w:val="24"/>
          <w:szCs w:val="24"/>
        </w:rPr>
        <w:t xml:space="preserve"> [Accessed: 6</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spacing w:line="360" w:lineRule="auto"/>
        <w:jc w:val="both"/>
        <w:rPr>
          <w:rFonts w:cstheme="minorHAnsi"/>
          <w:sz w:val="24"/>
          <w:szCs w:val="24"/>
        </w:rPr>
      </w:pPr>
      <w:r w:rsidRPr="00286B2C">
        <w:rPr>
          <w:rFonts w:cstheme="minorHAnsi"/>
          <w:i/>
          <w:sz w:val="24"/>
          <w:szCs w:val="24"/>
        </w:rPr>
        <w:t>Welsh Government, (2017). Foundation Phase Profile.</w:t>
      </w:r>
      <w:r w:rsidRPr="00286B2C">
        <w:rPr>
          <w:rFonts w:cstheme="minorHAnsi"/>
          <w:sz w:val="24"/>
          <w:szCs w:val="24"/>
        </w:rPr>
        <w:t xml:space="preserve"> Available at: </w:t>
      </w:r>
      <w:hyperlink r:id="rId58" w:history="1">
        <w:r w:rsidRPr="00286B2C">
          <w:rPr>
            <w:rFonts w:cstheme="minorHAnsi"/>
            <w:color w:val="0000FF" w:themeColor="hyperlink"/>
            <w:sz w:val="24"/>
            <w:szCs w:val="24"/>
            <w:u w:val="single"/>
          </w:rPr>
          <w:t>https://gov.wales/sites/default/files/publications/2018-03/foundation-phase-profile-handbook-revised-september-2017.pdf</w:t>
        </w:r>
      </w:hyperlink>
      <w:r w:rsidRPr="00286B2C">
        <w:rPr>
          <w:rFonts w:cstheme="minorHAnsi"/>
          <w:sz w:val="24"/>
          <w:szCs w:val="24"/>
        </w:rPr>
        <w:t xml:space="preserve"> [Accessed: 12</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spacing w:line="360" w:lineRule="auto"/>
        <w:jc w:val="both"/>
        <w:rPr>
          <w:rFonts w:cstheme="minorHAnsi"/>
          <w:sz w:val="24"/>
          <w:szCs w:val="24"/>
        </w:rPr>
      </w:pPr>
      <w:r w:rsidRPr="00286B2C">
        <w:rPr>
          <w:rFonts w:cstheme="minorHAnsi"/>
          <w:i/>
          <w:sz w:val="24"/>
          <w:szCs w:val="24"/>
        </w:rPr>
        <w:t>Welsh Government, (2018) Implementing the Additional Learning Needs and Education Tribunal (Wales) Act 2018 A guide to the timeframes for implementing individual development plans for children of compulsory school age and under</w:t>
      </w:r>
      <w:r w:rsidRPr="00286B2C">
        <w:rPr>
          <w:rFonts w:cstheme="minorHAnsi"/>
          <w:sz w:val="24"/>
          <w:szCs w:val="24"/>
        </w:rPr>
        <w:t xml:space="preserve">. Available at: </w:t>
      </w:r>
      <w:hyperlink r:id="rId59" w:history="1">
        <w:r w:rsidRPr="00286B2C">
          <w:rPr>
            <w:rStyle w:val="Hyperlink"/>
            <w:rFonts w:cstheme="minorHAnsi"/>
            <w:sz w:val="24"/>
            <w:szCs w:val="24"/>
          </w:rPr>
          <w:t>https://gov.wales/sites/default/files/publications/2018-11/additional-learning-needs-and-education-tribunal-wales-act-2018-implementation-guide-for-individual-development-plans.pdf</w:t>
        </w:r>
      </w:hyperlink>
      <w:r w:rsidRPr="00286B2C">
        <w:rPr>
          <w:rFonts w:cstheme="minorHAnsi"/>
          <w:sz w:val="24"/>
          <w:szCs w:val="24"/>
        </w:rPr>
        <w:t xml:space="preserve"> [Accessed: 12</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spacing w:line="360" w:lineRule="auto"/>
        <w:jc w:val="both"/>
        <w:rPr>
          <w:rFonts w:cstheme="minorHAnsi"/>
          <w:sz w:val="24"/>
          <w:szCs w:val="24"/>
        </w:rPr>
      </w:pPr>
      <w:r w:rsidRPr="00286B2C">
        <w:rPr>
          <w:rFonts w:cstheme="minorHAnsi"/>
          <w:sz w:val="24"/>
          <w:szCs w:val="24"/>
        </w:rPr>
        <w:t xml:space="preserve">Welsh Government, (2018). Additional Learning Needs and Education Tribunal Wales Act. Available at: </w:t>
      </w:r>
      <w:hyperlink r:id="rId60" w:history="1">
        <w:r w:rsidRPr="00286B2C">
          <w:rPr>
            <w:rStyle w:val="Hyperlink"/>
            <w:rFonts w:cstheme="minorHAnsi"/>
            <w:sz w:val="24"/>
            <w:szCs w:val="24"/>
          </w:rPr>
          <w:t>https://gov.wales/sites/default/files/publications/2018-11/additional-learning-needs-and-education-tribunal-wales-act-2018-implementation-guide-for-individual-development-plans.pdf</w:t>
        </w:r>
      </w:hyperlink>
      <w:r w:rsidRPr="00286B2C">
        <w:rPr>
          <w:rFonts w:cstheme="minorHAnsi"/>
          <w:sz w:val="24"/>
          <w:szCs w:val="24"/>
        </w:rPr>
        <w:t xml:space="preserve"> [Accessed; 9</w:t>
      </w:r>
      <w:r w:rsidRPr="00286B2C">
        <w:rPr>
          <w:rFonts w:cstheme="minorHAnsi"/>
          <w:sz w:val="24"/>
          <w:szCs w:val="24"/>
          <w:vertAlign w:val="superscript"/>
        </w:rPr>
        <w:t>th</w:t>
      </w:r>
      <w:r w:rsidRPr="00286B2C">
        <w:rPr>
          <w:rFonts w:cstheme="minorHAnsi"/>
          <w:sz w:val="24"/>
          <w:szCs w:val="24"/>
        </w:rPr>
        <w:t xml:space="preserve"> July 2021]. </w:t>
      </w:r>
    </w:p>
    <w:p w:rsidR="0036266F" w:rsidRPr="00286B2C" w:rsidRDefault="0036266F" w:rsidP="0036266F">
      <w:pPr>
        <w:spacing w:line="360" w:lineRule="auto"/>
        <w:jc w:val="both"/>
        <w:rPr>
          <w:rFonts w:cstheme="minorHAnsi"/>
          <w:sz w:val="24"/>
          <w:szCs w:val="24"/>
        </w:rPr>
      </w:pPr>
      <w:r w:rsidRPr="00286B2C">
        <w:rPr>
          <w:rFonts w:cstheme="minorHAnsi"/>
          <w:i/>
          <w:sz w:val="24"/>
          <w:szCs w:val="24"/>
        </w:rPr>
        <w:t>Welsh Government, (2019) Support for</w:t>
      </w:r>
      <w:r w:rsidRPr="00286B2C">
        <w:rPr>
          <w:rFonts w:cstheme="minorHAnsi"/>
          <w:sz w:val="24"/>
          <w:szCs w:val="24"/>
        </w:rPr>
        <w:t xml:space="preserve"> </w:t>
      </w:r>
      <w:r w:rsidRPr="00286B2C">
        <w:rPr>
          <w:rFonts w:cstheme="minorHAnsi"/>
          <w:i/>
          <w:sz w:val="24"/>
          <w:szCs w:val="24"/>
        </w:rPr>
        <w:t xml:space="preserve">Children and Young People with Autistic Spectrum Disorder </w:t>
      </w:r>
      <w:r w:rsidRPr="00286B2C">
        <w:rPr>
          <w:rFonts w:cstheme="minorHAnsi"/>
          <w:sz w:val="24"/>
          <w:szCs w:val="24"/>
        </w:rPr>
        <w:t xml:space="preserve">(ASD) in educational settings. Available at: </w:t>
      </w:r>
      <w:hyperlink r:id="rId61" w:history="1">
        <w:r w:rsidRPr="00286B2C">
          <w:rPr>
            <w:rFonts w:cstheme="minorHAnsi"/>
            <w:color w:val="0000FF" w:themeColor="hyperlink"/>
            <w:sz w:val="24"/>
            <w:szCs w:val="24"/>
            <w:u w:val="single"/>
          </w:rPr>
          <w:t>https://gov.wales/sites/default/files/publications/2019-01/ways-of-supporting-learners-with-autistic-spectrum-disorder-asd.pdf</w:t>
        </w:r>
      </w:hyperlink>
      <w:r w:rsidRPr="00286B2C">
        <w:rPr>
          <w:rFonts w:cstheme="minorHAnsi"/>
          <w:sz w:val="24"/>
          <w:szCs w:val="24"/>
        </w:rPr>
        <w:t xml:space="preserve"> [Accessed: 12</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spacing w:line="360" w:lineRule="auto"/>
        <w:jc w:val="both"/>
        <w:rPr>
          <w:rFonts w:cstheme="minorHAnsi"/>
          <w:sz w:val="24"/>
          <w:szCs w:val="24"/>
        </w:rPr>
      </w:pPr>
      <w:r w:rsidRPr="00286B2C">
        <w:rPr>
          <w:rFonts w:cstheme="minorHAnsi"/>
          <w:i/>
          <w:sz w:val="24"/>
          <w:szCs w:val="24"/>
        </w:rPr>
        <w:t>Welsh Government, (2021). Consultation – summary of response. Representatives for young people and parents lacking capacity</w:t>
      </w:r>
      <w:r w:rsidRPr="00286B2C">
        <w:rPr>
          <w:rFonts w:cstheme="minorHAnsi"/>
          <w:sz w:val="24"/>
          <w:szCs w:val="24"/>
        </w:rPr>
        <w:t xml:space="preserve">. Available at: </w:t>
      </w:r>
      <w:hyperlink r:id="rId62" w:history="1">
        <w:r w:rsidRPr="00286B2C">
          <w:rPr>
            <w:rFonts w:cstheme="minorHAnsi"/>
            <w:color w:val="0000FF" w:themeColor="hyperlink"/>
            <w:sz w:val="24"/>
            <w:szCs w:val="24"/>
            <w:u w:val="single"/>
          </w:rPr>
          <w:t>https://gov.wales/sites/default/files/consultations/2021-01/representatives-young-people-and-parents-of-children-lacking-capacity-summary-of-responses.pdf</w:t>
        </w:r>
      </w:hyperlink>
      <w:r w:rsidRPr="00286B2C">
        <w:rPr>
          <w:rFonts w:cstheme="minorHAnsi"/>
          <w:sz w:val="24"/>
          <w:szCs w:val="24"/>
        </w:rPr>
        <w:t xml:space="preserve">  [Accessed: 12</w:t>
      </w:r>
      <w:r w:rsidRPr="00286B2C">
        <w:rPr>
          <w:rFonts w:cstheme="minorHAnsi"/>
          <w:sz w:val="24"/>
          <w:szCs w:val="24"/>
          <w:vertAlign w:val="superscript"/>
        </w:rPr>
        <w:t>th</w:t>
      </w:r>
      <w:r w:rsidRPr="00286B2C">
        <w:rPr>
          <w:rFonts w:cstheme="minorHAnsi"/>
          <w:sz w:val="24"/>
          <w:szCs w:val="24"/>
        </w:rPr>
        <w:t xml:space="preserve"> July 2021]. </w:t>
      </w:r>
    </w:p>
    <w:p w:rsidR="0036266F" w:rsidRPr="00286B2C" w:rsidRDefault="0036266F" w:rsidP="0036266F">
      <w:pPr>
        <w:spacing w:line="360" w:lineRule="auto"/>
        <w:jc w:val="both"/>
        <w:rPr>
          <w:rFonts w:cstheme="minorHAnsi"/>
          <w:sz w:val="24"/>
          <w:szCs w:val="24"/>
        </w:rPr>
      </w:pPr>
      <w:r w:rsidRPr="00286B2C">
        <w:rPr>
          <w:rFonts w:cstheme="minorHAnsi"/>
          <w:i/>
          <w:sz w:val="24"/>
          <w:szCs w:val="24"/>
        </w:rPr>
        <w:t>Welsh Government, (2021a) Role of the Additional Learning Needs Co-ordinator, Non Statutory Guidance</w:t>
      </w:r>
      <w:r w:rsidRPr="00286B2C">
        <w:rPr>
          <w:rFonts w:cstheme="minorHAnsi"/>
          <w:sz w:val="24"/>
          <w:szCs w:val="24"/>
        </w:rPr>
        <w:t xml:space="preserve">. Available at: </w:t>
      </w:r>
      <w:hyperlink r:id="rId63" w:history="1">
        <w:r w:rsidRPr="00286B2C">
          <w:rPr>
            <w:rFonts w:cstheme="minorHAnsi"/>
            <w:color w:val="0000FF" w:themeColor="hyperlink"/>
            <w:sz w:val="24"/>
            <w:szCs w:val="24"/>
            <w:u w:val="single"/>
          </w:rPr>
          <w:t>https://gov.wales/sites/default/files/publications/2021-01/role-of-early-years-additional-learning-needs-co-ordinator.pdf</w:t>
        </w:r>
      </w:hyperlink>
      <w:r w:rsidRPr="00286B2C">
        <w:rPr>
          <w:rFonts w:cstheme="minorHAnsi"/>
          <w:sz w:val="24"/>
          <w:szCs w:val="24"/>
        </w:rPr>
        <w:t xml:space="preserve"> [Accessed: 12</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spacing w:line="360" w:lineRule="auto"/>
        <w:jc w:val="both"/>
        <w:rPr>
          <w:rFonts w:cstheme="minorHAnsi"/>
          <w:sz w:val="24"/>
          <w:szCs w:val="24"/>
        </w:rPr>
      </w:pPr>
      <w:r w:rsidRPr="00286B2C">
        <w:rPr>
          <w:rFonts w:cstheme="minorHAnsi"/>
          <w:i/>
          <w:sz w:val="24"/>
          <w:szCs w:val="24"/>
        </w:rPr>
        <w:t>Welsh Government, (no date) Flying Start Cardiff Additional Needs in Flying Start</w:t>
      </w:r>
      <w:r w:rsidRPr="00286B2C">
        <w:rPr>
          <w:rFonts w:cstheme="minorHAnsi"/>
          <w:sz w:val="24"/>
          <w:szCs w:val="24"/>
        </w:rPr>
        <w:t xml:space="preserve">. Available at: </w:t>
      </w:r>
      <w:hyperlink r:id="rId64" w:history="1">
        <w:r w:rsidRPr="00286B2C">
          <w:rPr>
            <w:rStyle w:val="Hyperlink"/>
            <w:rFonts w:cstheme="minorHAnsi"/>
            <w:sz w:val="24"/>
            <w:szCs w:val="24"/>
          </w:rPr>
          <w:t>https://www.flyingstartcardiff.co.uk/what-we-do/additional-needs-in-flying-start/</w:t>
        </w:r>
      </w:hyperlink>
      <w:r w:rsidRPr="00286B2C">
        <w:rPr>
          <w:rFonts w:cstheme="minorHAnsi"/>
          <w:sz w:val="24"/>
          <w:szCs w:val="24"/>
        </w:rPr>
        <w:t xml:space="preserve"> [Accessed: 12</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spacing w:line="360" w:lineRule="auto"/>
        <w:jc w:val="both"/>
        <w:rPr>
          <w:rFonts w:cstheme="minorHAnsi"/>
          <w:sz w:val="24"/>
          <w:szCs w:val="24"/>
        </w:rPr>
      </w:pPr>
      <w:r w:rsidRPr="00286B2C">
        <w:rPr>
          <w:rFonts w:cstheme="minorHAnsi"/>
          <w:sz w:val="24"/>
          <w:szCs w:val="24"/>
        </w:rPr>
        <w:t xml:space="preserve">Wetherby, et al. (2004). Early Indicators of Autism Spectrum Disorders in the Second Year of Life.  Journal of Autism and Developmental Disorders, Vol. 34, No. 5. Available at: </w:t>
      </w:r>
      <w:hyperlink r:id="rId65" w:history="1">
        <w:r w:rsidRPr="00286B2C">
          <w:rPr>
            <w:rFonts w:cstheme="minorHAnsi"/>
            <w:color w:val="0000FF" w:themeColor="hyperlink"/>
            <w:sz w:val="24"/>
            <w:szCs w:val="24"/>
            <w:u w:val="single"/>
          </w:rPr>
          <w:t>https://link.springer.com/content/pdf/10.1007/s10803-004-2544-y.pdf</w:t>
        </w:r>
      </w:hyperlink>
      <w:r w:rsidRPr="00286B2C">
        <w:rPr>
          <w:rFonts w:cstheme="minorHAnsi"/>
          <w:sz w:val="24"/>
          <w:szCs w:val="24"/>
        </w:rPr>
        <w:t xml:space="preserve"> [Accessed: 9</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spacing w:line="360" w:lineRule="auto"/>
        <w:jc w:val="both"/>
        <w:rPr>
          <w:rFonts w:cstheme="minorHAnsi"/>
          <w:sz w:val="24"/>
          <w:szCs w:val="24"/>
        </w:rPr>
      </w:pPr>
      <w:r w:rsidRPr="00286B2C">
        <w:rPr>
          <w:rFonts w:cstheme="minorHAnsi"/>
          <w:sz w:val="24"/>
          <w:szCs w:val="24"/>
        </w:rPr>
        <w:t xml:space="preserve">Yates, K. and Le Couteur, A. (2009). ‘Diagnosing autism’, </w:t>
      </w:r>
      <w:r w:rsidRPr="00286B2C">
        <w:rPr>
          <w:rFonts w:cstheme="minorHAnsi"/>
          <w:i/>
          <w:sz w:val="24"/>
          <w:szCs w:val="24"/>
        </w:rPr>
        <w:t>Paediatrics and Child Health</w:t>
      </w:r>
      <w:r w:rsidRPr="00286B2C">
        <w:rPr>
          <w:rFonts w:cstheme="minorHAnsi"/>
          <w:sz w:val="24"/>
          <w:szCs w:val="24"/>
        </w:rPr>
        <w:t xml:space="preserve">, Volume 19, Issue 2,Pages 55-59. Available at: </w:t>
      </w:r>
      <w:hyperlink r:id="rId66" w:history="1">
        <w:r w:rsidRPr="00286B2C">
          <w:rPr>
            <w:rStyle w:val="Hyperlink"/>
            <w:rFonts w:cstheme="minorHAnsi"/>
            <w:sz w:val="24"/>
            <w:szCs w:val="24"/>
          </w:rPr>
          <w:t>https://doi.org/10.1016/j.paed.2008.10.010</w:t>
        </w:r>
      </w:hyperlink>
      <w:r w:rsidRPr="00286B2C">
        <w:rPr>
          <w:rFonts w:cstheme="minorHAnsi"/>
          <w:sz w:val="24"/>
          <w:szCs w:val="24"/>
        </w:rPr>
        <w:t>. [Accessed: 13</w:t>
      </w:r>
      <w:r w:rsidRPr="00286B2C">
        <w:rPr>
          <w:rFonts w:cstheme="minorHAnsi"/>
          <w:sz w:val="24"/>
          <w:szCs w:val="24"/>
          <w:vertAlign w:val="superscript"/>
        </w:rPr>
        <w:t>th</w:t>
      </w:r>
      <w:r w:rsidRPr="00286B2C">
        <w:rPr>
          <w:rFonts w:cstheme="minorHAnsi"/>
          <w:sz w:val="24"/>
          <w:szCs w:val="24"/>
        </w:rPr>
        <w:t xml:space="preserve"> July 2021].</w:t>
      </w:r>
    </w:p>
    <w:p w:rsidR="0036266F" w:rsidRPr="00286B2C" w:rsidRDefault="0036266F" w:rsidP="0036266F">
      <w:pPr>
        <w:spacing w:line="360" w:lineRule="auto"/>
        <w:jc w:val="both"/>
        <w:rPr>
          <w:rFonts w:cstheme="minorHAnsi"/>
          <w:sz w:val="24"/>
          <w:szCs w:val="24"/>
        </w:rPr>
      </w:pPr>
      <w:r w:rsidRPr="00286B2C">
        <w:rPr>
          <w:rFonts w:cstheme="minorHAnsi"/>
          <w:sz w:val="24"/>
          <w:szCs w:val="24"/>
        </w:rPr>
        <w:t>Yingling, M.E., (2019). ‘Participation in Part C early intervention: One key to an earlier diagnosis of autism spectrum disorder?’. </w:t>
      </w:r>
      <w:r w:rsidRPr="00286B2C">
        <w:rPr>
          <w:rFonts w:cstheme="minorHAnsi"/>
          <w:i/>
          <w:iCs/>
          <w:sz w:val="24"/>
          <w:szCs w:val="24"/>
        </w:rPr>
        <w:t>The Journal of pediatrics</w:t>
      </w:r>
      <w:r w:rsidRPr="00286B2C">
        <w:rPr>
          <w:rFonts w:cstheme="minorHAnsi"/>
          <w:sz w:val="24"/>
          <w:szCs w:val="24"/>
        </w:rPr>
        <w:t>, </w:t>
      </w:r>
      <w:r w:rsidRPr="00286B2C">
        <w:rPr>
          <w:rFonts w:cstheme="minorHAnsi"/>
          <w:i/>
          <w:iCs/>
          <w:sz w:val="24"/>
          <w:szCs w:val="24"/>
        </w:rPr>
        <w:t>215</w:t>
      </w:r>
      <w:r w:rsidRPr="00286B2C">
        <w:rPr>
          <w:rFonts w:cstheme="minorHAnsi"/>
          <w:sz w:val="24"/>
          <w:szCs w:val="24"/>
        </w:rPr>
        <w:t xml:space="preserve">, pp.238-243.Available at: </w:t>
      </w:r>
      <w:hyperlink r:id="rId67" w:history="1">
        <w:r w:rsidRPr="00286B2C">
          <w:rPr>
            <w:rFonts w:cstheme="minorHAnsi"/>
            <w:color w:val="0000FF" w:themeColor="hyperlink"/>
            <w:sz w:val="24"/>
            <w:szCs w:val="24"/>
            <w:u w:val="single"/>
          </w:rPr>
          <w:t>https://www.sciencedirect.com/science/article/pii/S0022347619307978</w:t>
        </w:r>
      </w:hyperlink>
      <w:r w:rsidRPr="00286B2C">
        <w:rPr>
          <w:rFonts w:cstheme="minorHAnsi"/>
          <w:sz w:val="24"/>
          <w:szCs w:val="24"/>
        </w:rPr>
        <w:t xml:space="preserve"> [Accessed; 9</w:t>
      </w:r>
      <w:r w:rsidRPr="00286B2C">
        <w:rPr>
          <w:rFonts w:cstheme="minorHAnsi"/>
          <w:sz w:val="24"/>
          <w:szCs w:val="24"/>
          <w:vertAlign w:val="superscript"/>
        </w:rPr>
        <w:t>th</w:t>
      </w:r>
      <w:r w:rsidRPr="00286B2C">
        <w:rPr>
          <w:rFonts w:cstheme="minorHAnsi"/>
          <w:sz w:val="24"/>
          <w:szCs w:val="24"/>
        </w:rPr>
        <w:t xml:space="preserve"> July 2021]. </w:t>
      </w:r>
    </w:p>
    <w:p w:rsidR="00830047" w:rsidRDefault="00830047">
      <w:pPr>
        <w:rPr>
          <w:rFonts w:ascii="Times New Roman"/>
          <w:sz w:val="17"/>
        </w:rPr>
        <w:sectPr w:rsidR="00830047">
          <w:headerReference w:type="default" r:id="rId68"/>
          <w:footerReference w:type="default" r:id="rId69"/>
          <w:pgSz w:w="11910" w:h="16840"/>
          <w:pgMar w:top="960" w:right="540" w:bottom="1200" w:left="540" w:header="749" w:footer="1003" w:gutter="0"/>
          <w:pgNumType w:start="9"/>
          <w:cols w:space="720"/>
        </w:sectPr>
      </w:pPr>
      <w:bookmarkStart w:id="0" w:name="_GoBack"/>
      <w:bookmarkEnd w:id="0"/>
    </w:p>
    <w:p w:rsidR="00830047" w:rsidRDefault="00830047">
      <w:pPr>
        <w:pStyle w:val="BodyText"/>
        <w:spacing w:before="4"/>
        <w:rPr>
          <w:rFonts w:ascii="Times New Roman"/>
          <w:sz w:val="17"/>
        </w:rPr>
      </w:pPr>
    </w:p>
    <w:sectPr w:rsidR="00830047">
      <w:pgSz w:w="11910" w:h="16840"/>
      <w:pgMar w:top="960" w:right="540" w:bottom="1200" w:left="540" w:header="749" w:footer="10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36266F">
      <w:r>
        <w:separator/>
      </w:r>
    </w:p>
  </w:endnote>
  <w:endnote w:type="continuationSeparator" w:id="0">
    <w:p w:rsidR="00000000" w:rsidRDefault="003626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Calligraphy">
    <w:altName w:val="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0047" w:rsidRDefault="0036266F">
    <w:pPr>
      <w:pStyle w:val="BodyText"/>
      <w:spacing w:line="14" w:lineRule="auto"/>
      <w:rPr>
        <w:sz w:val="20"/>
      </w:rPr>
    </w:pPr>
    <w:r>
      <w:pict>
        <v:shapetype id="_x0000_t202" coordsize="21600,21600" o:spt="202" path="m,l,21600r21600,l21600,xe">
          <v:stroke joinstyle="miter"/>
          <v:path gradientshapeok="t" o:connecttype="rect"/>
        </v:shapetype>
        <v:shape id="_x0000_s1029" type="#_x0000_t202" style="position:absolute;margin-left:292.9pt;margin-top:780.8pt;width:9.6pt;height:13.05pt;z-index:-6424;mso-position-horizontal-relative:page;mso-position-vertical-relative:page" filled="f" stroked="f">
          <v:textbox inset="0,0,0,0">
            <w:txbxContent>
              <w:p w:rsidR="00830047" w:rsidRDefault="0036266F">
                <w:pPr>
                  <w:pStyle w:val="BodyText"/>
                  <w:spacing w:line="245" w:lineRule="exact"/>
                  <w:ind w:left="40"/>
                </w:pPr>
                <w:r>
                  <w:fldChar w:fldCharType="begin"/>
                </w:r>
                <w:r>
                  <w:instrText xml:space="preserve"> PAGE </w:instrText>
                </w:r>
                <w:r>
                  <w:fldChar w:fldCharType="separate"/>
                </w:r>
                <w:r>
                  <w:rPr>
                    <w:noProof/>
                  </w:rPr>
                  <w:t>7</w:t>
                </w:r>
                <w: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0047" w:rsidRDefault="00830047">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0047" w:rsidRDefault="0036266F">
    <w:pPr>
      <w:pStyle w:val="BodyText"/>
      <w:spacing w:line="14" w:lineRule="auto"/>
      <w:rPr>
        <w:sz w:val="20"/>
      </w:rPr>
    </w:pPr>
    <w:r>
      <w:pict>
        <v:shapetype id="_x0000_t202" coordsize="21600,21600" o:spt="202" path="m,l,21600r21600,l21600,xe">
          <v:stroke joinstyle="miter"/>
          <v:path gradientshapeok="t" o:connecttype="rect"/>
        </v:shapetype>
        <v:shape id="_x0000_s1025" type="#_x0000_t202" style="position:absolute;margin-left:290.15pt;margin-top:780.8pt;width:15.3pt;height:13.05pt;z-index:-6328;mso-position-horizontal-relative:page;mso-position-vertical-relative:page" filled="f" stroked="f">
          <v:textbox inset="0,0,0,0">
            <w:txbxContent>
              <w:p w:rsidR="00830047" w:rsidRDefault="0036266F">
                <w:pPr>
                  <w:pStyle w:val="BodyText"/>
                  <w:spacing w:line="245" w:lineRule="exact"/>
                  <w:ind w:left="40"/>
                </w:pPr>
                <w:r>
                  <w:fldChar w:fldCharType="begin"/>
                </w:r>
                <w:r>
                  <w:instrText xml:space="preserve"> PAGE </w:instrText>
                </w:r>
                <w:r>
                  <w:fldChar w:fldCharType="separate"/>
                </w:r>
                <w:r>
                  <w:rPr>
                    <w:noProof/>
                  </w:rPr>
                  <w:t>13</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36266F">
      <w:r>
        <w:separator/>
      </w:r>
    </w:p>
  </w:footnote>
  <w:footnote w:type="continuationSeparator" w:id="0">
    <w:p w:rsidR="00000000" w:rsidRDefault="003626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0047" w:rsidRDefault="0036266F">
    <w:pPr>
      <w:pStyle w:val="BodyText"/>
      <w:spacing w:line="14" w:lineRule="auto"/>
      <w:rPr>
        <w:sz w:val="20"/>
      </w:rPr>
    </w:pPr>
    <w:r>
      <w:pict>
        <v:shapetype id="_x0000_t202" coordsize="21600,21600" o:spt="202" path="m,l,21600r21600,l21600,xe">
          <v:stroke joinstyle="miter"/>
          <v:path gradientshapeok="t" o:connecttype="rect"/>
        </v:shapetype>
        <v:shape id="_x0000_s1032" type="#_x0000_t202" style="position:absolute;margin-left:71pt;margin-top:36.45pt;width:46.85pt;height:13.05pt;z-index:-6496;mso-position-horizontal-relative:page;mso-position-vertical-relative:page" filled="f" stroked="f">
          <v:textbox inset="0,0,0,0">
            <w:txbxContent>
              <w:p w:rsidR="00830047" w:rsidRDefault="0036266F">
                <w:pPr>
                  <w:pStyle w:val="BodyText"/>
                  <w:spacing w:line="245" w:lineRule="exact"/>
                  <w:ind w:left="20"/>
                </w:pPr>
                <w:r>
                  <w:t>EAEE6002</w:t>
                </w:r>
              </w:p>
            </w:txbxContent>
          </v:textbox>
          <w10:wrap anchorx="page" anchory="page"/>
        </v:shape>
      </w:pict>
    </w:r>
    <w:r>
      <w:pict>
        <v:shape id="_x0000_s1031" type="#_x0000_t202" style="position:absolute;margin-left:276.95pt;margin-top:36.45pt;width:41.5pt;height:13.05pt;z-index:-6472;mso-position-horizontal-relative:page;mso-position-vertical-relative:page" filled="f" stroked="f">
          <v:textbox inset="0,0,0,0">
            <w:txbxContent>
              <w:p w:rsidR="00830047" w:rsidRDefault="0036266F">
                <w:pPr>
                  <w:pStyle w:val="BodyText"/>
                  <w:spacing w:line="245" w:lineRule="exact"/>
                  <w:ind w:left="20"/>
                </w:pPr>
                <w:r>
                  <w:t>1904814</w:t>
                </w:r>
              </w:p>
            </w:txbxContent>
          </v:textbox>
          <w10:wrap anchorx="page" anchory="page"/>
        </v:shape>
      </w:pict>
    </w:r>
    <w:r>
      <w:pict>
        <v:shape id="_x0000_s1030" type="#_x0000_t202" style="position:absolute;margin-left:487.4pt;margin-top:36.45pt;width:27.35pt;height:13.05pt;z-index:-6448;mso-position-horizontal-relative:page;mso-position-vertical-relative:page" filled="f" stroked="f">
          <v:textbox inset="0,0,0,0">
            <w:txbxContent>
              <w:p w:rsidR="00830047" w:rsidRDefault="0036266F">
                <w:pPr>
                  <w:pStyle w:val="BodyText"/>
                  <w:spacing w:line="245" w:lineRule="exact"/>
                  <w:ind w:left="20"/>
                </w:pPr>
                <w:r>
                  <w:t>2,316</w:t>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0047" w:rsidRDefault="00830047">
    <w:pPr>
      <w:pStyle w:val="BodyText"/>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0047" w:rsidRDefault="0036266F">
    <w:pPr>
      <w:pStyle w:val="BodyText"/>
      <w:spacing w:line="14" w:lineRule="auto"/>
      <w:rPr>
        <w:sz w:val="20"/>
      </w:rPr>
    </w:pPr>
    <w:r>
      <w:pict>
        <v:shapetype id="_x0000_t202" coordsize="21600,21600" o:spt="202" path="m,l,21600r21600,l21600,xe">
          <v:stroke joinstyle="miter"/>
          <v:path gradientshapeok="t" o:connecttype="rect"/>
        </v:shapetype>
        <v:shape id="_x0000_s1028" type="#_x0000_t202" style="position:absolute;margin-left:71pt;margin-top:36.45pt;width:46.85pt;height:13.05pt;z-index:-6400;mso-position-horizontal-relative:page;mso-position-vertical-relative:page" filled="f" stroked="f">
          <v:textbox inset="0,0,0,0">
            <w:txbxContent>
              <w:p w:rsidR="00830047" w:rsidRDefault="0036266F">
                <w:pPr>
                  <w:pStyle w:val="BodyText"/>
                  <w:spacing w:line="245" w:lineRule="exact"/>
                  <w:ind w:left="20"/>
                </w:pPr>
                <w:r>
                  <w:t>EAEE6002</w:t>
                </w:r>
              </w:p>
            </w:txbxContent>
          </v:textbox>
          <w10:wrap anchorx="page" anchory="page"/>
        </v:shape>
      </w:pict>
    </w:r>
    <w:r>
      <w:pict>
        <v:shape id="_x0000_s1027" type="#_x0000_t202" style="position:absolute;margin-left:276.95pt;margin-top:36.45pt;width:41.5pt;height:13.05pt;z-index:-6376;mso-position-horizontal-relative:page;mso-position-vertical-relative:page" filled="f" stroked="f">
          <v:textbox inset="0,0,0,0">
            <w:txbxContent>
              <w:p w:rsidR="00830047" w:rsidRDefault="0036266F">
                <w:pPr>
                  <w:pStyle w:val="BodyText"/>
                  <w:spacing w:line="245" w:lineRule="exact"/>
                  <w:ind w:left="20"/>
                </w:pPr>
                <w:r>
                  <w:t>1904814</w:t>
                </w:r>
              </w:p>
            </w:txbxContent>
          </v:textbox>
          <w10:wrap anchorx="page" anchory="page"/>
        </v:shape>
      </w:pict>
    </w:r>
    <w:r>
      <w:pict>
        <v:shape id="_x0000_s1026" type="#_x0000_t202" style="position:absolute;margin-left:487.4pt;margin-top:36.45pt;width:27.35pt;height:13.05pt;z-index:-6352;mso-position-horizontal-relative:page;mso-position-vertical-relative:page" filled="f" stroked="f">
          <v:textbox inset="0,0,0,0">
            <w:txbxContent>
              <w:p w:rsidR="00830047" w:rsidRDefault="0036266F">
                <w:pPr>
                  <w:pStyle w:val="BodyText"/>
                  <w:spacing w:line="245" w:lineRule="exact"/>
                  <w:ind w:left="20"/>
                </w:pPr>
                <w:r>
                  <w:t>2,316</w:t>
                </w:r>
              </w:p>
            </w:txbxContent>
          </v:textbox>
          <w10:wrap anchorx="page" anchory="page"/>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drawingGridHorizontalSpacing w:val="110"/>
  <w:displayHorizontalDrawingGridEvery w:val="2"/>
  <w:characterSpacingControl w:val="doNotCompress"/>
  <w:hdrShapeDefaults>
    <o:shapedefaults v:ext="edit" spidmax="2075"/>
    <o:shapelayout v:ext="edit">
      <o:idmap v:ext="edit" data="1"/>
    </o:shapelayout>
  </w:hdrShapeDefaults>
  <w:footnotePr>
    <w:footnote w:id="-1"/>
    <w:footnote w:id="0"/>
  </w:footnotePr>
  <w:endnotePr>
    <w:endnote w:id="-1"/>
    <w:endnote w:id="0"/>
  </w:endnotePr>
  <w:compat>
    <w:ulTrailSpace/>
    <w:useFELayout/>
    <w:compatSetting w:name="compatibilityMode" w:uri="http://schemas.microsoft.com/office/word" w:val="12"/>
  </w:compat>
  <w:rsids>
    <w:rsidRoot w:val="00830047"/>
    <w:rsid w:val="0036266F"/>
    <w:rsid w:val="00830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75"/>
    <o:shapelayout v:ext="edit">
      <o:idmap v:ext="edit" data="2"/>
    </o:shapelayout>
  </w:shapeDefaults>
  <w:decimalSymbol w:val="."/>
  <w:listSeparator w:val=","/>
  <w15:docId w15:val="{E673DDAA-7472-4DA8-B876-06AF14E9C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28"/>
      <w:outlineLvl w:val="0"/>
    </w:pPr>
    <w:rPr>
      <w:rFonts w:ascii="Lucida Calligraphy" w:eastAsia="Lucida Calligraphy" w:hAnsi="Lucida Calligraphy" w:cs="Lucida Calligraphy"/>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36266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s://www.cdc.gov/ncbddd/autism/screening.html" TargetMode="External"/><Relationship Id="rId26" Type="http://schemas.openxmlformats.org/officeDocument/2006/relationships/hyperlink" Target="https://www.gl-education.com/assessments/products/wellcomm/" TargetMode="External"/><Relationship Id="rId39" Type="http://schemas.openxmlformats.org/officeDocument/2006/relationships/hyperlink" Target="https://www.nice.org.uk/guidance/cg128/resources/autism-spectrum-disorder-in-under-19s-recognition-referral-and-diagnosis-pdf-35109456621253" TargetMode="External"/><Relationship Id="rId21" Type="http://schemas.openxmlformats.org/officeDocument/2006/relationships/hyperlink" Target="https://www.autism.org.uk/advice-and-guidance/professional-practice/autism-stigma" TargetMode="External"/><Relationship Id="rId34" Type="http://schemas.openxmlformats.org/officeDocument/2006/relationships/hyperlink" Target="https://neu.org.uk/advice/class-sizes" TargetMode="External"/><Relationship Id="rId42" Type="http://schemas.openxmlformats.org/officeDocument/2006/relationships/hyperlink" Target="https://www.scie.org.uk/autism/adults/main-issues/barriers-to-services" TargetMode="External"/><Relationship Id="rId47" Type="http://schemas.openxmlformats.org/officeDocument/2006/relationships/hyperlink" Target="https://www.swansea.gov.uk/article/46616/Assessments-and-the-graduated-response" TargetMode="External"/><Relationship Id="rId50" Type="http://schemas.openxmlformats.org/officeDocument/2006/relationships/hyperlink" Target="https://resources.hwb.wales.gov.uk/VTC/ALN+L1/story.html" TargetMode="External"/><Relationship Id="rId55" Type="http://schemas.openxmlformats.org/officeDocument/2006/relationships/hyperlink" Target="https://gov.wales/sites/default/files/publications/2019-06/seven-core-aims-for-children-and-young-people.pdf" TargetMode="External"/><Relationship Id="rId63" Type="http://schemas.openxmlformats.org/officeDocument/2006/relationships/hyperlink" Target="https://gov.wales/sites/default/files/publications/2021-01/role-of-early-years-additional-learning-needs-co-ordinator.pdf" TargetMode="External"/><Relationship Id="rId68" Type="http://schemas.openxmlformats.org/officeDocument/2006/relationships/header" Target="header3.xml"/><Relationship Id="rId7" Type="http://schemas.openxmlformats.org/officeDocument/2006/relationships/footer" Target="footer1.xml"/><Relationship Id="rId71"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oxfordbibliographies.com/view/document/obo-9780199791231/obo-9780199791231-0063.xml" TargetMode="External"/><Relationship Id="rId29" Type="http://schemas.openxmlformats.org/officeDocument/2006/relationships/hyperlink" Target="https://nasenjournals.onlinelibrary.wiley.com/doi/epdf/10.1111/1467-9604.12299?saml_referrer"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image" Target="media/image2.jpeg"/><Relationship Id="rId24" Type="http://schemas.openxmlformats.org/officeDocument/2006/relationships/hyperlink" Target="https://journals.sagepub.com/doi/abs/10.1177/10983007040060020501" TargetMode="External"/><Relationship Id="rId32" Type="http://schemas.openxmlformats.org/officeDocument/2006/relationships/hyperlink" Target="http://dx.doi.org/10.1155/2015/531906" TargetMode="External"/><Relationship Id="rId37" Type="http://schemas.openxmlformats.org/officeDocument/2006/relationships/hyperlink" Target="https://www.nhs.uk/conditions/autism/signs/children/" TargetMode="External"/><Relationship Id="rId40" Type="http://schemas.openxmlformats.org/officeDocument/2006/relationships/hyperlink" Target="https://www.nice.org.uk/guidance/cg128/resources" TargetMode="External"/><Relationship Id="rId45" Type="http://schemas.openxmlformats.org/officeDocument/2006/relationships/hyperlink" Target="https://www.swansea.gov.uk/article/46618/Person-centred-planning" TargetMode="External"/><Relationship Id="rId53" Type="http://schemas.openxmlformats.org/officeDocument/2006/relationships/hyperlink" Target="https://gov.wales/sites/default/files/publications/2019-07/flying-start-strategy-guidance-for-local-authorities.pdf" TargetMode="External"/><Relationship Id="rId58" Type="http://schemas.openxmlformats.org/officeDocument/2006/relationships/hyperlink" Target="https://gov.wales/sites/default/files/publications/2018-03/foundation-phase-profile-handbook-revised-september-2017.pdf" TargetMode="External"/><Relationship Id="rId66" Type="http://schemas.openxmlformats.org/officeDocument/2006/relationships/hyperlink" Target="https://doi.org/10.1016/j.paed.2008.10.010" TargetMode="External"/><Relationship Id="rId5" Type="http://schemas.openxmlformats.org/officeDocument/2006/relationships/endnotes" Target="endnotes.xml"/><Relationship Id="rId15" Type="http://schemas.openxmlformats.org/officeDocument/2006/relationships/hyperlink" Target="https://www.autism-society.org/what-is/symptoms/" TargetMode="External"/><Relationship Id="rId23" Type="http://schemas.openxmlformats.org/officeDocument/2006/relationships/hyperlink" Target="https://doi.org/10.1177/10983007040060020501" TargetMode="External"/><Relationship Id="rId28" Type="http://schemas.openxmlformats.org/officeDocument/2006/relationships/hyperlink" Target="https://www.google.co.uk/books/edition/A_Practical_Guide_to_Child_Observation_a/TN_FCAXex5kC?hl=en" TargetMode="External"/><Relationship Id="rId36" Type="http://schemas.openxmlformats.org/officeDocument/2006/relationships/hyperlink" Target="https://www.nhs.uk/conditions/autism/getting-diagnosed/how-to-get-diagnosed/" TargetMode="External"/><Relationship Id="rId49" Type="http://schemas.openxmlformats.org/officeDocument/2006/relationships/hyperlink" Target="https://www.unicef.org.uk/?sisearchengine=377&amp;siproduct=Campaign_%2A%2ABrand-Unicef-Broad&amp;msclkid=d13bad754e1a19eb742ecd85da506111" TargetMode="External"/><Relationship Id="rId57" Type="http://schemas.openxmlformats.org/officeDocument/2006/relationships/hyperlink" Target="https://gov.wales/sites/default/files/publications/2019-07/flying-start-health-programme-guidance_0.pdf" TargetMode="External"/><Relationship Id="rId61" Type="http://schemas.openxmlformats.org/officeDocument/2006/relationships/hyperlink" Target="https://gov.wales/sites/default/files/publications/2019-01/ways-of-supporting-learners-with-autistic-spectrum-disorder-asd.pdf" TargetMode="External"/><Relationship Id="rId10" Type="http://schemas.openxmlformats.org/officeDocument/2006/relationships/image" Target="media/image1.png"/><Relationship Id="rId19" Type="http://schemas.openxmlformats.org/officeDocument/2006/relationships/hyperlink" Target="https://cerebra.org.uk/latest-news/special-educational-needs-reform-in-wales/" TargetMode="External"/><Relationship Id="rId31" Type="http://schemas.openxmlformats.org/officeDocument/2006/relationships/hyperlink" Target="https://autismwales.org/wp-content/uploads/2020/08/2015_Autism-A-Guide-for-Mainstream-Primary-Schools-ENG.pdf" TargetMode="External"/><Relationship Id="rId44" Type="http://schemas.openxmlformats.org/officeDocument/2006/relationships/hyperlink" Target="https://www.swansea.ac.uk/press-office/news-events/news/2020/08/four-year-delay-in-getting-autism-diagnosis-but-online-tools-can-cut-the-wait-.php" TargetMode="External"/><Relationship Id="rId52" Type="http://schemas.openxmlformats.org/officeDocument/2006/relationships/hyperlink" Target="https://gov.wales/sites/default/files/publications/2018-03/special-educational-needs-code-of-practice-for-wales.pdf" TargetMode="External"/><Relationship Id="rId60" Type="http://schemas.openxmlformats.org/officeDocument/2006/relationships/hyperlink" Target="https://gov.wales/sites/default/files/publications/2018-11/additional-learning-needs-and-education-tribunal-wales-act-2018-implementation-guide-for-individual-development-plans.pdf" TargetMode="External"/><Relationship Id="rId65" Type="http://schemas.openxmlformats.org/officeDocument/2006/relationships/hyperlink" Target="https://link.springer.com/content/pdf/10.1007/s10803-004-2544-y.pdf"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s://doi.org/10.1093/jmp/jht026" TargetMode="External"/><Relationship Id="rId22" Type="http://schemas.openxmlformats.org/officeDocument/2006/relationships/hyperlink" Target="https://journals.sagepub.com/doi/pdf/10.1177/1066480713476834" TargetMode="External"/><Relationship Id="rId27" Type="http://schemas.openxmlformats.org/officeDocument/2006/relationships/hyperlink" Target="https://developingchild.harvard.edu/resources/inbrief-science-of-ecd/" TargetMode="External"/><Relationship Id="rId30" Type="http://schemas.openxmlformats.org/officeDocument/2006/relationships/hyperlink" Target="https://doi.org/10.1007/s10803-015-2685-1I" TargetMode="External"/><Relationship Id="rId35" Type="http://schemas.openxmlformats.org/officeDocument/2006/relationships/hyperlink" Target="https://www.nidcd.nih.gov/health/autism-spectrum-disorder-communication-problems-children" TargetMode="External"/><Relationship Id="rId43" Type="http://schemas.openxmlformats.org/officeDocument/2006/relationships/hyperlink" Target="https://my.optimus-education.com/sites/optimus-education.com/files/p._stobbs._keynote_1.pdf" TargetMode="External"/><Relationship Id="rId48" Type="http://schemas.openxmlformats.org/officeDocument/2006/relationships/hyperlink" Target="https://www.swansea.gov.uk/article/46471/Role-of-the-ALNCo-and-professionals" TargetMode="External"/><Relationship Id="rId56" Type="http://schemas.openxmlformats.org/officeDocument/2006/relationships/hyperlink" Target="https://careinspectorate.wales/sites/default/files/2018-01/160411regchildcareen.pdf" TargetMode="External"/><Relationship Id="rId64" Type="http://schemas.openxmlformats.org/officeDocument/2006/relationships/hyperlink" Target="https://www.flyingstartcardiff.co.uk/what-we-do/additional-needs-in-flying-start/" TargetMode="External"/><Relationship Id="rId69" Type="http://schemas.openxmlformats.org/officeDocument/2006/relationships/footer" Target="footer3.xml"/><Relationship Id="rId8" Type="http://schemas.openxmlformats.org/officeDocument/2006/relationships/header" Target="header2.xml"/><Relationship Id="rId51" Type="http://schemas.openxmlformats.org/officeDocument/2006/relationships/hyperlink" Target="https://gov.wales/sites/default/files/publications/2018-03/special-educational-needs-code-of-practice-for-wales.pdf" TargetMode="External"/><Relationship Id="rId3"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dictionary.cambridge.org/dictionary/english/oppression" TargetMode="External"/><Relationship Id="rId25" Type="http://schemas.openxmlformats.org/officeDocument/2006/relationships/hyperlink" Target="https://www.gl-assessment.co.uk/assessments/products/schedule-of-growing-skills/" TargetMode="External"/><Relationship Id="rId33" Type="http://schemas.openxmlformats.org/officeDocument/2006/relationships/hyperlink" Target="https://dera.ioe.ac.uk/23945/7/15-025_Redacted.pdf" TargetMode="External"/><Relationship Id="rId38" Type="http://schemas.openxmlformats.org/officeDocument/2006/relationships/hyperlink" Target="https://www.nottinghamshire.gov.uk/media/2421/nice-guidelines-on-asd-signs-and-symptoms.pdf" TargetMode="External"/><Relationship Id="rId46" Type="http://schemas.openxmlformats.org/officeDocument/2006/relationships/hyperlink" Target="https://www.swansea.gov.uk/article/46441/Who-decides-what-ALN-support-my-child-has" TargetMode="External"/><Relationship Id="rId59" Type="http://schemas.openxmlformats.org/officeDocument/2006/relationships/hyperlink" Target="https://gov.wales/sites/default/files/publications/2018-11/additional-learning-needs-and-education-tribunal-wales-act-2018-implementation-guide-for-individual-development-plans.pdf" TargetMode="External"/><Relationship Id="rId67" Type="http://schemas.openxmlformats.org/officeDocument/2006/relationships/hyperlink" Target="https://www.sciencedirect.com/science/article/pii/S0022347619307978" TargetMode="External"/><Relationship Id="rId20" Type="http://schemas.openxmlformats.org/officeDocument/2006/relationships/hyperlink" Target="https://www.cambridge.org/core/journals/development-and-psychopathology/article/abs/early-behavioral-intervention-brain-plasticity-and-the-prevention-of-autism-spectrum-disorder/0ED60EB5BD9ADED37EF1EA474F04BAE2" TargetMode="External"/><Relationship Id="rId41" Type="http://schemas.openxmlformats.org/officeDocument/2006/relationships/hyperlink" Target="https://pubmed.ncbi.nlm.nih.gov/11450812/" TargetMode="External"/><Relationship Id="rId54" Type="http://schemas.openxmlformats.org/officeDocument/2006/relationships/hyperlink" Target="https://gov.wales/sites/default/files/publications/2018-12/person-centred-reviews-for-professionals.pdf" TargetMode="External"/><Relationship Id="rId62" Type="http://schemas.openxmlformats.org/officeDocument/2006/relationships/hyperlink" Target="https://gov.wales/sites/default/files/consultations/2021-01/representatives-young-people-and-parents-of-children-lacking-capacity-summary-of-responses.pdf" TargetMode="External"/><Relationship Id="rId7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5965</Words>
  <Characters>34005</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 Julie</dc:creator>
  <cp:lastModifiedBy>Alison Rees-Edwards</cp:lastModifiedBy>
  <cp:revision>2</cp:revision>
  <dcterms:created xsi:type="dcterms:W3CDTF">2021-07-16T08:30:00Z</dcterms:created>
  <dcterms:modified xsi:type="dcterms:W3CDTF">2021-07-16T08:30:00Z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2021-07-15T00:00:00Z</vt:filetime>
  </property>
  <property fmtid="{D5CDD505-2E9C-101B-9397-08002B2CF9AE}" pid="3" name="Creator">
    <vt:lpwstr>Microsoft® Word 2016</vt:lpwstr>
  </property>
  <property fmtid="{D5CDD505-2E9C-101B-9397-08002B2CF9AE}" pid="4" name="LastSaved">
    <vt:filetime>2021-07-16T00:00:00Z</vt:filetime>
  </property>
</Properties>
</file>