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01811" w14:textId="77777777" w:rsidR="00F57A2E" w:rsidRDefault="00F57A2E" w:rsidP="00C25E32">
      <w:pPr>
        <w:pStyle w:val="Title"/>
      </w:pPr>
    </w:p>
    <w:p w14:paraId="0FDE2590" w14:textId="77777777" w:rsidR="00F57A2E" w:rsidRDefault="00F57A2E" w:rsidP="00C25E32">
      <w:pPr>
        <w:pStyle w:val="Title"/>
      </w:pPr>
    </w:p>
    <w:p w14:paraId="1EAB71A5" w14:textId="77777777" w:rsidR="00F57A2E" w:rsidRDefault="00F57A2E" w:rsidP="00C25E32">
      <w:pPr>
        <w:pStyle w:val="Title"/>
      </w:pPr>
    </w:p>
    <w:p w14:paraId="7CB5637D" w14:textId="77777777" w:rsidR="00F57A2E" w:rsidRDefault="00F57A2E" w:rsidP="00C25E32">
      <w:pPr>
        <w:pStyle w:val="Title"/>
      </w:pPr>
    </w:p>
    <w:p w14:paraId="59E125F5" w14:textId="77777777" w:rsidR="00F57A2E" w:rsidRDefault="00F57A2E" w:rsidP="00C25E32">
      <w:pPr>
        <w:pStyle w:val="Title"/>
      </w:pPr>
    </w:p>
    <w:p w14:paraId="3EE19368" w14:textId="77777777" w:rsidR="00F57A2E" w:rsidRDefault="00F57A2E" w:rsidP="00C25E32">
      <w:pPr>
        <w:pStyle w:val="Title"/>
      </w:pPr>
    </w:p>
    <w:p w14:paraId="405A5D2B" w14:textId="77777777" w:rsidR="00F57A2E" w:rsidRDefault="00F57A2E" w:rsidP="00C25E32">
      <w:pPr>
        <w:pStyle w:val="Title"/>
      </w:pPr>
    </w:p>
    <w:p w14:paraId="040A3F37" w14:textId="6EE0C7B5" w:rsidR="00424943" w:rsidRPr="00C25E32" w:rsidRDefault="00424943" w:rsidP="00C25E32">
      <w:pPr>
        <w:pStyle w:val="Title"/>
      </w:pPr>
      <w:r w:rsidRPr="00C25E32">
        <w:t>Financial Management for the Hotel Industry</w:t>
      </w:r>
    </w:p>
    <w:p w14:paraId="1827E6BE" w14:textId="77777777" w:rsidR="00424943" w:rsidRPr="00C25E32" w:rsidRDefault="00424943" w:rsidP="00C25E32">
      <w:pPr>
        <w:pStyle w:val="Title"/>
      </w:pPr>
      <w:r w:rsidRPr="00C25E32">
        <w:t>Assignment 2: Marriott International</w:t>
      </w:r>
    </w:p>
    <w:p w14:paraId="4DCBBE9F" w14:textId="77777777" w:rsidR="00C25E32" w:rsidRDefault="00C25E32">
      <w:pPr>
        <w:widowControl/>
        <w:autoSpaceDE/>
        <w:autoSpaceDN/>
        <w:spacing w:after="160" w:line="259" w:lineRule="auto"/>
        <w:jc w:val="left"/>
      </w:pPr>
      <w:r>
        <w:br w:type="page"/>
      </w:r>
    </w:p>
    <w:sdt>
      <w:sdtPr>
        <w:rPr>
          <w:rFonts w:ascii="Times New Roman" w:eastAsia="Times New Roman" w:hAnsi="Times New Roman" w:cs="Times New Roman"/>
          <w:color w:val="auto"/>
          <w:sz w:val="24"/>
          <w:szCs w:val="22"/>
          <w:lang w:val="en-GB"/>
        </w:rPr>
        <w:id w:val="1256479649"/>
        <w:docPartObj>
          <w:docPartGallery w:val="Table of Contents"/>
          <w:docPartUnique/>
        </w:docPartObj>
      </w:sdtPr>
      <w:sdtEndPr>
        <w:rPr>
          <w:b/>
          <w:bCs/>
          <w:noProof/>
        </w:rPr>
      </w:sdtEndPr>
      <w:sdtContent>
        <w:p w14:paraId="1C5CAB10" w14:textId="77777777" w:rsidR="00C25E32" w:rsidRDefault="00C25E32">
          <w:pPr>
            <w:pStyle w:val="TOCHeading"/>
          </w:pPr>
          <w:r>
            <w:t>Table of Contents</w:t>
          </w:r>
        </w:p>
        <w:p w14:paraId="2A1B3B5D" w14:textId="77777777" w:rsidR="00C25E32" w:rsidRDefault="00C25E32">
          <w:pPr>
            <w:pStyle w:val="TOC1"/>
            <w:tabs>
              <w:tab w:val="right" w:leader="dot" w:pos="9350"/>
            </w:tabs>
            <w:rPr>
              <w:noProof/>
            </w:rPr>
          </w:pPr>
          <w:r>
            <w:fldChar w:fldCharType="begin"/>
          </w:r>
          <w:r>
            <w:instrText xml:space="preserve"> TOC \o "1-3" \h \z \u </w:instrText>
          </w:r>
          <w:r>
            <w:fldChar w:fldCharType="separate"/>
          </w:r>
          <w:hyperlink w:anchor="_Toc121238813" w:history="1">
            <w:r w:rsidRPr="000904F0">
              <w:rPr>
                <w:rStyle w:val="Hyperlink"/>
                <w:noProof/>
              </w:rPr>
              <w:t>Introduction</w:t>
            </w:r>
            <w:r>
              <w:rPr>
                <w:noProof/>
                <w:webHidden/>
              </w:rPr>
              <w:tab/>
            </w:r>
            <w:r>
              <w:rPr>
                <w:noProof/>
                <w:webHidden/>
              </w:rPr>
              <w:fldChar w:fldCharType="begin"/>
            </w:r>
            <w:r>
              <w:rPr>
                <w:noProof/>
                <w:webHidden/>
              </w:rPr>
              <w:instrText xml:space="preserve"> PAGEREF _Toc121238813 \h </w:instrText>
            </w:r>
            <w:r>
              <w:rPr>
                <w:noProof/>
                <w:webHidden/>
              </w:rPr>
            </w:r>
            <w:r>
              <w:rPr>
                <w:noProof/>
                <w:webHidden/>
              </w:rPr>
              <w:fldChar w:fldCharType="separate"/>
            </w:r>
            <w:r>
              <w:rPr>
                <w:noProof/>
                <w:webHidden/>
              </w:rPr>
              <w:t>3</w:t>
            </w:r>
            <w:r>
              <w:rPr>
                <w:noProof/>
                <w:webHidden/>
              </w:rPr>
              <w:fldChar w:fldCharType="end"/>
            </w:r>
          </w:hyperlink>
        </w:p>
        <w:p w14:paraId="71C11B40" w14:textId="77777777" w:rsidR="00C25E32" w:rsidRDefault="00000000">
          <w:pPr>
            <w:pStyle w:val="TOC1"/>
            <w:tabs>
              <w:tab w:val="right" w:leader="dot" w:pos="9350"/>
            </w:tabs>
            <w:rPr>
              <w:noProof/>
            </w:rPr>
          </w:pPr>
          <w:hyperlink w:anchor="_Toc121238814" w:history="1">
            <w:r w:rsidR="00C25E32" w:rsidRPr="000904F0">
              <w:rPr>
                <w:rStyle w:val="Hyperlink"/>
                <w:noProof/>
              </w:rPr>
              <w:t>a) Ratio analysis of Marriott International</w:t>
            </w:r>
            <w:r w:rsidR="00C25E32">
              <w:rPr>
                <w:noProof/>
                <w:webHidden/>
              </w:rPr>
              <w:tab/>
            </w:r>
            <w:r w:rsidR="00C25E32">
              <w:rPr>
                <w:noProof/>
                <w:webHidden/>
              </w:rPr>
              <w:fldChar w:fldCharType="begin"/>
            </w:r>
            <w:r w:rsidR="00C25E32">
              <w:rPr>
                <w:noProof/>
                <w:webHidden/>
              </w:rPr>
              <w:instrText xml:space="preserve"> PAGEREF _Toc121238814 \h </w:instrText>
            </w:r>
            <w:r w:rsidR="00C25E32">
              <w:rPr>
                <w:noProof/>
                <w:webHidden/>
              </w:rPr>
            </w:r>
            <w:r w:rsidR="00C25E32">
              <w:rPr>
                <w:noProof/>
                <w:webHidden/>
              </w:rPr>
              <w:fldChar w:fldCharType="separate"/>
            </w:r>
            <w:r w:rsidR="00C25E32">
              <w:rPr>
                <w:noProof/>
                <w:webHidden/>
              </w:rPr>
              <w:t>4</w:t>
            </w:r>
            <w:r w:rsidR="00C25E32">
              <w:rPr>
                <w:noProof/>
                <w:webHidden/>
              </w:rPr>
              <w:fldChar w:fldCharType="end"/>
            </w:r>
          </w:hyperlink>
        </w:p>
        <w:p w14:paraId="183F567F" w14:textId="77777777" w:rsidR="00C25E32" w:rsidRDefault="00000000">
          <w:pPr>
            <w:pStyle w:val="TOC1"/>
            <w:tabs>
              <w:tab w:val="right" w:leader="dot" w:pos="9350"/>
            </w:tabs>
            <w:rPr>
              <w:noProof/>
            </w:rPr>
          </w:pPr>
          <w:hyperlink w:anchor="_Toc121238815" w:history="1">
            <w:r w:rsidR="00C25E32" w:rsidRPr="000904F0">
              <w:rPr>
                <w:rStyle w:val="Hyperlink"/>
                <w:noProof/>
              </w:rPr>
              <w:t>b) Limitations of ratio analysis and its importance for hotel management</w:t>
            </w:r>
            <w:r w:rsidR="00C25E32">
              <w:rPr>
                <w:noProof/>
                <w:webHidden/>
              </w:rPr>
              <w:tab/>
            </w:r>
            <w:r w:rsidR="00C25E32">
              <w:rPr>
                <w:noProof/>
                <w:webHidden/>
              </w:rPr>
              <w:fldChar w:fldCharType="begin"/>
            </w:r>
            <w:r w:rsidR="00C25E32">
              <w:rPr>
                <w:noProof/>
                <w:webHidden/>
              </w:rPr>
              <w:instrText xml:space="preserve"> PAGEREF _Toc121238815 \h </w:instrText>
            </w:r>
            <w:r w:rsidR="00C25E32">
              <w:rPr>
                <w:noProof/>
                <w:webHidden/>
              </w:rPr>
            </w:r>
            <w:r w:rsidR="00C25E32">
              <w:rPr>
                <w:noProof/>
                <w:webHidden/>
              </w:rPr>
              <w:fldChar w:fldCharType="separate"/>
            </w:r>
            <w:r w:rsidR="00C25E32">
              <w:rPr>
                <w:noProof/>
                <w:webHidden/>
              </w:rPr>
              <w:t>8</w:t>
            </w:r>
            <w:r w:rsidR="00C25E32">
              <w:rPr>
                <w:noProof/>
                <w:webHidden/>
              </w:rPr>
              <w:fldChar w:fldCharType="end"/>
            </w:r>
          </w:hyperlink>
        </w:p>
        <w:p w14:paraId="50E5FD82" w14:textId="77777777" w:rsidR="00C25E32" w:rsidRDefault="00000000">
          <w:pPr>
            <w:pStyle w:val="TOC2"/>
            <w:tabs>
              <w:tab w:val="right" w:leader="dot" w:pos="9350"/>
            </w:tabs>
            <w:rPr>
              <w:noProof/>
            </w:rPr>
          </w:pPr>
          <w:hyperlink w:anchor="_Toc121238816" w:history="1">
            <w:r w:rsidR="00C25E32" w:rsidRPr="000904F0">
              <w:rPr>
                <w:rStyle w:val="Hyperlink"/>
                <w:noProof/>
              </w:rPr>
              <w:t>Limitations</w:t>
            </w:r>
            <w:r w:rsidR="00C25E32">
              <w:rPr>
                <w:noProof/>
                <w:webHidden/>
              </w:rPr>
              <w:tab/>
            </w:r>
            <w:r w:rsidR="00C25E32">
              <w:rPr>
                <w:noProof/>
                <w:webHidden/>
              </w:rPr>
              <w:fldChar w:fldCharType="begin"/>
            </w:r>
            <w:r w:rsidR="00C25E32">
              <w:rPr>
                <w:noProof/>
                <w:webHidden/>
              </w:rPr>
              <w:instrText xml:space="preserve"> PAGEREF _Toc121238816 \h </w:instrText>
            </w:r>
            <w:r w:rsidR="00C25E32">
              <w:rPr>
                <w:noProof/>
                <w:webHidden/>
              </w:rPr>
            </w:r>
            <w:r w:rsidR="00C25E32">
              <w:rPr>
                <w:noProof/>
                <w:webHidden/>
              </w:rPr>
              <w:fldChar w:fldCharType="separate"/>
            </w:r>
            <w:r w:rsidR="00C25E32">
              <w:rPr>
                <w:noProof/>
                <w:webHidden/>
              </w:rPr>
              <w:t>8</w:t>
            </w:r>
            <w:r w:rsidR="00C25E32">
              <w:rPr>
                <w:noProof/>
                <w:webHidden/>
              </w:rPr>
              <w:fldChar w:fldCharType="end"/>
            </w:r>
          </w:hyperlink>
        </w:p>
        <w:p w14:paraId="223B46FC" w14:textId="77777777" w:rsidR="00C25E32" w:rsidRDefault="00000000">
          <w:pPr>
            <w:pStyle w:val="TOC2"/>
            <w:tabs>
              <w:tab w:val="right" w:leader="dot" w:pos="9350"/>
            </w:tabs>
            <w:rPr>
              <w:noProof/>
            </w:rPr>
          </w:pPr>
          <w:hyperlink w:anchor="_Toc121238817" w:history="1">
            <w:r w:rsidR="00C25E32" w:rsidRPr="000904F0">
              <w:rPr>
                <w:rStyle w:val="Hyperlink"/>
                <w:noProof/>
              </w:rPr>
              <w:t>Importance for hotel management</w:t>
            </w:r>
            <w:r w:rsidR="00C25E32">
              <w:rPr>
                <w:noProof/>
                <w:webHidden/>
              </w:rPr>
              <w:tab/>
            </w:r>
            <w:r w:rsidR="00C25E32">
              <w:rPr>
                <w:noProof/>
                <w:webHidden/>
              </w:rPr>
              <w:fldChar w:fldCharType="begin"/>
            </w:r>
            <w:r w:rsidR="00C25E32">
              <w:rPr>
                <w:noProof/>
                <w:webHidden/>
              </w:rPr>
              <w:instrText xml:space="preserve"> PAGEREF _Toc121238817 \h </w:instrText>
            </w:r>
            <w:r w:rsidR="00C25E32">
              <w:rPr>
                <w:noProof/>
                <w:webHidden/>
              </w:rPr>
            </w:r>
            <w:r w:rsidR="00C25E32">
              <w:rPr>
                <w:noProof/>
                <w:webHidden/>
              </w:rPr>
              <w:fldChar w:fldCharType="separate"/>
            </w:r>
            <w:r w:rsidR="00C25E32">
              <w:rPr>
                <w:noProof/>
                <w:webHidden/>
              </w:rPr>
              <w:t>8</w:t>
            </w:r>
            <w:r w:rsidR="00C25E32">
              <w:rPr>
                <w:noProof/>
                <w:webHidden/>
              </w:rPr>
              <w:fldChar w:fldCharType="end"/>
            </w:r>
          </w:hyperlink>
        </w:p>
        <w:p w14:paraId="571EF475" w14:textId="77777777" w:rsidR="00C25E32" w:rsidRDefault="00000000">
          <w:pPr>
            <w:pStyle w:val="TOC1"/>
            <w:tabs>
              <w:tab w:val="right" w:leader="dot" w:pos="9350"/>
            </w:tabs>
            <w:rPr>
              <w:noProof/>
            </w:rPr>
          </w:pPr>
          <w:hyperlink w:anchor="_Toc121238818" w:history="1">
            <w:r w:rsidR="00C25E32" w:rsidRPr="000904F0">
              <w:rPr>
                <w:rStyle w:val="Hyperlink"/>
                <w:noProof/>
              </w:rPr>
              <w:t>c) Understanding ratios and their importance for decision making</w:t>
            </w:r>
            <w:r w:rsidR="00C25E32">
              <w:rPr>
                <w:noProof/>
                <w:webHidden/>
              </w:rPr>
              <w:tab/>
            </w:r>
            <w:r w:rsidR="00C25E32">
              <w:rPr>
                <w:noProof/>
                <w:webHidden/>
              </w:rPr>
              <w:fldChar w:fldCharType="begin"/>
            </w:r>
            <w:r w:rsidR="00C25E32">
              <w:rPr>
                <w:noProof/>
                <w:webHidden/>
              </w:rPr>
              <w:instrText xml:space="preserve"> PAGEREF _Toc121238818 \h </w:instrText>
            </w:r>
            <w:r w:rsidR="00C25E32">
              <w:rPr>
                <w:noProof/>
                <w:webHidden/>
              </w:rPr>
            </w:r>
            <w:r w:rsidR="00C25E32">
              <w:rPr>
                <w:noProof/>
                <w:webHidden/>
              </w:rPr>
              <w:fldChar w:fldCharType="separate"/>
            </w:r>
            <w:r w:rsidR="00C25E32">
              <w:rPr>
                <w:noProof/>
                <w:webHidden/>
              </w:rPr>
              <w:t>10</w:t>
            </w:r>
            <w:r w:rsidR="00C25E32">
              <w:rPr>
                <w:noProof/>
                <w:webHidden/>
              </w:rPr>
              <w:fldChar w:fldCharType="end"/>
            </w:r>
          </w:hyperlink>
        </w:p>
        <w:p w14:paraId="59950E36" w14:textId="77777777" w:rsidR="00C25E32" w:rsidRDefault="00000000">
          <w:pPr>
            <w:pStyle w:val="TOC1"/>
            <w:tabs>
              <w:tab w:val="right" w:leader="dot" w:pos="9350"/>
            </w:tabs>
            <w:rPr>
              <w:noProof/>
            </w:rPr>
          </w:pPr>
          <w:hyperlink w:anchor="_Toc121238819" w:history="1">
            <w:r w:rsidR="00C25E32" w:rsidRPr="000904F0">
              <w:rPr>
                <w:rStyle w:val="Hyperlink"/>
                <w:noProof/>
              </w:rPr>
              <w:t>Conclusion</w:t>
            </w:r>
            <w:r w:rsidR="00C25E32">
              <w:rPr>
                <w:noProof/>
                <w:webHidden/>
              </w:rPr>
              <w:tab/>
            </w:r>
            <w:r w:rsidR="00C25E32">
              <w:rPr>
                <w:noProof/>
                <w:webHidden/>
              </w:rPr>
              <w:fldChar w:fldCharType="begin"/>
            </w:r>
            <w:r w:rsidR="00C25E32">
              <w:rPr>
                <w:noProof/>
                <w:webHidden/>
              </w:rPr>
              <w:instrText xml:space="preserve"> PAGEREF _Toc121238819 \h </w:instrText>
            </w:r>
            <w:r w:rsidR="00C25E32">
              <w:rPr>
                <w:noProof/>
                <w:webHidden/>
              </w:rPr>
            </w:r>
            <w:r w:rsidR="00C25E32">
              <w:rPr>
                <w:noProof/>
                <w:webHidden/>
              </w:rPr>
              <w:fldChar w:fldCharType="separate"/>
            </w:r>
            <w:r w:rsidR="00C25E32">
              <w:rPr>
                <w:noProof/>
                <w:webHidden/>
              </w:rPr>
              <w:t>12</w:t>
            </w:r>
            <w:r w:rsidR="00C25E32">
              <w:rPr>
                <w:noProof/>
                <w:webHidden/>
              </w:rPr>
              <w:fldChar w:fldCharType="end"/>
            </w:r>
          </w:hyperlink>
        </w:p>
        <w:p w14:paraId="464F0210" w14:textId="77777777" w:rsidR="00C25E32" w:rsidRDefault="00000000">
          <w:pPr>
            <w:pStyle w:val="TOC1"/>
            <w:tabs>
              <w:tab w:val="right" w:leader="dot" w:pos="9350"/>
            </w:tabs>
            <w:rPr>
              <w:noProof/>
            </w:rPr>
          </w:pPr>
          <w:hyperlink w:anchor="_Toc121238820" w:history="1">
            <w:r w:rsidR="00C25E32" w:rsidRPr="000904F0">
              <w:rPr>
                <w:rStyle w:val="Hyperlink"/>
                <w:noProof/>
              </w:rPr>
              <w:t>References</w:t>
            </w:r>
            <w:r w:rsidR="00C25E32">
              <w:rPr>
                <w:noProof/>
                <w:webHidden/>
              </w:rPr>
              <w:tab/>
            </w:r>
            <w:r w:rsidR="00C25E32">
              <w:rPr>
                <w:noProof/>
                <w:webHidden/>
              </w:rPr>
              <w:fldChar w:fldCharType="begin"/>
            </w:r>
            <w:r w:rsidR="00C25E32">
              <w:rPr>
                <w:noProof/>
                <w:webHidden/>
              </w:rPr>
              <w:instrText xml:space="preserve"> PAGEREF _Toc121238820 \h </w:instrText>
            </w:r>
            <w:r w:rsidR="00C25E32">
              <w:rPr>
                <w:noProof/>
                <w:webHidden/>
              </w:rPr>
            </w:r>
            <w:r w:rsidR="00C25E32">
              <w:rPr>
                <w:noProof/>
                <w:webHidden/>
              </w:rPr>
              <w:fldChar w:fldCharType="separate"/>
            </w:r>
            <w:r w:rsidR="00C25E32">
              <w:rPr>
                <w:noProof/>
                <w:webHidden/>
              </w:rPr>
              <w:t>13</w:t>
            </w:r>
            <w:r w:rsidR="00C25E32">
              <w:rPr>
                <w:noProof/>
                <w:webHidden/>
              </w:rPr>
              <w:fldChar w:fldCharType="end"/>
            </w:r>
          </w:hyperlink>
        </w:p>
        <w:p w14:paraId="600EEE7C" w14:textId="77777777" w:rsidR="00C25E32" w:rsidRDefault="00C25E32">
          <w:r>
            <w:rPr>
              <w:b/>
              <w:bCs/>
              <w:noProof/>
            </w:rPr>
            <w:fldChar w:fldCharType="end"/>
          </w:r>
        </w:p>
      </w:sdtContent>
    </w:sdt>
    <w:p w14:paraId="37E0009C" w14:textId="77777777" w:rsidR="00C25E32" w:rsidRDefault="00C25E32">
      <w:pPr>
        <w:widowControl/>
        <w:autoSpaceDE/>
        <w:autoSpaceDN/>
        <w:spacing w:after="160" w:line="259" w:lineRule="auto"/>
        <w:jc w:val="left"/>
      </w:pPr>
      <w:r>
        <w:br w:type="page"/>
      </w:r>
    </w:p>
    <w:p w14:paraId="27843A4A" w14:textId="77777777" w:rsidR="0050177B" w:rsidRDefault="00677523" w:rsidP="00C25E32">
      <w:pPr>
        <w:pStyle w:val="Heading1"/>
      </w:pPr>
      <w:bookmarkStart w:id="0" w:name="_Toc121238813"/>
      <w:r>
        <w:lastRenderedPageBreak/>
        <w:t>Introduction</w:t>
      </w:r>
      <w:bookmarkEnd w:id="0"/>
      <w:r>
        <w:t xml:space="preserve"> </w:t>
      </w:r>
    </w:p>
    <w:p w14:paraId="16BCE5A7" w14:textId="77777777" w:rsidR="00677523" w:rsidRDefault="00677523">
      <w:r w:rsidRPr="00677523">
        <w:t>The presentation of financial statements is more convincing to stakeholders. In order to conduct an analysis of the statements, accounting ratios, peer reviews, year-over-year comparisons, and inter-departmental interpretation will all be utilised (</w:t>
      </w:r>
      <w:proofErr w:type="spellStart"/>
      <w:r w:rsidRPr="00677523">
        <w:t>Firouzjah</w:t>
      </w:r>
      <w:proofErr w:type="spellEnd"/>
      <w:r w:rsidRPr="00677523">
        <w:t xml:space="preserve">, 2018). Most approaches use proportion assessment. I am a senior manager at Marriott International, and one of my responsibilities is assisting </w:t>
      </w:r>
      <w:r w:rsidR="00C25E32">
        <w:t xml:space="preserve">the </w:t>
      </w:r>
      <w:r w:rsidRPr="00677523">
        <w:t>administration with the calculation of accounting ratios. Marriott International is a hospitality corporation having operat</w:t>
      </w:r>
      <w:r w:rsidR="00C25E32">
        <w:t>e</w:t>
      </w:r>
      <w:r w:rsidRPr="00677523">
        <w:t>s in the United Kingdom that is located in the United States. The daily operations of the organisation have become more difficult. Therefore, the investigation takes into account how successfully it managed its finances, both effectively and efficiently.</w:t>
      </w:r>
    </w:p>
    <w:p w14:paraId="67C2F70E" w14:textId="77777777" w:rsidR="00C25E32" w:rsidRDefault="00C25E32"/>
    <w:p w14:paraId="3D8CC78D" w14:textId="77777777" w:rsidR="00C25E32" w:rsidRDefault="00C25E32"/>
    <w:p w14:paraId="5CD0428A" w14:textId="77777777" w:rsidR="00C25E32" w:rsidRDefault="00C25E32"/>
    <w:p w14:paraId="3C958B90" w14:textId="77777777" w:rsidR="00C25E32" w:rsidRDefault="00C25E32"/>
    <w:p w14:paraId="5017EE93" w14:textId="77777777" w:rsidR="00C25E32" w:rsidRDefault="00C25E32"/>
    <w:p w14:paraId="41286062" w14:textId="77777777" w:rsidR="00C25E32" w:rsidRDefault="00C25E32"/>
    <w:p w14:paraId="4506676B" w14:textId="77777777" w:rsidR="00C25E32" w:rsidRDefault="00C25E32"/>
    <w:p w14:paraId="21BA4937" w14:textId="77777777" w:rsidR="00C25E32" w:rsidRDefault="00C25E32"/>
    <w:p w14:paraId="0297988D" w14:textId="77777777" w:rsidR="00C25E32" w:rsidRDefault="00C25E32"/>
    <w:p w14:paraId="0CC41D56" w14:textId="77777777" w:rsidR="00C25E32" w:rsidRDefault="00C25E32"/>
    <w:p w14:paraId="5AA623FD" w14:textId="77777777" w:rsidR="00C25E32" w:rsidRDefault="00C25E32"/>
    <w:p w14:paraId="32BF9724" w14:textId="77777777" w:rsidR="00C25E32" w:rsidRDefault="00C25E32"/>
    <w:p w14:paraId="7B15FC64" w14:textId="77777777" w:rsidR="00C25E32" w:rsidRDefault="00C25E32"/>
    <w:p w14:paraId="15809100" w14:textId="77777777" w:rsidR="00C25E32" w:rsidRDefault="00C25E32"/>
    <w:p w14:paraId="00476C78" w14:textId="77777777" w:rsidR="00C25E32" w:rsidRDefault="00C25E32"/>
    <w:p w14:paraId="4F18E54D" w14:textId="77777777" w:rsidR="00C25E32" w:rsidRDefault="00C25E32"/>
    <w:p w14:paraId="09218D2D" w14:textId="77777777" w:rsidR="00C25E32" w:rsidRDefault="00C25E32"/>
    <w:p w14:paraId="67319CCF" w14:textId="77777777" w:rsidR="00C25E32" w:rsidRDefault="00C25E32"/>
    <w:p w14:paraId="7559AA81" w14:textId="77777777" w:rsidR="00C25E32" w:rsidRDefault="00C25E32"/>
    <w:p w14:paraId="0BEF19FE" w14:textId="77777777" w:rsidR="00C25E32" w:rsidRDefault="00C25E32"/>
    <w:p w14:paraId="6EC4D3F4" w14:textId="77777777" w:rsidR="00C25E32" w:rsidRDefault="00C25E32"/>
    <w:p w14:paraId="100417B4" w14:textId="77777777" w:rsidR="00677523" w:rsidRDefault="00677523" w:rsidP="00C25E32">
      <w:pPr>
        <w:pStyle w:val="Heading1"/>
      </w:pPr>
      <w:bookmarkStart w:id="1" w:name="_Toc121238814"/>
      <w:r>
        <w:lastRenderedPageBreak/>
        <w:t xml:space="preserve">a) Ratio analysis of </w:t>
      </w:r>
      <w:r w:rsidRPr="00677523">
        <w:t>Marriott International</w:t>
      </w:r>
      <w:bookmarkEnd w:id="1"/>
    </w:p>
    <w:p w14:paraId="080E02C6" w14:textId="77777777" w:rsidR="00677523" w:rsidRDefault="00677523" w:rsidP="00677523">
      <w:r>
        <w:t xml:space="preserve">Analysing the value of money can be done in </w:t>
      </w:r>
      <w:r w:rsidR="00C25E32">
        <w:t>several</w:t>
      </w:r>
      <w:r>
        <w:t xml:space="preserve"> different ways. The comparison of financial data is accomplished by fiscal account analysis employing proportional assessment. Metrics are proportionate linkages between the various components of an accounting system, with each percentage being a fraction of the others</w:t>
      </w:r>
      <w:r w:rsidR="009512BD">
        <w:t xml:space="preserve"> </w:t>
      </w:r>
      <w:r w:rsidR="009512BD" w:rsidRPr="009512BD">
        <w:t>(Brealey, Myers and Marcus, 2019)</w:t>
      </w:r>
      <w:r>
        <w:t>. Liquidity, viability, engagement proportions, gearing metrics, and leverage ratio are the variables that are being discussed here. Accessibility metrics provide insight into a company's capacity to make timely payments on its short-term obligations. Measures of a company's solvency indicate the organization's capacity to meet its long-term obligations (Higgins and Cornwell, 2016). The productivity percentages of a corporation are an indication of the operational efficiency of the company. Measures of gearing can be used to determine a company's leverage as well as its ability to service debt. The revenue percentages for selling, assets, capital and other categories are displayed by the productivity measurements.</w:t>
      </w:r>
    </w:p>
    <w:p w14:paraId="1C8D2A1E" w14:textId="77777777" w:rsidR="00677523" w:rsidRDefault="00677523" w:rsidP="00677523">
      <w:r>
        <w:t>Analytical work performed by Marriott International, including the calculation of ratios, the identification of trends, and the formulation of conclusions.</w:t>
      </w:r>
    </w:p>
    <w:tbl>
      <w:tblPr>
        <w:tblStyle w:val="GridTable4-Accent6"/>
        <w:tblW w:w="0" w:type="auto"/>
        <w:tblLayout w:type="fixed"/>
        <w:tblLook w:val="01E0" w:firstRow="1" w:lastRow="1" w:firstColumn="1" w:lastColumn="1" w:noHBand="0" w:noVBand="0"/>
      </w:tblPr>
      <w:tblGrid>
        <w:gridCol w:w="4830"/>
        <w:gridCol w:w="1348"/>
        <w:gridCol w:w="1350"/>
        <w:gridCol w:w="1454"/>
      </w:tblGrid>
      <w:tr w:rsidR="00677523" w14:paraId="286C024B" w14:textId="77777777" w:rsidTr="00C25E32">
        <w:trPr>
          <w:cnfStyle w:val="100000000000" w:firstRow="1" w:lastRow="0" w:firstColumn="0" w:lastColumn="0" w:oddVBand="0" w:evenVBand="0" w:oddHBand="0"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4830" w:type="dxa"/>
          </w:tcPr>
          <w:p w14:paraId="6E957F9C" w14:textId="77777777" w:rsidR="00677523" w:rsidRDefault="00677523" w:rsidP="00677523">
            <w:pPr>
              <w:jc w:val="center"/>
              <w:rPr>
                <w:b w:val="0"/>
              </w:rPr>
            </w:pPr>
          </w:p>
        </w:tc>
        <w:tc>
          <w:tcPr>
            <w:cnfStyle w:val="000010000000" w:firstRow="0" w:lastRow="0" w:firstColumn="0" w:lastColumn="0" w:oddVBand="1" w:evenVBand="0" w:oddHBand="0" w:evenHBand="0" w:firstRowFirstColumn="0" w:firstRowLastColumn="0" w:lastRowFirstColumn="0" w:lastRowLastColumn="0"/>
            <w:tcW w:w="1348" w:type="dxa"/>
          </w:tcPr>
          <w:p w14:paraId="784D8525" w14:textId="77777777" w:rsidR="00677523" w:rsidRDefault="00677523" w:rsidP="00677523">
            <w:pPr>
              <w:jc w:val="center"/>
              <w:rPr>
                <w:b w:val="0"/>
              </w:rPr>
            </w:pPr>
            <w:r>
              <w:t>2021</w:t>
            </w:r>
          </w:p>
        </w:tc>
        <w:tc>
          <w:tcPr>
            <w:tcW w:w="1350" w:type="dxa"/>
          </w:tcPr>
          <w:p w14:paraId="50F9D7D9" w14:textId="77777777" w:rsidR="00677523" w:rsidRDefault="00677523" w:rsidP="00677523">
            <w:pPr>
              <w:jc w:val="center"/>
              <w:cnfStyle w:val="100000000000" w:firstRow="1" w:lastRow="0" w:firstColumn="0" w:lastColumn="0" w:oddVBand="0" w:evenVBand="0" w:oddHBand="0" w:evenHBand="0" w:firstRowFirstColumn="0" w:firstRowLastColumn="0" w:lastRowFirstColumn="0" w:lastRowLastColumn="0"/>
              <w:rPr>
                <w:b w:val="0"/>
              </w:rPr>
            </w:pPr>
            <w:r>
              <w:t>2020</w:t>
            </w:r>
          </w:p>
        </w:tc>
        <w:tc>
          <w:tcPr>
            <w:cnfStyle w:val="000100000000" w:firstRow="0" w:lastRow="0" w:firstColumn="0" w:lastColumn="1" w:oddVBand="0" w:evenVBand="0" w:oddHBand="0" w:evenHBand="0" w:firstRowFirstColumn="0" w:firstRowLastColumn="0" w:lastRowFirstColumn="0" w:lastRowLastColumn="0"/>
            <w:tcW w:w="1454" w:type="dxa"/>
          </w:tcPr>
          <w:p w14:paraId="1BDA7FF8" w14:textId="77777777" w:rsidR="00677523" w:rsidRDefault="00677523" w:rsidP="00677523">
            <w:pPr>
              <w:jc w:val="center"/>
              <w:rPr>
                <w:b w:val="0"/>
              </w:rPr>
            </w:pPr>
            <w:r>
              <w:t>Trend</w:t>
            </w:r>
          </w:p>
        </w:tc>
      </w:tr>
      <w:tr w:rsidR="00677523" w14:paraId="7E4E4CFD" w14:textId="77777777" w:rsidTr="00C25E32">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8982" w:type="dxa"/>
            <w:gridSpan w:val="4"/>
          </w:tcPr>
          <w:p w14:paraId="52A0CFBC" w14:textId="77777777" w:rsidR="00677523" w:rsidRDefault="00677523" w:rsidP="00677523">
            <w:pPr>
              <w:jc w:val="center"/>
            </w:pPr>
            <w:r>
              <w:t>Profitability</w:t>
            </w:r>
            <w:r>
              <w:rPr>
                <w:spacing w:val="-2"/>
              </w:rPr>
              <w:t xml:space="preserve"> </w:t>
            </w:r>
            <w:r>
              <w:t>Ratios</w:t>
            </w:r>
          </w:p>
        </w:tc>
      </w:tr>
      <w:tr w:rsidR="00677523" w14:paraId="6BAE20D0" w14:textId="77777777" w:rsidTr="00C25E32">
        <w:trPr>
          <w:trHeight w:val="270"/>
        </w:trPr>
        <w:tc>
          <w:tcPr>
            <w:cnfStyle w:val="001000000000" w:firstRow="0" w:lastRow="0" w:firstColumn="1" w:lastColumn="0" w:oddVBand="0" w:evenVBand="0" w:oddHBand="0" w:evenHBand="0" w:firstRowFirstColumn="0" w:firstRowLastColumn="0" w:lastRowFirstColumn="0" w:lastRowLastColumn="0"/>
            <w:tcW w:w="4830" w:type="dxa"/>
          </w:tcPr>
          <w:p w14:paraId="1CEC831E" w14:textId="77777777" w:rsidR="00677523" w:rsidRDefault="00677523" w:rsidP="00677523">
            <w:pPr>
              <w:jc w:val="center"/>
            </w:pPr>
            <w:r>
              <w:t>Gross</w:t>
            </w:r>
            <w:r>
              <w:rPr>
                <w:spacing w:val="-3"/>
              </w:rPr>
              <w:t xml:space="preserve"> </w:t>
            </w:r>
            <w:r>
              <w:t>profit</w:t>
            </w:r>
            <w:r>
              <w:rPr>
                <w:spacing w:val="-3"/>
              </w:rPr>
              <w:t xml:space="preserve"> </w:t>
            </w:r>
            <w:r>
              <w:t>margin</w:t>
            </w:r>
          </w:p>
        </w:tc>
        <w:tc>
          <w:tcPr>
            <w:cnfStyle w:val="000010000000" w:firstRow="0" w:lastRow="0" w:firstColumn="0" w:lastColumn="0" w:oddVBand="1" w:evenVBand="0" w:oddHBand="0" w:evenHBand="0" w:firstRowFirstColumn="0" w:firstRowLastColumn="0" w:lastRowFirstColumn="0" w:lastRowLastColumn="0"/>
            <w:tcW w:w="1348" w:type="dxa"/>
          </w:tcPr>
          <w:p w14:paraId="386EDD75" w14:textId="77777777" w:rsidR="00677523" w:rsidRDefault="00677523" w:rsidP="00677523">
            <w:pPr>
              <w:jc w:val="center"/>
            </w:pPr>
            <w:r>
              <w:t>20.2136%</w:t>
            </w:r>
          </w:p>
        </w:tc>
        <w:tc>
          <w:tcPr>
            <w:tcW w:w="1350" w:type="dxa"/>
          </w:tcPr>
          <w:p w14:paraId="103296E4" w14:textId="77777777" w:rsidR="00677523" w:rsidRDefault="00677523" w:rsidP="00677523">
            <w:pPr>
              <w:jc w:val="center"/>
              <w:cnfStyle w:val="000000000000" w:firstRow="0" w:lastRow="0" w:firstColumn="0" w:lastColumn="0" w:oddVBand="0" w:evenVBand="0" w:oddHBand="0" w:evenHBand="0" w:firstRowFirstColumn="0" w:firstRowLastColumn="0" w:lastRowFirstColumn="0" w:lastRowLastColumn="0"/>
            </w:pPr>
            <w:r>
              <w:t>13.8019%</w:t>
            </w:r>
          </w:p>
        </w:tc>
        <w:tc>
          <w:tcPr>
            <w:cnfStyle w:val="000100000000" w:firstRow="0" w:lastRow="0" w:firstColumn="0" w:lastColumn="1" w:oddVBand="0" w:evenVBand="0" w:oddHBand="0" w:evenHBand="0" w:firstRowFirstColumn="0" w:firstRowLastColumn="0" w:lastRowFirstColumn="0" w:lastRowLastColumn="0"/>
            <w:tcW w:w="1454" w:type="dxa"/>
          </w:tcPr>
          <w:p w14:paraId="7FD363F1" w14:textId="77777777" w:rsidR="00677523" w:rsidRDefault="00677523" w:rsidP="00677523">
            <w:pPr>
              <w:jc w:val="center"/>
            </w:pPr>
            <w:r>
              <w:t>6.41%</w:t>
            </w:r>
          </w:p>
        </w:tc>
      </w:tr>
      <w:tr w:rsidR="00677523" w14:paraId="0C8D62D4" w14:textId="77777777" w:rsidTr="00C25E32">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4830" w:type="dxa"/>
          </w:tcPr>
          <w:p w14:paraId="122DCCF7" w14:textId="77777777" w:rsidR="00677523" w:rsidRDefault="00677523" w:rsidP="00677523">
            <w:pPr>
              <w:jc w:val="center"/>
            </w:pPr>
            <w:r>
              <w:t>Net</w:t>
            </w:r>
            <w:r>
              <w:rPr>
                <w:spacing w:val="-2"/>
              </w:rPr>
              <w:t xml:space="preserve"> </w:t>
            </w:r>
            <w:r>
              <w:t>profit</w:t>
            </w:r>
            <w:r>
              <w:rPr>
                <w:spacing w:val="-4"/>
              </w:rPr>
              <w:t xml:space="preserve"> </w:t>
            </w:r>
            <w:r>
              <w:t>margin</w:t>
            </w:r>
          </w:p>
        </w:tc>
        <w:tc>
          <w:tcPr>
            <w:cnfStyle w:val="000010000000" w:firstRow="0" w:lastRow="0" w:firstColumn="0" w:lastColumn="0" w:oddVBand="1" w:evenVBand="0" w:oddHBand="0" w:evenHBand="0" w:firstRowFirstColumn="0" w:firstRowLastColumn="0" w:lastRowFirstColumn="0" w:lastRowLastColumn="0"/>
            <w:tcW w:w="1348" w:type="dxa"/>
          </w:tcPr>
          <w:p w14:paraId="021CEDE3" w14:textId="77777777" w:rsidR="00677523" w:rsidRDefault="00677523" w:rsidP="00677523">
            <w:pPr>
              <w:jc w:val="center"/>
            </w:pPr>
            <w:r>
              <w:t>7.931%</w:t>
            </w:r>
          </w:p>
        </w:tc>
        <w:tc>
          <w:tcPr>
            <w:tcW w:w="1350" w:type="dxa"/>
          </w:tcPr>
          <w:p w14:paraId="2ADEBBE3" w14:textId="77777777" w:rsidR="00677523" w:rsidRDefault="00677523" w:rsidP="00677523">
            <w:pPr>
              <w:jc w:val="center"/>
              <w:cnfStyle w:val="000000100000" w:firstRow="0" w:lastRow="0" w:firstColumn="0" w:lastColumn="0" w:oddVBand="0" w:evenVBand="0" w:oddHBand="1" w:evenHBand="0" w:firstRowFirstColumn="0" w:firstRowLastColumn="0" w:lastRowFirstColumn="0" w:lastRowLastColumn="0"/>
            </w:pPr>
            <w:r>
              <w:t>-2.5258%</w:t>
            </w:r>
          </w:p>
        </w:tc>
        <w:tc>
          <w:tcPr>
            <w:cnfStyle w:val="000100000000" w:firstRow="0" w:lastRow="0" w:firstColumn="0" w:lastColumn="1" w:oddVBand="0" w:evenVBand="0" w:oddHBand="0" w:evenHBand="0" w:firstRowFirstColumn="0" w:firstRowLastColumn="0" w:lastRowFirstColumn="0" w:lastRowLastColumn="0"/>
            <w:tcW w:w="1454" w:type="dxa"/>
          </w:tcPr>
          <w:p w14:paraId="3DDAC391" w14:textId="77777777" w:rsidR="00677523" w:rsidRDefault="00017149" w:rsidP="00677523">
            <w:pPr>
              <w:jc w:val="center"/>
            </w:pPr>
            <w:r>
              <w:t>5.4052</w:t>
            </w:r>
            <w:r w:rsidR="00677523">
              <w:t>%</w:t>
            </w:r>
          </w:p>
        </w:tc>
      </w:tr>
      <w:tr w:rsidR="00677523" w14:paraId="209F1D10" w14:textId="77777777" w:rsidTr="00C25E32">
        <w:trPr>
          <w:trHeight w:val="270"/>
        </w:trPr>
        <w:tc>
          <w:tcPr>
            <w:cnfStyle w:val="001000000000" w:firstRow="0" w:lastRow="0" w:firstColumn="1" w:lastColumn="0" w:oddVBand="0" w:evenVBand="0" w:oddHBand="0" w:evenHBand="0" w:firstRowFirstColumn="0" w:firstRowLastColumn="0" w:lastRowFirstColumn="0" w:lastRowLastColumn="0"/>
            <w:tcW w:w="4830" w:type="dxa"/>
          </w:tcPr>
          <w:p w14:paraId="271507A1" w14:textId="77777777" w:rsidR="00677523" w:rsidRDefault="00677523" w:rsidP="00677523">
            <w:pPr>
              <w:jc w:val="center"/>
            </w:pPr>
            <w:r>
              <w:t>Return</w:t>
            </w:r>
            <w:r>
              <w:rPr>
                <w:spacing w:val="-1"/>
              </w:rPr>
              <w:t xml:space="preserve"> </w:t>
            </w:r>
            <w:r>
              <w:t>on</w:t>
            </w:r>
            <w:r>
              <w:rPr>
                <w:spacing w:val="-3"/>
              </w:rPr>
              <w:t xml:space="preserve"> </w:t>
            </w:r>
            <w:r>
              <w:t>Investment</w:t>
            </w:r>
          </w:p>
        </w:tc>
        <w:tc>
          <w:tcPr>
            <w:cnfStyle w:val="000010000000" w:firstRow="0" w:lastRow="0" w:firstColumn="0" w:lastColumn="0" w:oddVBand="1" w:evenVBand="0" w:oddHBand="0" w:evenHBand="0" w:firstRowFirstColumn="0" w:firstRowLastColumn="0" w:lastRowFirstColumn="0" w:lastRowLastColumn="0"/>
            <w:tcW w:w="1348" w:type="dxa"/>
          </w:tcPr>
          <w:p w14:paraId="6CD27032" w14:textId="77777777" w:rsidR="00677523" w:rsidRDefault="00677523" w:rsidP="00677523">
            <w:pPr>
              <w:jc w:val="center"/>
            </w:pPr>
            <w:r>
              <w:t>10.2261%</w:t>
            </w:r>
          </w:p>
        </w:tc>
        <w:tc>
          <w:tcPr>
            <w:tcW w:w="1350" w:type="dxa"/>
          </w:tcPr>
          <w:p w14:paraId="60271DA8" w14:textId="77777777" w:rsidR="00677523" w:rsidRDefault="00677523" w:rsidP="00677523">
            <w:pPr>
              <w:jc w:val="center"/>
              <w:cnfStyle w:val="000000000000" w:firstRow="0" w:lastRow="0" w:firstColumn="0" w:lastColumn="0" w:oddVBand="0" w:evenVBand="0" w:oddHBand="0" w:evenHBand="0" w:firstRowFirstColumn="0" w:firstRowLastColumn="0" w:lastRowFirstColumn="0" w:lastRowLastColumn="0"/>
            </w:pPr>
            <w:r>
              <w:t>-2.7717%</w:t>
            </w:r>
          </w:p>
        </w:tc>
        <w:tc>
          <w:tcPr>
            <w:cnfStyle w:val="000100000000" w:firstRow="0" w:lastRow="0" w:firstColumn="0" w:lastColumn="1" w:oddVBand="0" w:evenVBand="0" w:oddHBand="0" w:evenHBand="0" w:firstRowFirstColumn="0" w:firstRowLastColumn="0" w:lastRowFirstColumn="0" w:lastRowLastColumn="0"/>
            <w:tcW w:w="1454" w:type="dxa"/>
          </w:tcPr>
          <w:p w14:paraId="57A99AA9" w14:textId="77777777" w:rsidR="00677523" w:rsidRDefault="00017149" w:rsidP="00677523">
            <w:pPr>
              <w:jc w:val="center"/>
            </w:pPr>
            <w:r>
              <w:t>7.4544</w:t>
            </w:r>
            <w:r w:rsidR="00677523">
              <w:t>%</w:t>
            </w:r>
          </w:p>
        </w:tc>
      </w:tr>
      <w:tr w:rsidR="00677523" w14:paraId="2ECE5B6A" w14:textId="77777777" w:rsidTr="00C25E32">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4830" w:type="dxa"/>
          </w:tcPr>
          <w:p w14:paraId="132AB639" w14:textId="77777777" w:rsidR="00677523" w:rsidRDefault="00677523" w:rsidP="00677523">
            <w:pPr>
              <w:jc w:val="center"/>
            </w:pPr>
            <w:r>
              <w:t xml:space="preserve">Operating Margin </w:t>
            </w:r>
          </w:p>
        </w:tc>
        <w:tc>
          <w:tcPr>
            <w:cnfStyle w:val="000010000000" w:firstRow="0" w:lastRow="0" w:firstColumn="0" w:lastColumn="0" w:oddVBand="1" w:evenVBand="0" w:oddHBand="0" w:evenHBand="0" w:firstRowFirstColumn="0" w:firstRowLastColumn="0" w:lastRowFirstColumn="0" w:lastRowLastColumn="0"/>
            <w:tcW w:w="1348" w:type="dxa"/>
          </w:tcPr>
          <w:p w14:paraId="689D6027" w14:textId="77777777" w:rsidR="00677523" w:rsidRDefault="00677523" w:rsidP="00677523">
            <w:pPr>
              <w:jc w:val="center"/>
            </w:pPr>
            <w:r>
              <w:t>12.629%</w:t>
            </w:r>
          </w:p>
        </w:tc>
        <w:tc>
          <w:tcPr>
            <w:tcW w:w="1350" w:type="dxa"/>
          </w:tcPr>
          <w:p w14:paraId="787EA1E3" w14:textId="77777777" w:rsidR="00677523" w:rsidRDefault="00677523" w:rsidP="00677523">
            <w:pPr>
              <w:jc w:val="center"/>
              <w:cnfStyle w:val="000000100000" w:firstRow="0" w:lastRow="0" w:firstColumn="0" w:lastColumn="0" w:oddVBand="0" w:evenVBand="0" w:oddHBand="1" w:evenHBand="0" w:firstRowFirstColumn="0" w:firstRowLastColumn="0" w:lastRowFirstColumn="0" w:lastRowLastColumn="0"/>
            </w:pPr>
            <w:r>
              <w:t>0.7946%</w:t>
            </w:r>
          </w:p>
        </w:tc>
        <w:tc>
          <w:tcPr>
            <w:cnfStyle w:val="000100000000" w:firstRow="0" w:lastRow="0" w:firstColumn="0" w:lastColumn="1" w:oddVBand="0" w:evenVBand="0" w:oddHBand="0" w:evenHBand="0" w:firstRowFirstColumn="0" w:firstRowLastColumn="0" w:lastRowFirstColumn="0" w:lastRowLastColumn="0"/>
            <w:tcW w:w="1454" w:type="dxa"/>
          </w:tcPr>
          <w:p w14:paraId="2D158CFC" w14:textId="77777777" w:rsidR="00677523" w:rsidRDefault="00677523" w:rsidP="00677523">
            <w:pPr>
              <w:jc w:val="center"/>
            </w:pPr>
            <w:r>
              <w:t>11.83%</w:t>
            </w:r>
          </w:p>
        </w:tc>
      </w:tr>
      <w:tr w:rsidR="00677523" w14:paraId="58287F14" w14:textId="77777777" w:rsidTr="00C25E32">
        <w:trPr>
          <w:trHeight w:val="271"/>
        </w:trPr>
        <w:tc>
          <w:tcPr>
            <w:cnfStyle w:val="001000000000" w:firstRow="0" w:lastRow="0" w:firstColumn="1" w:lastColumn="0" w:oddVBand="0" w:evenVBand="0" w:oddHBand="0" w:evenHBand="0" w:firstRowFirstColumn="0" w:firstRowLastColumn="0" w:lastRowFirstColumn="0" w:lastRowLastColumn="0"/>
            <w:tcW w:w="4830" w:type="dxa"/>
          </w:tcPr>
          <w:p w14:paraId="3D95D05E" w14:textId="77777777" w:rsidR="00677523" w:rsidRDefault="00677523" w:rsidP="00677523">
            <w:pPr>
              <w:jc w:val="center"/>
            </w:pPr>
            <w:r>
              <w:t>Asset</w:t>
            </w:r>
            <w:r>
              <w:rPr>
                <w:spacing w:val="-11"/>
              </w:rPr>
              <w:t xml:space="preserve"> </w:t>
            </w:r>
            <w:r>
              <w:t>turnover</w:t>
            </w:r>
            <w:r>
              <w:rPr>
                <w:spacing w:val="-10"/>
              </w:rPr>
              <w:t xml:space="preserve"> </w:t>
            </w:r>
          </w:p>
        </w:tc>
        <w:tc>
          <w:tcPr>
            <w:cnfStyle w:val="000010000000" w:firstRow="0" w:lastRow="0" w:firstColumn="0" w:lastColumn="0" w:oddVBand="1" w:evenVBand="0" w:oddHBand="0" w:evenHBand="0" w:firstRowFirstColumn="0" w:firstRowLastColumn="0" w:lastRowFirstColumn="0" w:lastRowLastColumn="0"/>
            <w:tcW w:w="1348" w:type="dxa"/>
          </w:tcPr>
          <w:p w14:paraId="37677E57" w14:textId="77777777" w:rsidR="00677523" w:rsidRDefault="00677523" w:rsidP="00677523">
            <w:pPr>
              <w:jc w:val="center"/>
            </w:pPr>
            <w:r>
              <w:t>0.5423</w:t>
            </w:r>
          </w:p>
        </w:tc>
        <w:tc>
          <w:tcPr>
            <w:tcW w:w="1350" w:type="dxa"/>
          </w:tcPr>
          <w:p w14:paraId="1866A16E" w14:textId="77777777" w:rsidR="00677523" w:rsidRDefault="00677523" w:rsidP="00677523">
            <w:pPr>
              <w:jc w:val="center"/>
              <w:cnfStyle w:val="000000000000" w:firstRow="0" w:lastRow="0" w:firstColumn="0" w:lastColumn="0" w:oddVBand="0" w:evenVBand="0" w:oddHBand="0" w:evenHBand="0" w:firstRowFirstColumn="0" w:firstRowLastColumn="0" w:lastRowFirstColumn="0" w:lastRowLastColumn="0"/>
            </w:pPr>
            <w:r>
              <w:t>0.428</w:t>
            </w:r>
          </w:p>
        </w:tc>
        <w:tc>
          <w:tcPr>
            <w:cnfStyle w:val="000100000000" w:firstRow="0" w:lastRow="0" w:firstColumn="0" w:lastColumn="1" w:oddVBand="0" w:evenVBand="0" w:oddHBand="0" w:evenHBand="0" w:firstRowFirstColumn="0" w:firstRowLastColumn="0" w:lastRowFirstColumn="0" w:lastRowLastColumn="0"/>
            <w:tcW w:w="1454" w:type="dxa"/>
          </w:tcPr>
          <w:p w14:paraId="344BB9ED" w14:textId="77777777" w:rsidR="00677523" w:rsidRDefault="00017149" w:rsidP="00677523">
            <w:pPr>
              <w:jc w:val="center"/>
            </w:pPr>
            <w:r>
              <w:t>0.1143</w:t>
            </w:r>
          </w:p>
        </w:tc>
      </w:tr>
      <w:tr w:rsidR="00677523" w14:paraId="2C577E4A" w14:textId="77777777" w:rsidTr="00C25E32">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8982" w:type="dxa"/>
            <w:gridSpan w:val="4"/>
          </w:tcPr>
          <w:p w14:paraId="24A01522" w14:textId="77777777" w:rsidR="00677523" w:rsidRPr="00C25E32" w:rsidRDefault="00677523" w:rsidP="00677523">
            <w:pPr>
              <w:jc w:val="center"/>
            </w:pPr>
            <w:r w:rsidRPr="00C25E32">
              <w:t>Liquidity ratios</w:t>
            </w:r>
          </w:p>
        </w:tc>
      </w:tr>
      <w:tr w:rsidR="00677523" w14:paraId="4F624A78" w14:textId="77777777" w:rsidTr="00C25E32">
        <w:trPr>
          <w:trHeight w:val="271"/>
        </w:trPr>
        <w:tc>
          <w:tcPr>
            <w:cnfStyle w:val="001000000000" w:firstRow="0" w:lastRow="0" w:firstColumn="1" w:lastColumn="0" w:oddVBand="0" w:evenVBand="0" w:oddHBand="0" w:evenHBand="0" w:firstRowFirstColumn="0" w:firstRowLastColumn="0" w:lastRowFirstColumn="0" w:lastRowLastColumn="0"/>
            <w:tcW w:w="4830" w:type="dxa"/>
          </w:tcPr>
          <w:p w14:paraId="3394948E" w14:textId="77777777" w:rsidR="00677523" w:rsidRDefault="00677523" w:rsidP="00677523">
            <w:pPr>
              <w:jc w:val="center"/>
            </w:pPr>
            <w:r>
              <w:t>Current</w:t>
            </w:r>
            <w:r w:rsidRPr="00677523">
              <w:t xml:space="preserve"> </w:t>
            </w:r>
            <w:r>
              <w:t>ratio</w:t>
            </w:r>
          </w:p>
        </w:tc>
        <w:tc>
          <w:tcPr>
            <w:cnfStyle w:val="000010000000" w:firstRow="0" w:lastRow="0" w:firstColumn="0" w:lastColumn="0" w:oddVBand="1" w:evenVBand="0" w:oddHBand="0" w:evenHBand="0" w:firstRowFirstColumn="0" w:firstRowLastColumn="0" w:lastRowFirstColumn="0" w:lastRowLastColumn="0"/>
            <w:tcW w:w="1348" w:type="dxa"/>
          </w:tcPr>
          <w:p w14:paraId="6613E3D9" w14:textId="77777777" w:rsidR="00677523" w:rsidRDefault="00677523" w:rsidP="00677523">
            <w:pPr>
              <w:jc w:val="center"/>
            </w:pPr>
            <w:r>
              <w:t>0.5659</w:t>
            </w:r>
          </w:p>
        </w:tc>
        <w:tc>
          <w:tcPr>
            <w:tcW w:w="1350" w:type="dxa"/>
          </w:tcPr>
          <w:p w14:paraId="2418FAFD" w14:textId="77777777" w:rsidR="00677523" w:rsidRDefault="00677523" w:rsidP="00677523">
            <w:pPr>
              <w:jc w:val="center"/>
              <w:cnfStyle w:val="000000000000" w:firstRow="0" w:lastRow="0" w:firstColumn="0" w:lastColumn="0" w:oddVBand="0" w:evenVBand="0" w:oddHBand="0" w:evenHBand="0" w:firstRowFirstColumn="0" w:firstRowLastColumn="0" w:lastRowFirstColumn="0" w:lastRowLastColumn="0"/>
            </w:pPr>
            <w:r>
              <w:t>0.4911</w:t>
            </w:r>
          </w:p>
        </w:tc>
        <w:tc>
          <w:tcPr>
            <w:cnfStyle w:val="000100000000" w:firstRow="0" w:lastRow="0" w:firstColumn="0" w:lastColumn="1" w:oddVBand="0" w:evenVBand="0" w:oddHBand="0" w:evenHBand="0" w:firstRowFirstColumn="0" w:firstRowLastColumn="0" w:lastRowFirstColumn="0" w:lastRowLastColumn="0"/>
            <w:tcW w:w="1454" w:type="dxa"/>
          </w:tcPr>
          <w:p w14:paraId="6D6178C0" w14:textId="77777777" w:rsidR="00677523" w:rsidRDefault="00017149" w:rsidP="00677523">
            <w:pPr>
              <w:jc w:val="center"/>
            </w:pPr>
            <w:r>
              <w:t>0.074</w:t>
            </w:r>
          </w:p>
        </w:tc>
      </w:tr>
      <w:tr w:rsidR="00677523" w14:paraId="67090396" w14:textId="77777777" w:rsidTr="00C25E32">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4830" w:type="dxa"/>
          </w:tcPr>
          <w:p w14:paraId="08CFCD04" w14:textId="77777777" w:rsidR="00677523" w:rsidRDefault="00677523" w:rsidP="00677523">
            <w:pPr>
              <w:jc w:val="center"/>
            </w:pPr>
            <w:r>
              <w:t>Debtor Day</w:t>
            </w:r>
          </w:p>
        </w:tc>
        <w:tc>
          <w:tcPr>
            <w:cnfStyle w:val="000010000000" w:firstRow="0" w:lastRow="0" w:firstColumn="0" w:lastColumn="0" w:oddVBand="1" w:evenVBand="0" w:oddHBand="0" w:evenHBand="0" w:firstRowFirstColumn="0" w:firstRowLastColumn="0" w:lastRowFirstColumn="0" w:lastRowLastColumn="0"/>
            <w:tcW w:w="1348" w:type="dxa"/>
          </w:tcPr>
          <w:p w14:paraId="26F8C9C1" w14:textId="77777777" w:rsidR="00677523" w:rsidRDefault="00677523" w:rsidP="00677523">
            <w:pPr>
              <w:jc w:val="center"/>
            </w:pPr>
            <w:r>
              <w:t>52.2068</w:t>
            </w:r>
          </w:p>
        </w:tc>
        <w:tc>
          <w:tcPr>
            <w:tcW w:w="1350" w:type="dxa"/>
          </w:tcPr>
          <w:p w14:paraId="3160A68A" w14:textId="77777777" w:rsidR="00677523" w:rsidRDefault="00677523" w:rsidP="00677523">
            <w:pPr>
              <w:jc w:val="center"/>
              <w:cnfStyle w:val="000000100000" w:firstRow="0" w:lastRow="0" w:firstColumn="0" w:lastColumn="0" w:oddVBand="0" w:evenVBand="0" w:oddHBand="1" w:evenHBand="0" w:firstRowFirstColumn="0" w:firstRowLastColumn="0" w:lastRowFirstColumn="0" w:lastRowLastColumn="0"/>
            </w:pPr>
            <w:r>
              <w:t>61.0463</w:t>
            </w:r>
          </w:p>
        </w:tc>
        <w:tc>
          <w:tcPr>
            <w:cnfStyle w:val="000100000000" w:firstRow="0" w:lastRow="0" w:firstColumn="0" w:lastColumn="1" w:oddVBand="0" w:evenVBand="0" w:oddHBand="0" w:evenHBand="0" w:firstRowFirstColumn="0" w:firstRowLastColumn="0" w:lastRowFirstColumn="0" w:lastRowLastColumn="0"/>
            <w:tcW w:w="1454" w:type="dxa"/>
          </w:tcPr>
          <w:p w14:paraId="63E1C32A" w14:textId="77777777" w:rsidR="00677523" w:rsidRDefault="00017149" w:rsidP="00677523">
            <w:pPr>
              <w:jc w:val="center"/>
            </w:pPr>
            <w:r>
              <w:t>-8.8</w:t>
            </w:r>
          </w:p>
        </w:tc>
      </w:tr>
      <w:tr w:rsidR="00677523" w14:paraId="05294E93" w14:textId="77777777" w:rsidTr="00C25E32">
        <w:trPr>
          <w:trHeight w:val="271"/>
        </w:trPr>
        <w:tc>
          <w:tcPr>
            <w:cnfStyle w:val="001000000000" w:firstRow="0" w:lastRow="0" w:firstColumn="1" w:lastColumn="0" w:oddVBand="0" w:evenVBand="0" w:oddHBand="0" w:evenHBand="0" w:firstRowFirstColumn="0" w:firstRowLastColumn="0" w:lastRowFirstColumn="0" w:lastRowLastColumn="0"/>
            <w:tcW w:w="8982" w:type="dxa"/>
            <w:gridSpan w:val="4"/>
          </w:tcPr>
          <w:p w14:paraId="5FDB8FD2" w14:textId="77777777" w:rsidR="00677523" w:rsidRPr="00C25E32" w:rsidRDefault="00677523" w:rsidP="00677523">
            <w:pPr>
              <w:jc w:val="center"/>
            </w:pPr>
            <w:r w:rsidRPr="00C25E32">
              <w:t>Gearing Ratios</w:t>
            </w:r>
          </w:p>
        </w:tc>
      </w:tr>
      <w:tr w:rsidR="00677523" w14:paraId="73181EC4" w14:textId="77777777" w:rsidTr="00C25E32">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4830" w:type="dxa"/>
          </w:tcPr>
          <w:p w14:paraId="1CB8045E" w14:textId="77777777" w:rsidR="00677523" w:rsidRDefault="00677523" w:rsidP="00677523">
            <w:pPr>
              <w:jc w:val="center"/>
            </w:pPr>
            <w:r>
              <w:t>Debt</w:t>
            </w:r>
            <w:r w:rsidRPr="00677523">
              <w:t xml:space="preserve"> </w:t>
            </w:r>
            <w:r>
              <w:t>to</w:t>
            </w:r>
            <w:r w:rsidRPr="00677523">
              <w:t xml:space="preserve"> </w:t>
            </w:r>
            <w:r>
              <w:t>equity</w:t>
            </w:r>
            <w:r w:rsidRPr="00677523">
              <w:t xml:space="preserve"> </w:t>
            </w:r>
            <w:r>
              <w:t>Ratio</w:t>
            </w:r>
          </w:p>
        </w:tc>
        <w:tc>
          <w:tcPr>
            <w:cnfStyle w:val="000010000000" w:firstRow="0" w:lastRow="0" w:firstColumn="0" w:lastColumn="0" w:oddVBand="1" w:evenVBand="0" w:oddHBand="0" w:evenHBand="0" w:firstRowFirstColumn="0" w:firstRowLastColumn="0" w:lastRowFirstColumn="0" w:lastRowLastColumn="0"/>
            <w:tcW w:w="1348" w:type="dxa"/>
          </w:tcPr>
          <w:p w14:paraId="5A8C4F02" w14:textId="77777777" w:rsidR="00677523" w:rsidRDefault="00677523" w:rsidP="00677523">
            <w:pPr>
              <w:jc w:val="center"/>
            </w:pPr>
            <w:r>
              <w:t>7.1697</w:t>
            </w:r>
          </w:p>
        </w:tc>
        <w:tc>
          <w:tcPr>
            <w:tcW w:w="1350" w:type="dxa"/>
          </w:tcPr>
          <w:p w14:paraId="53BFD6CB" w14:textId="77777777" w:rsidR="00677523" w:rsidRDefault="00677523" w:rsidP="00677523">
            <w:pPr>
              <w:jc w:val="center"/>
              <w:cnfStyle w:val="000000100000" w:firstRow="0" w:lastRow="0" w:firstColumn="0" w:lastColumn="0" w:oddVBand="0" w:evenVBand="0" w:oddHBand="1" w:evenHBand="0" w:firstRowFirstColumn="0" w:firstRowLastColumn="0" w:lastRowFirstColumn="0" w:lastRowLastColumn="0"/>
            </w:pPr>
            <w:r>
              <w:t>24.1302</w:t>
            </w:r>
          </w:p>
        </w:tc>
        <w:tc>
          <w:tcPr>
            <w:cnfStyle w:val="000100000000" w:firstRow="0" w:lastRow="0" w:firstColumn="0" w:lastColumn="1" w:oddVBand="0" w:evenVBand="0" w:oddHBand="0" w:evenHBand="0" w:firstRowFirstColumn="0" w:firstRowLastColumn="0" w:lastRowFirstColumn="0" w:lastRowLastColumn="0"/>
            <w:tcW w:w="1454" w:type="dxa"/>
          </w:tcPr>
          <w:p w14:paraId="01A00623" w14:textId="77777777" w:rsidR="00677523" w:rsidRDefault="00017149" w:rsidP="00677523">
            <w:pPr>
              <w:jc w:val="center"/>
            </w:pPr>
            <w:r>
              <w:t>-16.96</w:t>
            </w:r>
          </w:p>
        </w:tc>
      </w:tr>
      <w:tr w:rsidR="00677523" w14:paraId="0287C078" w14:textId="77777777" w:rsidTr="00C25E32">
        <w:trPr>
          <w:cnfStyle w:val="010000000000" w:firstRow="0" w:lastRow="1" w:firstColumn="0" w:lastColumn="0" w:oddVBand="0" w:evenVBand="0" w:oddHBand="0"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4830" w:type="dxa"/>
          </w:tcPr>
          <w:p w14:paraId="7F612BED" w14:textId="77777777" w:rsidR="00677523" w:rsidRDefault="00677523" w:rsidP="00677523">
            <w:pPr>
              <w:jc w:val="center"/>
            </w:pPr>
            <w:r>
              <w:t>Debt / Capital</w:t>
            </w:r>
            <w:r w:rsidRPr="00677523">
              <w:t xml:space="preserve"> </w:t>
            </w:r>
            <w:r>
              <w:t>Ratio</w:t>
            </w:r>
          </w:p>
        </w:tc>
        <w:tc>
          <w:tcPr>
            <w:cnfStyle w:val="000010000000" w:firstRow="0" w:lastRow="0" w:firstColumn="0" w:lastColumn="0" w:oddVBand="1" w:evenVBand="0" w:oddHBand="0" w:evenHBand="0" w:firstRowFirstColumn="0" w:firstRowLastColumn="0" w:lastRowFirstColumn="0" w:lastRowLastColumn="0"/>
            <w:tcW w:w="1348" w:type="dxa"/>
          </w:tcPr>
          <w:p w14:paraId="4DDF300A" w14:textId="77777777" w:rsidR="00677523" w:rsidRDefault="00677523" w:rsidP="00677523">
            <w:pPr>
              <w:jc w:val="center"/>
            </w:pPr>
            <w:r>
              <w:t>0.8684</w:t>
            </w:r>
          </w:p>
        </w:tc>
        <w:tc>
          <w:tcPr>
            <w:tcW w:w="1350" w:type="dxa"/>
          </w:tcPr>
          <w:p w14:paraId="0642BCBD" w14:textId="77777777" w:rsidR="00677523" w:rsidRDefault="00677523" w:rsidP="00677523">
            <w:pPr>
              <w:jc w:val="center"/>
              <w:cnfStyle w:val="010000000000" w:firstRow="0" w:lastRow="1" w:firstColumn="0" w:lastColumn="0" w:oddVBand="0" w:evenVBand="0" w:oddHBand="0" w:evenHBand="0" w:firstRowFirstColumn="0" w:firstRowLastColumn="0" w:lastRowFirstColumn="0" w:lastRowLastColumn="0"/>
            </w:pPr>
            <w:r>
              <w:t>0.9554</w:t>
            </w:r>
          </w:p>
        </w:tc>
        <w:tc>
          <w:tcPr>
            <w:cnfStyle w:val="000100000000" w:firstRow="0" w:lastRow="0" w:firstColumn="0" w:lastColumn="1" w:oddVBand="0" w:evenVBand="0" w:oddHBand="0" w:evenHBand="0" w:firstRowFirstColumn="0" w:firstRowLastColumn="0" w:lastRowFirstColumn="0" w:lastRowLastColumn="0"/>
            <w:tcW w:w="1454" w:type="dxa"/>
          </w:tcPr>
          <w:p w14:paraId="494F4E9D" w14:textId="77777777" w:rsidR="00677523" w:rsidRDefault="00017149" w:rsidP="00677523">
            <w:pPr>
              <w:jc w:val="center"/>
            </w:pPr>
            <w:r>
              <w:t>-0.0870</w:t>
            </w:r>
          </w:p>
        </w:tc>
      </w:tr>
    </w:tbl>
    <w:p w14:paraId="2CEF707F" w14:textId="77777777" w:rsidR="00677523" w:rsidRDefault="00677523" w:rsidP="00677523"/>
    <w:p w14:paraId="78BB74C1" w14:textId="77777777" w:rsidR="00C25E32" w:rsidRDefault="00C25E32" w:rsidP="00677523"/>
    <w:p w14:paraId="4A7AFEEF" w14:textId="77777777" w:rsidR="00017149" w:rsidRPr="00C25E32" w:rsidRDefault="00017149" w:rsidP="00677523">
      <w:pPr>
        <w:rPr>
          <w:b/>
        </w:rPr>
      </w:pPr>
      <w:r w:rsidRPr="00C25E32">
        <w:rPr>
          <w:b/>
        </w:rPr>
        <w:lastRenderedPageBreak/>
        <w:t>Profitability Ratio</w:t>
      </w:r>
    </w:p>
    <w:p w14:paraId="6B92E32C" w14:textId="77777777" w:rsidR="00146F1B" w:rsidRDefault="00017149" w:rsidP="00146F1B">
      <w:r w:rsidRPr="00017149">
        <w:t>The ratio of a company's earnings to its expenses is what profitability ratios measure. The profitability ratios are on the rise, which is a sign of improving financial health</w:t>
      </w:r>
      <w:r w:rsidR="00146F1B">
        <w:t xml:space="preserve"> (</w:t>
      </w:r>
      <w:proofErr w:type="spellStart"/>
      <w:r w:rsidR="00146F1B">
        <w:t>Kalkavan</w:t>
      </w:r>
      <w:proofErr w:type="spellEnd"/>
      <w:r w:rsidR="00146F1B">
        <w:rPr>
          <w:spacing w:val="3"/>
        </w:rPr>
        <w:t xml:space="preserve"> </w:t>
      </w:r>
      <w:r w:rsidR="00146F1B">
        <w:t>and</w:t>
      </w:r>
      <w:r w:rsidR="00146F1B">
        <w:rPr>
          <w:spacing w:val="-1"/>
        </w:rPr>
        <w:t xml:space="preserve"> </w:t>
      </w:r>
      <w:proofErr w:type="spellStart"/>
      <w:r w:rsidR="00146F1B">
        <w:t>Ersin</w:t>
      </w:r>
      <w:proofErr w:type="spellEnd"/>
      <w:r w:rsidR="00146F1B">
        <w:t>, 2019)</w:t>
      </w:r>
      <w:r w:rsidRPr="00017149">
        <w:t>. Compare the profitability ratio of one company to that of a comparable company in order to assess the competitiveness of a certain business.</w:t>
      </w:r>
      <w:r>
        <w:t xml:space="preserve"> </w:t>
      </w:r>
      <w:r w:rsidR="00146F1B">
        <w:t>Based on the findings of the investigation, it is clear that the performance of the company in 2021, in terms of its capacity to turn a profit, has improved. The company's profitability statistics are all pointing in the right direction, indicating that the company is doing well. For instance, the gross profit margin has improved by 6.41%, the net profit margin has increased by 5.4%, the return on investment has increased by 7.45%, and the operating margin has increased by 11.83%</w:t>
      </w:r>
      <w:r w:rsidR="009512BD">
        <w:t xml:space="preserve"> </w:t>
      </w:r>
      <w:r w:rsidR="009512BD" w:rsidRPr="009512BD">
        <w:t>(Macrotrends, 2022)</w:t>
      </w:r>
      <w:r w:rsidR="00146F1B">
        <w:t>. This is excellent news for the company because it clearly demonstrates that the company's capacity to make a profit has significantly increased.</w:t>
      </w:r>
    </w:p>
    <w:p w14:paraId="7D2212B4" w14:textId="77777777" w:rsidR="00BB2EDC" w:rsidRDefault="00BB2EDC" w:rsidP="00C25E32">
      <w:pPr>
        <w:jc w:val="center"/>
      </w:pPr>
      <w:r>
        <w:rPr>
          <w:noProof/>
          <w:lang w:eastAsia="en-GB"/>
        </w:rPr>
        <w:drawing>
          <wp:inline distT="0" distB="0" distL="0" distR="0" wp14:anchorId="3A02B35B" wp14:editId="14A77EBB">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F34902F" w14:textId="77777777" w:rsidR="005864DA" w:rsidRDefault="005864DA" w:rsidP="00C25E32">
      <w:pPr>
        <w:jc w:val="center"/>
      </w:pPr>
      <w:r>
        <w:t xml:space="preserve">Source: </w:t>
      </w:r>
      <w:r w:rsidRPr="005864DA">
        <w:t>(Macrotrends, 2022)</w:t>
      </w:r>
    </w:p>
    <w:p w14:paraId="3E8C1A3D" w14:textId="77777777" w:rsidR="00677523" w:rsidRDefault="00146F1B" w:rsidP="00146F1B">
      <w:r>
        <w:t>The growing yield on assets provided evidence that the company's total income margins as well as its original investment yield were satisfactory. Due to the expanding nature of Marriott International, it is possible that in 2021 the company may spend less on operations and finance. It is an indication of good workplace property and operating resource management if there is a high property turnover rate and a volatile cash flow. The increase in revenue is generally quite slight. The decrease in operational expenditures contributed to the decline in revenue.</w:t>
      </w:r>
    </w:p>
    <w:p w14:paraId="1FD774B9" w14:textId="77777777" w:rsidR="00C25E32" w:rsidRDefault="00C25E32" w:rsidP="00146F1B"/>
    <w:p w14:paraId="27A59987" w14:textId="77777777" w:rsidR="00146F1B" w:rsidRPr="00C25E32" w:rsidRDefault="00146F1B" w:rsidP="00146F1B">
      <w:pPr>
        <w:rPr>
          <w:b/>
        </w:rPr>
      </w:pPr>
      <w:r w:rsidRPr="00C25E32">
        <w:rPr>
          <w:b/>
        </w:rPr>
        <w:lastRenderedPageBreak/>
        <w:t xml:space="preserve">Liquidity Ratio </w:t>
      </w:r>
    </w:p>
    <w:p w14:paraId="16FF8BFD" w14:textId="77777777" w:rsidR="00146F1B" w:rsidRDefault="00146F1B" w:rsidP="00146F1B">
      <w:r w:rsidRPr="00146F1B">
        <w:t>The liquidity ratio of a corporation illustrates how easily it can meet its obligations using the assets it now possesses</w:t>
      </w:r>
      <w:r>
        <w:t xml:space="preserve"> </w:t>
      </w:r>
      <w:proofErr w:type="spellStart"/>
      <w:r w:rsidRPr="00146F1B">
        <w:t>Khemakhem</w:t>
      </w:r>
      <w:proofErr w:type="spellEnd"/>
      <w:r w:rsidRPr="00146F1B">
        <w:t xml:space="preserve"> and </w:t>
      </w:r>
      <w:proofErr w:type="spellStart"/>
      <w:r w:rsidRPr="00146F1B">
        <w:t>Boujelbene</w:t>
      </w:r>
      <w:proofErr w:type="spellEnd"/>
      <w:r w:rsidRPr="00146F1B">
        <w:t>, 2018). A company that is having financial difficulties may decide to liquidate some of its assets to pay off some of its obligations.</w:t>
      </w:r>
      <w:r>
        <w:t xml:space="preserve"> </w:t>
      </w:r>
      <w:r w:rsidRPr="00146F1B">
        <w:t xml:space="preserve">The company's capacity to fulfil its existing commitments has not significantly improved during the past few years. The current ratio of the company has only increased by 0.074, but the ability to recover money from creditors has increased by 8.8 days, which is detrimental to the company's financial health. </w:t>
      </w:r>
    </w:p>
    <w:p w14:paraId="64AA285F" w14:textId="77777777" w:rsidR="00BB2EDC" w:rsidRDefault="00BB2EDC" w:rsidP="00C25E32">
      <w:pPr>
        <w:jc w:val="center"/>
      </w:pPr>
      <w:r>
        <w:rPr>
          <w:noProof/>
          <w:lang w:eastAsia="en-GB"/>
        </w:rPr>
        <w:drawing>
          <wp:inline distT="0" distB="0" distL="0" distR="0" wp14:anchorId="78B58926" wp14:editId="675B6000">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EDBBEF1" w14:textId="77777777" w:rsidR="00C25E32" w:rsidRDefault="00C25E32" w:rsidP="00C25E32">
      <w:pPr>
        <w:jc w:val="center"/>
      </w:pPr>
      <w:r>
        <w:t xml:space="preserve">Source: </w:t>
      </w:r>
      <w:r w:rsidRPr="005864DA">
        <w:t>(Macrotrends, 2022)</w:t>
      </w:r>
    </w:p>
    <w:p w14:paraId="7F391C1B" w14:textId="77777777" w:rsidR="00146F1B" w:rsidRDefault="00146F1B" w:rsidP="00146F1B">
      <w:r w:rsidRPr="00146F1B">
        <w:t>The ratio of total assets to present liabilities falls as a result of the small improvement in liquidity. When the term for collecting from creditors is shorter, the amount of money collected from creditors increases, and when the term for collecting from debtors is longer, the amount collected from debtors increases</w:t>
      </w:r>
      <w:r w:rsidR="009512BD">
        <w:t xml:space="preserve"> </w:t>
      </w:r>
      <w:r w:rsidR="009512BD" w:rsidRPr="009512BD">
        <w:t>(</w:t>
      </w:r>
      <w:proofErr w:type="spellStart"/>
      <w:r w:rsidR="009512BD" w:rsidRPr="009512BD">
        <w:t>Nikbakht</w:t>
      </w:r>
      <w:proofErr w:type="spellEnd"/>
      <w:r w:rsidR="009512BD" w:rsidRPr="009512BD">
        <w:t xml:space="preserve"> and </w:t>
      </w:r>
      <w:proofErr w:type="spellStart"/>
      <w:r w:rsidR="009512BD" w:rsidRPr="009512BD">
        <w:t>Groppelli</w:t>
      </w:r>
      <w:proofErr w:type="spellEnd"/>
      <w:r w:rsidR="009512BD" w:rsidRPr="009512BD">
        <w:t>, 2018)</w:t>
      </w:r>
      <w:r w:rsidRPr="00146F1B">
        <w:t>. The amount of money collected and returned by Marriott International is satisfactory. On the other hand, inefficiencies in cash management are getting worse. The administration of long-term receivabl</w:t>
      </w:r>
      <w:r>
        <w:t>es and payments works out well</w:t>
      </w:r>
      <w:r w:rsidRPr="00146F1B">
        <w:t>.</w:t>
      </w:r>
    </w:p>
    <w:p w14:paraId="4CF8420D" w14:textId="77777777" w:rsidR="00146F1B" w:rsidRPr="00C25E32" w:rsidRDefault="00146F1B" w:rsidP="00146F1B">
      <w:pPr>
        <w:rPr>
          <w:b/>
        </w:rPr>
      </w:pPr>
      <w:r w:rsidRPr="00C25E32">
        <w:rPr>
          <w:b/>
        </w:rPr>
        <w:t xml:space="preserve">Gearing Ratio </w:t>
      </w:r>
    </w:p>
    <w:p w14:paraId="6B0ACB81" w14:textId="77777777" w:rsidR="00146F1B" w:rsidRDefault="00146F1B" w:rsidP="00146F1B">
      <w:r w:rsidRPr="00146F1B">
        <w:t xml:space="preserve">The ability of a corporation to pay its debts is measured using coverage ratios. When trying to forecast the company's future financial state, analysts might make use of coverage ratios derived from </w:t>
      </w:r>
      <w:r w:rsidR="00C25E32">
        <w:t>several</w:t>
      </w:r>
      <w:r w:rsidRPr="00146F1B">
        <w:t xml:space="preserve"> different reporting periods. A greater coverage ratio makes it easier for a corporation </w:t>
      </w:r>
      <w:r w:rsidRPr="00146F1B">
        <w:lastRenderedPageBreak/>
        <w:t>to meet its obligations.</w:t>
      </w:r>
      <w:r>
        <w:t xml:space="preserve"> There was a reduction of 16.96% in the hotel's debt</w:t>
      </w:r>
      <w:r w:rsidR="00C25E32">
        <w:t>-to-</w:t>
      </w:r>
      <w:r>
        <w:t>equity ratio, while there was a reduction of 0.087% in the hotel's debt</w:t>
      </w:r>
      <w:r w:rsidR="00C25E32">
        <w:t>-to-</w:t>
      </w:r>
      <w:r>
        <w:t>capital ratio. This is not good news for the company in any way.</w:t>
      </w:r>
    </w:p>
    <w:p w14:paraId="182E0B74" w14:textId="77777777" w:rsidR="00BB2EDC" w:rsidRDefault="00BB2EDC" w:rsidP="00C25E32">
      <w:pPr>
        <w:jc w:val="center"/>
      </w:pPr>
      <w:r>
        <w:rPr>
          <w:noProof/>
          <w:lang w:eastAsia="en-GB"/>
        </w:rPr>
        <w:drawing>
          <wp:inline distT="0" distB="0" distL="0" distR="0" wp14:anchorId="377EE11A" wp14:editId="198E7B03">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97A10B9" w14:textId="77777777" w:rsidR="00C25E32" w:rsidRDefault="00C25E32" w:rsidP="00C25E32">
      <w:pPr>
        <w:jc w:val="center"/>
      </w:pPr>
      <w:r>
        <w:t xml:space="preserve">Source: </w:t>
      </w:r>
      <w:r w:rsidRPr="005864DA">
        <w:t>(Macrotrends, 2022)</w:t>
      </w:r>
    </w:p>
    <w:p w14:paraId="1AE049CC" w14:textId="77777777" w:rsidR="00146F1B" w:rsidRDefault="00146F1B" w:rsidP="00146F1B">
      <w:r>
        <w:t>The increasing level of debt at Marriott International is a direct result of the debt-intensive approach employed by the financial administration department. It seems to indicate that the corporation would borrow money in 2020 rather than in 2019. The payment coverage ratios of Marriott International improved dramatically in 2020, serving as evidence of the company's effective management of its debt and the money it generated from loan payments.</w:t>
      </w:r>
    </w:p>
    <w:p w14:paraId="297BE09E" w14:textId="77777777" w:rsidR="00C25E32" w:rsidRDefault="00C25E32" w:rsidP="00146F1B"/>
    <w:p w14:paraId="1064C825" w14:textId="77777777" w:rsidR="00C25E32" w:rsidRDefault="00C25E32" w:rsidP="00146F1B"/>
    <w:p w14:paraId="055EF682" w14:textId="77777777" w:rsidR="00C25E32" w:rsidRDefault="00C25E32" w:rsidP="00146F1B"/>
    <w:p w14:paraId="27237C25" w14:textId="77777777" w:rsidR="00C25E32" w:rsidRDefault="00C25E32" w:rsidP="00146F1B"/>
    <w:p w14:paraId="175E63A5" w14:textId="77777777" w:rsidR="00C25E32" w:rsidRDefault="00C25E32" w:rsidP="00146F1B"/>
    <w:p w14:paraId="1B21805E" w14:textId="77777777" w:rsidR="00C25E32" w:rsidRDefault="00C25E32" w:rsidP="00146F1B"/>
    <w:p w14:paraId="6F465E4D" w14:textId="77777777" w:rsidR="00C25E32" w:rsidRDefault="00C25E32" w:rsidP="00146F1B"/>
    <w:p w14:paraId="799CAD1A" w14:textId="77777777" w:rsidR="00C25E32" w:rsidRDefault="00C25E32" w:rsidP="00146F1B"/>
    <w:p w14:paraId="0AA9A57A" w14:textId="77777777" w:rsidR="00C25E32" w:rsidRDefault="00C25E32" w:rsidP="00146F1B"/>
    <w:p w14:paraId="293DE382" w14:textId="77777777" w:rsidR="00C25E32" w:rsidRDefault="00C25E32" w:rsidP="00146F1B"/>
    <w:p w14:paraId="464DAFD1" w14:textId="77777777" w:rsidR="00C25E32" w:rsidRDefault="00C25E32" w:rsidP="00146F1B"/>
    <w:p w14:paraId="2D5ECA9B" w14:textId="77777777" w:rsidR="00BB2EDC" w:rsidRDefault="00BB2EDC" w:rsidP="00C25E32">
      <w:pPr>
        <w:pStyle w:val="Heading1"/>
      </w:pPr>
      <w:bookmarkStart w:id="2" w:name="_Toc121238815"/>
      <w:r>
        <w:lastRenderedPageBreak/>
        <w:t>b) Limitations of ratio analysis and its importance for hotel management</w:t>
      </w:r>
      <w:bookmarkEnd w:id="2"/>
    </w:p>
    <w:p w14:paraId="288F6271" w14:textId="77777777" w:rsidR="00BB2EDC" w:rsidRDefault="00BB2EDC" w:rsidP="00C25E32">
      <w:pPr>
        <w:pStyle w:val="Heading2"/>
      </w:pPr>
      <w:bookmarkStart w:id="3" w:name="_Toc121238816"/>
      <w:r>
        <w:t>Limitations</w:t>
      </w:r>
      <w:bookmarkEnd w:id="3"/>
      <w:r>
        <w:t xml:space="preserve"> </w:t>
      </w:r>
    </w:p>
    <w:p w14:paraId="1FC0637E" w14:textId="77777777" w:rsidR="00BB2EDC" w:rsidRDefault="00BB2EDC" w:rsidP="00BB2EDC">
      <w:r>
        <w:t>The descriptive nature of accounting ratios places constraints on statistical analysis. Nevertheless, the outcome of the proportion may be affected by significant quantitative parameters. If the majority of a company's assets are dated, having a high current proportion might not suggest that the company is in good condition</w:t>
      </w:r>
      <w:r w:rsidR="009512BD">
        <w:t xml:space="preserve"> </w:t>
      </w:r>
      <w:r w:rsidR="009512BD" w:rsidRPr="009512BD">
        <w:t>(Northington, 2011)</w:t>
      </w:r>
      <w:r>
        <w:t>. Other accounting ratio constraints include firm seasonality, front-dressed behaviour, market valuations of items and properties, and more. The accounting ratios are constrained by the income report.</w:t>
      </w:r>
    </w:p>
    <w:p w14:paraId="32B59577" w14:textId="77777777" w:rsidR="00BB2EDC" w:rsidRDefault="00BB2EDC" w:rsidP="00BB2EDC">
      <w:r>
        <w:t xml:space="preserve">Financial comprehension is constrained as a result of the violation of accounting norms and ethical standards. As a result, the generation of reports is restricted. Therefore, limits imposed by accounting </w:t>
      </w:r>
      <w:r w:rsidR="00C25E32">
        <w:t>affect</w:t>
      </w:r>
      <w:r>
        <w:t xml:space="preserve"> bookkeeping ratios (</w:t>
      </w:r>
      <w:proofErr w:type="spellStart"/>
      <w:r>
        <w:t>Tumataroa</w:t>
      </w:r>
      <w:proofErr w:type="spellEnd"/>
      <w:r>
        <w:t xml:space="preserve"> and O'Hare, 2019). Accounting standards include a variety of plans and strategies, such as an amortisation plan and a stock measurement strategy. Procedures inside organisations might vary greatly, making it challenging or even impossible to compare and assess them. Economic insight is developed through the accumulation of prior information. As a result, proportions were consistent with historical norms. The evaluation of proportions is not reliable from a p</w:t>
      </w:r>
      <w:r w:rsidR="00C25E32">
        <w:t>er</w:t>
      </w:r>
      <w:r>
        <w:t>spective standpoint.</w:t>
      </w:r>
    </w:p>
    <w:p w14:paraId="7B33D503" w14:textId="77777777" w:rsidR="00BB2EDC" w:rsidRDefault="00BB2EDC" w:rsidP="00C25E32">
      <w:pPr>
        <w:pStyle w:val="Heading2"/>
      </w:pPr>
      <w:bookmarkStart w:id="4" w:name="_Toc121238817"/>
      <w:r>
        <w:t>Importance for hotel management</w:t>
      </w:r>
      <w:bookmarkEnd w:id="4"/>
    </w:p>
    <w:p w14:paraId="0E7FCBAE" w14:textId="77777777" w:rsidR="00BB2EDC" w:rsidRDefault="00BB2EDC" w:rsidP="00BB2EDC">
      <w:r>
        <w:t xml:space="preserve">Financial statements for hospitality businesses demand </w:t>
      </w:r>
      <w:r w:rsidR="00C25E32">
        <w:t xml:space="preserve">an </w:t>
      </w:r>
      <w:r>
        <w:t xml:space="preserve">understanding of profitability statements and the variance in those figures. This section examines several financial data and measures </w:t>
      </w:r>
      <w:r w:rsidR="00C25E32">
        <w:t>of</w:t>
      </w:r>
      <w:r>
        <w:t xml:space="preserve"> profitability, including the following:</w:t>
      </w:r>
    </w:p>
    <w:p w14:paraId="57B581CA" w14:textId="77777777" w:rsidR="00BB2EDC" w:rsidRDefault="00BB2EDC" w:rsidP="00BB2EDC">
      <w:r w:rsidRPr="00AE6F8A">
        <w:rPr>
          <w:b/>
        </w:rPr>
        <w:t xml:space="preserve">Organizing and prioritising tasks: </w:t>
      </w:r>
      <w:r>
        <w:t>The financial results of hospitality administration are improving. Marriott International assists businesses in developing strategic strategies for their operations and economies. The present state of the economy enables statistical projections of future price accounting, cash requirements, and the likelihood of bankruptcy. Marriott International needs liquidity</w:t>
      </w:r>
      <w:r w:rsidR="009512BD">
        <w:t xml:space="preserve"> ratios for all financial data </w:t>
      </w:r>
      <w:r>
        <w:t>(Liu, Liu and Chen, 2017).</w:t>
      </w:r>
    </w:p>
    <w:p w14:paraId="69410955" w14:textId="77777777" w:rsidR="00BB2EDC" w:rsidRDefault="00BB2EDC" w:rsidP="00BB2EDC">
      <w:r w:rsidRPr="00AE6F8A">
        <w:rPr>
          <w:b/>
        </w:rPr>
        <w:t>Financial stability in the long term:</w:t>
      </w:r>
      <w:r>
        <w:t xml:space="preserve"> The knowledge of long-term responsibilities and the impact they have is increased through the use of an income report. If Marriott International </w:t>
      </w:r>
      <w:r w:rsidR="00C25E32">
        <w:t>can</w:t>
      </w:r>
      <w:r>
        <w:t xml:space="preserve"> meet its long-term commitments on time, the hospitality management company will have a stronger lending capacity and be in a better position financially</w:t>
      </w:r>
      <w:r w:rsidR="009512BD">
        <w:t xml:space="preserve"> </w:t>
      </w:r>
      <w:r w:rsidR="009512BD" w:rsidRPr="009512BD">
        <w:t>(</w:t>
      </w:r>
      <w:proofErr w:type="spellStart"/>
      <w:r w:rsidR="009512BD" w:rsidRPr="009512BD">
        <w:t>Nikbakht</w:t>
      </w:r>
      <w:proofErr w:type="spellEnd"/>
      <w:r w:rsidR="009512BD" w:rsidRPr="009512BD">
        <w:t xml:space="preserve"> and </w:t>
      </w:r>
      <w:proofErr w:type="spellStart"/>
      <w:r w:rsidR="009512BD" w:rsidRPr="009512BD">
        <w:t>Groppelli</w:t>
      </w:r>
      <w:proofErr w:type="spellEnd"/>
      <w:r w:rsidR="009512BD" w:rsidRPr="009512BD">
        <w:t>, 2018)</w:t>
      </w:r>
      <w:r>
        <w:t xml:space="preserve">. Accounting </w:t>
      </w:r>
      <w:r>
        <w:lastRenderedPageBreak/>
        <w:t>professionals and shareholders can evaluate the hospitality company's potential for long-term profitability by becoming familiar with ratios and making quantitative statements.</w:t>
      </w:r>
    </w:p>
    <w:p w14:paraId="7F0FF1BE" w14:textId="77777777" w:rsidR="00BB2EDC" w:rsidRDefault="00AE6F8A" w:rsidP="00BB2EDC">
      <w:r w:rsidRPr="00AE6F8A">
        <w:rPr>
          <w:b/>
        </w:rPr>
        <w:t>Viability determination:</w:t>
      </w:r>
      <w:r>
        <w:t xml:space="preserve"> </w:t>
      </w:r>
      <w:r w:rsidR="00BB2EDC">
        <w:t>Viability is determined by Marriott International's financial accounts, which quantify profitability</w:t>
      </w:r>
      <w:r w:rsidR="009512BD">
        <w:t xml:space="preserve"> </w:t>
      </w:r>
      <w:r w:rsidR="009512BD" w:rsidRPr="009512BD">
        <w:t>(Brealey, Myers and Marcus, 2019)</w:t>
      </w:r>
      <w:r w:rsidR="00BB2EDC">
        <w:t xml:space="preserve">. The ability of a corporation to generate money can be determined by analysing several different characteristics that indicate income. The ability of the corporation to make </w:t>
      </w:r>
      <w:r w:rsidR="009512BD">
        <w:t>pay-outs</w:t>
      </w:r>
      <w:r w:rsidR="00BB2EDC">
        <w:t xml:space="preserve"> and repay its debt can be inferred from its profits per share and its debt coverage ratio. Therefore, the weighting of percentages is important.</w:t>
      </w:r>
    </w:p>
    <w:p w14:paraId="21BA0D7F" w14:textId="77777777" w:rsidR="00BB2EDC" w:rsidRDefault="00BB2EDC" w:rsidP="00BB2EDC">
      <w:r w:rsidRPr="00AE6F8A">
        <w:rPr>
          <w:b/>
        </w:rPr>
        <w:t>Efficient business operations:</w:t>
      </w:r>
      <w:r>
        <w:t xml:space="preserve"> The annual accounts need to be evaluated, in particular by proportion, to provide an accurate picture of the company's efficient business operations and the </w:t>
      </w:r>
      <w:r w:rsidR="00C25E32">
        <w:t>number</w:t>
      </w:r>
      <w:r>
        <w:t xml:space="preserve"> of commodities it uses. The operational percentage is the proportion of available working capital. Comparative evaluation is essential.</w:t>
      </w:r>
    </w:p>
    <w:p w14:paraId="79A48432" w14:textId="77777777" w:rsidR="00BB2EDC" w:rsidRDefault="00BB2EDC" w:rsidP="00BB2EDC">
      <w:r w:rsidRPr="00AE6F8A">
        <w:rPr>
          <w:b/>
        </w:rPr>
        <w:t>Cost management:</w:t>
      </w:r>
      <w:r>
        <w:t xml:space="preserve"> The diverse price structures and spending types can be clarified by comparing ratios from a variety of hospitality organisations and periods. The concealed arrangement price is compared to other prices and evaluated proportionally in this financial report. Therefore, if the data on profitability ratios </w:t>
      </w:r>
      <w:r w:rsidR="00C25E32">
        <w:t>are</w:t>
      </w:r>
      <w:r>
        <w:t xml:space="preserve"> used in decision-making, it is simple to regulate and manage expenses and expenditures that are comparable (</w:t>
      </w:r>
      <w:proofErr w:type="spellStart"/>
      <w:r>
        <w:t>Nindito</w:t>
      </w:r>
      <w:proofErr w:type="spellEnd"/>
      <w:r>
        <w:t>, 2018).</w:t>
      </w:r>
    </w:p>
    <w:p w14:paraId="377061CF" w14:textId="77777777" w:rsidR="00BB2EDC" w:rsidRDefault="00BB2EDC" w:rsidP="00BB2EDC">
      <w:r w:rsidRPr="00AE6F8A">
        <w:rPr>
          <w:b/>
        </w:rPr>
        <w:t xml:space="preserve">Liquidity: </w:t>
      </w:r>
      <w:r>
        <w:t xml:space="preserve">The state of a </w:t>
      </w:r>
      <w:r w:rsidR="00AE6F8A">
        <w:t>hotel</w:t>
      </w:r>
      <w:r w:rsidR="00C25E32">
        <w:t>'s</w:t>
      </w:r>
      <w:r w:rsidR="00AE6F8A">
        <w:t xml:space="preserve"> </w:t>
      </w:r>
      <w:r>
        <w:t xml:space="preserve">finances determines whether or not it can meet its short-term obligations. If a company's liquid assets are more than its accessible liabilities, the company's financial situation is healthy. In addition, if there were fewer available sources of finance, it would be more difficult to meet one's immediate financial responsibilities. The share in a hotel administration company can be determined using metrics of solvency. </w:t>
      </w:r>
    </w:p>
    <w:p w14:paraId="6D650E8C" w14:textId="77777777" w:rsidR="00C25E32" w:rsidRDefault="00C25E32" w:rsidP="00BB2EDC"/>
    <w:p w14:paraId="58EC1495" w14:textId="77777777" w:rsidR="00C25E32" w:rsidRDefault="00C25E32" w:rsidP="00BB2EDC"/>
    <w:p w14:paraId="73DE7E8E" w14:textId="77777777" w:rsidR="00C25E32" w:rsidRDefault="00C25E32" w:rsidP="00BB2EDC"/>
    <w:p w14:paraId="39A9F30A" w14:textId="77777777" w:rsidR="00C25E32" w:rsidRDefault="00C25E32" w:rsidP="00BB2EDC"/>
    <w:p w14:paraId="47DD9E60" w14:textId="77777777" w:rsidR="00C25E32" w:rsidRDefault="00C25E32" w:rsidP="00BB2EDC"/>
    <w:p w14:paraId="1C119741" w14:textId="77777777" w:rsidR="00C25E32" w:rsidRDefault="00C25E32" w:rsidP="00BB2EDC"/>
    <w:p w14:paraId="69E44BF0" w14:textId="77777777" w:rsidR="00C25E32" w:rsidRDefault="00C25E32" w:rsidP="00BB2EDC"/>
    <w:p w14:paraId="76422048" w14:textId="77777777" w:rsidR="00C25E32" w:rsidRDefault="00C25E32" w:rsidP="00BB2EDC"/>
    <w:p w14:paraId="61DD7226" w14:textId="77777777" w:rsidR="00C25E32" w:rsidRDefault="00C25E32" w:rsidP="00BB2EDC"/>
    <w:p w14:paraId="07710FB9" w14:textId="77777777" w:rsidR="00C25E32" w:rsidRDefault="00C25E32" w:rsidP="00BB2EDC"/>
    <w:p w14:paraId="1774DF9C" w14:textId="77777777" w:rsidR="00AE6F8A" w:rsidRDefault="00AE6F8A" w:rsidP="00C25E32">
      <w:pPr>
        <w:pStyle w:val="Heading1"/>
      </w:pPr>
      <w:bookmarkStart w:id="5" w:name="_Toc121238818"/>
      <w:r>
        <w:lastRenderedPageBreak/>
        <w:t xml:space="preserve">c) Understanding ratios and </w:t>
      </w:r>
      <w:r w:rsidR="00C25E32">
        <w:t>their</w:t>
      </w:r>
      <w:r>
        <w:t xml:space="preserve"> importance for decision making</w:t>
      </w:r>
      <w:bookmarkEnd w:id="5"/>
      <w:r>
        <w:t xml:space="preserve"> </w:t>
      </w:r>
    </w:p>
    <w:p w14:paraId="79B32E5F" w14:textId="77777777" w:rsidR="00AE6F8A" w:rsidRDefault="00AE6F8A" w:rsidP="00AE6F8A">
      <w:r>
        <w:t>An organization's financial health and performance can be revealed through the utilisation of financial ratio analysis. Stakeholders include owners, consumers, managers, suppliers, vendors, lenders, regulators, and competitors (Shelton,</w:t>
      </w:r>
      <w:r>
        <w:rPr>
          <w:spacing w:val="-1"/>
        </w:rPr>
        <w:t xml:space="preserve"> </w:t>
      </w:r>
      <w:r>
        <w:t>Smith</w:t>
      </w:r>
      <w:r>
        <w:rPr>
          <w:spacing w:val="-1"/>
        </w:rPr>
        <w:t xml:space="preserve"> </w:t>
      </w:r>
      <w:r>
        <w:t>and</w:t>
      </w:r>
      <w:r>
        <w:rPr>
          <w:spacing w:val="-2"/>
        </w:rPr>
        <w:t xml:space="preserve"> </w:t>
      </w:r>
      <w:proofErr w:type="spellStart"/>
      <w:r>
        <w:t>Panisch</w:t>
      </w:r>
      <w:proofErr w:type="spellEnd"/>
      <w:r>
        <w:t>,</w:t>
      </w:r>
      <w:r>
        <w:rPr>
          <w:spacing w:val="-3"/>
        </w:rPr>
        <w:t xml:space="preserve"> </w:t>
      </w:r>
      <w:r>
        <w:t>2019). This is accomplished through the analysis of financial statements.</w:t>
      </w:r>
    </w:p>
    <w:p w14:paraId="6A06F662" w14:textId="77777777" w:rsidR="00AE6F8A" w:rsidRDefault="00AE6F8A" w:rsidP="00AE6F8A">
      <w:r>
        <w:t xml:space="preserve">Over the years, financial ratios have proven to be an invaluable tool for researching the profitability, solvency, and efficiency of businesses. The examination of financial statements over </w:t>
      </w:r>
      <w:r w:rsidR="00C25E32">
        <w:t>several</w:t>
      </w:r>
      <w:r>
        <w:t xml:space="preserve"> years reveals patterns of organisational behaviour (FYs)</w:t>
      </w:r>
      <w:r w:rsidR="009512BD">
        <w:t xml:space="preserve"> </w:t>
      </w:r>
      <w:r w:rsidR="009512BD" w:rsidRPr="009512BD">
        <w:t>(Brealey, Myers and Marcus, 2019)</w:t>
      </w:r>
      <w:r>
        <w:t xml:space="preserve">. Understanding an organization's growth and performance trends is significantly aided by having this information. </w:t>
      </w:r>
      <w:r w:rsidR="00C25E32">
        <w:t>T</w:t>
      </w:r>
      <w:r>
        <w:t>rend analysis cannot be performed with data from a single financial year. Ratio analysis is a useful tool for evaluating a company's performance in comparison to that of its competitors in the industry, locating areas where improvement is needed, and determining the competitive advantages, strengths, weaknesses, opportunities, and threats of a company With this information, decision-makers at the company can strengthen the company's standing in the industry</w:t>
      </w:r>
      <w:r w:rsidR="009512BD">
        <w:t xml:space="preserve"> </w:t>
      </w:r>
      <w:r w:rsidR="009512BD" w:rsidRPr="009512BD">
        <w:t>(Velez-Pareja, 2019)</w:t>
      </w:r>
      <w:r>
        <w:t>. The efficiency with which an organisation uses its assets and liabilities, as well as whether or not its financial resources are being overused or underutilised, can be uncovered through ratio analysis. The decision-making process for managers is aided by multiple ratio categories. To begin, liquidity quotients such as current, quick, and cash ratios determine an organization's ability to meet current liabilities with current assets. These ratios are used to gauge an organization's liquidity.</w:t>
      </w:r>
    </w:p>
    <w:p w14:paraId="282701D1" w14:textId="77777777" w:rsidR="00AE6F8A" w:rsidRDefault="00AE6F8A" w:rsidP="00AE6F8A">
      <w:r>
        <w:t xml:space="preserve">These ratios illustrate how difficult it is for an entity to repay its debt. These quotients are utilised by lenders, bankers, and creditors to determine the financial viability of a company. Second, solvency ratios demonstrate that the company </w:t>
      </w:r>
      <w:r w:rsidR="00C25E32">
        <w:t>can</w:t>
      </w:r>
      <w:r>
        <w:t xml:space="preserve"> meet its long-term financial responsibilities and that it has more assets than liabilities at the moment</w:t>
      </w:r>
      <w:r w:rsidR="009512BD">
        <w:t xml:space="preserve"> </w:t>
      </w:r>
      <w:r w:rsidR="009512BD" w:rsidRPr="009512BD">
        <w:t>(Velez-Pareja, 2012)</w:t>
      </w:r>
      <w:r>
        <w:t xml:space="preserve">. The debt-to-equity ratio and the debt-to-asset ratio both reflect whether or not a company is </w:t>
      </w:r>
      <w:r w:rsidR="00C25E32">
        <w:t xml:space="preserve">a </w:t>
      </w:r>
      <w:r>
        <w:t>solvent. The third category is comprised of various ratios that demonstrate an organization's potential to generate profits in comparison to its operating expenses.</w:t>
      </w:r>
    </w:p>
    <w:p w14:paraId="7B7D7E32" w14:textId="77777777" w:rsidR="00AE6F8A" w:rsidRDefault="00AE6F8A" w:rsidP="00AE6F8A">
      <w:r>
        <w:t>How does financial ratio analysis adapt to new circumstances? The trend seen today is predictive, whereas the importance of the figures seen in the past is decreasing. Predictive forecasting models are currently being utilised to assist in the processes of capital budgeting, funding decisions, and operational decisions</w:t>
      </w:r>
      <w:r w:rsidR="009512BD">
        <w:t xml:space="preserve"> </w:t>
      </w:r>
      <w:r w:rsidR="009512BD" w:rsidRPr="009512BD">
        <w:t>(Northington, 2011)</w:t>
      </w:r>
      <w:r>
        <w:t xml:space="preserve">. When people, the planet, and long-term sustainability </w:t>
      </w:r>
      <w:r>
        <w:lastRenderedPageBreak/>
        <w:t xml:space="preserve">are prioritised in business, the outlook is unpredictable and volatile. </w:t>
      </w:r>
      <w:r w:rsidR="00C25E32">
        <w:t>The c</w:t>
      </w:r>
      <w:r>
        <w:t xml:space="preserve">oronavirus has made this condition very worse. As a result, the relevance of non-financial information that is not included in financial statements is expanding; yet, this information is not reflected in the current ratios that are utilised in financial analysis. The proliferation of international transactions, mergers and acquisitions, migration, and the sharing of technological know-how as a result of globalisation has contributed to the growing complexity of </w:t>
      </w:r>
      <w:r w:rsidR="00C25E32">
        <w:t xml:space="preserve">financial statements </w:t>
      </w:r>
      <w:r w:rsidR="009512BD" w:rsidRPr="009512BD">
        <w:t>(</w:t>
      </w:r>
      <w:proofErr w:type="spellStart"/>
      <w:r w:rsidR="009512BD" w:rsidRPr="009512BD">
        <w:t>Nikbakht</w:t>
      </w:r>
      <w:proofErr w:type="spellEnd"/>
      <w:r w:rsidR="009512BD" w:rsidRPr="009512BD">
        <w:t xml:space="preserve"> and </w:t>
      </w:r>
      <w:proofErr w:type="spellStart"/>
      <w:r w:rsidR="009512BD" w:rsidRPr="009512BD">
        <w:t>Groppelli</w:t>
      </w:r>
      <w:proofErr w:type="spellEnd"/>
      <w:r w:rsidR="009512BD" w:rsidRPr="009512BD">
        <w:t>, 2018)</w:t>
      </w:r>
      <w:r>
        <w:t>. In the right hand, financial ratio analysis may be a highly effective analytical tool for the decision-making process within a firm. Intelligent managers of businesses can get benefit from the limitations they face.</w:t>
      </w:r>
    </w:p>
    <w:p w14:paraId="185F4B1D" w14:textId="77777777" w:rsidR="00C25E32" w:rsidRDefault="00C25E32" w:rsidP="00AE6F8A"/>
    <w:p w14:paraId="1AD15042" w14:textId="77777777" w:rsidR="00C25E32" w:rsidRDefault="00C25E32" w:rsidP="00AE6F8A"/>
    <w:p w14:paraId="6B00BAB5" w14:textId="77777777" w:rsidR="00C25E32" w:rsidRDefault="00C25E32" w:rsidP="00AE6F8A"/>
    <w:p w14:paraId="16079D94" w14:textId="77777777" w:rsidR="00C25E32" w:rsidRDefault="00C25E32" w:rsidP="00AE6F8A"/>
    <w:p w14:paraId="3D34F8EE" w14:textId="77777777" w:rsidR="00C25E32" w:rsidRDefault="00C25E32" w:rsidP="00AE6F8A"/>
    <w:p w14:paraId="343E84D9" w14:textId="77777777" w:rsidR="00C25E32" w:rsidRDefault="00C25E32" w:rsidP="00AE6F8A"/>
    <w:p w14:paraId="5D7B501F" w14:textId="77777777" w:rsidR="00C25E32" w:rsidRDefault="00C25E32" w:rsidP="00AE6F8A"/>
    <w:p w14:paraId="5EBDA68D" w14:textId="77777777" w:rsidR="00C25E32" w:rsidRDefault="00C25E32" w:rsidP="00AE6F8A"/>
    <w:p w14:paraId="2CAB61A4" w14:textId="77777777" w:rsidR="00C25E32" w:rsidRDefault="00C25E32" w:rsidP="00AE6F8A"/>
    <w:p w14:paraId="45CD9211" w14:textId="77777777" w:rsidR="00C25E32" w:rsidRDefault="00C25E32" w:rsidP="00AE6F8A"/>
    <w:p w14:paraId="7A696692" w14:textId="77777777" w:rsidR="00C25E32" w:rsidRDefault="00C25E32" w:rsidP="00AE6F8A"/>
    <w:p w14:paraId="3890EB6C" w14:textId="77777777" w:rsidR="00C25E32" w:rsidRDefault="00C25E32" w:rsidP="00AE6F8A"/>
    <w:p w14:paraId="2AA455CB" w14:textId="77777777" w:rsidR="00C25E32" w:rsidRDefault="00C25E32" w:rsidP="00AE6F8A"/>
    <w:p w14:paraId="7D7C1220" w14:textId="77777777" w:rsidR="00C25E32" w:rsidRDefault="00C25E32" w:rsidP="00AE6F8A"/>
    <w:p w14:paraId="1BD05D79" w14:textId="77777777" w:rsidR="00C25E32" w:rsidRDefault="00C25E32" w:rsidP="00AE6F8A"/>
    <w:p w14:paraId="239EAA93" w14:textId="77777777" w:rsidR="00C25E32" w:rsidRDefault="00C25E32" w:rsidP="00AE6F8A"/>
    <w:p w14:paraId="1902850C" w14:textId="77777777" w:rsidR="00C25E32" w:rsidRDefault="00C25E32" w:rsidP="00AE6F8A"/>
    <w:p w14:paraId="10B6E751" w14:textId="77777777" w:rsidR="00C25E32" w:rsidRDefault="00C25E32" w:rsidP="00AE6F8A"/>
    <w:p w14:paraId="53D4CC9E" w14:textId="77777777" w:rsidR="00C25E32" w:rsidRDefault="00C25E32" w:rsidP="00AE6F8A"/>
    <w:p w14:paraId="25BA9A19" w14:textId="77777777" w:rsidR="00C25E32" w:rsidRDefault="00C25E32" w:rsidP="00AE6F8A"/>
    <w:p w14:paraId="02B67C9D" w14:textId="77777777" w:rsidR="00C25E32" w:rsidRDefault="00C25E32" w:rsidP="00AE6F8A"/>
    <w:p w14:paraId="2DD74A1C" w14:textId="77777777" w:rsidR="00C25E32" w:rsidRDefault="00C25E32" w:rsidP="00AE6F8A"/>
    <w:p w14:paraId="3742DB0F" w14:textId="77777777" w:rsidR="00C25E32" w:rsidRDefault="00C25E32" w:rsidP="00C25E32">
      <w:pPr>
        <w:pStyle w:val="Heading1"/>
      </w:pPr>
      <w:bookmarkStart w:id="6" w:name="_Toc121238819"/>
      <w:r>
        <w:lastRenderedPageBreak/>
        <w:t>Conclusion</w:t>
      </w:r>
      <w:bookmarkEnd w:id="6"/>
      <w:r>
        <w:t xml:space="preserve"> </w:t>
      </w:r>
    </w:p>
    <w:p w14:paraId="1ADA927D" w14:textId="77777777" w:rsidR="00C25E32" w:rsidRDefault="00C25E32" w:rsidP="00AE6F8A">
      <w:r w:rsidRPr="00C25E32">
        <w:t>The financial results of Marriott International highlight areas that require upkeep and further development. The costs and expenditures related to operations should be monitored and regulated, but spending on non-operational and financial activities should not be prioritised just because they bring in more revenue. Excellent payables/receivables handling. The act of kindness can be capitalised on by providing the customer with a high level of service. Revenue needs to go up while simultaneously decreasing costs and improving the item marketing strategy. As the quantity of available funds drops, debt servicing and leverage must become higher priorities in order to bring the available resource back up to par with the obligations. Keeping the flow of financial resources going demands efficiency.</w:t>
      </w:r>
    </w:p>
    <w:p w14:paraId="4E327630" w14:textId="77777777" w:rsidR="00C25E32" w:rsidRDefault="00C25E32" w:rsidP="00AE6F8A"/>
    <w:p w14:paraId="00ECF2CC" w14:textId="77777777" w:rsidR="00C25E32" w:rsidRDefault="00C25E32" w:rsidP="00AE6F8A"/>
    <w:p w14:paraId="1D2B2A0B" w14:textId="77777777" w:rsidR="00C25E32" w:rsidRDefault="00C25E32" w:rsidP="00AE6F8A"/>
    <w:p w14:paraId="1BF8A8BD" w14:textId="77777777" w:rsidR="00C25E32" w:rsidRDefault="00C25E32" w:rsidP="00AE6F8A"/>
    <w:p w14:paraId="2D6E173E" w14:textId="77777777" w:rsidR="00C25E32" w:rsidRDefault="00C25E32" w:rsidP="00AE6F8A"/>
    <w:p w14:paraId="737E66AC" w14:textId="77777777" w:rsidR="00C25E32" w:rsidRDefault="00C25E32" w:rsidP="00AE6F8A"/>
    <w:p w14:paraId="5335BF12" w14:textId="77777777" w:rsidR="00C25E32" w:rsidRDefault="00C25E32" w:rsidP="00AE6F8A"/>
    <w:p w14:paraId="4FEFEB08" w14:textId="77777777" w:rsidR="00C25E32" w:rsidRDefault="00C25E32" w:rsidP="00AE6F8A"/>
    <w:p w14:paraId="42187569" w14:textId="77777777" w:rsidR="00C25E32" w:rsidRDefault="00C25E32" w:rsidP="00AE6F8A"/>
    <w:p w14:paraId="3F5D1F60" w14:textId="77777777" w:rsidR="00C25E32" w:rsidRDefault="00C25E32" w:rsidP="00AE6F8A"/>
    <w:p w14:paraId="728984BB" w14:textId="77777777" w:rsidR="00C25E32" w:rsidRDefault="00C25E32" w:rsidP="00AE6F8A"/>
    <w:p w14:paraId="20B5F87D" w14:textId="77777777" w:rsidR="00C25E32" w:rsidRDefault="00C25E32" w:rsidP="00AE6F8A"/>
    <w:p w14:paraId="000AA550" w14:textId="77777777" w:rsidR="00C25E32" w:rsidRDefault="00C25E32" w:rsidP="00AE6F8A"/>
    <w:p w14:paraId="33748FA2" w14:textId="77777777" w:rsidR="00C25E32" w:rsidRDefault="00C25E32" w:rsidP="00AE6F8A"/>
    <w:p w14:paraId="19B6FBB8" w14:textId="77777777" w:rsidR="00C25E32" w:rsidRDefault="00C25E32" w:rsidP="00AE6F8A"/>
    <w:p w14:paraId="1BE375FF" w14:textId="77777777" w:rsidR="00C25E32" w:rsidRDefault="00C25E32" w:rsidP="00AE6F8A"/>
    <w:p w14:paraId="00327B4D" w14:textId="77777777" w:rsidR="00C25E32" w:rsidRDefault="00C25E32" w:rsidP="00AE6F8A"/>
    <w:p w14:paraId="2BB0ED46" w14:textId="77777777" w:rsidR="00C25E32" w:rsidRDefault="00C25E32" w:rsidP="00AE6F8A"/>
    <w:p w14:paraId="3D8B6807" w14:textId="77777777" w:rsidR="00C25E32" w:rsidRDefault="00C25E32" w:rsidP="00AE6F8A"/>
    <w:p w14:paraId="2822B55A" w14:textId="77777777" w:rsidR="00C25E32" w:rsidRDefault="00C25E32" w:rsidP="00AE6F8A"/>
    <w:p w14:paraId="56940B3F" w14:textId="77777777" w:rsidR="009512BD" w:rsidRDefault="00C25E32" w:rsidP="00C25E32">
      <w:pPr>
        <w:pStyle w:val="Heading1"/>
      </w:pPr>
      <w:bookmarkStart w:id="7" w:name="_Toc121238820"/>
      <w:r>
        <w:lastRenderedPageBreak/>
        <w:t>References</w:t>
      </w:r>
      <w:bookmarkEnd w:id="7"/>
    </w:p>
    <w:p w14:paraId="088049A8" w14:textId="77777777" w:rsidR="00C25E32" w:rsidRDefault="00C25E32" w:rsidP="00C25E32">
      <w:pPr>
        <w:rPr>
          <w:szCs w:val="24"/>
        </w:rPr>
      </w:pPr>
      <w:r>
        <w:t xml:space="preserve">Brealey, R.A., Myers, S.C. and Marcus, A.J. (2019). </w:t>
      </w:r>
      <w:r>
        <w:rPr>
          <w:i/>
          <w:iCs/>
        </w:rPr>
        <w:t>Fundamentals of corporate finance</w:t>
      </w:r>
      <w:r>
        <w:t xml:space="preserve">. New York, Ny </w:t>
      </w:r>
      <w:proofErr w:type="spellStart"/>
      <w:r>
        <w:t>Mcgraw-Hill</w:t>
      </w:r>
      <w:proofErr w:type="spellEnd"/>
      <w:r>
        <w:t xml:space="preserve"> Education.</w:t>
      </w:r>
    </w:p>
    <w:p w14:paraId="3C96565F" w14:textId="77777777" w:rsidR="00C25E32" w:rsidRDefault="00C25E32" w:rsidP="00C25E32">
      <w:proofErr w:type="spellStart"/>
      <w:r>
        <w:t>Firouzjah</w:t>
      </w:r>
      <w:proofErr w:type="spellEnd"/>
      <w:r>
        <w:t>, K.G. (2018). Assessment of small-scale solar PV systems in Iran: Regions priority, po-</w:t>
      </w:r>
      <w:r>
        <w:rPr>
          <w:spacing w:val="1"/>
        </w:rPr>
        <w:t xml:space="preserve"> </w:t>
      </w:r>
      <w:proofErr w:type="spellStart"/>
      <w:r>
        <w:t>tentials</w:t>
      </w:r>
      <w:proofErr w:type="spellEnd"/>
      <w:r>
        <w:rPr>
          <w:spacing w:val="1"/>
        </w:rPr>
        <w:t xml:space="preserve"> </w:t>
      </w:r>
      <w:r>
        <w:t>and</w:t>
      </w:r>
      <w:r>
        <w:rPr>
          <w:spacing w:val="1"/>
        </w:rPr>
        <w:t xml:space="preserve"> </w:t>
      </w:r>
      <w:r>
        <w:t>financial</w:t>
      </w:r>
      <w:r>
        <w:rPr>
          <w:spacing w:val="1"/>
        </w:rPr>
        <w:t xml:space="preserve"> </w:t>
      </w:r>
      <w:r>
        <w:t>feasibility.</w:t>
      </w:r>
      <w:r>
        <w:rPr>
          <w:spacing w:val="1"/>
        </w:rPr>
        <w:t xml:space="preserve"> </w:t>
      </w:r>
      <w:r>
        <w:rPr>
          <w:i/>
        </w:rPr>
        <w:t>Renewable</w:t>
      </w:r>
      <w:r>
        <w:rPr>
          <w:i/>
          <w:spacing w:val="1"/>
        </w:rPr>
        <w:t xml:space="preserve"> </w:t>
      </w:r>
      <w:r>
        <w:rPr>
          <w:i/>
        </w:rPr>
        <w:t>and</w:t>
      </w:r>
      <w:r>
        <w:rPr>
          <w:i/>
          <w:spacing w:val="1"/>
        </w:rPr>
        <w:t xml:space="preserve"> </w:t>
      </w:r>
      <w:r>
        <w:rPr>
          <w:i/>
        </w:rPr>
        <w:t>Sustainable</w:t>
      </w:r>
      <w:r>
        <w:rPr>
          <w:i/>
          <w:spacing w:val="1"/>
        </w:rPr>
        <w:t xml:space="preserve"> </w:t>
      </w:r>
      <w:r>
        <w:rPr>
          <w:i/>
        </w:rPr>
        <w:t>Energy</w:t>
      </w:r>
      <w:r>
        <w:rPr>
          <w:i/>
          <w:spacing w:val="1"/>
        </w:rPr>
        <w:t xml:space="preserve"> </w:t>
      </w:r>
      <w:r>
        <w:rPr>
          <w:i/>
        </w:rPr>
        <w:t>Reviews</w:t>
      </w:r>
      <w:r>
        <w:t>,</w:t>
      </w:r>
      <w:r>
        <w:rPr>
          <w:spacing w:val="1"/>
        </w:rPr>
        <w:t xml:space="preserve"> </w:t>
      </w:r>
      <w:r>
        <w:rPr>
          <w:i/>
        </w:rPr>
        <w:t>94</w:t>
      </w:r>
      <w:r>
        <w:t>,</w:t>
      </w:r>
      <w:r>
        <w:rPr>
          <w:spacing w:val="1"/>
        </w:rPr>
        <w:t xml:space="preserve"> </w:t>
      </w:r>
      <w:r>
        <w:t>pp.267-274.</w:t>
      </w:r>
    </w:p>
    <w:p w14:paraId="6E7C5805" w14:textId="77777777" w:rsidR="00C25E32" w:rsidRDefault="00C25E32" w:rsidP="00C25E32">
      <w:r>
        <w:t>Higgins,</w:t>
      </w:r>
      <w:r>
        <w:rPr>
          <w:spacing w:val="-6"/>
        </w:rPr>
        <w:t xml:space="preserve"> </w:t>
      </w:r>
      <w:r>
        <w:t>E.T.</w:t>
      </w:r>
      <w:r>
        <w:rPr>
          <w:spacing w:val="-5"/>
        </w:rPr>
        <w:t xml:space="preserve"> </w:t>
      </w:r>
      <w:r>
        <w:t>and</w:t>
      </w:r>
      <w:r>
        <w:rPr>
          <w:spacing w:val="-5"/>
        </w:rPr>
        <w:t xml:space="preserve"> </w:t>
      </w:r>
      <w:r>
        <w:t>Cornwell,</w:t>
      </w:r>
      <w:r>
        <w:rPr>
          <w:spacing w:val="-4"/>
        </w:rPr>
        <w:t xml:space="preserve"> </w:t>
      </w:r>
      <w:r>
        <w:t>J.F.</w:t>
      </w:r>
      <w:r>
        <w:rPr>
          <w:spacing w:val="-6"/>
        </w:rPr>
        <w:t xml:space="preserve"> (</w:t>
      </w:r>
      <w:r>
        <w:t>2016).</w:t>
      </w:r>
      <w:r>
        <w:rPr>
          <w:spacing w:val="-5"/>
        </w:rPr>
        <w:t xml:space="preserve"> </w:t>
      </w:r>
      <w:r>
        <w:t>Securing</w:t>
      </w:r>
      <w:r>
        <w:rPr>
          <w:spacing w:val="-5"/>
        </w:rPr>
        <w:t xml:space="preserve"> </w:t>
      </w:r>
      <w:r>
        <w:t>foundations</w:t>
      </w:r>
      <w:r>
        <w:rPr>
          <w:spacing w:val="-5"/>
        </w:rPr>
        <w:t xml:space="preserve"> </w:t>
      </w:r>
      <w:r>
        <w:t>and</w:t>
      </w:r>
      <w:r>
        <w:rPr>
          <w:spacing w:val="-5"/>
        </w:rPr>
        <w:t xml:space="preserve"> </w:t>
      </w:r>
      <w:r>
        <w:t>advancing</w:t>
      </w:r>
      <w:r>
        <w:rPr>
          <w:spacing w:val="-5"/>
        </w:rPr>
        <w:t xml:space="preserve"> </w:t>
      </w:r>
      <w:r>
        <w:t>frontiers:</w:t>
      </w:r>
      <w:r>
        <w:rPr>
          <w:spacing w:val="-5"/>
        </w:rPr>
        <w:t xml:space="preserve"> </w:t>
      </w:r>
      <w:r>
        <w:t>Prevention</w:t>
      </w:r>
      <w:r>
        <w:rPr>
          <w:spacing w:val="-57"/>
        </w:rPr>
        <w:t xml:space="preserve"> </w:t>
      </w:r>
      <w:r>
        <w:t xml:space="preserve">and promotion effects on judgment &amp; decision making. </w:t>
      </w:r>
      <w:r>
        <w:rPr>
          <w:i/>
        </w:rPr>
        <w:t xml:space="preserve">Organizational </w:t>
      </w:r>
      <w:proofErr w:type="spellStart"/>
      <w:r>
        <w:rPr>
          <w:i/>
        </w:rPr>
        <w:t>Behavior</w:t>
      </w:r>
      <w:proofErr w:type="spellEnd"/>
      <w:r>
        <w:rPr>
          <w:i/>
        </w:rPr>
        <w:t xml:space="preserve"> and</w:t>
      </w:r>
      <w:r>
        <w:rPr>
          <w:i/>
          <w:spacing w:val="1"/>
        </w:rPr>
        <w:t xml:space="preserve"> </w:t>
      </w:r>
      <w:r>
        <w:rPr>
          <w:i/>
        </w:rPr>
        <w:t>Human</w:t>
      </w:r>
      <w:r>
        <w:rPr>
          <w:i/>
          <w:spacing w:val="-1"/>
        </w:rPr>
        <w:t xml:space="preserve"> </w:t>
      </w:r>
      <w:r>
        <w:rPr>
          <w:i/>
        </w:rPr>
        <w:t>Decision</w:t>
      </w:r>
      <w:r>
        <w:rPr>
          <w:i/>
          <w:spacing w:val="1"/>
        </w:rPr>
        <w:t xml:space="preserve"> </w:t>
      </w:r>
      <w:r>
        <w:rPr>
          <w:i/>
        </w:rPr>
        <w:t>Processes</w:t>
      </w:r>
      <w:r>
        <w:t xml:space="preserve">, </w:t>
      </w:r>
      <w:r>
        <w:rPr>
          <w:i/>
        </w:rPr>
        <w:t>136</w:t>
      </w:r>
      <w:r>
        <w:t>, pp.56-67.</w:t>
      </w:r>
    </w:p>
    <w:p w14:paraId="3349AC08" w14:textId="77777777" w:rsidR="00C25E32" w:rsidRDefault="00C25E32" w:rsidP="00C25E32">
      <w:proofErr w:type="spellStart"/>
      <w:r>
        <w:t>Kalkavan</w:t>
      </w:r>
      <w:proofErr w:type="spellEnd"/>
      <w:r>
        <w:t>,</w:t>
      </w:r>
      <w:r>
        <w:rPr>
          <w:spacing w:val="16"/>
        </w:rPr>
        <w:t xml:space="preserve"> </w:t>
      </w:r>
      <w:r>
        <w:t>H.</w:t>
      </w:r>
      <w:r>
        <w:rPr>
          <w:spacing w:val="14"/>
        </w:rPr>
        <w:t xml:space="preserve"> </w:t>
      </w:r>
      <w:r>
        <w:t>and</w:t>
      </w:r>
      <w:r>
        <w:rPr>
          <w:spacing w:val="13"/>
        </w:rPr>
        <w:t xml:space="preserve"> </w:t>
      </w:r>
      <w:proofErr w:type="spellStart"/>
      <w:r>
        <w:t>Ersin</w:t>
      </w:r>
      <w:proofErr w:type="spellEnd"/>
      <w:r>
        <w:t>,</w:t>
      </w:r>
      <w:r>
        <w:rPr>
          <w:spacing w:val="14"/>
        </w:rPr>
        <w:t xml:space="preserve"> </w:t>
      </w:r>
      <w:r>
        <w:t>I.</w:t>
      </w:r>
      <w:r>
        <w:rPr>
          <w:spacing w:val="15"/>
        </w:rPr>
        <w:t xml:space="preserve"> (</w:t>
      </w:r>
      <w:r>
        <w:t>2019).</w:t>
      </w:r>
      <w:r>
        <w:rPr>
          <w:spacing w:val="13"/>
        </w:rPr>
        <w:t xml:space="preserve"> </w:t>
      </w:r>
      <w:r>
        <w:t>Determination</w:t>
      </w:r>
      <w:r>
        <w:rPr>
          <w:spacing w:val="16"/>
        </w:rPr>
        <w:t xml:space="preserve"> </w:t>
      </w:r>
      <w:r>
        <w:t>of</w:t>
      </w:r>
      <w:r>
        <w:rPr>
          <w:spacing w:val="13"/>
        </w:rPr>
        <w:t xml:space="preserve"> </w:t>
      </w:r>
      <w:r>
        <w:t>factors</w:t>
      </w:r>
      <w:r>
        <w:rPr>
          <w:spacing w:val="15"/>
        </w:rPr>
        <w:t xml:space="preserve"> </w:t>
      </w:r>
      <w:r>
        <w:t>affecting</w:t>
      </w:r>
      <w:r>
        <w:rPr>
          <w:spacing w:val="16"/>
        </w:rPr>
        <w:t xml:space="preserve"> </w:t>
      </w:r>
      <w:r>
        <w:t>the</w:t>
      </w:r>
      <w:r>
        <w:rPr>
          <w:spacing w:val="15"/>
        </w:rPr>
        <w:t xml:space="preserve"> </w:t>
      </w:r>
      <w:r>
        <w:t>South</w:t>
      </w:r>
      <w:r>
        <w:rPr>
          <w:spacing w:val="14"/>
        </w:rPr>
        <w:t xml:space="preserve"> </w:t>
      </w:r>
      <w:r>
        <w:t>East Asian</w:t>
      </w:r>
      <w:r>
        <w:rPr>
          <w:spacing w:val="15"/>
        </w:rPr>
        <w:t xml:space="preserve"> </w:t>
      </w:r>
      <w:r>
        <w:t>crisis</w:t>
      </w:r>
      <w:r>
        <w:rPr>
          <w:spacing w:val="-58"/>
        </w:rPr>
        <w:t xml:space="preserve"> </w:t>
      </w:r>
      <w:r>
        <w:t xml:space="preserve">of 1997 </w:t>
      </w:r>
      <w:proofErr w:type="spellStart"/>
      <w:r>
        <w:t>probit</w:t>
      </w:r>
      <w:proofErr w:type="spellEnd"/>
      <w:r>
        <w:t xml:space="preserve">-logit panel regression: The South East Asian crisis. In </w:t>
      </w:r>
      <w:r>
        <w:rPr>
          <w:i/>
        </w:rPr>
        <w:t>Handbook of re-</w:t>
      </w:r>
      <w:r>
        <w:rPr>
          <w:i/>
          <w:spacing w:val="1"/>
        </w:rPr>
        <w:t xml:space="preserve"> </w:t>
      </w:r>
      <w:r>
        <w:rPr>
          <w:i/>
        </w:rPr>
        <w:t>search</w:t>
      </w:r>
      <w:r>
        <w:rPr>
          <w:i/>
          <w:spacing w:val="-4"/>
        </w:rPr>
        <w:t xml:space="preserve"> </w:t>
      </w:r>
      <w:r>
        <w:rPr>
          <w:i/>
        </w:rPr>
        <w:t>on</w:t>
      </w:r>
      <w:r>
        <w:rPr>
          <w:i/>
          <w:spacing w:val="-3"/>
        </w:rPr>
        <w:t xml:space="preserve"> </w:t>
      </w:r>
      <w:r>
        <w:rPr>
          <w:i/>
        </w:rPr>
        <w:t>global</w:t>
      </w:r>
      <w:r>
        <w:rPr>
          <w:i/>
          <w:spacing w:val="-2"/>
        </w:rPr>
        <w:t xml:space="preserve"> </w:t>
      </w:r>
      <w:r>
        <w:rPr>
          <w:i/>
        </w:rPr>
        <w:t>issues</w:t>
      </w:r>
      <w:r>
        <w:rPr>
          <w:i/>
          <w:spacing w:val="-4"/>
        </w:rPr>
        <w:t xml:space="preserve"> </w:t>
      </w:r>
      <w:r>
        <w:rPr>
          <w:i/>
        </w:rPr>
        <w:t>in</w:t>
      </w:r>
      <w:r>
        <w:rPr>
          <w:i/>
          <w:spacing w:val="-2"/>
        </w:rPr>
        <w:t xml:space="preserve"> </w:t>
      </w:r>
      <w:r>
        <w:rPr>
          <w:i/>
        </w:rPr>
        <w:t>financial</w:t>
      </w:r>
      <w:r>
        <w:rPr>
          <w:i/>
          <w:spacing w:val="-3"/>
        </w:rPr>
        <w:t xml:space="preserve"> </w:t>
      </w:r>
      <w:r>
        <w:rPr>
          <w:i/>
        </w:rPr>
        <w:t>communication</w:t>
      </w:r>
      <w:r>
        <w:rPr>
          <w:i/>
          <w:spacing w:val="-2"/>
        </w:rPr>
        <w:t xml:space="preserve"> </w:t>
      </w:r>
      <w:r>
        <w:rPr>
          <w:i/>
        </w:rPr>
        <w:t>and</w:t>
      </w:r>
      <w:r>
        <w:rPr>
          <w:i/>
          <w:spacing w:val="-3"/>
        </w:rPr>
        <w:t xml:space="preserve"> </w:t>
      </w:r>
      <w:r>
        <w:rPr>
          <w:i/>
        </w:rPr>
        <w:t>investment</w:t>
      </w:r>
      <w:r>
        <w:rPr>
          <w:i/>
          <w:spacing w:val="-3"/>
        </w:rPr>
        <w:t xml:space="preserve"> </w:t>
      </w:r>
      <w:r>
        <w:rPr>
          <w:i/>
        </w:rPr>
        <w:t>decision</w:t>
      </w:r>
      <w:r>
        <w:rPr>
          <w:i/>
          <w:spacing w:val="-2"/>
        </w:rPr>
        <w:t xml:space="preserve"> </w:t>
      </w:r>
      <w:r>
        <w:rPr>
          <w:i/>
        </w:rPr>
        <w:t>making</w:t>
      </w:r>
      <w:r>
        <w:rPr>
          <w:i/>
          <w:spacing w:val="-3"/>
        </w:rPr>
        <w:t xml:space="preserve"> </w:t>
      </w:r>
      <w:r>
        <w:t>(pp.</w:t>
      </w:r>
      <w:r>
        <w:rPr>
          <w:spacing w:val="-58"/>
        </w:rPr>
        <w:t xml:space="preserve"> </w:t>
      </w:r>
      <w:r>
        <w:t>148-167).</w:t>
      </w:r>
      <w:r>
        <w:rPr>
          <w:spacing w:val="-1"/>
        </w:rPr>
        <w:t xml:space="preserve"> </w:t>
      </w:r>
      <w:r>
        <w:t>IGI Global.</w:t>
      </w:r>
    </w:p>
    <w:p w14:paraId="2C597E42" w14:textId="77777777" w:rsidR="00C25E32" w:rsidRDefault="00C25E32" w:rsidP="00C25E32">
      <w:proofErr w:type="spellStart"/>
      <w:r>
        <w:t>Khemakhem</w:t>
      </w:r>
      <w:proofErr w:type="spellEnd"/>
      <w:r>
        <w:t xml:space="preserve">, S. and </w:t>
      </w:r>
      <w:proofErr w:type="spellStart"/>
      <w:r>
        <w:t>Boujelbene</w:t>
      </w:r>
      <w:proofErr w:type="spellEnd"/>
      <w:r>
        <w:t>, Y. (2018). Predicting credit risk on the basis of financial and</w:t>
      </w:r>
      <w:r>
        <w:rPr>
          <w:spacing w:val="1"/>
        </w:rPr>
        <w:t xml:space="preserve"> </w:t>
      </w:r>
      <w:r>
        <w:t>non-financial</w:t>
      </w:r>
      <w:r>
        <w:rPr>
          <w:spacing w:val="1"/>
        </w:rPr>
        <w:t xml:space="preserve"> </w:t>
      </w:r>
      <w:r>
        <w:t>variables</w:t>
      </w:r>
      <w:r>
        <w:rPr>
          <w:spacing w:val="1"/>
        </w:rPr>
        <w:t xml:space="preserve"> </w:t>
      </w:r>
      <w:r>
        <w:t>and</w:t>
      </w:r>
      <w:r>
        <w:rPr>
          <w:spacing w:val="-1"/>
        </w:rPr>
        <w:t xml:space="preserve"> </w:t>
      </w:r>
      <w:r>
        <w:t xml:space="preserve">data mining. </w:t>
      </w:r>
      <w:r>
        <w:rPr>
          <w:i/>
        </w:rPr>
        <w:t>Review of</w:t>
      </w:r>
      <w:r>
        <w:rPr>
          <w:i/>
          <w:spacing w:val="-6"/>
        </w:rPr>
        <w:t xml:space="preserve"> </w:t>
      </w:r>
      <w:r>
        <w:rPr>
          <w:i/>
        </w:rPr>
        <w:t>Accounting</w:t>
      </w:r>
      <w:r>
        <w:rPr>
          <w:i/>
          <w:spacing w:val="2"/>
        </w:rPr>
        <w:t xml:space="preserve"> </w:t>
      </w:r>
      <w:r>
        <w:rPr>
          <w:i/>
        </w:rPr>
        <w:t>and</w:t>
      </w:r>
      <w:r>
        <w:rPr>
          <w:i/>
          <w:spacing w:val="-1"/>
        </w:rPr>
        <w:t xml:space="preserve"> </w:t>
      </w:r>
      <w:r>
        <w:rPr>
          <w:i/>
        </w:rPr>
        <w:t>Finance</w:t>
      </w:r>
      <w:r>
        <w:t>.</w:t>
      </w:r>
    </w:p>
    <w:p w14:paraId="004D6B2B" w14:textId="77777777" w:rsidR="00C25E32" w:rsidRDefault="00C25E32" w:rsidP="00C25E32">
      <w:r>
        <w:t xml:space="preserve">Liu, P., Liu, J. and Chen, S.M., 2017. Some intuitionistic fuzzy </w:t>
      </w:r>
      <w:proofErr w:type="spellStart"/>
      <w:r>
        <w:t>Dombi</w:t>
      </w:r>
      <w:proofErr w:type="spellEnd"/>
      <w:r>
        <w:t xml:space="preserve"> Bonferroni mean opera-</w:t>
      </w:r>
      <w:r>
        <w:rPr>
          <w:spacing w:val="1"/>
        </w:rPr>
        <w:t xml:space="preserve"> </w:t>
      </w:r>
      <w:r>
        <w:t xml:space="preserve">tors and their application to multi-attribute group decision making. </w:t>
      </w:r>
      <w:r>
        <w:rPr>
          <w:i/>
        </w:rPr>
        <w:t xml:space="preserve">Journal of the </w:t>
      </w:r>
      <w:proofErr w:type="spellStart"/>
      <w:r>
        <w:rPr>
          <w:i/>
        </w:rPr>
        <w:t>Oper</w:t>
      </w:r>
      <w:proofErr w:type="spellEnd"/>
      <w:r>
        <w:rPr>
          <w:i/>
        </w:rPr>
        <w:t>-</w:t>
      </w:r>
      <w:r>
        <w:rPr>
          <w:i/>
          <w:spacing w:val="1"/>
        </w:rPr>
        <w:t xml:space="preserve"> </w:t>
      </w:r>
      <w:proofErr w:type="spellStart"/>
      <w:r>
        <w:rPr>
          <w:i/>
        </w:rPr>
        <w:t>ational</w:t>
      </w:r>
      <w:proofErr w:type="spellEnd"/>
      <w:r>
        <w:rPr>
          <w:i/>
        </w:rPr>
        <w:t xml:space="preserve"> Research</w:t>
      </w:r>
      <w:r>
        <w:rPr>
          <w:i/>
          <w:spacing w:val="1"/>
        </w:rPr>
        <w:t xml:space="preserve"> </w:t>
      </w:r>
      <w:r>
        <w:rPr>
          <w:i/>
        </w:rPr>
        <w:t>Society</w:t>
      </w:r>
      <w:r>
        <w:t>, pp.1-26.</w:t>
      </w:r>
    </w:p>
    <w:p w14:paraId="35150526" w14:textId="77777777" w:rsidR="00C25E32" w:rsidRDefault="00C25E32" w:rsidP="00C25E32">
      <w:r>
        <w:t xml:space="preserve">Macrotrends (2022). </w:t>
      </w:r>
      <w:r>
        <w:rPr>
          <w:i/>
          <w:iCs/>
        </w:rPr>
        <w:t>Marriott Financial Ratios for Analysis 2005-2020 | MAR</w:t>
      </w:r>
      <w:r>
        <w:t>. [online] www.macrotrends.net. Available at: https://www.macrotrends.net/stocks/charts/MAR/marriott/financial-ratios.</w:t>
      </w:r>
    </w:p>
    <w:p w14:paraId="027342F3" w14:textId="77777777" w:rsidR="00C25E32" w:rsidRDefault="00C25E32" w:rsidP="00C25E32">
      <w:proofErr w:type="spellStart"/>
      <w:r>
        <w:t>Nikbakht</w:t>
      </w:r>
      <w:proofErr w:type="spellEnd"/>
      <w:r>
        <w:t xml:space="preserve">, E. and </w:t>
      </w:r>
      <w:proofErr w:type="spellStart"/>
      <w:r>
        <w:t>Groppelli</w:t>
      </w:r>
      <w:proofErr w:type="spellEnd"/>
      <w:r>
        <w:t xml:space="preserve">, A.A. (2018). </w:t>
      </w:r>
      <w:r>
        <w:rPr>
          <w:i/>
          <w:iCs/>
        </w:rPr>
        <w:t>Finance</w:t>
      </w:r>
      <w:r>
        <w:t>. Hauppauge, New York: Barron’s Educational Series, Inc.</w:t>
      </w:r>
    </w:p>
    <w:p w14:paraId="1ADC125C" w14:textId="77777777" w:rsidR="00C25E32" w:rsidRDefault="00C25E32" w:rsidP="00C25E32">
      <w:proofErr w:type="spellStart"/>
      <w:r>
        <w:t>Nindito</w:t>
      </w:r>
      <w:proofErr w:type="spellEnd"/>
      <w:r>
        <w:t>, M. (2018). Financial statement fraud: Perspective of the Pentagon Fraud model in In-</w:t>
      </w:r>
      <w:r>
        <w:rPr>
          <w:spacing w:val="1"/>
        </w:rPr>
        <w:t xml:space="preserve"> </w:t>
      </w:r>
      <w:proofErr w:type="spellStart"/>
      <w:r>
        <w:t>donesia</w:t>
      </w:r>
      <w:proofErr w:type="spellEnd"/>
      <w:r>
        <w:t>.</w:t>
      </w:r>
      <w:r>
        <w:rPr>
          <w:spacing w:val="-2"/>
        </w:rPr>
        <w:t xml:space="preserve"> </w:t>
      </w:r>
      <w:r>
        <w:rPr>
          <w:i/>
        </w:rPr>
        <w:t>Academy of</w:t>
      </w:r>
      <w:r>
        <w:rPr>
          <w:i/>
          <w:spacing w:val="-6"/>
        </w:rPr>
        <w:t xml:space="preserve"> </w:t>
      </w:r>
      <w:r>
        <w:rPr>
          <w:i/>
        </w:rPr>
        <w:t>Accounting</w:t>
      </w:r>
      <w:r>
        <w:rPr>
          <w:i/>
          <w:spacing w:val="2"/>
        </w:rPr>
        <w:t xml:space="preserve"> </w:t>
      </w:r>
      <w:r>
        <w:rPr>
          <w:i/>
        </w:rPr>
        <w:t>and Financial Studies</w:t>
      </w:r>
      <w:r>
        <w:rPr>
          <w:i/>
          <w:spacing w:val="1"/>
        </w:rPr>
        <w:t xml:space="preserve"> </w:t>
      </w:r>
      <w:r>
        <w:rPr>
          <w:i/>
        </w:rPr>
        <w:t>Journal</w:t>
      </w:r>
      <w:r>
        <w:t>,</w:t>
      </w:r>
      <w:r>
        <w:rPr>
          <w:spacing w:val="-1"/>
        </w:rPr>
        <w:t xml:space="preserve"> </w:t>
      </w:r>
      <w:r>
        <w:rPr>
          <w:i/>
        </w:rPr>
        <w:t>22</w:t>
      </w:r>
      <w:r>
        <w:t>(3),</w:t>
      </w:r>
      <w:r>
        <w:rPr>
          <w:spacing w:val="-1"/>
        </w:rPr>
        <w:t xml:space="preserve"> </w:t>
      </w:r>
      <w:r>
        <w:t>pp.1-9.</w:t>
      </w:r>
    </w:p>
    <w:p w14:paraId="07B9221A" w14:textId="77777777" w:rsidR="00C25E32" w:rsidRDefault="00C25E32" w:rsidP="00C25E32">
      <w:r>
        <w:t xml:space="preserve">Northington, S. (2011). </w:t>
      </w:r>
      <w:r>
        <w:rPr>
          <w:i/>
          <w:iCs/>
        </w:rPr>
        <w:t>Finance</w:t>
      </w:r>
      <w:r>
        <w:t>. New York, Ny: Ferguson’s.</w:t>
      </w:r>
    </w:p>
    <w:p w14:paraId="645DFF48" w14:textId="77777777" w:rsidR="00C25E32" w:rsidRDefault="00C25E32" w:rsidP="00C25E32">
      <w:r>
        <w:t xml:space="preserve">Shelton, V.M., Smith, T.E. and </w:t>
      </w:r>
      <w:proofErr w:type="spellStart"/>
      <w:r>
        <w:t>Panisch</w:t>
      </w:r>
      <w:proofErr w:type="spellEnd"/>
      <w:r>
        <w:t>, L.S. (2019). Financial therapy with groups: A case of the</w:t>
      </w:r>
      <w:r>
        <w:rPr>
          <w:spacing w:val="-57"/>
        </w:rPr>
        <w:t xml:space="preserve"> </w:t>
      </w:r>
      <w:r>
        <w:t xml:space="preserve">five-step model. </w:t>
      </w:r>
      <w:r>
        <w:rPr>
          <w:i/>
        </w:rPr>
        <w:t>Journal</w:t>
      </w:r>
      <w:r>
        <w:rPr>
          <w:i/>
          <w:spacing w:val="-2"/>
        </w:rPr>
        <w:t xml:space="preserve"> </w:t>
      </w:r>
      <w:r>
        <w:rPr>
          <w:i/>
        </w:rPr>
        <w:t>of</w:t>
      </w:r>
      <w:r>
        <w:rPr>
          <w:i/>
          <w:spacing w:val="-2"/>
        </w:rPr>
        <w:t xml:space="preserve"> </w:t>
      </w:r>
      <w:r>
        <w:rPr>
          <w:i/>
        </w:rPr>
        <w:t>Financial</w:t>
      </w:r>
      <w:r>
        <w:rPr>
          <w:i/>
          <w:spacing w:val="2"/>
        </w:rPr>
        <w:t xml:space="preserve"> </w:t>
      </w:r>
      <w:proofErr w:type="spellStart"/>
      <w:r>
        <w:rPr>
          <w:i/>
        </w:rPr>
        <w:t>Counseling</w:t>
      </w:r>
      <w:proofErr w:type="spellEnd"/>
      <w:r>
        <w:rPr>
          <w:i/>
        </w:rPr>
        <w:t xml:space="preserve"> and</w:t>
      </w:r>
      <w:r>
        <w:rPr>
          <w:i/>
          <w:spacing w:val="-1"/>
        </w:rPr>
        <w:t xml:space="preserve"> </w:t>
      </w:r>
      <w:r>
        <w:rPr>
          <w:i/>
        </w:rPr>
        <w:t>Planning</w:t>
      </w:r>
      <w:r>
        <w:t>,</w:t>
      </w:r>
      <w:r>
        <w:rPr>
          <w:spacing w:val="-1"/>
        </w:rPr>
        <w:t xml:space="preserve"> </w:t>
      </w:r>
      <w:r>
        <w:rPr>
          <w:i/>
        </w:rPr>
        <w:t>30</w:t>
      </w:r>
      <w:r>
        <w:t>(1),</w:t>
      </w:r>
      <w:r>
        <w:rPr>
          <w:spacing w:val="-1"/>
        </w:rPr>
        <w:t xml:space="preserve"> </w:t>
      </w:r>
      <w:r>
        <w:t>pp.18-26.</w:t>
      </w:r>
    </w:p>
    <w:p w14:paraId="05176412" w14:textId="77777777" w:rsidR="00C25E32" w:rsidRDefault="00C25E32" w:rsidP="00C25E32">
      <w:proofErr w:type="spellStart"/>
      <w:r>
        <w:t>Tumataroa</w:t>
      </w:r>
      <w:proofErr w:type="spellEnd"/>
      <w:r>
        <w:t xml:space="preserve">, S. and O'Hare, D. (2019). Improving self-control through financial </w:t>
      </w:r>
      <w:proofErr w:type="spellStart"/>
      <w:r>
        <w:t>counseling</w:t>
      </w:r>
      <w:proofErr w:type="spellEnd"/>
      <w:r>
        <w:t>: A ran-</w:t>
      </w:r>
      <w:r>
        <w:rPr>
          <w:spacing w:val="-57"/>
        </w:rPr>
        <w:t xml:space="preserve"> </w:t>
      </w:r>
      <w:proofErr w:type="spellStart"/>
      <w:r>
        <w:t>domized</w:t>
      </w:r>
      <w:proofErr w:type="spellEnd"/>
      <w:r>
        <w:t xml:space="preserve"> controlled trial. </w:t>
      </w:r>
      <w:r>
        <w:rPr>
          <w:i/>
        </w:rPr>
        <w:t xml:space="preserve">Journal of Financial </w:t>
      </w:r>
      <w:proofErr w:type="spellStart"/>
      <w:r>
        <w:rPr>
          <w:i/>
        </w:rPr>
        <w:t>Counseling</w:t>
      </w:r>
      <w:proofErr w:type="spellEnd"/>
      <w:r>
        <w:rPr>
          <w:i/>
        </w:rPr>
        <w:t xml:space="preserve"> and Planning</w:t>
      </w:r>
      <w:r>
        <w:t xml:space="preserve">, </w:t>
      </w:r>
      <w:r>
        <w:rPr>
          <w:i/>
        </w:rPr>
        <w:t>30</w:t>
      </w:r>
      <w:r>
        <w:t>(2), pp.304-</w:t>
      </w:r>
      <w:r>
        <w:rPr>
          <w:spacing w:val="1"/>
        </w:rPr>
        <w:t xml:space="preserve"> </w:t>
      </w:r>
      <w:r>
        <w:t>312.</w:t>
      </w:r>
    </w:p>
    <w:p w14:paraId="6D66C421" w14:textId="77777777" w:rsidR="00C25E32" w:rsidRDefault="00C25E32" w:rsidP="00C25E32">
      <w:r>
        <w:t xml:space="preserve">Velez-Pareja, I. (2012). Financial Analysis and Control - Financial Ratio Analysis. </w:t>
      </w:r>
      <w:r>
        <w:rPr>
          <w:i/>
          <w:iCs/>
        </w:rPr>
        <w:t>SSRN Electronic Journal</w:t>
      </w:r>
      <w:r>
        <w:t>. doi:10.2139/ssrn.1638279.</w:t>
      </w:r>
    </w:p>
    <w:p w14:paraId="1A7F0BAB" w14:textId="77777777" w:rsidR="00C25E32" w:rsidRDefault="00C25E32" w:rsidP="00C25E32">
      <w:r>
        <w:lastRenderedPageBreak/>
        <w:t xml:space="preserve">Velez-Pareja, I. (2019). Financial Analysis and Control - Financial Ratio Analysis. </w:t>
      </w:r>
      <w:r>
        <w:rPr>
          <w:i/>
          <w:iCs/>
        </w:rPr>
        <w:t>SSRN Electronic Journal</w:t>
      </w:r>
      <w:r>
        <w:t>. doi:10.2139/ssrn.1366728.</w:t>
      </w:r>
    </w:p>
    <w:p w14:paraId="16EF6555" w14:textId="77777777" w:rsidR="00826928" w:rsidRDefault="00826928" w:rsidP="009512BD">
      <w:pPr>
        <w:ind w:left="974" w:right="116" w:hanging="852"/>
      </w:pPr>
    </w:p>
    <w:p w14:paraId="790F28EB" w14:textId="77777777" w:rsidR="00BB2EDC" w:rsidRDefault="00BB2EDC" w:rsidP="00BB2EDC"/>
    <w:p w14:paraId="55A1C4AB" w14:textId="77777777" w:rsidR="00BB2EDC" w:rsidRDefault="00BB2EDC" w:rsidP="00146F1B">
      <w:r>
        <w:t xml:space="preserve">  </w:t>
      </w:r>
    </w:p>
    <w:sectPr w:rsidR="00BB2EDC">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0BC15C" w14:textId="77777777" w:rsidR="00A67B51" w:rsidRDefault="00A67B51" w:rsidP="00C25E32">
      <w:pPr>
        <w:spacing w:line="240" w:lineRule="auto"/>
      </w:pPr>
      <w:r>
        <w:separator/>
      </w:r>
    </w:p>
  </w:endnote>
  <w:endnote w:type="continuationSeparator" w:id="0">
    <w:p w14:paraId="49648EC0" w14:textId="77777777" w:rsidR="00A67B51" w:rsidRDefault="00A67B51" w:rsidP="00C25E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6799527"/>
      <w:docPartObj>
        <w:docPartGallery w:val="Page Numbers (Bottom of Page)"/>
        <w:docPartUnique/>
      </w:docPartObj>
    </w:sdtPr>
    <w:sdtEndPr>
      <w:rPr>
        <w:noProof/>
      </w:rPr>
    </w:sdtEndPr>
    <w:sdtContent>
      <w:p w14:paraId="782D0B24" w14:textId="77777777" w:rsidR="00C25E32" w:rsidRDefault="00C25E32">
        <w:pPr>
          <w:pStyle w:val="Footer"/>
          <w:jc w:val="center"/>
        </w:pPr>
        <w:r>
          <w:fldChar w:fldCharType="begin"/>
        </w:r>
        <w:r>
          <w:instrText xml:space="preserve"> PAGE   \* MERGEFORMAT </w:instrText>
        </w:r>
        <w:r>
          <w:fldChar w:fldCharType="separate"/>
        </w:r>
        <w:r w:rsidR="00CA6D3A">
          <w:rPr>
            <w:noProof/>
          </w:rPr>
          <w:t>12</w:t>
        </w:r>
        <w:r>
          <w:rPr>
            <w:noProof/>
          </w:rPr>
          <w:fldChar w:fldCharType="end"/>
        </w:r>
      </w:p>
    </w:sdtContent>
  </w:sdt>
  <w:p w14:paraId="731166D3" w14:textId="77777777" w:rsidR="00C25E32" w:rsidRDefault="00C25E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6BFE04" w14:textId="77777777" w:rsidR="00A67B51" w:rsidRDefault="00A67B51" w:rsidP="00C25E32">
      <w:pPr>
        <w:spacing w:line="240" w:lineRule="auto"/>
      </w:pPr>
      <w:r>
        <w:separator/>
      </w:r>
    </w:p>
  </w:footnote>
  <w:footnote w:type="continuationSeparator" w:id="0">
    <w:p w14:paraId="62E53763" w14:textId="77777777" w:rsidR="00A67B51" w:rsidRDefault="00A67B51" w:rsidP="00C25E3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G3NDYzMLcwNDM0N7ZQ0lEKTi0uzszPAykwrAUAuYOwRCwAAAA="/>
  </w:docVars>
  <w:rsids>
    <w:rsidRoot w:val="009C7CDF"/>
    <w:rsid w:val="00017149"/>
    <w:rsid w:val="00146F1B"/>
    <w:rsid w:val="002A5FF1"/>
    <w:rsid w:val="003B05C7"/>
    <w:rsid w:val="00424943"/>
    <w:rsid w:val="0046789C"/>
    <w:rsid w:val="0050177B"/>
    <w:rsid w:val="005864DA"/>
    <w:rsid w:val="00677523"/>
    <w:rsid w:val="00732C4E"/>
    <w:rsid w:val="00826928"/>
    <w:rsid w:val="009512BD"/>
    <w:rsid w:val="009C7CDF"/>
    <w:rsid w:val="00A67B51"/>
    <w:rsid w:val="00A72BBC"/>
    <w:rsid w:val="00AE6F8A"/>
    <w:rsid w:val="00BB2EDC"/>
    <w:rsid w:val="00C25E32"/>
    <w:rsid w:val="00CA6D3A"/>
    <w:rsid w:val="00D41F9F"/>
    <w:rsid w:val="00D866D4"/>
    <w:rsid w:val="00EA00FD"/>
    <w:rsid w:val="00F57A2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FF5C6"/>
  <w15:chartTrackingRefBased/>
  <w15:docId w15:val="{27153849-53A6-4782-BF1E-CB0712D321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866D4"/>
    <w:pPr>
      <w:widowControl w:val="0"/>
      <w:autoSpaceDE w:val="0"/>
      <w:autoSpaceDN w:val="0"/>
      <w:spacing w:after="0"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EA00FD"/>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A00FD"/>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732C4E"/>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D41F9F"/>
    <w:pPr>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41F9F"/>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semiHidden/>
    <w:rsid w:val="00732C4E"/>
    <w:rPr>
      <w:rFonts w:ascii="Times New Roman" w:eastAsiaTheme="majorEastAsia" w:hAnsi="Times New Roman" w:cstheme="majorBidi"/>
      <w:b/>
      <w:sz w:val="24"/>
      <w:szCs w:val="24"/>
      <w:lang w:val="en-GB"/>
    </w:rPr>
  </w:style>
  <w:style w:type="paragraph" w:customStyle="1" w:styleId="TableParagraph">
    <w:name w:val="Table Paragraph"/>
    <w:basedOn w:val="Normal"/>
    <w:uiPriority w:val="1"/>
    <w:qFormat/>
    <w:rsid w:val="00677523"/>
    <w:pPr>
      <w:spacing w:line="251" w:lineRule="exact"/>
      <w:jc w:val="left"/>
    </w:pPr>
    <w:rPr>
      <w:sz w:val="22"/>
      <w:lang w:val="en-US"/>
    </w:rPr>
  </w:style>
  <w:style w:type="paragraph" w:styleId="NormalWeb">
    <w:name w:val="Normal (Web)"/>
    <w:basedOn w:val="Normal"/>
    <w:uiPriority w:val="99"/>
    <w:semiHidden/>
    <w:unhideWhenUsed/>
    <w:rsid w:val="009512BD"/>
    <w:pPr>
      <w:widowControl/>
      <w:autoSpaceDE/>
      <w:autoSpaceDN/>
      <w:spacing w:before="100" w:beforeAutospacing="1" w:after="100" w:afterAutospacing="1" w:line="240" w:lineRule="auto"/>
      <w:jc w:val="left"/>
    </w:pPr>
    <w:rPr>
      <w:szCs w:val="24"/>
      <w:lang w:eastAsia="en-GB"/>
    </w:rPr>
  </w:style>
  <w:style w:type="paragraph" w:styleId="BodyText">
    <w:name w:val="Body Text"/>
    <w:basedOn w:val="Normal"/>
    <w:link w:val="BodyTextChar"/>
    <w:uiPriority w:val="1"/>
    <w:qFormat/>
    <w:rsid w:val="009512BD"/>
    <w:pPr>
      <w:spacing w:line="240" w:lineRule="auto"/>
      <w:ind w:left="841"/>
      <w:jc w:val="left"/>
    </w:pPr>
    <w:rPr>
      <w:szCs w:val="24"/>
      <w:lang w:val="en-US"/>
    </w:rPr>
  </w:style>
  <w:style w:type="character" w:customStyle="1" w:styleId="BodyTextChar">
    <w:name w:val="Body Text Char"/>
    <w:basedOn w:val="DefaultParagraphFont"/>
    <w:link w:val="BodyText"/>
    <w:uiPriority w:val="1"/>
    <w:rsid w:val="009512BD"/>
    <w:rPr>
      <w:rFonts w:ascii="Times New Roman" w:hAnsi="Times New Roman" w:cs="Times New Roman"/>
      <w:sz w:val="24"/>
      <w:szCs w:val="24"/>
    </w:rPr>
  </w:style>
  <w:style w:type="paragraph" w:styleId="Header">
    <w:name w:val="header"/>
    <w:basedOn w:val="Normal"/>
    <w:link w:val="HeaderChar"/>
    <w:uiPriority w:val="99"/>
    <w:unhideWhenUsed/>
    <w:rsid w:val="00C25E32"/>
    <w:pPr>
      <w:tabs>
        <w:tab w:val="center" w:pos="4680"/>
        <w:tab w:val="right" w:pos="9360"/>
      </w:tabs>
      <w:spacing w:line="240" w:lineRule="auto"/>
    </w:pPr>
  </w:style>
  <w:style w:type="character" w:customStyle="1" w:styleId="HeaderChar">
    <w:name w:val="Header Char"/>
    <w:basedOn w:val="DefaultParagraphFont"/>
    <w:link w:val="Header"/>
    <w:uiPriority w:val="99"/>
    <w:rsid w:val="00C25E32"/>
    <w:rPr>
      <w:rFonts w:ascii="Times New Roman" w:hAnsi="Times New Roman" w:cs="Times New Roman"/>
      <w:sz w:val="24"/>
      <w:lang w:val="en-GB"/>
    </w:rPr>
  </w:style>
  <w:style w:type="paragraph" w:styleId="Footer">
    <w:name w:val="footer"/>
    <w:basedOn w:val="Normal"/>
    <w:link w:val="FooterChar"/>
    <w:uiPriority w:val="99"/>
    <w:unhideWhenUsed/>
    <w:rsid w:val="00C25E32"/>
    <w:pPr>
      <w:tabs>
        <w:tab w:val="center" w:pos="4680"/>
        <w:tab w:val="right" w:pos="9360"/>
      </w:tabs>
      <w:spacing w:line="240" w:lineRule="auto"/>
    </w:pPr>
  </w:style>
  <w:style w:type="character" w:customStyle="1" w:styleId="FooterChar">
    <w:name w:val="Footer Char"/>
    <w:basedOn w:val="DefaultParagraphFont"/>
    <w:link w:val="Footer"/>
    <w:uiPriority w:val="99"/>
    <w:rsid w:val="00C25E32"/>
    <w:rPr>
      <w:rFonts w:ascii="Times New Roman" w:hAnsi="Times New Roman" w:cs="Times New Roman"/>
      <w:sz w:val="24"/>
      <w:lang w:val="en-GB"/>
    </w:rPr>
  </w:style>
  <w:style w:type="table" w:styleId="GridTable4-Accent6">
    <w:name w:val="Grid Table 4 Accent 6"/>
    <w:basedOn w:val="TableNormal"/>
    <w:uiPriority w:val="49"/>
    <w:rsid w:val="00C25E32"/>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C25E32"/>
    <w:pPr>
      <w:widowControl/>
      <w:autoSpaceDE/>
      <w:autoSpaceDN/>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C25E32"/>
    <w:pPr>
      <w:spacing w:after="100"/>
    </w:pPr>
  </w:style>
  <w:style w:type="paragraph" w:styleId="TOC2">
    <w:name w:val="toc 2"/>
    <w:basedOn w:val="Normal"/>
    <w:next w:val="Normal"/>
    <w:autoRedefine/>
    <w:uiPriority w:val="39"/>
    <w:unhideWhenUsed/>
    <w:rsid w:val="00C25E32"/>
    <w:pPr>
      <w:spacing w:after="100"/>
      <w:ind w:left="240"/>
    </w:pPr>
  </w:style>
  <w:style w:type="character" w:styleId="Hyperlink">
    <w:name w:val="Hyperlink"/>
    <w:basedOn w:val="DefaultParagraphFont"/>
    <w:uiPriority w:val="99"/>
    <w:unhideWhenUsed/>
    <w:rsid w:val="00C25E3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433162">
      <w:bodyDiv w:val="1"/>
      <w:marLeft w:val="0"/>
      <w:marRight w:val="0"/>
      <w:marTop w:val="0"/>
      <w:marBottom w:val="0"/>
      <w:divBdr>
        <w:top w:val="none" w:sz="0" w:space="0" w:color="auto"/>
        <w:left w:val="none" w:sz="0" w:space="0" w:color="auto"/>
        <w:bottom w:val="none" w:sz="0" w:space="0" w:color="auto"/>
        <w:right w:val="none" w:sz="0" w:space="0" w:color="auto"/>
      </w:divBdr>
      <w:divsChild>
        <w:div w:id="615914209">
          <w:marLeft w:val="0"/>
          <w:marRight w:val="0"/>
          <w:marTop w:val="0"/>
          <w:marBottom w:val="0"/>
          <w:divBdr>
            <w:top w:val="none" w:sz="0" w:space="0" w:color="auto"/>
            <w:left w:val="none" w:sz="0" w:space="0" w:color="auto"/>
            <w:bottom w:val="none" w:sz="0" w:space="0" w:color="auto"/>
            <w:right w:val="none" w:sz="0" w:space="0" w:color="auto"/>
          </w:divBdr>
        </w:div>
      </w:divsChild>
    </w:div>
    <w:div w:id="1352605203">
      <w:bodyDiv w:val="1"/>
      <w:marLeft w:val="0"/>
      <w:marRight w:val="0"/>
      <w:marTop w:val="0"/>
      <w:marBottom w:val="0"/>
      <w:divBdr>
        <w:top w:val="none" w:sz="0" w:space="0" w:color="auto"/>
        <w:left w:val="none" w:sz="0" w:space="0" w:color="auto"/>
        <w:bottom w:val="none" w:sz="0" w:space="0" w:color="auto"/>
        <w:right w:val="none" w:sz="0" w:space="0" w:color="auto"/>
      </w:divBdr>
      <w:divsChild>
        <w:div w:id="16357934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latin typeface="Times New Roman" panose="02020603050405020304" pitchFamily="18" charset="0"/>
                <a:cs typeface="Times New Roman" panose="02020603050405020304" pitchFamily="18" charset="0"/>
              </a:rPr>
              <a:t>Profitability Ratios</a:t>
            </a:r>
            <a:r>
              <a:rPr lang="en-GB" sz="1400" b="0" i="0" u="none" strike="noStrike" baseline="0">
                <a:latin typeface="Times New Roman" panose="02020603050405020304" pitchFamily="18" charset="0"/>
                <a:cs typeface="Times New Roman" panose="02020603050405020304" pitchFamily="18" charset="0"/>
              </a:rPr>
              <a:t> </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Sheet1!$F$25</c:f>
              <c:strCache>
                <c:ptCount val="1"/>
                <c:pt idx="0">
                  <c:v>Gross profit margin</c:v>
                </c:pt>
              </c:strCache>
            </c:strRef>
          </c:tx>
          <c:spPr>
            <a:solidFill>
              <a:schemeClr val="accent1"/>
            </a:solidFill>
            <a:ln>
              <a:noFill/>
            </a:ln>
            <a:effectLst/>
          </c:spPr>
          <c:invertIfNegative val="0"/>
          <c:cat>
            <c:strRef>
              <c:f>Sheet1!$G$24:$I$24</c:f>
              <c:strCache>
                <c:ptCount val="3"/>
                <c:pt idx="0">
                  <c:v>2021</c:v>
                </c:pt>
                <c:pt idx="1">
                  <c:v>2020</c:v>
                </c:pt>
                <c:pt idx="2">
                  <c:v>Trend</c:v>
                </c:pt>
              </c:strCache>
            </c:strRef>
          </c:cat>
          <c:val>
            <c:numRef>
              <c:f>Sheet1!$G$25:$I$25</c:f>
              <c:numCache>
                <c:formatCode>0.00%</c:formatCode>
                <c:ptCount val="3"/>
                <c:pt idx="0">
                  <c:v>0.20213600000000001</c:v>
                </c:pt>
                <c:pt idx="1">
                  <c:v>0.138019</c:v>
                </c:pt>
                <c:pt idx="2">
                  <c:v>6.4100000000000004E-2</c:v>
                </c:pt>
              </c:numCache>
            </c:numRef>
          </c:val>
          <c:extLst>
            <c:ext xmlns:c16="http://schemas.microsoft.com/office/drawing/2014/chart" uri="{C3380CC4-5D6E-409C-BE32-E72D297353CC}">
              <c16:uniqueId val="{00000000-D07D-5149-B27E-A1F5B80F05A2}"/>
            </c:ext>
          </c:extLst>
        </c:ser>
        <c:ser>
          <c:idx val="1"/>
          <c:order val="1"/>
          <c:tx>
            <c:strRef>
              <c:f>Sheet1!$F$26</c:f>
              <c:strCache>
                <c:ptCount val="1"/>
                <c:pt idx="0">
                  <c:v>Net profit margin</c:v>
                </c:pt>
              </c:strCache>
            </c:strRef>
          </c:tx>
          <c:spPr>
            <a:solidFill>
              <a:schemeClr val="accent2"/>
            </a:solidFill>
            <a:ln>
              <a:noFill/>
            </a:ln>
            <a:effectLst/>
          </c:spPr>
          <c:invertIfNegative val="0"/>
          <c:cat>
            <c:strRef>
              <c:f>Sheet1!$G$24:$I$24</c:f>
              <c:strCache>
                <c:ptCount val="3"/>
                <c:pt idx="0">
                  <c:v>2021</c:v>
                </c:pt>
                <c:pt idx="1">
                  <c:v>2020</c:v>
                </c:pt>
                <c:pt idx="2">
                  <c:v>Trend</c:v>
                </c:pt>
              </c:strCache>
            </c:strRef>
          </c:cat>
          <c:val>
            <c:numRef>
              <c:f>Sheet1!$G$26:$I$26</c:f>
              <c:numCache>
                <c:formatCode>0.00%</c:formatCode>
                <c:ptCount val="3"/>
                <c:pt idx="0">
                  <c:v>7.9310000000000005E-2</c:v>
                </c:pt>
                <c:pt idx="1">
                  <c:v>-2.5257999999999999E-2</c:v>
                </c:pt>
                <c:pt idx="2">
                  <c:v>5.4052000000000003E-2</c:v>
                </c:pt>
              </c:numCache>
            </c:numRef>
          </c:val>
          <c:extLst>
            <c:ext xmlns:c16="http://schemas.microsoft.com/office/drawing/2014/chart" uri="{C3380CC4-5D6E-409C-BE32-E72D297353CC}">
              <c16:uniqueId val="{00000001-D07D-5149-B27E-A1F5B80F05A2}"/>
            </c:ext>
          </c:extLst>
        </c:ser>
        <c:ser>
          <c:idx val="2"/>
          <c:order val="2"/>
          <c:tx>
            <c:strRef>
              <c:f>Sheet1!$F$27</c:f>
              <c:strCache>
                <c:ptCount val="1"/>
                <c:pt idx="0">
                  <c:v>Return on Investment</c:v>
                </c:pt>
              </c:strCache>
            </c:strRef>
          </c:tx>
          <c:spPr>
            <a:solidFill>
              <a:schemeClr val="accent3"/>
            </a:solidFill>
            <a:ln>
              <a:noFill/>
            </a:ln>
            <a:effectLst/>
          </c:spPr>
          <c:invertIfNegative val="0"/>
          <c:cat>
            <c:strRef>
              <c:f>Sheet1!$G$24:$I$24</c:f>
              <c:strCache>
                <c:ptCount val="3"/>
                <c:pt idx="0">
                  <c:v>2021</c:v>
                </c:pt>
                <c:pt idx="1">
                  <c:v>2020</c:v>
                </c:pt>
                <c:pt idx="2">
                  <c:v>Trend</c:v>
                </c:pt>
              </c:strCache>
            </c:strRef>
          </c:cat>
          <c:val>
            <c:numRef>
              <c:f>Sheet1!$G$27:$I$27</c:f>
              <c:numCache>
                <c:formatCode>0.00%</c:formatCode>
                <c:ptCount val="3"/>
                <c:pt idx="0">
                  <c:v>0.102261</c:v>
                </c:pt>
                <c:pt idx="1">
                  <c:v>-2.7716999999999999E-2</c:v>
                </c:pt>
                <c:pt idx="2">
                  <c:v>7.4543999999999999E-2</c:v>
                </c:pt>
              </c:numCache>
            </c:numRef>
          </c:val>
          <c:extLst>
            <c:ext xmlns:c16="http://schemas.microsoft.com/office/drawing/2014/chart" uri="{C3380CC4-5D6E-409C-BE32-E72D297353CC}">
              <c16:uniqueId val="{00000002-D07D-5149-B27E-A1F5B80F05A2}"/>
            </c:ext>
          </c:extLst>
        </c:ser>
        <c:dLbls>
          <c:showLegendKey val="0"/>
          <c:showVal val="0"/>
          <c:showCatName val="0"/>
          <c:showSerName val="0"/>
          <c:showPercent val="0"/>
          <c:showBubbleSize val="0"/>
        </c:dLbls>
        <c:gapWidth val="219"/>
        <c:overlap val="-27"/>
        <c:axId val="-833354944"/>
        <c:axId val="-833334816"/>
      </c:barChart>
      <c:catAx>
        <c:axId val="-8333549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3334816"/>
        <c:crosses val="autoZero"/>
        <c:auto val="1"/>
        <c:lblAlgn val="ctr"/>
        <c:lblOffset val="100"/>
        <c:noMultiLvlLbl val="0"/>
      </c:catAx>
      <c:valAx>
        <c:axId val="-83333481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33549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Liquidity ratios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Sheet1!$M$35</c:f>
              <c:strCache>
                <c:ptCount val="1"/>
                <c:pt idx="0">
                  <c:v>Current ratio</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Sheet1!$N$34:$P$34</c:f>
              <c:strCache>
                <c:ptCount val="3"/>
                <c:pt idx="0">
                  <c:v>2021</c:v>
                </c:pt>
                <c:pt idx="1">
                  <c:v>2020</c:v>
                </c:pt>
                <c:pt idx="2">
                  <c:v>Trend</c:v>
                </c:pt>
              </c:strCache>
            </c:strRef>
          </c:cat>
          <c:val>
            <c:numRef>
              <c:f>Sheet1!$N$35:$P$35</c:f>
              <c:numCache>
                <c:formatCode>General</c:formatCode>
                <c:ptCount val="3"/>
                <c:pt idx="0">
                  <c:v>0.56589999999999996</c:v>
                </c:pt>
                <c:pt idx="1">
                  <c:v>0.49109999999999998</c:v>
                </c:pt>
                <c:pt idx="2">
                  <c:v>7.3999999999999996E-2</c:v>
                </c:pt>
              </c:numCache>
            </c:numRef>
          </c:val>
          <c:extLst>
            <c:ext xmlns:c16="http://schemas.microsoft.com/office/drawing/2014/chart" uri="{C3380CC4-5D6E-409C-BE32-E72D297353CC}">
              <c16:uniqueId val="{00000000-000B-AE4D-B5CC-8EFBE8BC2A26}"/>
            </c:ext>
          </c:extLst>
        </c:ser>
        <c:ser>
          <c:idx val="1"/>
          <c:order val="1"/>
          <c:tx>
            <c:strRef>
              <c:f>Sheet1!$M$36</c:f>
              <c:strCache>
                <c:ptCount val="1"/>
                <c:pt idx="0">
                  <c:v>Debtor Day</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Sheet1!$N$34:$P$34</c:f>
              <c:strCache>
                <c:ptCount val="3"/>
                <c:pt idx="0">
                  <c:v>2021</c:v>
                </c:pt>
                <c:pt idx="1">
                  <c:v>2020</c:v>
                </c:pt>
                <c:pt idx="2">
                  <c:v>Trend</c:v>
                </c:pt>
              </c:strCache>
            </c:strRef>
          </c:cat>
          <c:val>
            <c:numRef>
              <c:f>Sheet1!$N$36:$P$36</c:f>
              <c:numCache>
                <c:formatCode>General</c:formatCode>
                <c:ptCount val="3"/>
                <c:pt idx="0">
                  <c:v>52.206800000000001</c:v>
                </c:pt>
                <c:pt idx="1">
                  <c:v>61.046300000000002</c:v>
                </c:pt>
                <c:pt idx="2">
                  <c:v>-8.8000000000000007</c:v>
                </c:pt>
              </c:numCache>
            </c:numRef>
          </c:val>
          <c:extLst>
            <c:ext xmlns:c16="http://schemas.microsoft.com/office/drawing/2014/chart" uri="{C3380CC4-5D6E-409C-BE32-E72D297353CC}">
              <c16:uniqueId val="{00000001-000B-AE4D-B5CC-8EFBE8BC2A26}"/>
            </c:ext>
          </c:extLst>
        </c:ser>
        <c:dLbls>
          <c:dLblPos val="inEnd"/>
          <c:showLegendKey val="0"/>
          <c:showVal val="1"/>
          <c:showCatName val="0"/>
          <c:showSerName val="0"/>
          <c:showPercent val="0"/>
          <c:showBubbleSize val="0"/>
        </c:dLbls>
        <c:gapWidth val="65"/>
        <c:axId val="-833323392"/>
        <c:axId val="-833326112"/>
      </c:barChart>
      <c:catAx>
        <c:axId val="-83332339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833326112"/>
        <c:crosses val="autoZero"/>
        <c:auto val="1"/>
        <c:lblAlgn val="ctr"/>
        <c:lblOffset val="100"/>
        <c:noMultiLvlLbl val="0"/>
      </c:catAx>
      <c:valAx>
        <c:axId val="-83332611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833323392"/>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latin typeface="Times New Roman" panose="02020603050405020304" pitchFamily="18" charset="0"/>
                <a:cs typeface="Times New Roman" panose="02020603050405020304" pitchFamily="18" charset="0"/>
              </a:rPr>
              <a:t>Gearing Ratios</a:t>
            </a:r>
            <a:r>
              <a:rPr lang="en-GB" sz="1400" b="0" i="0" u="none" strike="noStrike" baseline="0">
                <a:latin typeface="Times New Roman" panose="02020603050405020304" pitchFamily="18" charset="0"/>
                <a:cs typeface="Times New Roman" panose="02020603050405020304" pitchFamily="18" charset="0"/>
              </a:rPr>
              <a:t> </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Sheet1!$S$35</c:f>
              <c:strCache>
                <c:ptCount val="1"/>
                <c:pt idx="0">
                  <c:v>Debt to equity Ratio</c:v>
                </c:pt>
              </c:strCache>
            </c:strRef>
          </c:tx>
          <c:spPr>
            <a:solidFill>
              <a:schemeClr val="accent1"/>
            </a:solidFill>
            <a:ln>
              <a:noFill/>
            </a:ln>
            <a:effectLst/>
          </c:spPr>
          <c:invertIfNegative val="0"/>
          <c:cat>
            <c:strRef>
              <c:f>Sheet1!$T$34:$V$34</c:f>
              <c:strCache>
                <c:ptCount val="3"/>
                <c:pt idx="0">
                  <c:v>2021</c:v>
                </c:pt>
                <c:pt idx="1">
                  <c:v>2020</c:v>
                </c:pt>
                <c:pt idx="2">
                  <c:v>Trend</c:v>
                </c:pt>
              </c:strCache>
            </c:strRef>
          </c:cat>
          <c:val>
            <c:numRef>
              <c:f>Sheet1!$T$35:$V$35</c:f>
              <c:numCache>
                <c:formatCode>General</c:formatCode>
                <c:ptCount val="3"/>
                <c:pt idx="0">
                  <c:v>7.1696999999999997</c:v>
                </c:pt>
                <c:pt idx="1">
                  <c:v>24.130199999999999</c:v>
                </c:pt>
                <c:pt idx="2">
                  <c:v>-16.96</c:v>
                </c:pt>
              </c:numCache>
            </c:numRef>
          </c:val>
          <c:extLst>
            <c:ext xmlns:c16="http://schemas.microsoft.com/office/drawing/2014/chart" uri="{C3380CC4-5D6E-409C-BE32-E72D297353CC}">
              <c16:uniqueId val="{00000000-FC47-7B4C-A628-F308D1A58DEB}"/>
            </c:ext>
          </c:extLst>
        </c:ser>
        <c:ser>
          <c:idx val="1"/>
          <c:order val="1"/>
          <c:tx>
            <c:strRef>
              <c:f>Sheet1!$S$36</c:f>
              <c:strCache>
                <c:ptCount val="1"/>
                <c:pt idx="0">
                  <c:v>Debt / Capital Ratio</c:v>
                </c:pt>
              </c:strCache>
            </c:strRef>
          </c:tx>
          <c:spPr>
            <a:solidFill>
              <a:schemeClr val="accent2"/>
            </a:solidFill>
            <a:ln>
              <a:noFill/>
            </a:ln>
            <a:effectLst/>
          </c:spPr>
          <c:invertIfNegative val="0"/>
          <c:cat>
            <c:strRef>
              <c:f>Sheet1!$T$34:$V$34</c:f>
              <c:strCache>
                <c:ptCount val="3"/>
                <c:pt idx="0">
                  <c:v>2021</c:v>
                </c:pt>
                <c:pt idx="1">
                  <c:v>2020</c:v>
                </c:pt>
                <c:pt idx="2">
                  <c:v>Trend</c:v>
                </c:pt>
              </c:strCache>
            </c:strRef>
          </c:cat>
          <c:val>
            <c:numRef>
              <c:f>Sheet1!$T$36:$V$36</c:f>
              <c:numCache>
                <c:formatCode>General</c:formatCode>
                <c:ptCount val="3"/>
                <c:pt idx="0">
                  <c:v>0.86839999999999995</c:v>
                </c:pt>
                <c:pt idx="1">
                  <c:v>0.95540000000000003</c:v>
                </c:pt>
                <c:pt idx="2">
                  <c:v>-8.6999999999999994E-2</c:v>
                </c:pt>
              </c:numCache>
            </c:numRef>
          </c:val>
          <c:extLst>
            <c:ext xmlns:c16="http://schemas.microsoft.com/office/drawing/2014/chart" uri="{C3380CC4-5D6E-409C-BE32-E72D297353CC}">
              <c16:uniqueId val="{00000001-FC47-7B4C-A628-F308D1A58DEB}"/>
            </c:ext>
          </c:extLst>
        </c:ser>
        <c:dLbls>
          <c:showLegendKey val="0"/>
          <c:showVal val="0"/>
          <c:showCatName val="0"/>
          <c:showSerName val="0"/>
          <c:showPercent val="0"/>
          <c:showBubbleSize val="0"/>
        </c:dLbls>
        <c:gapWidth val="219"/>
        <c:overlap val="-27"/>
        <c:axId val="-833325024"/>
        <c:axId val="-757736016"/>
      </c:barChart>
      <c:catAx>
        <c:axId val="-8333250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7736016"/>
        <c:crosses val="autoZero"/>
        <c:auto val="1"/>
        <c:lblAlgn val="ctr"/>
        <c:lblOffset val="100"/>
        <c:noMultiLvlLbl val="0"/>
      </c:catAx>
      <c:valAx>
        <c:axId val="-7577360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33250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A1B4A4-38AF-488F-A331-1A4416193B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2772</Words>
  <Characters>15805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Ana Milea (2025648)</cp:lastModifiedBy>
  <cp:revision>2</cp:revision>
  <dcterms:created xsi:type="dcterms:W3CDTF">2022-12-08T10:33:00Z</dcterms:created>
  <dcterms:modified xsi:type="dcterms:W3CDTF">2022-12-08T10:33:00Z</dcterms:modified>
</cp:coreProperties>
</file>