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A73E4" w14:textId="5CB09C50" w:rsidR="00FD027A" w:rsidRDefault="00287DD9" w:rsidP="00351121">
      <w:pPr>
        <w:pStyle w:val="Heading1"/>
        <w:pageBreakBefore/>
        <w:rPr>
          <w:lang w:val="nl-NL"/>
        </w:rPr>
      </w:pPr>
      <w:proofErr w:type="spellStart"/>
      <w:r>
        <w:rPr>
          <w:lang w:val="nl-NL"/>
        </w:rPr>
        <w:t>References</w:t>
      </w:r>
      <w:proofErr w:type="spellEnd"/>
    </w:p>
    <w:p>
      <w:pPr>
        <w:pStyle w:val="Bibliography"/>
      </w:pPr>
      <w:r>
        <w:rPr>
          <w:b w:val="false"/>
          <w:bCs w:val="false"/>
          <w:i w:val="false"/>
          <w:iCs w:val="false"/>
        </w:rPr>
        <w:t xml:space="preserve"/>
      </w:r>
      <w:r>
        <w:rPr>
          <w:b w:val="false"/>
          <w:bCs w:val="false"/>
          <w:i w:val="true"/>
          <w:iCs w:val="true"/>
        </w:rPr>
        <w:t xml:space="preserve">6 charts that show the state of biodiversity and nature loss - and how we can go nature positive</w:t>
      </w:r>
      <w:r>
        <w:rPr>
          <w:b w:val="false"/>
          <w:bCs w:val="false"/>
          <w:i w:val="false"/>
          <w:iCs w:val="false"/>
        </w:rPr>
        <w:t xml:space="preserve">. (2022, October 18). World Economic Forum. </w:t>
      </w:r>
      <w:r>
        <w:rPr>
          <w:b w:val="false"/>
          <w:bCs w:val="false"/>
          <w:i w:val="false"/>
          <w:iCs w:val="false"/>
        </w:rPr>
        <w:t xml:space="preserve">https://www.weforum.org/agenda/2022/10/nature-loss-biodiversity-wwf/#:~:text=Future%20of%20the%20Environment,-Follow&amp;text=The%20WWF&amp;apos;s%20Living%20Planet%20Report,reach%20the%20nature%2Dpositive%20target.</w:t>
      </w:r>
      <w:r>
        <w:rPr>
          <w:b w:val="false"/>
          <w:bCs w:val="false"/>
          <w:i w:val="false"/>
          <w:iCs w:val="false"/>
        </w:rPr>
        <w:t xml:space="preserve"/>
      </w:r>
    </w:p>
    ,
    <w:p>
      <w:pPr>
        <w:pStyle w:val="Bibliography"/>
      </w:pPr>
      <w:r>
        <w:rPr>
          <w:b w:val="false"/>
          <w:bCs w:val="false"/>
          <w:i w:val="false"/>
          <w:iCs w:val="false"/>
        </w:rPr>
        <w:t xml:space="preserve">Abel, G., Brottrager, M., Cuaresma, J. C., &amp; Muttarak, R. (2019). Climate, conflict and forced migration. </w:t>
      </w:r>
      <w:r>
        <w:rPr>
          <w:b w:val="false"/>
          <w:bCs w:val="false"/>
          <w:i w:val="true"/>
          <w:iCs w:val="true"/>
        </w:rPr>
        <w:t xml:space="preserve">Global Environmental Change</w:t>
      </w:r>
      <w:r>
        <w:rPr>
          <w:b w:val="false"/>
          <w:bCs w:val="false"/>
          <w:i w:val="false"/>
          <w:iCs w:val="false"/>
        </w:rPr>
        <w:t xml:space="preserve">, </w:t>
      </w:r>
      <w:r>
        <w:rPr>
          <w:b w:val="false"/>
          <w:bCs w:val="false"/>
          <w:i w:val="true"/>
          <w:iCs w:val="true"/>
        </w:rPr>
        <w:t xml:space="preserve">54</w:t>
      </w:r>
      <w:r>
        <w:rPr>
          <w:b w:val="false"/>
          <w:bCs w:val="false"/>
          <w:i w:val="false"/>
          <w:iCs w:val="false"/>
        </w:rPr>
        <w:t xml:space="preserve">, 239–249. </w:t>
      </w:r>
      <w:r>
        <w:rPr>
          <w:b w:val="false"/>
          <w:bCs w:val="false"/>
          <w:i w:val="false"/>
          <w:iCs w:val="false"/>
        </w:rPr>
        <w:t xml:space="preserve">https://doi.org/10.1016/j.gloenvcha.2018.12.003</w:t>
      </w:r>
      <w:r>
        <w:rPr>
          <w:b w:val="false"/>
          <w:bCs w:val="false"/>
          <w:i w:val="false"/>
          <w:iCs w:val="false"/>
        </w:rPr>
        <w:t xml:space="preserve"/>
      </w:r>
    </w:p>
    ,
    <w:p>
      <w:pPr>
        <w:pStyle w:val="Bibliography"/>
      </w:pPr>
      <w:r>
        <w:rPr>
          <w:b w:val="false"/>
          <w:bCs w:val="false"/>
          <w:i w:val="false"/>
          <w:iCs w:val="false"/>
        </w:rPr>
        <w:t xml:space="preserve">Adger, W. N., Fransen, S., De Campos, R. S., &amp; Clark, W. C. (2024a). Scientific frontiers on migration and sustainability. </w:t>
      </w:r>
      <w:r>
        <w:rPr>
          <w:b w:val="false"/>
          <w:bCs w:val="false"/>
          <w:i w:val="true"/>
          <w:iCs w:val="true"/>
        </w:rPr>
        <w:t xml:space="preserve">Proceedings of the National Academy of Sciences of the United States of America</w:t>
      </w:r>
      <w:r>
        <w:rPr>
          <w:b w:val="false"/>
          <w:bCs w:val="false"/>
          <w:i w:val="false"/>
          <w:iCs w:val="false"/>
        </w:rPr>
        <w:t xml:space="preserve">, </w:t>
      </w:r>
      <w:r>
        <w:rPr>
          <w:b w:val="false"/>
          <w:bCs w:val="false"/>
          <w:i w:val="true"/>
          <w:iCs w:val="true"/>
        </w:rPr>
        <w:t xml:space="preserve">121</w:t>
      </w:r>
      <w:r>
        <w:rPr>
          <w:b w:val="false"/>
          <w:bCs w:val="false"/>
          <w:i w:val="false"/>
          <w:iCs w:val="false"/>
        </w:rPr>
        <w:t xml:space="preserve">(3). </w:t>
      </w:r>
      <w:r>
        <w:rPr>
          <w:b w:val="false"/>
          <w:bCs w:val="false"/>
          <w:i w:val="false"/>
          <w:iCs w:val="false"/>
        </w:rPr>
        <w:t xml:space="preserve">https://doi.org/10.1073/pnas.2321325121</w:t>
      </w:r>
      <w:r>
        <w:rPr>
          <w:b w:val="false"/>
          <w:bCs w:val="false"/>
          <w:i w:val="false"/>
          <w:iCs w:val="false"/>
        </w:rPr>
        <w:t xml:space="preserve"/>
      </w:r>
    </w:p>
    ,
    <w:p>
      <w:pPr>
        <w:pStyle w:val="Bibliography"/>
      </w:pPr>
      <w:r>
        <w:rPr>
          <w:b w:val="false"/>
          <w:bCs w:val="false"/>
          <w:i w:val="false"/>
          <w:iCs w:val="false"/>
        </w:rPr>
        <w:t xml:space="preserve">Adger, W. N., Fransen, S., De Campos, R. S., &amp; Clark, W. C. (2024b). Scientific frontiers on migration and sustainability. </w:t>
      </w:r>
      <w:r>
        <w:rPr>
          <w:b w:val="false"/>
          <w:bCs w:val="false"/>
          <w:i w:val="true"/>
          <w:iCs w:val="true"/>
        </w:rPr>
        <w:t xml:space="preserve">Proceedings of the National Academy of Sciences of the United States of America</w:t>
      </w:r>
      <w:r>
        <w:rPr>
          <w:b w:val="false"/>
          <w:bCs w:val="false"/>
          <w:i w:val="false"/>
          <w:iCs w:val="false"/>
        </w:rPr>
        <w:t xml:space="preserve">, </w:t>
      </w:r>
      <w:r>
        <w:rPr>
          <w:b w:val="false"/>
          <w:bCs w:val="false"/>
          <w:i w:val="true"/>
          <w:iCs w:val="true"/>
        </w:rPr>
        <w:t xml:space="preserve">121</w:t>
      </w:r>
      <w:r>
        <w:rPr>
          <w:b w:val="false"/>
          <w:bCs w:val="false"/>
          <w:i w:val="false"/>
          <w:iCs w:val="false"/>
        </w:rPr>
        <w:t xml:space="preserve">(3). </w:t>
      </w:r>
      <w:r>
        <w:rPr>
          <w:b w:val="false"/>
          <w:bCs w:val="false"/>
          <w:i w:val="false"/>
          <w:iCs w:val="false"/>
        </w:rPr>
        <w:t xml:space="preserve">https://doi.org/10.1073/pnas.2321325121</w:t>
      </w:r>
      <w:r>
        <w:rPr>
          <w:b w:val="false"/>
          <w:bCs w:val="false"/>
          <w:i w:val="false"/>
          <w:iCs w:val="false"/>
        </w:rPr>
        <w:t xml:space="preserve"/>
      </w:r>
    </w:p>
    ,
    <w:p>
      <w:pPr>
        <w:pStyle w:val="Bibliography"/>
      </w:pPr>
      <w:r>
        <w:rPr>
          <w:b w:val="false"/>
          <w:bCs w:val="false"/>
          <w:i w:val="false"/>
          <w:iCs w:val="false"/>
        </w:rPr>
        <w:t xml:space="preserve">Adger, W. N., Fransen, S., De Campos, R. S., &amp; Clark, W. C. (2024c). Migration and sustainable development. </w:t>
      </w:r>
      <w:r>
        <w:rPr>
          <w:b w:val="false"/>
          <w:bCs w:val="false"/>
          <w:i w:val="true"/>
          <w:iCs w:val="true"/>
        </w:rPr>
        <w:t xml:space="preserve">PubMed</w:t>
      </w:r>
      <w:r>
        <w:rPr>
          <w:b w:val="false"/>
          <w:bCs w:val="false"/>
          <w:i w:val="false"/>
          <w:iCs w:val="false"/>
        </w:rPr>
        <w:t xml:space="preserve">, </w:t>
      </w:r>
      <w:r>
        <w:rPr>
          <w:b w:val="false"/>
          <w:bCs w:val="false"/>
          <w:i w:val="true"/>
          <w:iCs w:val="true"/>
        </w:rPr>
        <w:t xml:space="preserve">121</w:t>
      </w:r>
      <w:r>
        <w:rPr>
          <w:b w:val="false"/>
          <w:bCs w:val="false"/>
          <w:i w:val="false"/>
          <w:iCs w:val="false"/>
        </w:rPr>
        <w:t xml:space="preserve">(3), e2206193121. </w:t>
      </w:r>
      <w:r>
        <w:rPr>
          <w:b w:val="false"/>
          <w:bCs w:val="false"/>
          <w:i w:val="false"/>
          <w:iCs w:val="false"/>
        </w:rPr>
        <w:t xml:space="preserve">https://doi.org/10.1073/pnas.2206193121</w:t>
      </w:r>
      <w:r>
        <w:rPr>
          <w:b w:val="false"/>
          <w:bCs w:val="false"/>
          <w:i w:val="false"/>
          <w:iCs w:val="false"/>
        </w:rPr>
        <w:t xml:space="preserve"/>
      </w:r>
    </w:p>
    ,
    <w:p>
      <w:pPr>
        <w:pStyle w:val="Bibliography"/>
      </w:pPr>
      <w:r>
        <w:rPr>
          <w:b w:val="false"/>
          <w:bCs w:val="false"/>
          <w:i w:val="false"/>
          <w:iCs w:val="false"/>
        </w:rPr>
        <w:t xml:space="preserve">Bergstrom, D. M., Wienecke, B., Van Den Hoff, J., Hughes, L., Lindenmayer, D. B., Ainsworth, T. D., Baker, C. M., Bland, L. M., Bowman, D. M. J. S., Brooks, S. T., Canadell, J. G., Constable, A., Dafforn, K. A., Depledge, M. H., Dickson, C. R., Duke, N. C., Helmstedt, K. J., Holz, A., Johnson, C. R., . . . Shaw, J. (2021). Combating ecosystem collapse from the tropics to the Antarctic. </w:t>
      </w:r>
      <w:r>
        <w:rPr>
          <w:b w:val="false"/>
          <w:bCs w:val="false"/>
          <w:i w:val="true"/>
          <w:iCs w:val="true"/>
        </w:rPr>
        <w:t xml:space="preserve">Global Change Biology</w:t>
      </w:r>
      <w:r>
        <w:rPr>
          <w:b w:val="false"/>
          <w:bCs w:val="false"/>
          <w:i w:val="false"/>
          <w:iCs w:val="false"/>
        </w:rPr>
        <w:t xml:space="preserve">, </w:t>
      </w:r>
      <w:r>
        <w:rPr>
          <w:b w:val="false"/>
          <w:bCs w:val="false"/>
          <w:i w:val="true"/>
          <w:iCs w:val="true"/>
        </w:rPr>
        <w:t xml:space="preserve">27</w:t>
      </w:r>
      <w:r>
        <w:rPr>
          <w:b w:val="false"/>
          <w:bCs w:val="false"/>
          <w:i w:val="false"/>
          <w:iCs w:val="false"/>
        </w:rPr>
        <w:t xml:space="preserve">(9), 1692–1703. </w:t>
      </w:r>
      <w:r>
        <w:rPr>
          <w:b w:val="false"/>
          <w:bCs w:val="false"/>
          <w:i w:val="false"/>
          <w:iCs w:val="false"/>
        </w:rPr>
        <w:t xml:space="preserve">https://doi.org/10.1111/gcb.15539</w:t>
      </w:r>
      <w:r>
        <w:rPr>
          <w:b w:val="false"/>
          <w:bCs w:val="false"/>
          <w:i w:val="false"/>
          <w:iCs w:val="false"/>
        </w:rPr>
        <w:t xml:space="preserve"/>
      </w:r>
    </w:p>
    ,
    <w:p>
      <w:pPr>
        <w:pStyle w:val="Bibliography"/>
      </w:pPr>
      <w:r>
        <w:rPr>
          <w:b w:val="false"/>
          <w:bCs w:val="false"/>
          <w:i w:val="false"/>
          <w:iCs w:val="false"/>
        </w:rPr>
        <w:t xml:space="preserve">Bretschger, L. (2020). Malthus in the light of climate change. </w:t>
      </w:r>
      <w:r>
        <w:rPr>
          <w:b w:val="false"/>
          <w:bCs w:val="false"/>
          <w:i w:val="true"/>
          <w:iCs w:val="true"/>
        </w:rPr>
        <w:t xml:space="preserve">European Economic Review</w:t>
      </w:r>
      <w:r>
        <w:rPr>
          <w:b w:val="false"/>
          <w:bCs w:val="false"/>
          <w:i w:val="false"/>
          <w:iCs w:val="false"/>
        </w:rPr>
        <w:t xml:space="preserve">, </w:t>
      </w:r>
      <w:r>
        <w:rPr>
          <w:b w:val="false"/>
          <w:bCs w:val="false"/>
          <w:i w:val="true"/>
          <w:iCs w:val="true"/>
        </w:rPr>
        <w:t xml:space="preserve">127</w:t>
      </w:r>
      <w:r>
        <w:rPr>
          <w:b w:val="false"/>
          <w:bCs w:val="false"/>
          <w:i w:val="false"/>
          <w:iCs w:val="false"/>
        </w:rPr>
        <w:t xml:space="preserve">, 103477. </w:t>
      </w:r>
      <w:r>
        <w:rPr>
          <w:b w:val="false"/>
          <w:bCs w:val="false"/>
          <w:i w:val="false"/>
          <w:iCs w:val="false"/>
        </w:rPr>
        <w:t xml:space="preserve">https://doi.org/10.1016/j.euroecorev.2020.103477</w:t>
      </w:r>
      <w:r>
        <w:rPr>
          <w:b w:val="false"/>
          <w:bCs w:val="false"/>
          <w:i w:val="false"/>
          <w:iCs w:val="false"/>
        </w:rPr>
        <w:t xml:space="preserve"/>
      </w:r>
    </w:p>
    ,
    <w:p>
      <w:pPr>
        <w:pStyle w:val="Bibliography"/>
      </w:pPr>
      <w:r>
        <w:rPr>
          <w:b w:val="false"/>
          <w:bCs w:val="false"/>
          <w:i w:val="false"/>
          <w:iCs w:val="false"/>
        </w:rPr>
        <w:t xml:space="preserve">Caporaso, J. A. (2018). Europe’s Triple Crisis and the Uneven Role of Institutions: the Euro, Refugees and Brexit. </w:t>
      </w:r>
      <w:r>
        <w:rPr>
          <w:b w:val="false"/>
          <w:bCs w:val="false"/>
          <w:i w:val="true"/>
          <w:iCs w:val="true"/>
        </w:rPr>
        <w:t xml:space="preserve">Journal of Common Market Studies</w:t>
      </w:r>
      <w:r>
        <w:rPr>
          <w:b w:val="false"/>
          <w:bCs w:val="false"/>
          <w:i w:val="false"/>
          <w:iCs w:val="false"/>
        </w:rPr>
        <w:t xml:space="preserve">, </w:t>
      </w:r>
      <w:r>
        <w:rPr>
          <w:b w:val="false"/>
          <w:bCs w:val="false"/>
          <w:i w:val="true"/>
          <w:iCs w:val="true"/>
        </w:rPr>
        <w:t xml:space="preserve">56</w:t>
      </w:r>
      <w:r>
        <w:rPr>
          <w:b w:val="false"/>
          <w:bCs w:val="false"/>
          <w:i w:val="false"/>
          <w:iCs w:val="false"/>
        </w:rPr>
        <w:t xml:space="preserve">(6), 1345–1361. </w:t>
      </w:r>
      <w:r>
        <w:rPr>
          <w:b w:val="false"/>
          <w:bCs w:val="false"/>
          <w:i w:val="false"/>
          <w:iCs w:val="false"/>
        </w:rPr>
        <w:t xml:space="preserve">https://doi.org/10.1111/jcms.12746</w:t>
      </w:r>
      <w:r>
        <w:rPr>
          <w:b w:val="false"/>
          <w:bCs w:val="false"/>
          <w:i w:val="false"/>
          <w:iCs w:val="false"/>
        </w:rPr>
        <w:t xml:space="preserve"/>
      </w:r>
    </w:p>
    ,
    <w:p>
      <w:pPr>
        <w:pStyle w:val="Bibliography"/>
      </w:pPr>
      <w:r>
        <w:rPr>
          <w:b w:val="false"/>
          <w:bCs w:val="false"/>
          <w:i w:val="false"/>
          <w:iCs w:val="false"/>
        </w:rPr>
        <w:t xml:space="preserve">Cole, D. P. (1961). Jevonian Value Theory: A Preface to Marginal Utility Analysis. </w:t>
      </w:r>
      <w:r>
        <w:rPr>
          <w:b w:val="false"/>
          <w:bCs w:val="false"/>
          <w:i w:val="true"/>
          <w:iCs w:val="true"/>
        </w:rPr>
        <w:t xml:space="preserve">University of Montana</w:t>
      </w:r>
      <w:r>
        <w:rPr>
          <w:b w:val="false"/>
          <w:bCs w:val="false"/>
          <w:i w:val="false"/>
          <w:iCs w:val="false"/>
        </w:rPr>
        <w:t xml:space="preserve">. </w:t>
      </w:r>
      <w:r>
        <w:rPr>
          <w:b w:val="false"/>
          <w:bCs w:val="false"/>
          <w:i w:val="false"/>
          <w:iCs w:val="false"/>
        </w:rPr>
        <w:t xml:space="preserve">https://scholarworks.umt.edu/cgi/viewcontent.cgi?article=6644&amp;context=etd</w:t>
      </w:r>
      <w:r>
        <w:rPr>
          <w:b w:val="false"/>
          <w:bCs w:val="false"/>
          <w:i w:val="false"/>
          <w:iCs w:val="false"/>
        </w:rPr>
        <w:t xml:space="preserve"/>
      </w:r>
    </w:p>
    ,
    <w:p>
      <w:pPr>
        <w:pStyle w:val="Bibliography"/>
      </w:pPr>
      <w:r>
        <w:rPr>
          <w:b w:val="false"/>
          <w:bCs w:val="false"/>
          <w:i w:val="false"/>
          <w:iCs w:val="false"/>
        </w:rPr>
        <w:t xml:space="preserve">Ditlev‐Simonsen, C. D. (2021). Economic Theories and sustainable development. In </w:t>
      </w:r>
      <w:r>
        <w:rPr>
          <w:b w:val="false"/>
          <w:bCs w:val="false"/>
          <w:i w:val="true"/>
          <w:iCs w:val="true"/>
        </w:rPr>
        <w:t xml:space="preserve">Springer eBooks</w:t>
      </w:r>
      <w:r>
        <w:rPr>
          <w:b w:val="false"/>
          <w:bCs w:val="false"/>
          <w:i w:val="false"/>
          <w:iCs w:val="false"/>
        </w:rPr>
        <w:t xml:space="preserve"> (pp. 37–60). </w:t>
      </w:r>
      <w:r>
        <w:rPr>
          <w:b w:val="false"/>
          <w:bCs w:val="false"/>
          <w:i w:val="false"/>
          <w:iCs w:val="false"/>
        </w:rPr>
        <w:t xml:space="preserve">https://doi.org/10.1007/978-3-030-88203-7_3</w:t>
      </w:r>
      <w:r>
        <w:rPr>
          <w:b w:val="false"/>
          <w:bCs w:val="false"/>
          <w:i w:val="false"/>
          <w:iCs w:val="false"/>
        </w:rPr>
        <w:t xml:space="preserve"/>
      </w:r>
    </w:p>
    ,
    <w:p>
      <w:pPr>
        <w:pStyle w:val="Bibliography"/>
      </w:pPr>
      <w:r>
        <w:rPr>
          <w:b w:val="false"/>
          <w:bCs w:val="false"/>
          <w:i w:val="false"/>
          <w:iCs w:val="false"/>
        </w:rPr>
        <w:t xml:space="preserve">EconomicsOnline. (2021, December 29). </w:t>
      </w:r>
      <w:r>
        <w:rPr>
          <w:b w:val="false"/>
          <w:bCs w:val="false"/>
          <w:i w:val="true"/>
          <w:iCs w:val="true"/>
        </w:rPr>
        <w:t xml:space="preserve">What is the Malthusian theory of population?</w:t>
      </w:r>
      <w:r>
        <w:rPr>
          <w:b w:val="false"/>
          <w:bCs w:val="false"/>
          <w:i w:val="false"/>
          <w:iCs w:val="false"/>
        </w:rPr>
        <w:t xml:space="preserve"> Economics Online. </w:t>
      </w:r>
      <w:r>
        <w:rPr>
          <w:b w:val="false"/>
          <w:bCs w:val="false"/>
          <w:i w:val="false"/>
          <w:iCs w:val="false"/>
        </w:rPr>
        <w:t xml:space="preserve">https://www.economicsonline.co.uk/managing_the_economy/what-is-the-malthusian-theory-of-population.html/</w:t>
      </w:r>
      <w:r>
        <w:rPr>
          <w:b w:val="false"/>
          <w:bCs w:val="false"/>
          <w:i w:val="false"/>
          <w:iCs w:val="false"/>
        </w:rPr>
        <w:t xml:space="preserve"/>
      </w:r>
    </w:p>
    ,
    <w:p>
      <w:pPr>
        <w:pStyle w:val="Bibliography"/>
      </w:pPr>
      <w:r>
        <w:rPr>
          <w:b w:val="false"/>
          <w:bCs w:val="false"/>
          <w:i w:val="false"/>
          <w:iCs w:val="false"/>
        </w:rPr>
        <w:t xml:space="preserve">Enders, J. C., &amp; Remig, M. (2014). Theories of sustainable development. In </w:t>
      </w:r>
      <w:r>
        <w:rPr>
          <w:b w:val="false"/>
          <w:bCs w:val="false"/>
          <w:i w:val="true"/>
          <w:iCs w:val="true"/>
        </w:rPr>
        <w:t xml:space="preserve">Routledge eBooks</w:t>
      </w:r>
      <w:r>
        <w:rPr>
          <w:b w:val="false"/>
          <w:bCs w:val="false"/>
          <w:i w:val="false"/>
          <w:iCs w:val="false"/>
        </w:rPr>
        <w:t xml:space="preserve">. </w:t>
      </w:r>
      <w:r>
        <w:rPr>
          <w:b w:val="false"/>
          <w:bCs w:val="false"/>
          <w:i w:val="false"/>
          <w:iCs w:val="false"/>
        </w:rPr>
        <w:t xml:space="preserve">https://doi.org/10.4324/9781315757926</w:t>
      </w:r>
      <w:r>
        <w:rPr>
          <w:b w:val="false"/>
          <w:bCs w:val="false"/>
          <w:i w:val="false"/>
          <w:iCs w:val="false"/>
        </w:rPr>
        <w:t xml:space="preserve"/>
      </w:r>
    </w:p>
    ,
    <w:p>
      <w:pPr>
        <w:pStyle w:val="Bibliography"/>
      </w:pPr>
      <w:r>
        <w:rPr>
          <w:b w:val="false"/>
          <w:bCs w:val="false"/>
          <w:i w:val="false"/>
          <w:iCs w:val="false"/>
        </w:rPr>
        <w:t xml:space="preserve">Fransen, S., &amp; De Haas, H. (2021). Trends and patterns of global refugee migration. </w:t>
      </w:r>
      <w:r>
        <w:rPr>
          <w:b w:val="false"/>
          <w:bCs w:val="false"/>
          <w:i w:val="true"/>
          <w:iCs w:val="true"/>
        </w:rPr>
        <w:t xml:space="preserve">Population and Development Review</w:t>
      </w:r>
      <w:r>
        <w:rPr>
          <w:b w:val="false"/>
          <w:bCs w:val="false"/>
          <w:i w:val="false"/>
          <w:iCs w:val="false"/>
        </w:rPr>
        <w:t xml:space="preserve">, </w:t>
      </w:r>
      <w:r>
        <w:rPr>
          <w:b w:val="false"/>
          <w:bCs w:val="false"/>
          <w:i w:val="true"/>
          <w:iCs w:val="true"/>
        </w:rPr>
        <w:t xml:space="preserve">48</w:t>
      </w:r>
      <w:r>
        <w:rPr>
          <w:b w:val="false"/>
          <w:bCs w:val="false"/>
          <w:i w:val="false"/>
          <w:iCs w:val="false"/>
        </w:rPr>
        <w:t xml:space="preserve">(1), 97–128. </w:t>
      </w:r>
      <w:r>
        <w:rPr>
          <w:b w:val="false"/>
          <w:bCs w:val="false"/>
          <w:i w:val="false"/>
          <w:iCs w:val="false"/>
        </w:rPr>
        <w:t xml:space="preserve">https://doi.org/10.1111/padr.12456</w:t>
      </w:r>
      <w:r>
        <w:rPr>
          <w:b w:val="false"/>
          <w:bCs w:val="false"/>
          <w:i w:val="false"/>
          <w:iCs w:val="false"/>
        </w:rPr>
        <w:t xml:space="preserve"/>
      </w:r>
    </w:p>
    ,
    <w:p>
      <w:pPr>
        <w:pStyle w:val="Bibliography"/>
      </w:pPr>
      <w:r>
        <w:rPr>
          <w:b w:val="false"/>
          <w:bCs w:val="false"/>
          <w:i w:val="false"/>
          <w:iCs w:val="false"/>
        </w:rPr>
        <w:t xml:space="preserve">Greenfield, P., Swan, L., Swann, G., Scruton, P., Watson, C., &amp; Rainis, F. A. (2022, December 6). The biodiversity crisis in numbers - a visual guide. </w:t>
      </w:r>
      <w:r>
        <w:rPr>
          <w:b w:val="false"/>
          <w:bCs w:val="false"/>
          <w:i w:val="true"/>
          <w:iCs w:val="true"/>
        </w:rPr>
        <w:t xml:space="preserve">The Guardian</w:t>
      </w:r>
      <w:r>
        <w:rPr>
          <w:b w:val="false"/>
          <w:bCs w:val="false"/>
          <w:i w:val="false"/>
          <w:iCs w:val="false"/>
        </w:rPr>
        <w:t xml:space="preserve">. </w:t>
      </w:r>
      <w:r>
        <w:rPr>
          <w:b w:val="false"/>
          <w:bCs w:val="false"/>
          <w:i w:val="false"/>
          <w:iCs w:val="false"/>
        </w:rPr>
        <w:t xml:space="preserve">https://www.theguardian.com/environment/2022/dec/06/the-biodiversity-crisis-in-numbers-a-visual-guide-aoe</w:t>
      </w:r>
      <w:r>
        <w:rPr>
          <w:b w:val="false"/>
          <w:bCs w:val="false"/>
          <w:i w:val="false"/>
          <w:iCs w:val="false"/>
        </w:rPr>
        <w:t xml:space="preserve"/>
      </w:r>
    </w:p>
    ,
    <w:p>
      <w:pPr>
        <w:pStyle w:val="Bibliography"/>
      </w:pPr>
      <w:r>
        <w:rPr>
          <w:b w:val="false"/>
          <w:bCs w:val="false"/>
          <w:i w:val="false"/>
          <w:iCs w:val="false"/>
        </w:rPr>
        <w:t xml:space="preserve">Greenfield, P., &amp; Weston, P. (2023, July 24). The five biggest threats to our natural world . . . and how we can stop them. </w:t>
      </w:r>
      <w:r>
        <w:rPr>
          <w:b w:val="false"/>
          <w:bCs w:val="false"/>
          <w:i w:val="true"/>
          <w:iCs w:val="true"/>
        </w:rPr>
        <w:t xml:space="preserve">The Guardian</w:t>
      </w:r>
      <w:r>
        <w:rPr>
          <w:b w:val="false"/>
          <w:bCs w:val="false"/>
          <w:i w:val="false"/>
          <w:iCs w:val="false"/>
        </w:rPr>
        <w:t xml:space="preserve">. </w:t>
      </w:r>
      <w:r>
        <w:rPr>
          <w:b w:val="false"/>
          <w:bCs w:val="false"/>
          <w:i w:val="false"/>
          <w:iCs w:val="false"/>
        </w:rPr>
        <w:t xml:space="preserve">https://www.theguardian.com/environment/2021/oct/14/five-biggest-threats-natural-world-how-we-can-stop-them-aoe</w:t>
      </w:r>
      <w:r>
        <w:rPr>
          <w:b w:val="false"/>
          <w:bCs w:val="false"/>
          <w:i w:val="false"/>
          <w:iCs w:val="false"/>
        </w:rPr>
        <w:t xml:space="preserve"/>
      </w:r>
    </w:p>
    ,
    <w:p>
      <w:pPr>
        <w:pStyle w:val="Bibliography"/>
      </w:pPr>
      <w:r>
        <w:rPr>
          <w:b w:val="false"/>
          <w:bCs w:val="false"/>
          <w:i w:val="false"/>
          <w:iCs w:val="false"/>
        </w:rPr>
        <w:t xml:space="preserve">Guidi, M. E. L. (2008). “Everybody to count for one, nobody for more than one.” </w:t>
      </w:r>
      <w:r>
        <w:rPr>
          <w:b w:val="false"/>
          <w:bCs w:val="false"/>
          <w:i w:val="true"/>
          <w:iCs w:val="true"/>
        </w:rPr>
        <w:t xml:space="preserve">Revue D’éTudes Benthamiennes</w:t>
      </w:r>
      <w:r>
        <w:rPr>
          <w:b w:val="false"/>
          <w:bCs w:val="false"/>
          <w:i w:val="false"/>
          <w:iCs w:val="false"/>
        </w:rPr>
        <w:t xml:space="preserve">, </w:t>
      </w:r>
      <w:r>
        <w:rPr>
          <w:b w:val="false"/>
          <w:bCs w:val="false"/>
          <w:i w:val="true"/>
          <w:iCs w:val="true"/>
        </w:rPr>
        <w:t xml:space="preserve">4</w:t>
      </w:r>
      <w:r>
        <w:rPr>
          <w:b w:val="false"/>
          <w:bCs w:val="false"/>
          <w:i w:val="false"/>
          <w:iCs w:val="false"/>
        </w:rPr>
        <w:t xml:space="preserve">. </w:t>
      </w:r>
      <w:r>
        <w:rPr>
          <w:b w:val="false"/>
          <w:bCs w:val="false"/>
          <w:i w:val="false"/>
          <w:iCs w:val="false"/>
        </w:rPr>
        <w:t xml:space="preserve">https://doi.org/10.4000/etudes-benthamiennes.182</w:t>
      </w:r>
      <w:r>
        <w:rPr>
          <w:b w:val="false"/>
          <w:bCs w:val="false"/>
          <w:i w:val="false"/>
          <w:iCs w:val="false"/>
        </w:rPr>
        <w:t xml:space="preserve"/>
      </w:r>
    </w:p>
    ,
    <w:p>
      <w:pPr>
        <w:pStyle w:val="Bibliography"/>
      </w:pPr>
      <w:r>
        <w:rPr>
          <w:b w:val="false"/>
          <w:bCs w:val="false"/>
          <w:i w:val="false"/>
          <w:iCs w:val="false"/>
        </w:rPr>
        <w:t xml:space="preserve">Hauer, M. E. (n.d.). </w:t>
      </w:r>
      <w:r>
        <w:rPr>
          <w:b w:val="false"/>
          <w:bCs w:val="false"/>
          <w:i w:val="true"/>
          <w:iCs w:val="true"/>
        </w:rPr>
        <w:t xml:space="preserve">migration | Mathew E. Hauer</w:t>
      </w:r>
      <w:r>
        <w:rPr>
          <w:b w:val="false"/>
          <w:bCs w:val="false"/>
          <w:i w:val="false"/>
          <w:iCs w:val="false"/>
        </w:rPr>
        <w:t xml:space="preserve">. Mathew E. Hauer. </w:t>
      </w:r>
      <w:r>
        <w:rPr>
          <w:b w:val="false"/>
          <w:bCs w:val="false"/>
          <w:i w:val="false"/>
          <w:iCs w:val="false"/>
        </w:rPr>
        <w:t xml:space="preserve">https://mathewhauer.com/tag/migration/#:~:text=Migration%20induced%20by%20sea%2Dlevel,of%20these%20potentially%20displaced%20persons.</w:t>
      </w:r>
      <w:r>
        <w:rPr>
          <w:b w:val="false"/>
          <w:bCs w:val="false"/>
          <w:i w:val="false"/>
          <w:iCs w:val="false"/>
        </w:rPr>
        <w:t xml:space="preserve"/>
      </w:r>
    </w:p>
    ,
    <w:p>
      <w:pPr>
        <w:pStyle w:val="Bibliography"/>
      </w:pPr>
      <w:r>
        <w:rPr>
          <w:b w:val="false"/>
          <w:bCs w:val="false"/>
          <w:i w:val="false"/>
          <w:iCs w:val="false"/>
        </w:rPr>
        <w:t xml:space="preserve">Hauer, M., Jacobs, S., &amp; Kulp, S. (2024). Climate migration amplifies demographic change and population aging. </w:t>
      </w:r>
      <w:r>
        <w:rPr>
          <w:b w:val="false"/>
          <w:bCs w:val="false"/>
          <w:i w:val="true"/>
          <w:iCs w:val="true"/>
        </w:rPr>
        <w:t xml:space="preserve">Proceedings of the National Academy of Sciences of the United States of America</w:t>
      </w:r>
      <w:r>
        <w:rPr>
          <w:b w:val="false"/>
          <w:bCs w:val="false"/>
          <w:i w:val="false"/>
          <w:iCs w:val="false"/>
        </w:rPr>
        <w:t xml:space="preserve">, </w:t>
      </w:r>
      <w:r>
        <w:rPr>
          <w:b w:val="false"/>
          <w:bCs w:val="false"/>
          <w:i w:val="true"/>
          <w:iCs w:val="true"/>
        </w:rPr>
        <w:t xml:space="preserve">121</w:t>
      </w:r>
      <w:r>
        <w:rPr>
          <w:b w:val="false"/>
          <w:bCs w:val="false"/>
          <w:i w:val="false"/>
          <w:iCs w:val="false"/>
        </w:rPr>
        <w:t xml:space="preserve">(3). </w:t>
      </w:r>
      <w:r>
        <w:rPr>
          <w:b w:val="false"/>
          <w:bCs w:val="false"/>
          <w:i w:val="false"/>
          <w:iCs w:val="false"/>
        </w:rPr>
        <w:t xml:space="preserve">https://doi.org/10.1073/pnas.2206192119</w:t>
      </w:r>
      <w:r>
        <w:rPr>
          <w:b w:val="false"/>
          <w:bCs w:val="false"/>
          <w:i w:val="false"/>
          <w:iCs w:val="false"/>
        </w:rPr>
        <w:t xml:space="preserve"/>
      </w:r>
    </w:p>
    ,
    <w:p>
      <w:pPr>
        <w:pStyle w:val="Bibliography"/>
      </w:pPr>
      <w:r>
        <w:rPr>
          <w:b w:val="false"/>
          <w:bCs w:val="false"/>
          <w:i w:val="false"/>
          <w:iCs w:val="false"/>
        </w:rPr>
        <w:t xml:space="preserve">Martin. (2024, April 29). </w:t>
      </w:r>
      <w:r>
        <w:rPr>
          <w:b w:val="false"/>
          <w:bCs w:val="false"/>
          <w:i w:val="true"/>
          <w:iCs w:val="true"/>
        </w:rPr>
        <w:t xml:space="preserve">The Sustainable Development Agenda - United Nations Sustainable Development</w:t>
      </w:r>
      <w:r>
        <w:rPr>
          <w:b w:val="false"/>
          <w:bCs w:val="false"/>
          <w:i w:val="false"/>
          <w:iCs w:val="false"/>
        </w:rPr>
        <w:t xml:space="preserve">. United Nations Sustainable Development. </w:t>
      </w:r>
      <w:r>
        <w:rPr>
          <w:b w:val="false"/>
          <w:bCs w:val="false"/>
          <w:i w:val="false"/>
          <w:iCs w:val="false"/>
        </w:rPr>
        <w:t xml:space="preserve">https://www.un.org/sustainabledevelopment/development-agenda/</w:t>
      </w:r>
      <w:r>
        <w:rPr>
          <w:b w:val="false"/>
          <w:bCs w:val="false"/>
          <w:i w:val="false"/>
          <w:iCs w:val="false"/>
        </w:rPr>
        <w:t xml:space="preserve"/>
      </w:r>
    </w:p>
    ,
    <w:p>
      <w:pPr>
        <w:pStyle w:val="Bibliography"/>
      </w:pPr>
      <w:r>
        <w:rPr>
          <w:b w:val="false"/>
          <w:bCs w:val="false"/>
          <w:i w:val="false"/>
          <w:iCs w:val="false"/>
        </w:rPr>
        <w:t xml:space="preserve">McCarthy, J. J., &amp; Prudham, S. (2004). Neoliberal nature and the nature of neoliberalism. </w:t>
      </w:r>
      <w:r>
        <w:rPr>
          <w:b w:val="false"/>
          <w:bCs w:val="false"/>
          <w:i w:val="true"/>
          <w:iCs w:val="true"/>
        </w:rPr>
        <w:t xml:space="preserve">Geoforum</w:t>
      </w:r>
      <w:r>
        <w:rPr>
          <w:b w:val="false"/>
          <w:bCs w:val="false"/>
          <w:i w:val="false"/>
          <w:iCs w:val="false"/>
        </w:rPr>
        <w:t xml:space="preserve">, </w:t>
      </w:r>
      <w:r>
        <w:rPr>
          <w:b w:val="false"/>
          <w:bCs w:val="false"/>
          <w:i w:val="true"/>
          <w:iCs w:val="true"/>
        </w:rPr>
        <w:t xml:space="preserve">35</w:t>
      </w:r>
      <w:r>
        <w:rPr>
          <w:b w:val="false"/>
          <w:bCs w:val="false"/>
          <w:i w:val="false"/>
          <w:iCs w:val="false"/>
        </w:rPr>
        <w:t xml:space="preserve">(3), 275–283. </w:t>
      </w:r>
      <w:r>
        <w:rPr>
          <w:b w:val="false"/>
          <w:bCs w:val="false"/>
          <w:i w:val="false"/>
          <w:iCs w:val="false"/>
        </w:rPr>
        <w:t xml:space="preserve">https://doi.org/10.1016/j.geoforum.2003.07.003</w:t>
      </w:r>
      <w:r>
        <w:rPr>
          <w:b w:val="false"/>
          <w:bCs w:val="false"/>
          <w:i w:val="false"/>
          <w:iCs w:val="false"/>
        </w:rPr>
        <w:t xml:space="preserve"/>
      </w:r>
    </w:p>
    ,
    <w:p>
      <w:pPr>
        <w:pStyle w:val="Bibliography"/>
      </w:pPr>
      <w:r>
        <w:rPr>
          <w:b w:val="false"/>
          <w:bCs w:val="false"/>
          <w:i w:val="false"/>
          <w:iCs w:val="false"/>
        </w:rPr>
        <w:t xml:space="preserve">Mulder, P., &amp; Van Den Bergh, J. (2001). Evolutionary Economic Theories of Sustainable Development. </w:t>
      </w:r>
      <w:r>
        <w:rPr>
          <w:b w:val="false"/>
          <w:bCs w:val="false"/>
          <w:i w:val="true"/>
          <w:iCs w:val="true"/>
        </w:rPr>
        <w:t xml:space="preserve">Growth and Change</w:t>
      </w:r>
      <w:r>
        <w:rPr>
          <w:b w:val="false"/>
          <w:bCs w:val="false"/>
          <w:i w:val="false"/>
          <w:iCs w:val="false"/>
        </w:rPr>
        <w:t xml:space="preserve">, </w:t>
      </w:r>
      <w:r>
        <w:rPr>
          <w:b w:val="false"/>
          <w:bCs w:val="false"/>
          <w:i w:val="true"/>
          <w:iCs w:val="true"/>
        </w:rPr>
        <w:t xml:space="preserve">32</w:t>
      </w:r>
      <w:r>
        <w:rPr>
          <w:b w:val="false"/>
          <w:bCs w:val="false"/>
          <w:i w:val="false"/>
          <w:iCs w:val="false"/>
        </w:rPr>
        <w:t xml:space="preserve">(1), 110–134. </w:t>
      </w:r>
      <w:r>
        <w:rPr>
          <w:b w:val="false"/>
          <w:bCs w:val="false"/>
          <w:i w:val="false"/>
          <w:iCs w:val="false"/>
        </w:rPr>
        <w:t xml:space="preserve">https://doi.org/10.1111/0017-4815.00152</w:t>
      </w:r>
      <w:r>
        <w:rPr>
          <w:b w:val="false"/>
          <w:bCs w:val="false"/>
          <w:i w:val="false"/>
          <w:iCs w:val="false"/>
        </w:rPr>
        <w:t xml:space="preserve"/>
      </w:r>
    </w:p>
    ,
    <w:p>
      <w:pPr>
        <w:pStyle w:val="Bibliography"/>
      </w:pPr>
      <w:r>
        <w:rPr>
          <w:b w:val="false"/>
          <w:bCs w:val="false"/>
          <w:i w:val="false"/>
          <w:iCs w:val="false"/>
        </w:rPr>
        <w:t xml:space="preserve">Novacek, M. J., &amp; Cleland, E. E. (2001). The current biodiversity extinction event: Scenarios for mitigation and recovery. </w:t>
      </w:r>
      <w:r>
        <w:rPr>
          <w:b w:val="false"/>
          <w:bCs w:val="false"/>
          <w:i w:val="true"/>
          <w:iCs w:val="true"/>
        </w:rPr>
        <w:t xml:space="preserve">Proceedings of the National Academy of Sciences of the United States of America</w:t>
      </w:r>
      <w:r>
        <w:rPr>
          <w:b w:val="false"/>
          <w:bCs w:val="false"/>
          <w:i w:val="false"/>
          <w:iCs w:val="false"/>
        </w:rPr>
        <w:t xml:space="preserve">, </w:t>
      </w:r>
      <w:r>
        <w:rPr>
          <w:b w:val="false"/>
          <w:bCs w:val="false"/>
          <w:i w:val="true"/>
          <w:iCs w:val="true"/>
        </w:rPr>
        <w:t xml:space="preserve">98</w:t>
      </w:r>
      <w:r>
        <w:rPr>
          <w:b w:val="false"/>
          <w:bCs w:val="false"/>
          <w:i w:val="false"/>
          <w:iCs w:val="false"/>
        </w:rPr>
        <w:t xml:space="preserve">(10), 5466–5470. </w:t>
      </w:r>
      <w:r>
        <w:rPr>
          <w:b w:val="false"/>
          <w:bCs w:val="false"/>
          <w:i w:val="false"/>
          <w:iCs w:val="false"/>
        </w:rPr>
        <w:t xml:space="preserve">https://doi.org/10.1073/pnas.091093698</w:t>
      </w:r>
      <w:r>
        <w:rPr>
          <w:b w:val="false"/>
          <w:bCs w:val="false"/>
          <w:i w:val="false"/>
          <w:iCs w:val="false"/>
        </w:rPr>
        <w:t xml:space="preserve"/>
      </w:r>
    </w:p>
    ,
    <w:p>
      <w:pPr>
        <w:pStyle w:val="Bibliography"/>
      </w:pPr>
      <w:r>
        <w:rPr>
          <w:b w:val="false"/>
          <w:bCs w:val="false"/>
          <w:i w:val="false"/>
          <w:iCs w:val="false"/>
        </w:rPr>
        <w:t xml:space="preserve">Rafferty, J. P. (2024, April 30). </w:t>
      </w:r>
      <w:r>
        <w:rPr>
          <w:b w:val="false"/>
          <w:bCs w:val="false"/>
          <w:i w:val="true"/>
          <w:iCs w:val="true"/>
        </w:rPr>
        <w:t xml:space="preserve">Biodiversity loss | Causes, Effects, &amp; Facts</w:t>
      </w:r>
      <w:r>
        <w:rPr>
          <w:b w:val="false"/>
          <w:bCs w:val="false"/>
          <w:i w:val="false"/>
          <w:iCs w:val="false"/>
        </w:rPr>
        <w:t xml:space="preserve">. Encyclopedia Britannica. </w:t>
      </w:r>
      <w:r>
        <w:rPr>
          <w:b w:val="false"/>
          <w:bCs w:val="false"/>
          <w:i w:val="false"/>
          <w:iCs w:val="false"/>
        </w:rPr>
        <w:t xml:space="preserve">https://www.britannica.com/science/biodiversity-loss</w:t>
      </w:r>
      <w:r>
        <w:rPr>
          <w:b w:val="false"/>
          <w:bCs w:val="false"/>
          <w:i w:val="false"/>
          <w:iCs w:val="false"/>
        </w:rPr>
        <w:t xml:space="preserve"/>
      </w:r>
    </w:p>
    ,
    <w:p>
      <w:pPr>
        <w:pStyle w:val="Bibliography"/>
      </w:pPr>
      <w:r>
        <w:rPr>
          <w:b w:val="false"/>
          <w:bCs w:val="false"/>
          <w:i w:val="false"/>
          <w:iCs w:val="false"/>
        </w:rPr>
        <w:t xml:space="preserve">Reid, D. (1995). </w:t>
      </w:r>
      <w:r>
        <w:rPr>
          <w:b w:val="false"/>
          <w:bCs w:val="false"/>
          <w:i w:val="true"/>
          <w:iCs w:val="true"/>
        </w:rPr>
        <w:t xml:space="preserve">Sustainable Development: an Introductory guide</w:t>
      </w:r>
      <w:r>
        <w:rPr>
          <w:b w:val="false"/>
          <w:bCs w:val="false"/>
          <w:i w:val="false"/>
          <w:iCs w:val="false"/>
        </w:rPr>
        <w:t xml:space="preserve">. </w:t>
      </w:r>
      <w:r>
        <w:rPr>
          <w:b w:val="false"/>
          <w:bCs w:val="false"/>
          <w:i w:val="false"/>
          <w:iCs w:val="false"/>
        </w:rPr>
        <w:t xml:space="preserve">https://www.amazon.com/Sustainable-Development-Introductory-David-Reid/dp/1853832413</w:t>
      </w:r>
      <w:r>
        <w:rPr>
          <w:b w:val="false"/>
          <w:bCs w:val="false"/>
          <w:i w:val="false"/>
          <w:iCs w:val="false"/>
        </w:rPr>
        <w:t xml:space="preserve"/>
      </w:r>
    </w:p>
    ,
    <w:p>
      <w:pPr>
        <w:pStyle w:val="Bibliography"/>
      </w:pPr>
      <w:r>
        <w:rPr>
          <w:b w:val="false"/>
          <w:bCs w:val="false"/>
          <w:i w:val="false"/>
          <w:iCs w:val="false"/>
        </w:rPr>
        <w:t xml:space="preserve">Sitarz, D. (1993). AGENDA 21: the Earth Summit strategy to save our planet. </w:t>
      </w:r>
      <w:r>
        <w:rPr>
          <w:b w:val="false"/>
          <w:bCs w:val="false"/>
          <w:i w:val="true"/>
          <w:iCs w:val="true"/>
        </w:rPr>
        <w:t xml:space="preserve">Choice/Choice Reviews</w:t>
      </w:r>
      <w:r>
        <w:rPr>
          <w:b w:val="false"/>
          <w:bCs w:val="false"/>
          <w:i w:val="false"/>
          <w:iCs w:val="false"/>
        </w:rPr>
        <w:t xml:space="preserve">, </w:t>
      </w:r>
      <w:r>
        <w:rPr>
          <w:b w:val="false"/>
          <w:bCs w:val="false"/>
          <w:i w:val="true"/>
          <w:iCs w:val="true"/>
        </w:rPr>
        <w:t xml:space="preserve">31</w:t>
      </w:r>
      <w:r>
        <w:rPr>
          <w:b w:val="false"/>
          <w:bCs w:val="false"/>
          <w:i w:val="false"/>
          <w:iCs w:val="false"/>
        </w:rPr>
        <w:t xml:space="preserve">(03), 31–1491a. </w:t>
      </w:r>
      <w:r>
        <w:rPr>
          <w:b w:val="false"/>
          <w:bCs w:val="false"/>
          <w:i w:val="false"/>
          <w:iCs w:val="false"/>
        </w:rPr>
        <w:t xml:space="preserve">https://doi.org/10.5860/choice.31-1491a</w:t>
      </w:r>
      <w:r>
        <w:rPr>
          <w:b w:val="false"/>
          <w:bCs w:val="false"/>
          <w:i w:val="false"/>
          <w:iCs w:val="false"/>
        </w:rPr>
        <w:t xml:space="preserve"/>
      </w:r>
    </w:p>
    ,
    <w:p>
      <w:pPr>
        <w:pStyle w:val="Bibliography"/>
      </w:pPr>
      <w:r>
        <w:rPr>
          <w:b w:val="false"/>
          <w:bCs w:val="false"/>
          <w:i w:val="false"/>
          <w:iCs w:val="false"/>
        </w:rPr>
        <w:t xml:space="preserve"/>
      </w:r>
      <w:r>
        <w:rPr>
          <w:b w:val="false"/>
          <w:bCs w:val="false"/>
          <w:i w:val="true"/>
          <w:iCs w:val="true"/>
        </w:rPr>
        <w:t xml:space="preserve">Six causes of forced migration</w:t>
      </w:r>
      <w:r>
        <w:rPr>
          <w:b w:val="false"/>
          <w:bCs w:val="false"/>
          <w:i w:val="false"/>
          <w:iCs w:val="false"/>
        </w:rPr>
        <w:t xml:space="preserve">. (2022, April 9). </w:t>
      </w:r>
      <w:r>
        <w:rPr>
          <w:b w:val="false"/>
          <w:bCs w:val="false"/>
          <w:i w:val="false"/>
          <w:iCs w:val="false"/>
        </w:rPr>
        <w:t xml:space="preserve">https://concernusa.org/news/forced-migration-causes/</w:t>
      </w:r>
      <w:r>
        <w:rPr>
          <w:b w:val="false"/>
          <w:bCs w:val="false"/>
          <w:i w:val="false"/>
          <w:iCs w:val="false"/>
        </w:rPr>
        <w:t xml:space="preserve"/>
      </w:r>
    </w:p>
    ,
    <w:p>
      <w:pPr>
        <w:pStyle w:val="Bibliography"/>
      </w:pPr>
      <w:r>
        <w:rPr>
          <w:b w:val="false"/>
          <w:bCs w:val="false"/>
          <w:i w:val="false"/>
          <w:iCs w:val="false"/>
        </w:rPr>
        <w:t xml:space="preserve">Starik, M., &amp; Kanashiro, P. (2013). Toward a theory of sustainability management. </w:t>
      </w:r>
      <w:r>
        <w:rPr>
          <w:b w:val="false"/>
          <w:bCs w:val="false"/>
          <w:i w:val="true"/>
          <w:iCs w:val="true"/>
        </w:rPr>
        <w:t xml:space="preserve">Organization &amp; Environment</w:t>
      </w:r>
      <w:r>
        <w:rPr>
          <w:b w:val="false"/>
          <w:bCs w:val="false"/>
          <w:i w:val="false"/>
          <w:iCs w:val="false"/>
        </w:rPr>
        <w:t xml:space="preserve">, </w:t>
      </w:r>
      <w:r>
        <w:rPr>
          <w:b w:val="false"/>
          <w:bCs w:val="false"/>
          <w:i w:val="true"/>
          <w:iCs w:val="true"/>
        </w:rPr>
        <w:t xml:space="preserve">26</w:t>
      </w:r>
      <w:r>
        <w:rPr>
          <w:b w:val="false"/>
          <w:bCs w:val="false"/>
          <w:i w:val="false"/>
          <w:iCs w:val="false"/>
        </w:rPr>
        <w:t xml:space="preserve">(1), 7–30. </w:t>
      </w:r>
      <w:r>
        <w:rPr>
          <w:b w:val="false"/>
          <w:bCs w:val="false"/>
          <w:i w:val="false"/>
          <w:iCs w:val="false"/>
        </w:rPr>
        <w:t xml:space="preserve">https://doi.org/10.1177/1086026612474958</w:t>
      </w:r>
      <w:r>
        <w:rPr>
          <w:b w:val="false"/>
          <w:bCs w:val="false"/>
          <w:i w:val="false"/>
          <w:iCs w:val="false"/>
        </w:rPr>
        <w:t xml:space="preserve"/>
      </w:r>
    </w:p>
    ,
    <w:p>
      <w:pPr>
        <w:pStyle w:val="Bibliography"/>
      </w:pPr>
      <w:r>
        <w:rPr>
          <w:b w:val="false"/>
          <w:bCs w:val="false"/>
          <w:i w:val="false"/>
          <w:iCs w:val="false"/>
        </w:rPr>
        <w:t xml:space="preserve">Tax Foundation. (2024, February 8). </w:t>
      </w:r>
      <w:r>
        <w:rPr>
          <w:b w:val="false"/>
          <w:bCs w:val="false"/>
          <w:i w:val="true"/>
          <w:iCs w:val="true"/>
        </w:rPr>
        <w:t xml:space="preserve">Pigouvian Tax Definition | TaxEDU Glossary</w:t>
      </w:r>
      <w:r>
        <w:rPr>
          <w:b w:val="false"/>
          <w:bCs w:val="false"/>
          <w:i w:val="false"/>
          <w:iCs w:val="false"/>
        </w:rPr>
        <w:t xml:space="preserve">. </w:t>
      </w:r>
      <w:r>
        <w:rPr>
          <w:b w:val="false"/>
          <w:bCs w:val="false"/>
          <w:i w:val="false"/>
          <w:iCs w:val="false"/>
        </w:rPr>
        <w:t xml:space="preserve">https://taxfoundation.org/taxedu/glossary/pigouvian-tax/#:~:text=A%20Pigouvian%20tax%2C%20named%20after,sugar%20taxes%2C%20and%20carbon%20taxes.</w:t>
      </w:r>
      <w:r>
        <w:rPr>
          <w:b w:val="false"/>
          <w:bCs w:val="false"/>
          <w:i w:val="false"/>
          <w:iCs w:val="false"/>
        </w:rPr>
        <w:t xml:space="preserve"/>
      </w:r>
    </w:p>
    ,
    <w:p>
      <w:pPr>
        <w:pStyle w:val="Bibliography"/>
      </w:pPr>
      <w:r>
        <w:rPr>
          <w:b w:val="false"/>
          <w:bCs w:val="false"/>
          <w:i w:val="false"/>
          <w:iCs w:val="false"/>
        </w:rPr>
        <w:t xml:space="preserve"/>
      </w:r>
      <w:r>
        <w:rPr>
          <w:b w:val="false"/>
          <w:bCs w:val="false"/>
          <w:i w:val="true"/>
          <w:iCs w:val="true"/>
        </w:rPr>
        <w:t xml:space="preserve">The previous industrial revolutions broke the environment. Can the current one fix it?</w:t>
      </w:r>
      <w:r>
        <w:rPr>
          <w:b w:val="false"/>
          <w:bCs w:val="false"/>
          <w:i w:val="false"/>
          <w:iCs w:val="false"/>
        </w:rPr>
        <w:t xml:space="preserve"> (2020, February 6). World Economic Forum. </w:t>
      </w:r>
      <w:r>
        <w:rPr>
          <w:b w:val="false"/>
          <w:bCs w:val="false"/>
          <w:i w:val="false"/>
          <w:iCs w:val="false"/>
        </w:rPr>
        <w:t xml:space="preserve">https://www.weforum.org/agenda/2017/04/fix-the-environment-there-s-an-app-for-that/</w:t>
      </w:r>
      <w:r>
        <w:rPr>
          <w:b w:val="false"/>
          <w:bCs w:val="false"/>
          <w:i w:val="false"/>
          <w:iCs w:val="false"/>
        </w:rPr>
        <w:t xml:space="preserve"/>
      </w:r>
    </w:p>
    ,
    <w:p>
      <w:pPr>
        <w:pStyle w:val="Bibliography"/>
      </w:pPr>
      <w:r>
        <w:rPr>
          <w:b w:val="false"/>
          <w:bCs w:val="false"/>
          <w:i w:val="false"/>
          <w:iCs w:val="false"/>
        </w:rPr>
        <w:t xml:space="preserve">United Nations. (n.d.). </w:t>
      </w:r>
      <w:r>
        <w:rPr>
          <w:b w:val="false"/>
          <w:bCs w:val="false"/>
          <w:i w:val="true"/>
          <w:iCs w:val="true"/>
        </w:rPr>
        <w:t xml:space="preserve">Biodiversity - our strongest natural defense against climate change | United Nations</w:t>
      </w:r>
      <w:r>
        <w:rPr>
          <w:b w:val="false"/>
          <w:bCs w:val="false"/>
          <w:i w:val="false"/>
          <w:iCs w:val="false"/>
        </w:rPr>
        <w:t xml:space="preserve">. </w:t>
      </w:r>
      <w:r>
        <w:rPr>
          <w:b w:val="false"/>
          <w:bCs w:val="false"/>
          <w:i w:val="false"/>
          <w:iCs w:val="false"/>
        </w:rPr>
        <w:t xml:space="preserve">https://www.un.org/en/climatechange/science/climate-issues/biodiversity#:~:text=Protecting%2C%20managing%2C%20and%20restoring%20forests,cent%20of%20the%20planet&amp;apos;s%20land.</w:t>
      </w:r>
      <w:r>
        <w:rPr>
          <w:b w:val="false"/>
          <w:bCs w:val="false"/>
          <w:i w:val="false"/>
          <w:iCs w:val="false"/>
        </w:rPr>
        <w:t xml:space="preserve"/>
      </w:r>
    </w:p>
    ,
    <w:p>
      <w:pPr>
        <w:pStyle w:val="Bibliography"/>
      </w:pPr>
      <w:r>
        <w:rPr>
          <w:b w:val="false"/>
          <w:bCs w:val="false"/>
          <w:i w:val="false"/>
          <w:iCs w:val="false"/>
        </w:rPr>
        <w:t xml:space="preserve"/>
      </w:r>
      <w:r>
        <w:rPr>
          <w:b w:val="false"/>
          <w:bCs w:val="false"/>
          <w:i w:val="true"/>
          <w:iCs w:val="true"/>
        </w:rPr>
        <w:t xml:space="preserve">What is sustainable development · Sustainable Development Commission</w:t>
      </w:r>
      <w:r>
        <w:rPr>
          <w:b w:val="false"/>
          <w:bCs w:val="false"/>
          <w:i w:val="false"/>
          <w:iCs w:val="false"/>
        </w:rPr>
        <w:t xml:space="preserve">. (n.d.). </w:t>
      </w:r>
      <w:r>
        <w:rPr>
          <w:b w:val="false"/>
          <w:bCs w:val="false"/>
          <w:i w:val="false"/>
          <w:iCs w:val="false"/>
        </w:rPr>
        <w:t xml:space="preserve">https://www.sd-commission.org.uk/pages/what-is-sustainable-development.html</w:t>
      </w:r>
      <w:r>
        <w:rPr>
          <w:b w:val="false"/>
          <w:bCs w:val="false"/>
          <w:i w:val="false"/>
          <w:iCs w:val="false"/>
        </w:rPr>
        <w:t xml:space="preserve"/>
      </w:r>
    </w:p>
    ,
    <w:p>
      <w:pPr>
        <w:pStyle w:val="Bibliography"/>
      </w:pPr>
      <w:r>
        <w:rPr>
          <w:b w:val="false"/>
          <w:bCs w:val="false"/>
          <w:i w:val="false"/>
          <w:iCs w:val="false"/>
        </w:rPr>
        <w:t xml:space="preserve"/>
      </w:r>
      <w:r>
        <w:rPr>
          <w:b w:val="false"/>
          <w:bCs w:val="false"/>
          <w:i w:val="true"/>
          <w:iCs w:val="true"/>
        </w:rPr>
        <w:t xml:space="preserve">World Economic Forum | Page cannot be found</w:t>
      </w:r>
      <w:r>
        <w:rPr>
          <w:b w:val="false"/>
          <w:bCs w:val="false"/>
          <w:i w:val="false"/>
          <w:iCs w:val="false"/>
        </w:rPr>
        <w:t xml:space="preserve">. (n.d.). </w:t>
      </w:r>
      <w:r>
        <w:rPr>
          <w:b w:val="false"/>
          <w:bCs w:val="false"/>
          <w:i w:val="false"/>
          <w:iCs w:val="false"/>
        </w:rPr>
        <w:t xml:space="preserve">https://www3.weforum.org/docs/WEF_The_Global_Risks_Report_2024</w:t>
      </w:r>
      <w:r>
        <w:rPr>
          <w:b w:val="false"/>
          <w:bCs w:val="false"/>
          <w:i w:val="false"/>
          <w:iCs w:val="false"/>
        </w:rPr>
        <w:t xml:space="preserve"/>
      </w:r>
    </w:p>
    ,
    <w:p>
      <w:pPr>
        <w:pStyle w:val="Bibliography"/>
      </w:pPr>
      <w:r>
        <w:rPr>
          <w:b w:val="false"/>
          <w:bCs w:val="false"/>
          <w:i w:val="false"/>
          <w:iCs w:val="false"/>
        </w:rPr>
        <w:t xml:space="preserve">world-disasters-report-2012-focus-on-forced-migration-and-displacement. (2016). [Dataset]. In </w:t>
      </w:r>
      <w:r>
        <w:rPr>
          <w:b w:val="false"/>
          <w:bCs w:val="false"/>
          <w:i w:val="true"/>
          <w:iCs w:val="true"/>
        </w:rPr>
        <w:t xml:space="preserve">Human Rights Documents online</w:t>
      </w:r>
      <w:r>
        <w:rPr>
          <w:b w:val="false"/>
          <w:bCs w:val="false"/>
          <w:i w:val="false"/>
          <w:iCs w:val="false"/>
        </w:rPr>
        <w:t xml:space="preserve">. </w:t>
      </w:r>
      <w:r>
        <w:rPr>
          <w:b w:val="false"/>
          <w:bCs w:val="false"/>
          <w:i w:val="false"/>
          <w:iCs w:val="false"/>
        </w:rPr>
        <w:t xml:space="preserve">https://doi.org/10.1163/2210-7975_hrd-9813-0032</w:t>
      </w:r>
      <w:r>
        <w:rPr>
          <w:b w:val="false"/>
          <w:bCs w:val="false"/>
          <w:i w:val="false"/>
          <w:iCs w:val="false"/>
        </w:rPr>
        <w:t xml:space="preserve"/>
      </w:r>
    </w:p>
    ,
    <w:p>
      <w:pPr>
        <w:pStyle w:val="Bibliography"/>
      </w:pPr>
      <w:r>
        <w:rPr>
          <w:b w:val="false"/>
          <w:bCs w:val="false"/>
          <w:i w:val="false"/>
          <w:iCs w:val="false"/>
        </w:rPr>
        <w:t xml:space="preserve">Zafirovski, M. (2001). Max Weber’s analysis of marginal utility Theory and psychology revisited: Latent Propositions in Economic Sociology and the Sociology of Economics. </w:t>
      </w:r>
      <w:r>
        <w:rPr>
          <w:b w:val="false"/>
          <w:bCs w:val="false"/>
          <w:i w:val="true"/>
          <w:iCs w:val="true"/>
        </w:rPr>
        <w:t xml:space="preserve">History of Political Economy</w:t>
      </w:r>
      <w:r>
        <w:rPr>
          <w:b w:val="false"/>
          <w:bCs w:val="false"/>
          <w:i w:val="false"/>
          <w:iCs w:val="false"/>
        </w:rPr>
        <w:t xml:space="preserve">, </w:t>
      </w:r>
      <w:r>
        <w:rPr>
          <w:b w:val="false"/>
          <w:bCs w:val="false"/>
          <w:i w:val="true"/>
          <w:iCs w:val="true"/>
        </w:rPr>
        <w:t xml:space="preserve">33</w:t>
      </w:r>
      <w:r>
        <w:rPr>
          <w:b w:val="false"/>
          <w:bCs w:val="false"/>
          <w:i w:val="false"/>
          <w:iCs w:val="false"/>
        </w:rPr>
        <w:t xml:space="preserve">(3), 437–458. </w:t>
      </w:r>
      <w:r>
        <w:rPr>
          <w:b w:val="false"/>
          <w:bCs w:val="false"/>
          <w:i w:val="false"/>
          <w:iCs w:val="false"/>
        </w:rPr>
        <w:t xml:space="preserve">https://doi.org/10.1215/00182702-33-3-437</w:t>
      </w:r>
      <w:r>
        <w:rPr>
          <w:b w:val="false"/>
          <w:bCs w:val="false"/>
          <w:i w:val="false"/>
          <w:iCs w:val="false"/>
        </w:rPr>
        <w:t xml:space="preserve"/>
      </w:r>
    </w:p>
    <w:sectPr w:rsidR="00287DD9" w:rsidRPr="00287DD9">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5896A" w14:textId="77777777" w:rsidR="00454F77" w:rsidRDefault="00454F77">
      <w:pPr>
        <w:spacing w:line="240" w:lineRule="auto"/>
      </w:pPr>
      <w:r>
        <w:separator/>
      </w:r>
    </w:p>
  </w:endnote>
  <w:endnote w:type="continuationSeparator" w:id="0">
    <w:p w14:paraId="229F9308" w14:textId="77777777" w:rsidR="00454F77" w:rsidRDefault="00454F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moder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B637A" w14:textId="2BC8D8A1" w:rsidR="00FD027A" w:rsidRDefault="00FD027A">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93D68" w14:textId="77777777" w:rsidR="00454F77" w:rsidRDefault="00454F77">
      <w:pPr>
        <w:spacing w:line="240" w:lineRule="auto"/>
      </w:pPr>
      <w:r>
        <w:separator/>
      </w:r>
    </w:p>
  </w:footnote>
  <w:footnote w:type="continuationSeparator" w:id="0">
    <w:p w14:paraId="156F0B04" w14:textId="77777777" w:rsidR="00454F77" w:rsidRDefault="00454F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E003E" w14:textId="77777777" w:rsidR="00FD027A" w:rsidRDefault="000A150F">
    <w:pPr>
      <w:pStyle w:val="Header"/>
      <w:jc w:val="right"/>
    </w:pPr>
    <w:r>
      <w:fldChar w:fldCharType="begin"/>
    </w:r>
    <w:r>
      <w:instrText>PAGE</w:instrText>
    </w:r>
    <w:r>
      <w:fldChar w:fldCharType="separate"/>
    </w:r>
    <w:r w:rsidR="00351121">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430AF"/>
    <w:multiLevelType w:val="hybridMultilevel"/>
    <w:tmpl w:val="D69A8A36"/>
    <w:lvl w:ilvl="0" w:tplc="D7AA5822">
      <w:start w:val="1"/>
      <w:numFmt w:val="bullet"/>
      <w:pStyle w:val="ListBullet"/>
      <w:lvlText w:val="●"/>
      <w:lvlJc w:val="left"/>
      <w:pPr>
        <w:ind w:left="720" w:hanging="360"/>
      </w:pPr>
    </w:lvl>
    <w:lvl w:ilvl="1" w:tplc="71F64D74">
      <w:start w:val="1"/>
      <w:numFmt w:val="bullet"/>
      <w:lvlText w:val="○"/>
      <w:lvlJc w:val="left"/>
      <w:pPr>
        <w:ind w:left="1440" w:hanging="360"/>
      </w:pPr>
    </w:lvl>
    <w:lvl w:ilvl="2" w:tplc="BA20E348">
      <w:start w:val="1"/>
      <w:numFmt w:val="bullet"/>
      <w:lvlText w:val="■"/>
      <w:lvlJc w:val="left"/>
      <w:pPr>
        <w:ind w:left="2160" w:hanging="360"/>
      </w:pPr>
    </w:lvl>
    <w:lvl w:ilvl="3" w:tplc="E5B295A6">
      <w:start w:val="1"/>
      <w:numFmt w:val="bullet"/>
      <w:lvlText w:val="●"/>
      <w:lvlJc w:val="left"/>
      <w:pPr>
        <w:ind w:left="2880" w:hanging="360"/>
      </w:pPr>
    </w:lvl>
    <w:lvl w:ilvl="4" w:tplc="AC20E2A0">
      <w:start w:val="1"/>
      <w:numFmt w:val="bullet"/>
      <w:lvlText w:val="○"/>
      <w:lvlJc w:val="left"/>
      <w:pPr>
        <w:ind w:left="3600" w:hanging="360"/>
      </w:pPr>
    </w:lvl>
    <w:lvl w:ilvl="5" w:tplc="BB3A204E">
      <w:start w:val="1"/>
      <w:numFmt w:val="bullet"/>
      <w:lvlText w:val="■"/>
      <w:lvlJc w:val="left"/>
      <w:pPr>
        <w:ind w:left="4320" w:hanging="360"/>
      </w:pPr>
    </w:lvl>
    <w:lvl w:ilvl="6" w:tplc="A510C2F2">
      <w:start w:val="1"/>
      <w:numFmt w:val="bullet"/>
      <w:lvlText w:val="●"/>
      <w:lvlJc w:val="left"/>
      <w:pPr>
        <w:ind w:left="5040" w:hanging="360"/>
      </w:pPr>
    </w:lvl>
    <w:lvl w:ilvl="7" w:tplc="36D02FBC">
      <w:start w:val="1"/>
      <w:numFmt w:val="bullet"/>
      <w:lvlText w:val="●"/>
      <w:lvlJc w:val="left"/>
      <w:pPr>
        <w:ind w:left="5760" w:hanging="360"/>
      </w:pPr>
    </w:lvl>
    <w:lvl w:ilvl="8" w:tplc="93D01F50">
      <w:start w:val="1"/>
      <w:numFmt w:val="bullet"/>
      <w:lvlText w:val="●"/>
      <w:lvlJc w:val="left"/>
      <w:pPr>
        <w:ind w:left="6480" w:hanging="360"/>
      </w:pPr>
    </w:lvl>
  </w:abstractNum>
  <w:num w:numId="1" w16cid:durableId="195359214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27A"/>
    <w:rsid w:val="000A150F"/>
    <w:rsid w:val="00287DD9"/>
    <w:rsid w:val="00351121"/>
    <w:rsid w:val="00454F77"/>
    <w:rsid w:val="00675234"/>
    <w:rsid w:val="00781B41"/>
    <w:rsid w:val="00FD027A"/>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ecimalSymbol w:val=","/>
  <w:listSeparator w:val=","/>
  <w14:docId w14:val="086AC05A"/>
  <w15:docId w15:val="{3D28F9DE-1CC2-3549-AAD2-DBD64B807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NL"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ind w:firstLine="720"/>
    </w:pPr>
    <w:rPr>
      <w:sz w:val="24"/>
      <w:szCs w:val="24"/>
      <w:rFonts w:ascii="Times New Roman" w:cs="Times New Roman" w:eastAsia="Times New Roman" w:hAnsi="Times New Roman"/>
    </w:rPr>
  </w:style>
  <w:style w:type="paragraph" w:styleId="Heading1">
    <w:name w:val="heading 1"/>
    <w:basedOn w:val="Normal"/>
    <w:next w:val="Normal"/>
    <w:uiPriority w:val="9"/>
    <w:qFormat/>
    <w:pPr>
      <w:ind w:firstLine="0"/>
      <w:jc w:val="center"/>
      <w:outlineLvl w:val="0"/>
    </w:pPr>
    <w:rPr>
      <w:b/>
      <w:bCs/>
    </w:rPr>
  </w:style>
  <w:style w:type="paragraph" w:styleId="Heading2">
    <w:name w:val="heading 2"/>
    <w:basedOn w:val="Normal"/>
    <w:next w:val="Normal"/>
    <w:uiPriority w:val="9"/>
    <w:unhideWhenUsed/>
    <w:qFormat/>
    <w:pPr>
      <w:ind w:firstLine="0"/>
      <w:outlineLvl w:val="1"/>
    </w:pPr>
    <w:rPr>
      <w:b/>
      <w:bCs/>
    </w:rPr>
  </w:style>
  <w:style w:type="paragraph" w:styleId="Heading3">
    <w:name w:val="heading 3"/>
    <w:basedOn w:val="Normal"/>
    <w:next w:val="Normal"/>
    <w:uiPriority w:val="9"/>
    <w:unhideWhenUsed/>
    <w:qFormat/>
    <w:pPr>
      <w:ind w:firstLine="0"/>
      <w:outlineLvl w:val="2"/>
    </w:pPr>
    <w:rPr>
      <w:b/>
      <w:bCs/>
      <w:i/>
      <w:iCs/>
    </w:rPr>
  </w:style>
  <w:style w:type="paragraph" w:styleId="Heading4">
    <w:name w:val="heading 4"/>
    <w:basedOn w:val="Normal"/>
    <w:next w:val="Normal"/>
    <w:uiPriority w:val="9"/>
    <w:unhideWhenUsed/>
    <w:qFormat/>
    <w:pPr>
      <w:outlineLvl w:val="3"/>
    </w:pPr>
    <w:rPr>
      <w:b/>
      <w:bCs/>
    </w:rPr>
  </w:style>
  <w:style w:type="paragraph" w:styleId="Heading5">
    <w:name w:val="heading 5"/>
    <w:basedOn w:val="Normal"/>
    <w:next w:val="Normal"/>
    <w:uiPriority w:val="9"/>
    <w:unhideWhenUsed/>
    <w:qFormat/>
    <w:pPr>
      <w:outlineLvl w:val="4"/>
    </w:pPr>
    <w:rPr>
      <w:b/>
      <w:bCs/>
      <w:i/>
      <w:iCs/>
    </w:rPr>
  </w:style>
  <w:style w:type="paragraph" w:styleId="Heading6">
    <w:name w:val="heading 6"/>
    <w:basedOn w:val="Normal"/>
    <w:next w:val="Normal"/>
    <w:uiPriority w:val="9"/>
    <w:semiHidden/>
    <w:unhideWhenUsed/>
    <w:qFormat/>
    <w:pPr>
      <w:outlineLvl w:val="5"/>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ind w:firstLine="0"/>
      <w:jc w:val="center"/>
    </w:pPr>
  </w:style>
  <w:style w:type="paragraph" w:customStyle="1" w:styleId="Strong1">
    <w:name w:val="Strong1"/>
    <w:basedOn w:val="Normal"/>
    <w:next w:val="Normal"/>
    <w:qFormat/>
    <w:rPr>
      <w:b/>
      <w:bCs/>
    </w:rPr>
  </w:style>
  <w:style w:type="paragraph" w:styleId="ListParagraph">
    <w:name w:val="List Paragraph"/>
    <w:basedOn w:val="Normal"/>
  </w:style>
  <w:style w:type="character" w:styleId="Hyperlink">
    <w:name w:val="Hyperlink"/>
    <w:uiPriority w:val="99"/>
    <w:unhideWhenUsed/>
    <w:rPr>
      <w:color w:val="1F80E8"/>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paragraph" w:styleId="Bibliography">
    <w:name w:val="Bibliography"/>
    <w:basedOn w:val="Normal"/>
    <w:pPr>
      <w:ind w:left="720" w:hanging="720"/>
    </w:pPr>
  </w:style>
  <w:style w:type="paragraph" w:customStyle="1" w:styleId="BibliographyAnnotation">
    <w:name w:val="Bibliography Annotation"/>
    <w:basedOn w:val="Normal"/>
    <w:pPr>
      <w:ind w:left="720"/>
    </w:pPr>
  </w:style>
  <w:style w:type="paragraph" w:customStyle="1" w:styleId="BibliographyAnnotationFirstLine">
    <w:name w:val="Bibliography Annotation First Line"/>
    <w:basedOn w:val="BibliographyAnnotation"/>
    <w:next w:val="BibliographyAnnotation"/>
    <w:pPr>
      <w:ind w:firstLine="0"/>
    </w:pPr>
  </w:style>
  <w:style w:type="paragraph" w:customStyle="1" w:styleId="BibliographyAnnotationMultiLine">
    <w:name w:val="Bibliography Annotation Multi Line"/>
    <w:basedOn w:val="BibliographyAnnotation"/>
  </w:style>
  <w:style w:type="paragraph" w:customStyle="1" w:styleId="BibliographyAnnotationMultiLineFirstLine">
    <w:name w:val="Bibliography Annotation Multi Line First Line"/>
    <w:basedOn w:val="BibliographyAnnotationFirstLine"/>
    <w:next w:val="BibliographyAnnotationMultiLine"/>
  </w:style>
  <w:style w:type="paragraph" w:styleId="Header">
    <w:name w:val="header"/>
    <w:basedOn w:val="Normal"/>
    <w:pPr>
      <w:spacing w:line="240" w:lineRule="auto"/>
      <w:ind w:firstLine="0"/>
    </w:pPr>
  </w:style>
  <w:style w:type="paragraph" w:styleId="ListBullet">
    <w:name w:val="List Bullet"/>
    <w:basedOn w:val="Normal"/>
    <w:pPr>
      <w:numPr>
        <w:numId w:val="1"/>
      </w:numPr>
      <w:ind w:left="1080"/>
      <w:contextualSpacing/>
    </w:pPr>
  </w:style>
  <w:style w:type="paragraph" w:styleId="Footer">
    <w:name w:val="footer"/>
    <w:basedOn w:val="Normal"/>
    <w:link w:val="FooterChar"/>
    <w:uiPriority w:val="99"/>
    <w:unhideWhenUsed/>
    <w:rsid w:val="00675234"/>
    <w:pPr>
      <w:tabs>
        <w:tab w:val="center" w:pos="4513"/>
        <w:tab w:val="right" w:pos="9026"/>
      </w:tabs>
      <w:spacing w:line="240" w:lineRule="auto"/>
    </w:pPr>
  </w:style>
  <w:style w:type="character" w:customStyle="1" w:styleId="FooterChar">
    <w:name w:val="Footer Char"/>
    <w:basedOn w:val="DefaultParagraphFont"/>
    <w:link w:val="Footer"/>
    <w:uiPriority w:val="99"/>
    <w:rsid w:val="00675234"/>
    <w:rPr>
      <w:sz w:val="24"/>
      <w:szCs w:val="24"/>
      <w:rFonts w:ascii="Times New Roman" w:cs="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4</Words>
  <Characters>24</Characters>
  <Application>Microsoft Office Word</Application>
  <DocSecurity>0</DocSecurity>
  <Lines>1</Lines>
  <Paragraphs>1</Paragraphs>
  <ScaleCrop>false</ScaleCrop>
  <Company/>
  <LinksUpToDate>false</LinksUpToDate>
  <CharactersWithSpaces>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Tobias Klevenz</cp:lastModifiedBy>
  <cp:revision>4</cp:revision>
  <dcterms:created xsi:type="dcterms:W3CDTF">2022-05-31T12:50:00Z</dcterms:created>
  <dcterms:modified xsi:type="dcterms:W3CDTF">2024-04-09T12:49:00Z</dcterms:modified>
</cp:coreProperties>
</file>