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22E5A" w14:textId="77777777" w:rsidR="00CB5393" w:rsidRDefault="00CB5393" w:rsidP="003C7602">
      <w:pPr>
        <w:pStyle w:val="Title"/>
        <w:jc w:val="both"/>
      </w:pPr>
    </w:p>
    <w:p w14:paraId="78DA15F1" w14:textId="77777777" w:rsidR="003C7602" w:rsidRDefault="0067703C" w:rsidP="00CB5393">
      <w:pPr>
        <w:pStyle w:val="Title"/>
        <w:rPr>
          <w:b/>
        </w:rPr>
      </w:pPr>
      <w:r w:rsidRPr="00AE7CEC">
        <w:rPr>
          <w:b/>
        </w:rPr>
        <w:t>Community Engagement</w:t>
      </w:r>
    </w:p>
    <w:p w14:paraId="23E91E12" w14:textId="687B04DA" w:rsidR="00F35637" w:rsidRPr="00AE7CEC" w:rsidRDefault="003C7602" w:rsidP="003C7602">
      <w:pPr>
        <w:pStyle w:val="Title"/>
        <w:rPr>
          <w:b/>
        </w:rPr>
      </w:pPr>
      <w:r w:rsidRPr="00AE7CEC">
        <w:rPr>
          <w:b/>
        </w:rPr>
        <w:t>Assessment 2</w:t>
      </w:r>
    </w:p>
    <w:p w14:paraId="5620FCB8" w14:textId="6B1D921B" w:rsidR="003C7602" w:rsidRPr="003C7602" w:rsidRDefault="003C7602" w:rsidP="003C7602">
      <w:pPr>
        <w:spacing w:line="252" w:lineRule="auto"/>
        <w:jc w:val="center"/>
        <w:rPr>
          <w:rFonts w:cstheme="minorBidi"/>
          <w:sz w:val="36"/>
          <w:szCs w:val="36"/>
        </w:rPr>
      </w:pPr>
      <w:r w:rsidRPr="003C7602">
        <w:rPr>
          <w:sz w:val="36"/>
          <w:szCs w:val="36"/>
        </w:rPr>
        <w:t>Student Name: Elitsa Yankova</w:t>
      </w:r>
    </w:p>
    <w:p w14:paraId="4A8BFB9B" w14:textId="77777777" w:rsidR="003C7602" w:rsidRPr="003C7602" w:rsidRDefault="003C7602" w:rsidP="003C7602">
      <w:pPr>
        <w:spacing w:line="252" w:lineRule="auto"/>
        <w:jc w:val="center"/>
        <w:rPr>
          <w:rFonts w:eastAsia="Arial" w:cs="Arial"/>
          <w:sz w:val="36"/>
          <w:szCs w:val="36"/>
        </w:rPr>
      </w:pPr>
      <w:r w:rsidRPr="003C7602">
        <w:rPr>
          <w:sz w:val="36"/>
          <w:szCs w:val="36"/>
        </w:rPr>
        <w:t>Student ID:2030401</w:t>
      </w:r>
    </w:p>
    <w:p w14:paraId="77403E33" w14:textId="52760087" w:rsidR="003C7602" w:rsidRDefault="003C7602" w:rsidP="003C7602">
      <w:pPr>
        <w:pStyle w:val="BodyText"/>
        <w:spacing w:before="4"/>
        <w:rPr>
          <w:rFonts w:cs="Times New Roman"/>
          <w:b/>
          <w:color w:val="000000" w:themeColor="text1"/>
          <w:sz w:val="29"/>
          <w:lang w:val="en-GB"/>
        </w:rPr>
      </w:pPr>
    </w:p>
    <w:p w14:paraId="13FF1303" w14:textId="3B891702" w:rsidR="003C7602" w:rsidRDefault="003C7602" w:rsidP="003C7602">
      <w:pPr>
        <w:pStyle w:val="BodyText"/>
        <w:spacing w:before="4"/>
        <w:rPr>
          <w:rFonts w:cs="Times New Roman"/>
          <w:b/>
          <w:color w:val="000000" w:themeColor="text1"/>
          <w:sz w:val="29"/>
          <w:lang w:val="en-GB"/>
        </w:rPr>
      </w:pPr>
    </w:p>
    <w:p w14:paraId="1544750E" w14:textId="7E4B5EF1" w:rsidR="003C7602" w:rsidRDefault="003C7602" w:rsidP="003C7602">
      <w:pPr>
        <w:pStyle w:val="BodyText"/>
        <w:spacing w:before="4"/>
        <w:rPr>
          <w:rFonts w:cs="Times New Roman"/>
          <w:b/>
          <w:color w:val="000000" w:themeColor="text1"/>
          <w:sz w:val="29"/>
          <w:lang w:val="en-GB"/>
        </w:rPr>
      </w:pPr>
    </w:p>
    <w:p w14:paraId="2C8640FB" w14:textId="3577B9B9" w:rsidR="003C7602" w:rsidRDefault="003C7602" w:rsidP="003C7602">
      <w:pPr>
        <w:pStyle w:val="BodyText"/>
        <w:spacing w:before="4"/>
        <w:rPr>
          <w:rFonts w:cs="Times New Roman"/>
          <w:b/>
          <w:color w:val="000000" w:themeColor="text1"/>
          <w:sz w:val="29"/>
          <w:lang w:val="en-GB"/>
        </w:rPr>
      </w:pPr>
    </w:p>
    <w:p w14:paraId="4D1CAE32" w14:textId="605392A6" w:rsidR="003C7602" w:rsidRDefault="003C7602" w:rsidP="003C7602">
      <w:pPr>
        <w:pStyle w:val="BodyText"/>
        <w:spacing w:before="4"/>
        <w:rPr>
          <w:rFonts w:cs="Times New Roman"/>
          <w:b/>
          <w:color w:val="000000" w:themeColor="text1"/>
          <w:sz w:val="29"/>
          <w:lang w:val="en-GB"/>
        </w:rPr>
      </w:pPr>
    </w:p>
    <w:p w14:paraId="012DC605" w14:textId="54126DE1" w:rsidR="003C7602" w:rsidRDefault="003C7602" w:rsidP="003C7602">
      <w:pPr>
        <w:pStyle w:val="BodyText"/>
        <w:spacing w:before="4"/>
        <w:rPr>
          <w:rFonts w:cs="Times New Roman"/>
          <w:b/>
          <w:color w:val="000000" w:themeColor="text1"/>
          <w:sz w:val="29"/>
          <w:lang w:val="en-GB"/>
        </w:rPr>
      </w:pPr>
    </w:p>
    <w:p w14:paraId="620E3631" w14:textId="5641D8DB" w:rsidR="003C7602" w:rsidRDefault="003C7602" w:rsidP="003C7602">
      <w:pPr>
        <w:pStyle w:val="BodyText"/>
        <w:spacing w:before="4"/>
        <w:rPr>
          <w:rFonts w:cs="Times New Roman"/>
          <w:b/>
          <w:color w:val="000000" w:themeColor="text1"/>
          <w:sz w:val="29"/>
          <w:lang w:val="en-GB"/>
        </w:rPr>
      </w:pPr>
    </w:p>
    <w:p w14:paraId="37292858" w14:textId="40FD8931" w:rsidR="003C7602" w:rsidRDefault="003C7602" w:rsidP="003C7602">
      <w:pPr>
        <w:pStyle w:val="BodyText"/>
        <w:spacing w:before="4"/>
        <w:rPr>
          <w:rFonts w:cs="Times New Roman"/>
          <w:b/>
          <w:color w:val="000000" w:themeColor="text1"/>
          <w:sz w:val="29"/>
          <w:lang w:val="en-GB"/>
        </w:rPr>
      </w:pPr>
    </w:p>
    <w:p w14:paraId="5984F2BE" w14:textId="5C6149F9" w:rsidR="003C7602" w:rsidRDefault="003C7602" w:rsidP="003C7602">
      <w:pPr>
        <w:pStyle w:val="BodyText"/>
        <w:spacing w:before="4"/>
        <w:rPr>
          <w:rFonts w:cs="Times New Roman"/>
          <w:b/>
          <w:color w:val="000000" w:themeColor="text1"/>
          <w:sz w:val="29"/>
          <w:lang w:val="en-GB"/>
        </w:rPr>
      </w:pPr>
    </w:p>
    <w:p w14:paraId="1B5FC554" w14:textId="4421E242" w:rsidR="003C7602" w:rsidRDefault="003C7602" w:rsidP="003C7602">
      <w:pPr>
        <w:pStyle w:val="BodyText"/>
        <w:spacing w:before="4"/>
        <w:rPr>
          <w:rFonts w:cs="Times New Roman"/>
          <w:b/>
          <w:color w:val="000000" w:themeColor="text1"/>
          <w:sz w:val="29"/>
          <w:lang w:val="en-GB"/>
        </w:rPr>
      </w:pPr>
    </w:p>
    <w:p w14:paraId="62F1E766" w14:textId="754723B2" w:rsidR="003C7602" w:rsidRDefault="003C7602" w:rsidP="003C7602">
      <w:pPr>
        <w:pStyle w:val="BodyText"/>
        <w:spacing w:before="4"/>
        <w:rPr>
          <w:rFonts w:cs="Times New Roman"/>
          <w:b/>
          <w:color w:val="000000" w:themeColor="text1"/>
          <w:sz w:val="29"/>
          <w:lang w:val="en-GB"/>
        </w:rPr>
      </w:pPr>
    </w:p>
    <w:p w14:paraId="4531563B" w14:textId="10C5E4F0" w:rsidR="003C7602" w:rsidRDefault="003C7602" w:rsidP="003C7602">
      <w:pPr>
        <w:pStyle w:val="BodyText"/>
        <w:spacing w:before="4"/>
        <w:rPr>
          <w:rFonts w:cs="Times New Roman"/>
          <w:b/>
          <w:color w:val="000000" w:themeColor="text1"/>
          <w:sz w:val="29"/>
          <w:lang w:val="en-GB"/>
        </w:rPr>
      </w:pPr>
    </w:p>
    <w:p w14:paraId="12EC73F4" w14:textId="142903ED" w:rsidR="003C7602" w:rsidRDefault="003C7602" w:rsidP="003C7602">
      <w:pPr>
        <w:pStyle w:val="BodyText"/>
        <w:spacing w:before="4"/>
        <w:rPr>
          <w:rFonts w:cs="Times New Roman"/>
          <w:b/>
          <w:color w:val="000000" w:themeColor="text1"/>
          <w:sz w:val="29"/>
          <w:lang w:val="en-GB"/>
        </w:rPr>
      </w:pPr>
    </w:p>
    <w:p w14:paraId="04885BFD" w14:textId="7E3DB7EC" w:rsidR="003C7602" w:rsidRDefault="003C7602" w:rsidP="003C7602">
      <w:pPr>
        <w:pStyle w:val="BodyText"/>
        <w:spacing w:before="4"/>
        <w:rPr>
          <w:rFonts w:cs="Times New Roman"/>
          <w:b/>
          <w:color w:val="000000" w:themeColor="text1"/>
          <w:sz w:val="29"/>
          <w:lang w:val="en-GB"/>
        </w:rPr>
      </w:pPr>
    </w:p>
    <w:p w14:paraId="20C5CFB9" w14:textId="5FBEB0C4" w:rsidR="003C7602" w:rsidRDefault="003C7602" w:rsidP="003C7602">
      <w:pPr>
        <w:pStyle w:val="BodyText"/>
        <w:spacing w:before="4"/>
        <w:rPr>
          <w:rFonts w:cs="Times New Roman"/>
          <w:b/>
          <w:color w:val="000000" w:themeColor="text1"/>
          <w:sz w:val="29"/>
          <w:lang w:val="en-GB"/>
        </w:rPr>
      </w:pPr>
    </w:p>
    <w:p w14:paraId="319030C3" w14:textId="03AB6F5A" w:rsidR="003C7602" w:rsidRDefault="003C7602" w:rsidP="003C7602">
      <w:pPr>
        <w:pStyle w:val="BodyText"/>
        <w:spacing w:before="4"/>
        <w:rPr>
          <w:rFonts w:cs="Times New Roman"/>
          <w:b/>
          <w:color w:val="000000" w:themeColor="text1"/>
          <w:sz w:val="29"/>
          <w:lang w:val="en-GB"/>
        </w:rPr>
      </w:pPr>
    </w:p>
    <w:p w14:paraId="62DB803F" w14:textId="19D3E5B4" w:rsidR="003C7602" w:rsidRDefault="003C7602" w:rsidP="003C7602">
      <w:pPr>
        <w:pStyle w:val="BodyText"/>
        <w:spacing w:before="4"/>
        <w:rPr>
          <w:rFonts w:cs="Times New Roman"/>
          <w:b/>
          <w:color w:val="000000" w:themeColor="text1"/>
          <w:sz w:val="29"/>
          <w:lang w:val="en-GB"/>
        </w:rPr>
      </w:pPr>
    </w:p>
    <w:p w14:paraId="711FE4AF" w14:textId="77777777" w:rsidR="003C7602" w:rsidRDefault="003C7602" w:rsidP="003C7602">
      <w:pPr>
        <w:pStyle w:val="BodyText"/>
        <w:spacing w:before="4"/>
        <w:rPr>
          <w:rFonts w:cs="Times New Roman"/>
          <w:b/>
          <w:color w:val="000000" w:themeColor="text1"/>
          <w:sz w:val="29"/>
          <w:lang w:val="en-GB"/>
        </w:rPr>
      </w:pPr>
    </w:p>
    <w:p w14:paraId="4133572E" w14:textId="769F2302" w:rsidR="00CB5393" w:rsidRDefault="00CB5393" w:rsidP="004C38A1"/>
    <w:sdt>
      <w:sdtPr>
        <w:rPr>
          <w:rFonts w:ascii="Times New Roman" w:eastAsiaTheme="minorHAnsi" w:hAnsi="Times New Roman" w:cs="Times New Roman"/>
          <w:b w:val="0"/>
          <w:bCs w:val="0"/>
          <w:color w:val="auto"/>
          <w:sz w:val="24"/>
          <w:szCs w:val="24"/>
          <w:lang w:val="en-IN"/>
        </w:rPr>
        <w:id w:val="5188266"/>
        <w:docPartObj>
          <w:docPartGallery w:val="Table of Contents"/>
          <w:docPartUnique/>
        </w:docPartObj>
      </w:sdtPr>
      <w:sdtEndPr/>
      <w:sdtContent>
        <w:p w14:paraId="69A453DA" w14:textId="77777777" w:rsidR="00CB5393" w:rsidRPr="00CB5393" w:rsidRDefault="00CB5393" w:rsidP="00CB5393">
          <w:pPr>
            <w:pStyle w:val="TOCHeading"/>
            <w:spacing w:line="360" w:lineRule="auto"/>
            <w:jc w:val="center"/>
            <w:rPr>
              <w:rFonts w:ascii="Times New Roman" w:hAnsi="Times New Roman" w:cs="Times New Roman"/>
              <w:color w:val="auto"/>
              <w:sz w:val="24"/>
              <w:szCs w:val="24"/>
            </w:rPr>
          </w:pPr>
          <w:r w:rsidRPr="00CB5393">
            <w:rPr>
              <w:rFonts w:ascii="Times New Roman" w:hAnsi="Times New Roman" w:cs="Times New Roman"/>
              <w:color w:val="auto"/>
              <w:sz w:val="24"/>
              <w:szCs w:val="24"/>
            </w:rPr>
            <w:t>Table of Contents</w:t>
          </w:r>
        </w:p>
        <w:p w14:paraId="6031D1B9" w14:textId="77777777" w:rsidR="00CB5393" w:rsidRPr="00CB5393" w:rsidRDefault="00CB5393" w:rsidP="00CB5393">
          <w:pPr>
            <w:pStyle w:val="TOC1"/>
            <w:tabs>
              <w:tab w:val="right" w:leader="dot" w:pos="9016"/>
            </w:tabs>
            <w:rPr>
              <w:noProof/>
            </w:rPr>
          </w:pPr>
          <w:r w:rsidRPr="00CB5393">
            <w:fldChar w:fldCharType="begin"/>
          </w:r>
          <w:r w:rsidRPr="00CB5393">
            <w:instrText xml:space="preserve"> TOC \o "1-3" \h \z \u </w:instrText>
          </w:r>
          <w:r w:rsidRPr="00CB5393">
            <w:fldChar w:fldCharType="separate"/>
          </w:r>
          <w:hyperlink w:anchor="_Toc100728897" w:history="1">
            <w:r w:rsidRPr="00CB5393">
              <w:rPr>
                <w:rStyle w:val="Hyperlink"/>
                <w:noProof/>
                <w:color w:val="auto"/>
              </w:rPr>
              <w:t>Introduction</w:t>
            </w:r>
            <w:r w:rsidRPr="00CB5393">
              <w:rPr>
                <w:noProof/>
                <w:webHidden/>
              </w:rPr>
              <w:tab/>
            </w:r>
            <w:r w:rsidRPr="00CB5393">
              <w:rPr>
                <w:noProof/>
                <w:webHidden/>
              </w:rPr>
              <w:fldChar w:fldCharType="begin"/>
            </w:r>
            <w:r w:rsidRPr="00CB5393">
              <w:rPr>
                <w:noProof/>
                <w:webHidden/>
              </w:rPr>
              <w:instrText xml:space="preserve"> PAGEREF _Toc100728897 \h </w:instrText>
            </w:r>
            <w:r w:rsidRPr="00CB5393">
              <w:rPr>
                <w:noProof/>
                <w:webHidden/>
              </w:rPr>
            </w:r>
            <w:r w:rsidRPr="00CB5393">
              <w:rPr>
                <w:noProof/>
                <w:webHidden/>
              </w:rPr>
              <w:fldChar w:fldCharType="separate"/>
            </w:r>
            <w:r>
              <w:rPr>
                <w:noProof/>
                <w:webHidden/>
              </w:rPr>
              <w:t>3</w:t>
            </w:r>
            <w:r w:rsidRPr="00CB5393">
              <w:rPr>
                <w:noProof/>
                <w:webHidden/>
              </w:rPr>
              <w:fldChar w:fldCharType="end"/>
            </w:r>
          </w:hyperlink>
        </w:p>
        <w:p w14:paraId="724785E3" w14:textId="77777777" w:rsidR="00CB5393" w:rsidRPr="00CB5393" w:rsidRDefault="009D66F6" w:rsidP="00CB5393">
          <w:pPr>
            <w:pStyle w:val="TOC1"/>
            <w:tabs>
              <w:tab w:val="right" w:leader="dot" w:pos="9016"/>
            </w:tabs>
            <w:rPr>
              <w:noProof/>
            </w:rPr>
          </w:pPr>
          <w:hyperlink w:anchor="_Toc100728898" w:history="1">
            <w:r w:rsidR="00CB5393" w:rsidRPr="00CB5393">
              <w:rPr>
                <w:rStyle w:val="Hyperlink"/>
                <w:noProof/>
                <w:color w:val="auto"/>
              </w:rPr>
              <w:t>The Body</w:t>
            </w:r>
            <w:r w:rsidR="00CB5393" w:rsidRPr="00CB5393">
              <w:rPr>
                <w:noProof/>
                <w:webHidden/>
              </w:rPr>
              <w:tab/>
            </w:r>
            <w:r w:rsidR="00CB5393" w:rsidRPr="00CB5393">
              <w:rPr>
                <w:noProof/>
                <w:webHidden/>
              </w:rPr>
              <w:fldChar w:fldCharType="begin"/>
            </w:r>
            <w:r w:rsidR="00CB5393" w:rsidRPr="00CB5393">
              <w:rPr>
                <w:noProof/>
                <w:webHidden/>
              </w:rPr>
              <w:instrText xml:space="preserve"> PAGEREF _Toc100728898 \h </w:instrText>
            </w:r>
            <w:r w:rsidR="00CB5393" w:rsidRPr="00CB5393">
              <w:rPr>
                <w:noProof/>
                <w:webHidden/>
              </w:rPr>
            </w:r>
            <w:r w:rsidR="00CB5393" w:rsidRPr="00CB5393">
              <w:rPr>
                <w:noProof/>
                <w:webHidden/>
              </w:rPr>
              <w:fldChar w:fldCharType="separate"/>
            </w:r>
            <w:r w:rsidR="00CB5393">
              <w:rPr>
                <w:noProof/>
                <w:webHidden/>
              </w:rPr>
              <w:t>4</w:t>
            </w:r>
            <w:r w:rsidR="00CB5393" w:rsidRPr="00CB5393">
              <w:rPr>
                <w:noProof/>
                <w:webHidden/>
              </w:rPr>
              <w:fldChar w:fldCharType="end"/>
            </w:r>
          </w:hyperlink>
        </w:p>
        <w:p w14:paraId="3CE853F2" w14:textId="77777777" w:rsidR="00CB5393" w:rsidRPr="00CB5393" w:rsidRDefault="009D66F6" w:rsidP="00CB5393">
          <w:pPr>
            <w:pStyle w:val="TOC2"/>
            <w:tabs>
              <w:tab w:val="right" w:leader="dot" w:pos="9016"/>
            </w:tabs>
            <w:rPr>
              <w:noProof/>
            </w:rPr>
          </w:pPr>
          <w:hyperlink w:anchor="_Toc100728899" w:history="1">
            <w:r w:rsidR="00CB5393" w:rsidRPr="00CB5393">
              <w:rPr>
                <w:rStyle w:val="Hyperlink"/>
                <w:noProof/>
                <w:color w:val="auto"/>
              </w:rPr>
              <w:t>Differences between the two projects</w:t>
            </w:r>
            <w:r w:rsidR="00CB5393" w:rsidRPr="00CB5393">
              <w:rPr>
                <w:noProof/>
                <w:webHidden/>
              </w:rPr>
              <w:tab/>
            </w:r>
            <w:r w:rsidR="00CB5393" w:rsidRPr="00CB5393">
              <w:rPr>
                <w:noProof/>
                <w:webHidden/>
              </w:rPr>
              <w:fldChar w:fldCharType="begin"/>
            </w:r>
            <w:r w:rsidR="00CB5393" w:rsidRPr="00CB5393">
              <w:rPr>
                <w:noProof/>
                <w:webHidden/>
              </w:rPr>
              <w:instrText xml:space="preserve"> PAGEREF _Toc100728899 \h </w:instrText>
            </w:r>
            <w:r w:rsidR="00CB5393" w:rsidRPr="00CB5393">
              <w:rPr>
                <w:noProof/>
                <w:webHidden/>
              </w:rPr>
            </w:r>
            <w:r w:rsidR="00CB5393" w:rsidRPr="00CB5393">
              <w:rPr>
                <w:noProof/>
                <w:webHidden/>
              </w:rPr>
              <w:fldChar w:fldCharType="separate"/>
            </w:r>
            <w:r w:rsidR="00CB5393">
              <w:rPr>
                <w:noProof/>
                <w:webHidden/>
              </w:rPr>
              <w:t>4</w:t>
            </w:r>
            <w:r w:rsidR="00CB5393" w:rsidRPr="00CB5393">
              <w:rPr>
                <w:noProof/>
                <w:webHidden/>
              </w:rPr>
              <w:fldChar w:fldCharType="end"/>
            </w:r>
          </w:hyperlink>
        </w:p>
        <w:p w14:paraId="37E935C5" w14:textId="77777777" w:rsidR="00CB5393" w:rsidRPr="00CB5393" w:rsidRDefault="009D66F6" w:rsidP="00CB5393">
          <w:pPr>
            <w:pStyle w:val="TOC2"/>
            <w:tabs>
              <w:tab w:val="right" w:leader="dot" w:pos="9016"/>
            </w:tabs>
            <w:rPr>
              <w:noProof/>
            </w:rPr>
          </w:pPr>
          <w:hyperlink w:anchor="_Toc100728900" w:history="1">
            <w:r w:rsidR="00CB5393" w:rsidRPr="00CB5393">
              <w:rPr>
                <w:rStyle w:val="Hyperlink"/>
                <w:noProof/>
                <w:color w:val="auto"/>
              </w:rPr>
              <w:t>Reflection on what could have been done differently</w:t>
            </w:r>
            <w:r w:rsidR="00CB5393" w:rsidRPr="00CB5393">
              <w:rPr>
                <w:noProof/>
                <w:webHidden/>
              </w:rPr>
              <w:tab/>
            </w:r>
            <w:r w:rsidR="00CB5393" w:rsidRPr="00CB5393">
              <w:rPr>
                <w:noProof/>
                <w:webHidden/>
              </w:rPr>
              <w:fldChar w:fldCharType="begin"/>
            </w:r>
            <w:r w:rsidR="00CB5393" w:rsidRPr="00CB5393">
              <w:rPr>
                <w:noProof/>
                <w:webHidden/>
              </w:rPr>
              <w:instrText xml:space="preserve"> PAGEREF _Toc100728900 \h </w:instrText>
            </w:r>
            <w:r w:rsidR="00CB5393" w:rsidRPr="00CB5393">
              <w:rPr>
                <w:noProof/>
                <w:webHidden/>
              </w:rPr>
            </w:r>
            <w:r w:rsidR="00CB5393" w:rsidRPr="00CB5393">
              <w:rPr>
                <w:noProof/>
                <w:webHidden/>
              </w:rPr>
              <w:fldChar w:fldCharType="separate"/>
            </w:r>
            <w:r w:rsidR="00CB5393">
              <w:rPr>
                <w:noProof/>
                <w:webHidden/>
              </w:rPr>
              <w:t>5</w:t>
            </w:r>
            <w:r w:rsidR="00CB5393" w:rsidRPr="00CB5393">
              <w:rPr>
                <w:noProof/>
                <w:webHidden/>
              </w:rPr>
              <w:fldChar w:fldCharType="end"/>
            </w:r>
          </w:hyperlink>
        </w:p>
        <w:p w14:paraId="08C08BA7" w14:textId="77777777" w:rsidR="00CB5393" w:rsidRPr="00CB5393" w:rsidRDefault="009D66F6" w:rsidP="00CB5393">
          <w:pPr>
            <w:pStyle w:val="TOC1"/>
            <w:tabs>
              <w:tab w:val="right" w:leader="dot" w:pos="9016"/>
            </w:tabs>
            <w:rPr>
              <w:noProof/>
            </w:rPr>
          </w:pPr>
          <w:hyperlink w:anchor="_Toc100728901" w:history="1">
            <w:r w:rsidR="00CB5393" w:rsidRPr="00CB5393">
              <w:rPr>
                <w:rStyle w:val="Hyperlink"/>
                <w:noProof/>
                <w:color w:val="auto"/>
              </w:rPr>
              <w:t>Vitality regarding active consultation, stakeholder participation, inclusion and effective communication</w:t>
            </w:r>
            <w:r w:rsidR="00CB5393" w:rsidRPr="00CB5393">
              <w:rPr>
                <w:noProof/>
                <w:webHidden/>
              </w:rPr>
              <w:tab/>
            </w:r>
            <w:r w:rsidR="00CB5393" w:rsidRPr="00CB5393">
              <w:rPr>
                <w:noProof/>
                <w:webHidden/>
              </w:rPr>
              <w:fldChar w:fldCharType="begin"/>
            </w:r>
            <w:r w:rsidR="00CB5393" w:rsidRPr="00CB5393">
              <w:rPr>
                <w:noProof/>
                <w:webHidden/>
              </w:rPr>
              <w:instrText xml:space="preserve"> PAGEREF _Toc100728901 \h </w:instrText>
            </w:r>
            <w:r w:rsidR="00CB5393" w:rsidRPr="00CB5393">
              <w:rPr>
                <w:noProof/>
                <w:webHidden/>
              </w:rPr>
            </w:r>
            <w:r w:rsidR="00CB5393" w:rsidRPr="00CB5393">
              <w:rPr>
                <w:noProof/>
                <w:webHidden/>
              </w:rPr>
              <w:fldChar w:fldCharType="separate"/>
            </w:r>
            <w:r w:rsidR="00CB5393">
              <w:rPr>
                <w:noProof/>
                <w:webHidden/>
              </w:rPr>
              <w:t>6</w:t>
            </w:r>
            <w:r w:rsidR="00CB5393" w:rsidRPr="00CB5393">
              <w:rPr>
                <w:noProof/>
                <w:webHidden/>
              </w:rPr>
              <w:fldChar w:fldCharType="end"/>
            </w:r>
          </w:hyperlink>
        </w:p>
        <w:p w14:paraId="5DBA4B46" w14:textId="77777777" w:rsidR="00CB5393" w:rsidRPr="00CB5393" w:rsidRDefault="009D66F6" w:rsidP="00CB5393">
          <w:pPr>
            <w:pStyle w:val="TOC2"/>
            <w:tabs>
              <w:tab w:val="right" w:leader="dot" w:pos="9016"/>
            </w:tabs>
            <w:rPr>
              <w:noProof/>
            </w:rPr>
          </w:pPr>
          <w:hyperlink w:anchor="_Toc100728902" w:history="1">
            <w:r w:rsidR="00CB5393" w:rsidRPr="00CB5393">
              <w:rPr>
                <w:rStyle w:val="Hyperlink"/>
                <w:noProof/>
                <w:color w:val="auto"/>
              </w:rPr>
              <w:t>The process regarding research conduction, social engagement, community mapping, impact analysis, evaluation of the best practices</w:t>
            </w:r>
            <w:r w:rsidR="00CB5393" w:rsidRPr="00CB5393">
              <w:rPr>
                <w:noProof/>
                <w:webHidden/>
              </w:rPr>
              <w:tab/>
            </w:r>
            <w:r w:rsidR="00CB5393" w:rsidRPr="00CB5393">
              <w:rPr>
                <w:noProof/>
                <w:webHidden/>
              </w:rPr>
              <w:fldChar w:fldCharType="begin"/>
            </w:r>
            <w:r w:rsidR="00CB5393" w:rsidRPr="00CB5393">
              <w:rPr>
                <w:noProof/>
                <w:webHidden/>
              </w:rPr>
              <w:instrText xml:space="preserve"> PAGEREF _Toc100728902 \h </w:instrText>
            </w:r>
            <w:r w:rsidR="00CB5393" w:rsidRPr="00CB5393">
              <w:rPr>
                <w:noProof/>
                <w:webHidden/>
              </w:rPr>
            </w:r>
            <w:r w:rsidR="00CB5393" w:rsidRPr="00CB5393">
              <w:rPr>
                <w:noProof/>
                <w:webHidden/>
              </w:rPr>
              <w:fldChar w:fldCharType="separate"/>
            </w:r>
            <w:r w:rsidR="00CB5393">
              <w:rPr>
                <w:noProof/>
                <w:webHidden/>
              </w:rPr>
              <w:t>9</w:t>
            </w:r>
            <w:r w:rsidR="00CB5393" w:rsidRPr="00CB5393">
              <w:rPr>
                <w:noProof/>
                <w:webHidden/>
              </w:rPr>
              <w:fldChar w:fldCharType="end"/>
            </w:r>
          </w:hyperlink>
        </w:p>
        <w:p w14:paraId="4EE6B2D1" w14:textId="77777777" w:rsidR="00CB5393" w:rsidRPr="00CB5393" w:rsidRDefault="009D66F6" w:rsidP="00CB5393">
          <w:pPr>
            <w:pStyle w:val="TOC1"/>
            <w:tabs>
              <w:tab w:val="right" w:leader="dot" w:pos="9016"/>
            </w:tabs>
            <w:rPr>
              <w:noProof/>
            </w:rPr>
          </w:pPr>
          <w:hyperlink w:anchor="_Toc100728903" w:history="1">
            <w:r w:rsidR="00CB5393" w:rsidRPr="00CB5393">
              <w:rPr>
                <w:rStyle w:val="Hyperlink"/>
                <w:noProof/>
                <w:color w:val="auto"/>
              </w:rPr>
              <w:t>Conclusion</w:t>
            </w:r>
            <w:r w:rsidR="00CB5393" w:rsidRPr="00CB5393">
              <w:rPr>
                <w:noProof/>
                <w:webHidden/>
              </w:rPr>
              <w:tab/>
            </w:r>
            <w:r w:rsidR="00CB5393" w:rsidRPr="00CB5393">
              <w:rPr>
                <w:noProof/>
                <w:webHidden/>
              </w:rPr>
              <w:fldChar w:fldCharType="begin"/>
            </w:r>
            <w:r w:rsidR="00CB5393" w:rsidRPr="00CB5393">
              <w:rPr>
                <w:noProof/>
                <w:webHidden/>
              </w:rPr>
              <w:instrText xml:space="preserve"> PAGEREF _Toc100728903 \h </w:instrText>
            </w:r>
            <w:r w:rsidR="00CB5393" w:rsidRPr="00CB5393">
              <w:rPr>
                <w:noProof/>
                <w:webHidden/>
              </w:rPr>
            </w:r>
            <w:r w:rsidR="00CB5393" w:rsidRPr="00CB5393">
              <w:rPr>
                <w:noProof/>
                <w:webHidden/>
              </w:rPr>
              <w:fldChar w:fldCharType="separate"/>
            </w:r>
            <w:r w:rsidR="00CB5393">
              <w:rPr>
                <w:noProof/>
                <w:webHidden/>
              </w:rPr>
              <w:t>12</w:t>
            </w:r>
            <w:r w:rsidR="00CB5393" w:rsidRPr="00CB5393">
              <w:rPr>
                <w:noProof/>
                <w:webHidden/>
              </w:rPr>
              <w:fldChar w:fldCharType="end"/>
            </w:r>
          </w:hyperlink>
        </w:p>
        <w:p w14:paraId="0366D578" w14:textId="77777777" w:rsidR="00CB5393" w:rsidRDefault="00CB5393" w:rsidP="00CB5393">
          <w:r w:rsidRPr="00CB5393">
            <w:fldChar w:fldCharType="end"/>
          </w:r>
        </w:p>
      </w:sdtContent>
    </w:sdt>
    <w:p w14:paraId="1B181265" w14:textId="77777777" w:rsidR="00F35637" w:rsidRDefault="00F35637" w:rsidP="004C38A1"/>
    <w:p w14:paraId="05867035" w14:textId="77777777" w:rsidR="00CB5393" w:rsidRDefault="00CB5393">
      <w:pPr>
        <w:spacing w:line="276" w:lineRule="auto"/>
        <w:jc w:val="left"/>
        <w:rPr>
          <w:b/>
        </w:rPr>
      </w:pPr>
      <w:bookmarkStart w:id="0" w:name="_Toc100728897"/>
      <w:r>
        <w:br w:type="page"/>
      </w:r>
    </w:p>
    <w:p w14:paraId="118B479F" w14:textId="77777777" w:rsidR="00E724DC" w:rsidRDefault="0067703C" w:rsidP="004C38A1">
      <w:pPr>
        <w:pStyle w:val="Heading1"/>
      </w:pPr>
      <w:r w:rsidRPr="00F35637">
        <w:lastRenderedPageBreak/>
        <w:t>Introduction</w:t>
      </w:r>
      <w:bookmarkEnd w:id="0"/>
      <w:r w:rsidR="00C37A1B">
        <w:t xml:space="preserve"> </w:t>
      </w:r>
    </w:p>
    <w:p w14:paraId="2747523D" w14:textId="77777777" w:rsidR="008C4A98" w:rsidRPr="008C4A98" w:rsidRDefault="0067703C" w:rsidP="004C38A1">
      <w:r>
        <w:t xml:space="preserve">This assessment would be in the form of a reflective structure. </w:t>
      </w:r>
      <w:r w:rsidR="008F559C">
        <w:t xml:space="preserve"> It would be based on assessment 1 which focuses on a significant </w:t>
      </w:r>
      <w:r w:rsidR="008F559C" w:rsidRPr="004C38A1">
        <w:t>community</w:t>
      </w:r>
      <w:r w:rsidR="008F559C">
        <w:t xml:space="preserve"> engagement program. Community engagement refers to the process of collaborative working to address the big issues or challenges affecting the respective community, affiliated with demographic proximity or geographic traits</w:t>
      </w:r>
      <w:r w:rsidR="00C044B3">
        <w:t xml:space="preserve"> (</w:t>
      </w:r>
      <w:r w:rsidR="00C044B3" w:rsidRPr="00C044B3">
        <w:t>Reynolds</w:t>
      </w:r>
      <w:r w:rsidR="00C044B3">
        <w:t xml:space="preserve"> </w:t>
      </w:r>
      <w:r w:rsidR="00C044B3" w:rsidRPr="00C044B3">
        <w:t xml:space="preserve">and </w:t>
      </w:r>
      <w:proofErr w:type="spellStart"/>
      <w:r w:rsidR="00C044B3" w:rsidRPr="00C044B3">
        <w:t>Sariola</w:t>
      </w:r>
      <w:proofErr w:type="spellEnd"/>
      <w:r w:rsidR="00C044B3">
        <w:t>, 2018)</w:t>
      </w:r>
      <w:r w:rsidR="008F559C">
        <w:t>.  The significant program on which the assessment 2 is ba</w:t>
      </w:r>
      <w:r w:rsidR="008F559C" w:rsidRPr="004C38A1">
        <w:t xml:space="preserve">sed is </w:t>
      </w:r>
      <w:r w:rsidR="00DC05E7" w:rsidRPr="004C38A1">
        <w:t>the “</w:t>
      </w:r>
      <w:r w:rsidR="00DC05E7" w:rsidRPr="004C38A1">
        <w:rPr>
          <w:b/>
          <w:i/>
        </w:rPr>
        <w:t>Race and Ethnic Disparities</w:t>
      </w:r>
      <w:r w:rsidR="00DC05E7" w:rsidRPr="004C38A1">
        <w:t>” for the UK population (“</w:t>
      </w:r>
      <w:r w:rsidR="00DC05E7" w:rsidRPr="004C38A1">
        <w:rPr>
          <w:b/>
          <w:i/>
        </w:rPr>
        <w:t>the Commission</w:t>
      </w:r>
      <w:r w:rsidR="00DC05E7" w:rsidRPr="004C38A1">
        <w:t xml:space="preserve">”), managed by Dr Tony Sewell, 2022 (gov.uk, 2022). </w:t>
      </w:r>
      <w:r w:rsidR="004C38A1" w:rsidRPr="004C38A1">
        <w:t xml:space="preserve">It focuses on developing a commission, which will address nine different panels from several fields. These panels would recommend and provide a review of the practices or mistreatments conducted against the minority or ethnic backgrounds people. </w:t>
      </w:r>
      <w:r w:rsidR="00C044B3">
        <w:t xml:space="preserve">This report will be a reflection, from the perspective of a community engagement practitioner. </w:t>
      </w:r>
      <w:r w:rsidR="00C37A1B">
        <w:t xml:space="preserve">It will include evaluating the program and commenting on what could have been conducted differently, along with evaluative discussions regarding </w:t>
      </w:r>
      <w:r w:rsidR="00C37A1B" w:rsidRPr="00C37A1B">
        <w:t xml:space="preserve">active consultation, stakeholder participation, </w:t>
      </w:r>
      <w:proofErr w:type="gramStart"/>
      <w:r w:rsidR="00C37A1B" w:rsidRPr="00C37A1B">
        <w:t>inclusion</w:t>
      </w:r>
      <w:proofErr w:type="gramEnd"/>
      <w:r w:rsidR="00C37A1B" w:rsidRPr="00C37A1B">
        <w:t xml:space="preserve"> and effective communication</w:t>
      </w:r>
      <w:r w:rsidR="00C37A1B">
        <w:t xml:space="preserve">. It will also include discussions regarding </w:t>
      </w:r>
      <w:r w:rsidR="00C37A1B" w:rsidRPr="00C37A1B">
        <w:t xml:space="preserve">research conduction, social engagement, community mapping, impact analysis, </w:t>
      </w:r>
      <w:r w:rsidR="00C37A1B">
        <w:t xml:space="preserve">and </w:t>
      </w:r>
      <w:r w:rsidR="00C37A1B" w:rsidRPr="00C37A1B">
        <w:t>evaluation of the best practices</w:t>
      </w:r>
      <w:r w:rsidR="00C37A1B">
        <w:t xml:space="preserve">. This assessment intends to present an evaluation of the process that goes or requires behind a program for community engagement along with identifying the slacking points in the chosen program and providing alternatives. </w:t>
      </w:r>
    </w:p>
    <w:p w14:paraId="762ABFD4" w14:textId="77777777" w:rsidR="008C4A98" w:rsidRDefault="0067703C" w:rsidP="004C38A1">
      <w:r>
        <w:br w:type="page"/>
      </w:r>
    </w:p>
    <w:p w14:paraId="610E27C4" w14:textId="77777777" w:rsidR="00393651" w:rsidRPr="00F35637" w:rsidRDefault="0067703C" w:rsidP="004C38A1">
      <w:pPr>
        <w:pStyle w:val="Heading1"/>
      </w:pPr>
      <w:bookmarkStart w:id="1" w:name="_Toc100728898"/>
      <w:r>
        <w:lastRenderedPageBreak/>
        <w:t>The Body</w:t>
      </w:r>
      <w:bookmarkEnd w:id="1"/>
      <w:r>
        <w:t xml:space="preserve"> </w:t>
      </w:r>
    </w:p>
    <w:p w14:paraId="77187EDD" w14:textId="77777777" w:rsidR="00393651" w:rsidRDefault="0067703C" w:rsidP="004C38A1">
      <w:pPr>
        <w:pStyle w:val="Heading2"/>
      </w:pPr>
      <w:bookmarkStart w:id="2" w:name="_Toc100728899"/>
      <w:r w:rsidRPr="00F35637">
        <w:t>Di</w:t>
      </w:r>
      <w:r w:rsidR="00AF7E3C">
        <w:t>fferences between the two projects</w:t>
      </w:r>
      <w:bookmarkEnd w:id="2"/>
      <w:r w:rsidR="00AF7E3C">
        <w:t xml:space="preserve"> </w:t>
      </w:r>
      <w:r w:rsidR="00C37A1B">
        <w:t xml:space="preserve"> </w:t>
      </w:r>
    </w:p>
    <w:p w14:paraId="01C7DD60" w14:textId="77777777" w:rsidR="00443F34" w:rsidRDefault="0067703C" w:rsidP="00443F34">
      <w:r>
        <w:t xml:space="preserve">There are certainly other </w:t>
      </w:r>
      <w:r w:rsidR="009E63AA">
        <w:t xml:space="preserve">practices by the UK government regarding community engagement. The biggest approach and intent taken by the government in recent times is to mitigate the gap in treatment regarding the disparities. The program is based on the fourth or final report which can summarise the actions taken by the </w:t>
      </w:r>
      <w:r w:rsidR="009E63AA" w:rsidRPr="009E63AA">
        <w:t>Minister for Equalit</w:t>
      </w:r>
      <w:r w:rsidR="009E63AA">
        <w:t>ies and government departments regarding</w:t>
      </w:r>
      <w:r w:rsidR="009E63AA" w:rsidRPr="009E63AA">
        <w:t xml:space="preserve"> COVID-19 disparities</w:t>
      </w:r>
      <w:r w:rsidR="000F2D7F">
        <w:t xml:space="preserve"> (</w:t>
      </w:r>
      <w:r w:rsidR="000F2D7F" w:rsidRPr="00AF7E3C">
        <w:t>gov.uk</w:t>
      </w:r>
      <w:r w:rsidR="000F2D7F">
        <w:t>, 2022)</w:t>
      </w:r>
      <w:r w:rsidR="009E63AA" w:rsidRPr="009E63AA">
        <w:t>.</w:t>
      </w:r>
      <w:r w:rsidR="009E63AA">
        <w:t xml:space="preserve"> The comparison shows that this program is only limited to research conduction and impact analysis, there is very little specialised </w:t>
      </w:r>
      <w:r w:rsidR="006749A4">
        <w:t xml:space="preserve">design based on the report. The program intends to increase the vaccine </w:t>
      </w:r>
      <w:proofErr w:type="gramStart"/>
      <w:r w:rsidR="006749A4">
        <w:t>sentiment</w:t>
      </w:r>
      <w:proofErr w:type="gramEnd"/>
      <w:r w:rsidR="006749A4">
        <w:t xml:space="preserve"> but it does not include any arrangement for targeted vaccine centres for these ethnic groups. This program is also limited </w:t>
      </w:r>
      <w:r w:rsidR="00AF7E3C">
        <w:t xml:space="preserve">to only two waves or the novice period of the COVID-19.  This chosen program </w:t>
      </w:r>
    </w:p>
    <w:p w14:paraId="6B844D5E" w14:textId="77777777" w:rsidR="00AF7E3C" w:rsidRDefault="0067703C" w:rsidP="00AF7E3C">
      <w:r>
        <w:t xml:space="preserve">Analysing and evaluating the program shows the best practices they </w:t>
      </w:r>
      <w:proofErr w:type="gramStart"/>
      <w:r>
        <w:t>are;</w:t>
      </w:r>
      <w:proofErr w:type="gramEnd"/>
    </w:p>
    <w:p w14:paraId="4D98F068" w14:textId="77777777" w:rsidR="00AF7E3C" w:rsidRDefault="0067703C" w:rsidP="000F2D7F">
      <w:pPr>
        <w:pStyle w:val="ListParagraph"/>
        <w:numPr>
          <w:ilvl w:val="0"/>
          <w:numId w:val="1"/>
        </w:numPr>
      </w:pPr>
      <w:r>
        <w:t>The Future action plans for community engagement. Especially the plans to engage the black British youth in education</w:t>
      </w:r>
    </w:p>
    <w:p w14:paraId="7F4BADDA" w14:textId="77777777" w:rsidR="00AF7E3C" w:rsidRDefault="0067703C" w:rsidP="000F2D7F">
      <w:pPr>
        <w:pStyle w:val="ListParagraph"/>
        <w:numPr>
          <w:ilvl w:val="0"/>
          <w:numId w:val="1"/>
        </w:numPr>
      </w:pPr>
      <w:r>
        <w:t xml:space="preserve">The online safety application is also in progress. </w:t>
      </w:r>
      <w:r w:rsidR="000F2D7F">
        <w:t xml:space="preserve">This will help in limiting the social media discrimination content. </w:t>
      </w:r>
    </w:p>
    <w:p w14:paraId="15598FDD" w14:textId="77777777" w:rsidR="00AF7E3C" w:rsidRDefault="00AF7E3C">
      <w:pPr>
        <w:spacing w:line="276" w:lineRule="auto"/>
        <w:jc w:val="left"/>
      </w:pPr>
    </w:p>
    <w:p w14:paraId="27F0DAF1" w14:textId="77777777" w:rsidR="00443F34" w:rsidRPr="00AF7E3C" w:rsidRDefault="0067703C">
      <w:pPr>
        <w:spacing w:line="276" w:lineRule="auto"/>
        <w:jc w:val="left"/>
        <w:rPr>
          <w:b/>
          <w:i/>
          <w:sz w:val="40"/>
          <w:szCs w:val="40"/>
        </w:rPr>
      </w:pPr>
      <w:r w:rsidRPr="00AF7E3C">
        <w:rPr>
          <w:b/>
          <w:i/>
          <w:sz w:val="40"/>
          <w:szCs w:val="40"/>
        </w:rPr>
        <w:br w:type="page"/>
      </w:r>
    </w:p>
    <w:p w14:paraId="5E0C183B" w14:textId="77777777" w:rsidR="00393651" w:rsidRDefault="0067703C" w:rsidP="004C38A1">
      <w:pPr>
        <w:pStyle w:val="Heading2"/>
      </w:pPr>
      <w:bookmarkStart w:id="3" w:name="_Toc100728900"/>
      <w:r w:rsidRPr="00F35637">
        <w:lastRenderedPageBreak/>
        <w:t>Reflection on what could have been done differently</w:t>
      </w:r>
      <w:bookmarkEnd w:id="3"/>
    </w:p>
    <w:p w14:paraId="110A709E" w14:textId="77777777" w:rsidR="00443F34" w:rsidRDefault="0067703C" w:rsidP="00443F34">
      <w:r>
        <w:t>Kolb's model of the reflective cycle is referred to as a four-stage model, which helps in understanding th</w:t>
      </w:r>
      <w:r w:rsidR="0083341C">
        <w:t>e knowledge curve regarding a certain experience and it is utilised for self-reflection (</w:t>
      </w:r>
      <w:r w:rsidR="0083341C" w:rsidRPr="0083341C">
        <w:t>Fergusson</w:t>
      </w:r>
      <w:r w:rsidR="0083341C">
        <w:t xml:space="preserve"> </w:t>
      </w:r>
      <w:r w:rsidR="0083341C">
        <w:rPr>
          <w:i/>
        </w:rPr>
        <w:t>et al.</w:t>
      </w:r>
      <w:r w:rsidR="0083341C">
        <w:t xml:space="preserve">, 2019). In this case, it is utilised for reflecting the learning experience I have gained through this community program analysis aligned with my understanding of such event from this kind of engagement practitioner. This will also help me identify the slacking points or spots for further improvement thus I can evaluate which process can be done with a different approach. </w:t>
      </w:r>
    </w:p>
    <w:p w14:paraId="588F276D" w14:textId="77777777" w:rsidR="0083341C" w:rsidRPr="0083341C" w:rsidRDefault="0067703C" w:rsidP="00443F34">
      <w:r w:rsidRPr="0083341C">
        <w:rPr>
          <w:b/>
          <w:i/>
        </w:rPr>
        <w:t>Concrete Experience</w:t>
      </w:r>
      <w:r>
        <w:rPr>
          <w:b/>
          <w:i/>
        </w:rPr>
        <w:t xml:space="preserve">: </w:t>
      </w:r>
      <w:r>
        <w:t xml:space="preserve">This step refers to experiencing </w:t>
      </w:r>
      <w:r w:rsidR="00CC4102">
        <w:t xml:space="preserve">the situation or program physically and emotionally. I had analysed the wholesome actions taken regarding the preparation of the community engagement program by the UK. I have chosen this </w:t>
      </w:r>
      <w:proofErr w:type="gramStart"/>
      <w:r w:rsidR="00CC4102">
        <w:t>particular situation</w:t>
      </w:r>
      <w:proofErr w:type="gramEnd"/>
      <w:r w:rsidR="00CC4102">
        <w:t xml:space="preserve"> or program because in the 2020 summer there are various racial issues within the societal structure. </w:t>
      </w:r>
      <w:proofErr w:type="gramStart"/>
      <w:r w:rsidR="00CC4102">
        <w:t>Also</w:t>
      </w:r>
      <w:proofErr w:type="gramEnd"/>
      <w:r w:rsidR="00CC4102">
        <w:t xml:space="preserve"> the incidents like racial outbursts after the Euro defeat by the UK. In addition to that, the </w:t>
      </w:r>
      <w:r w:rsidR="00F67BCA">
        <w:t>black footballers have been racially slurred and that has made me choose this specific program by the UK intending to mitigate racial discrimination (</w:t>
      </w:r>
      <w:r w:rsidR="00F67BCA" w:rsidRPr="00DF439F">
        <w:t>nytimes.com</w:t>
      </w:r>
      <w:r w:rsidR="00F67BCA">
        <w:t xml:space="preserve">, 2021). </w:t>
      </w:r>
    </w:p>
    <w:p w14:paraId="06E86C20" w14:textId="77777777" w:rsidR="0083341C" w:rsidRPr="00F67BCA" w:rsidRDefault="0067703C" w:rsidP="00443F34">
      <w:r w:rsidRPr="0083341C">
        <w:rPr>
          <w:b/>
          <w:i/>
        </w:rPr>
        <w:t>Reflective Observation</w:t>
      </w:r>
      <w:r>
        <w:rPr>
          <w:b/>
          <w:i/>
        </w:rPr>
        <w:t>:</w:t>
      </w:r>
      <w:r w:rsidR="00F67BCA">
        <w:rPr>
          <w:b/>
          <w:i/>
        </w:rPr>
        <w:t xml:space="preserve"> </w:t>
      </w:r>
      <w:r w:rsidR="00F67BCA">
        <w:t xml:space="preserve">I have analysed explicitly every step taken by the Commission in terms of mitigating the discrimination practice in the UK. The strength of the program is that it covers nine different fields and the </w:t>
      </w:r>
      <w:proofErr w:type="gramStart"/>
      <w:r w:rsidR="00F67BCA">
        <w:t>field</w:t>
      </w:r>
      <w:proofErr w:type="gramEnd"/>
      <w:r w:rsidR="00F67BCA">
        <w:t xml:space="preserve"> and the design of the program is developed by significant issues or mistreatment practices against the ethnic people. This will help mitigate or even eliminate the problems. The weakness of the program is </w:t>
      </w:r>
      <w:r w:rsidR="00CC78A4">
        <w:t>that it has too many stakeholders along with a copious number of the action plan. Thus, it requires proper management, and resource utilisation, which might be lacking.</w:t>
      </w:r>
    </w:p>
    <w:p w14:paraId="1D88ADD7" w14:textId="77777777" w:rsidR="0083341C" w:rsidRDefault="0067703C" w:rsidP="00443F34">
      <w:r w:rsidRPr="0083341C">
        <w:rPr>
          <w:b/>
          <w:i/>
        </w:rPr>
        <w:t>Abstract Conceptualisation</w:t>
      </w:r>
      <w:r>
        <w:rPr>
          <w:b/>
          <w:i/>
        </w:rPr>
        <w:t>:</w:t>
      </w:r>
      <w:r w:rsidR="00CC78A4">
        <w:rPr>
          <w:b/>
          <w:i/>
        </w:rPr>
        <w:t xml:space="preserve"> </w:t>
      </w:r>
      <w:r w:rsidR="00CC78A4">
        <w:t xml:space="preserve">It refers to the conceptualisation of the acquired knowledge and it helps in the self-reflection by identifying the improvement scope. In this case, I believe the decision-making process has been compromised, as I want to see more ethnic representation from the government end. Also, the scope for sustainability </w:t>
      </w:r>
      <w:r w:rsidR="00A10D3A">
        <w:t>is very less in this program. Sustainability within the community engagement is very important to develop effective strategies and it can be used in health and education to influence more population towards the program</w:t>
      </w:r>
      <w:r w:rsidR="001218B1">
        <w:t xml:space="preserve"> (</w:t>
      </w:r>
      <w:r w:rsidR="001218B1" w:rsidRPr="001218B1">
        <w:t>Key</w:t>
      </w:r>
      <w:r w:rsidR="001218B1">
        <w:t xml:space="preserve"> </w:t>
      </w:r>
      <w:r w:rsidR="001218B1" w:rsidRPr="001218B1">
        <w:t>and Lewis</w:t>
      </w:r>
      <w:r w:rsidR="001218B1">
        <w:t>, 2018).</w:t>
      </w:r>
    </w:p>
    <w:p w14:paraId="1F81DD03" w14:textId="77777777" w:rsidR="0083341C" w:rsidRDefault="0067703C" w:rsidP="00443F34">
      <w:r w:rsidRPr="0083341C">
        <w:rPr>
          <w:b/>
          <w:i/>
        </w:rPr>
        <w:t>Active Experimentation</w:t>
      </w:r>
      <w:r>
        <w:rPr>
          <w:b/>
          <w:i/>
        </w:rPr>
        <w:t>:</w:t>
      </w:r>
      <w:r w:rsidR="00A10D3A">
        <w:rPr>
          <w:b/>
          <w:i/>
        </w:rPr>
        <w:t xml:space="preserve"> </w:t>
      </w:r>
      <w:r w:rsidR="00A10D3A" w:rsidRPr="00A10D3A">
        <w:t>It refers to the process regarding the utilisation of the practising the newly garnered knowledge and information</w:t>
      </w:r>
      <w:r w:rsidR="001218B1">
        <w:t xml:space="preserve"> (</w:t>
      </w:r>
      <w:proofErr w:type="spellStart"/>
      <w:r w:rsidR="001218B1" w:rsidRPr="001218B1">
        <w:t>Widiastuti</w:t>
      </w:r>
      <w:proofErr w:type="spellEnd"/>
      <w:r w:rsidR="001218B1">
        <w:t xml:space="preserve"> </w:t>
      </w:r>
      <w:r w:rsidR="001218B1" w:rsidRPr="001218B1">
        <w:t xml:space="preserve">and </w:t>
      </w:r>
      <w:proofErr w:type="spellStart"/>
      <w:r w:rsidR="001218B1" w:rsidRPr="001218B1">
        <w:t>Budiyanto</w:t>
      </w:r>
      <w:proofErr w:type="spellEnd"/>
      <w:r w:rsidR="001218B1">
        <w:t>, 2018)</w:t>
      </w:r>
      <w:r w:rsidR="00A10D3A" w:rsidRPr="00A10D3A">
        <w:t xml:space="preserve">. </w:t>
      </w:r>
      <w:r w:rsidR="001218B1">
        <w:t xml:space="preserve">In this </w:t>
      </w:r>
      <w:r w:rsidR="001218B1">
        <w:lastRenderedPageBreak/>
        <w:t xml:space="preserve">context, I have used my knowledge within my plans for community engagement programs. I believe most of the population is not aware of the problem. Therefore, I will design social media programs to express the issues, as well as the population, who can learn about the </w:t>
      </w:r>
      <w:proofErr w:type="gramStart"/>
      <w:r w:rsidR="001218B1">
        <w:t>day to day</w:t>
      </w:r>
      <w:proofErr w:type="gramEnd"/>
      <w:r w:rsidR="001218B1">
        <w:t xml:space="preserve"> discrimination practices. </w:t>
      </w:r>
    </w:p>
    <w:p w14:paraId="54086FA4" w14:textId="77777777" w:rsidR="00393651" w:rsidRPr="00CB5393" w:rsidRDefault="0067703C" w:rsidP="00CB5393">
      <w:pPr>
        <w:pStyle w:val="Heading1"/>
      </w:pPr>
      <w:bookmarkStart w:id="4" w:name="_Toc100728901"/>
      <w:r w:rsidRPr="00F35637">
        <w:t xml:space="preserve">Vitality regarding active consultation, stakeholder participation, </w:t>
      </w:r>
      <w:proofErr w:type="gramStart"/>
      <w:r w:rsidRPr="00F35637">
        <w:t>inclusion</w:t>
      </w:r>
      <w:proofErr w:type="gramEnd"/>
      <w:r w:rsidRPr="00F35637">
        <w:t xml:space="preserve"> and effective communication</w:t>
      </w:r>
      <w:bookmarkEnd w:id="4"/>
    </w:p>
    <w:p w14:paraId="62AFBF37" w14:textId="77777777" w:rsidR="00B06B33" w:rsidRDefault="0067703C" w:rsidP="00B06B33">
      <w:r>
        <w:t xml:space="preserve">Some aspects are very important based on their influence on the program. These aspects </w:t>
      </w:r>
      <w:r w:rsidR="00CE0245">
        <w:t xml:space="preserve">are very vital as it has a direct and remote association with the efficacy of these programs towards the community engagement as well as the </w:t>
      </w:r>
      <w:proofErr w:type="gramStart"/>
      <w:r w:rsidR="00CE0245">
        <w:t>long or short term</w:t>
      </w:r>
      <w:proofErr w:type="gramEnd"/>
      <w:r w:rsidR="00CE0245">
        <w:t xml:space="preserve"> effects from this. These </w:t>
      </w:r>
      <w:proofErr w:type="gramStart"/>
      <w:r w:rsidR="00CE0245">
        <w:t>are;</w:t>
      </w:r>
      <w:proofErr w:type="gramEnd"/>
    </w:p>
    <w:p w14:paraId="0B479C9E" w14:textId="77777777" w:rsidR="00CE0245" w:rsidRDefault="0067703C" w:rsidP="00B06B33">
      <w:pPr>
        <w:rPr>
          <w:b/>
          <w:i/>
        </w:rPr>
      </w:pPr>
      <w:r w:rsidRPr="00CE0245">
        <w:rPr>
          <w:b/>
          <w:i/>
        </w:rPr>
        <w:t>Active consultation</w:t>
      </w:r>
    </w:p>
    <w:p w14:paraId="555001A2" w14:textId="77777777" w:rsidR="00005FBE" w:rsidRDefault="0067703C" w:rsidP="00B06B33">
      <w:r>
        <w:t xml:space="preserve">According to </w:t>
      </w:r>
      <w:r w:rsidRPr="00CE0245">
        <w:t>Armstrong</w:t>
      </w:r>
      <w:r>
        <w:t xml:space="preserve"> </w:t>
      </w:r>
      <w:r>
        <w:rPr>
          <w:i/>
        </w:rPr>
        <w:t>et al.</w:t>
      </w:r>
      <w:r>
        <w:t xml:space="preserve"> (2020), active consultation helps in strategy formulation regarding any kind of program conduction. For the programs associated with the population or community, active consultancy can help in wholesome strategy formulation. This can help build a participative atmosphere, which can help in engaging the larger proportion of the population. This will influence the enhancement of representativeness from the respective population. It also helps in addressing the </w:t>
      </w:r>
      <w:r w:rsidR="007E5280">
        <w:t xml:space="preserve">stakeholders. In this chosen context too, active </w:t>
      </w:r>
      <w:r w:rsidR="007E5280" w:rsidRPr="007E5280">
        <w:t xml:space="preserve">consultation </w:t>
      </w:r>
      <w:r w:rsidR="007E5280">
        <w:t xml:space="preserve">is utilised for engaging the stakeholders. As the program is to engage the communities from an ethnic background, it is vital to go beyond the government panels and arrange social media and other channels </w:t>
      </w:r>
      <w:r w:rsidR="00C275E9">
        <w:t>to garner relevant</w:t>
      </w:r>
      <w:r w:rsidR="007E5280">
        <w:t xml:space="preserve"> active and </w:t>
      </w:r>
      <w:r w:rsidR="00C275E9">
        <w:t xml:space="preserve">effective consultation. </w:t>
      </w:r>
    </w:p>
    <w:p w14:paraId="795B9271" w14:textId="77777777" w:rsidR="00CE0245" w:rsidRDefault="0067703C" w:rsidP="00B06B33">
      <w:pPr>
        <w:rPr>
          <w:b/>
          <w:i/>
        </w:rPr>
      </w:pPr>
      <w:r w:rsidRPr="00CE0245">
        <w:rPr>
          <w:b/>
          <w:i/>
        </w:rPr>
        <w:t>Stakeholder participation</w:t>
      </w:r>
    </w:p>
    <w:p w14:paraId="490DFD26" w14:textId="77777777" w:rsidR="00C275E9" w:rsidRPr="00C275E9" w:rsidRDefault="0067703C" w:rsidP="00B06B33">
      <w:r>
        <w:t>As stated by</w:t>
      </w:r>
      <w:r w:rsidR="009550F0">
        <w:t xml:space="preserve"> </w:t>
      </w:r>
      <w:r w:rsidR="009550F0" w:rsidRPr="009550F0">
        <w:t>Barker</w:t>
      </w:r>
      <w:r w:rsidR="009550F0">
        <w:t xml:space="preserve"> </w:t>
      </w:r>
      <w:r w:rsidR="009550F0">
        <w:rPr>
          <w:i/>
        </w:rPr>
        <w:t xml:space="preserve">et al. </w:t>
      </w:r>
      <w:r w:rsidR="009550F0">
        <w:t>(2020)</w:t>
      </w:r>
      <w:r>
        <w:t xml:space="preserve">, stakeholder participation, specifically active participation helps with the process very much. It is the key to the easy accessing of the relevant information and holding on to the ongoing program or research process. Community-based surveillance is a very pivotal requirement for this sort of project, and it requires participation from the major stakeholders like the population on, which the research is based. </w:t>
      </w:r>
      <w:r w:rsidR="00E34CD8">
        <w:t>In this program by the government, Seawall's commission has used nine different fields, which increased the complicities</w:t>
      </w:r>
      <w:r w:rsidR="009D2F39">
        <w:t xml:space="preserve"> along with th</w:t>
      </w:r>
      <w:r w:rsidR="00E34CD8">
        <w:t xml:space="preserve">e number of stakeholders. </w:t>
      </w:r>
    </w:p>
    <w:p w14:paraId="38B57DA3" w14:textId="77777777" w:rsidR="00CE0245" w:rsidRDefault="0067703C" w:rsidP="00B06B33">
      <w:pPr>
        <w:rPr>
          <w:b/>
          <w:i/>
        </w:rPr>
      </w:pPr>
      <w:r w:rsidRPr="00CE0245">
        <w:rPr>
          <w:b/>
          <w:i/>
        </w:rPr>
        <w:t>Inclusion</w:t>
      </w:r>
    </w:p>
    <w:p w14:paraId="25A1A019" w14:textId="77777777" w:rsidR="009550F0" w:rsidRDefault="0067703C" w:rsidP="00B06B33">
      <w:r>
        <w:lastRenderedPageBreak/>
        <w:t>Inclusion is the primary requirement for modern-day society. Often in the case of the developed nations, the population are very diverse, as people from other nations come to utilise the scopes and opportunity of the developed economy. On the other hand, the nation welcomed these foreign populations for the sake of expanding the range of the population. This inclusion within the societal structure can directly and remotely influence the structure and design of the program</w:t>
      </w:r>
      <w:r w:rsidR="00C15E6A">
        <w:t xml:space="preserve"> (</w:t>
      </w:r>
      <w:r w:rsidR="00C15E6A" w:rsidRPr="00C15E6A">
        <w:t>Morris</w:t>
      </w:r>
      <w:r w:rsidR="00C15E6A">
        <w:t xml:space="preserve"> </w:t>
      </w:r>
      <w:r w:rsidR="00C15E6A">
        <w:rPr>
          <w:i/>
        </w:rPr>
        <w:t>et al.</w:t>
      </w:r>
      <w:r w:rsidR="00C15E6A">
        <w:t>, 2020)</w:t>
      </w:r>
      <w:r>
        <w:t>. This also helps with the representativeness of the program. It is even implied to understand the mental status of the respective population, so the commission intended program can hit the accurate sp</w:t>
      </w:r>
      <w:r w:rsidR="00C15E6A">
        <w:t xml:space="preserve">ot of the mistreatments and design the new community engagement program to deliver the prominent solution. This has helped the Commission in understanding the resistance from the minority, specifically black people in the UK about the government facilities and help regarding the COVID-19 situation. It influenced the </w:t>
      </w:r>
      <w:r w:rsidR="0036309A">
        <w:t xml:space="preserve">commission in arranging targeted medical assistance and vaccine camps. </w:t>
      </w:r>
    </w:p>
    <w:p w14:paraId="4487964E" w14:textId="77777777" w:rsidR="00CB5393" w:rsidRPr="00A606D7" w:rsidRDefault="00CB5393" w:rsidP="00CB5393">
      <w:pPr>
        <w:jc w:val="center"/>
        <w:rPr>
          <w:b/>
        </w:rPr>
      </w:pPr>
      <w:r w:rsidRPr="00A606D7">
        <w:rPr>
          <w:b/>
          <w:noProof/>
          <w:lang w:eastAsia="en-IN"/>
        </w:rPr>
        <w:drawing>
          <wp:inline distT="0" distB="0" distL="0" distR="0" wp14:anchorId="201B1CC9" wp14:editId="4B2BFFEB">
            <wp:extent cx="5731510" cy="3414027"/>
            <wp:effectExtent l="38100" t="57150" r="116840" b="91173"/>
            <wp:docPr id="3" name="Picture 1" descr="https://media.springernature.com/full/springer-static/image/art%3A10.1038%2Fs41467-020-20226-9/MediaObjects/41467_2020_20226_Fig1_HT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springernature.com/full/springer-static/image/art%3A10.1038%2Fs41467-020-20226-9/MediaObjects/41467_2020_20226_Fig1_HTML.png"/>
                    <pic:cNvPicPr>
                      <a:picLocks noChangeAspect="1" noChangeArrowheads="1"/>
                    </pic:cNvPicPr>
                  </pic:nvPicPr>
                  <pic:blipFill>
                    <a:blip r:embed="rId8" cstate="print"/>
                    <a:srcRect/>
                    <a:stretch>
                      <a:fillRect/>
                    </a:stretch>
                  </pic:blipFill>
                  <pic:spPr bwMode="auto">
                    <a:xfrm>
                      <a:off x="0" y="0"/>
                      <a:ext cx="5731510" cy="34140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09E0328" w14:textId="77777777" w:rsidR="00CB5393" w:rsidRPr="00A606D7" w:rsidRDefault="00CB5393" w:rsidP="00CB5393">
      <w:pPr>
        <w:jc w:val="center"/>
        <w:rPr>
          <w:b/>
        </w:rPr>
      </w:pPr>
      <w:r w:rsidRPr="00A606D7">
        <w:rPr>
          <w:b/>
        </w:rPr>
        <w:t>Figure 1: COVID-19 vaccine hesitancy in UK</w:t>
      </w:r>
    </w:p>
    <w:p w14:paraId="68EBE0AF" w14:textId="77777777" w:rsidR="00CB5393" w:rsidRDefault="00CB5393" w:rsidP="00CB5393">
      <w:pPr>
        <w:jc w:val="center"/>
      </w:pPr>
      <w:r>
        <w:t xml:space="preserve">(Source: Inspired from </w:t>
      </w:r>
      <w:r w:rsidRPr="00AF7E3C">
        <w:t>gov.uk</w:t>
      </w:r>
      <w:r>
        <w:t>, 2022)</w:t>
      </w:r>
    </w:p>
    <w:p w14:paraId="3C177A88" w14:textId="77777777" w:rsidR="00CB5393" w:rsidRDefault="00CB5393" w:rsidP="00B06B33"/>
    <w:p w14:paraId="6BC48EE4" w14:textId="77777777" w:rsidR="00CE0245" w:rsidRDefault="0067703C" w:rsidP="00B06B33">
      <w:pPr>
        <w:rPr>
          <w:b/>
          <w:i/>
        </w:rPr>
      </w:pPr>
      <w:r w:rsidRPr="00CE0245">
        <w:rPr>
          <w:b/>
          <w:i/>
        </w:rPr>
        <w:t>Effective communication</w:t>
      </w:r>
    </w:p>
    <w:p w14:paraId="6EAAB8B6" w14:textId="77777777" w:rsidR="00C15E6A" w:rsidRDefault="0067703C" w:rsidP="00B06B33">
      <w:r>
        <w:lastRenderedPageBreak/>
        <w:t xml:space="preserve">Effective communication is directly linked with </w:t>
      </w:r>
      <w:r w:rsidR="0036309A">
        <w:t xml:space="preserve">community engagement. It helps in understanding the social norm and the mindset of minority people. This can influence the active participation of the relevant stakeholders, information sharing along with influencing consultation at every level. It plays a central role </w:t>
      </w:r>
      <w:proofErr w:type="gramStart"/>
      <w:r w:rsidR="0036309A">
        <w:t>in regards to</w:t>
      </w:r>
      <w:proofErr w:type="gramEnd"/>
      <w:r w:rsidR="0036309A">
        <w:t xml:space="preserve"> building trust along with the communities, identifying the conflicts, and leveraging ownership and support. These slacking points can then be incorporated within the planning regarding the community engagement. It plays a role in regarding risk communication</w:t>
      </w:r>
      <w:r w:rsidR="003C48E0">
        <w:t xml:space="preserve"> (</w:t>
      </w:r>
      <w:r w:rsidR="003C48E0" w:rsidRPr="003C48E0">
        <w:t>World Health Organization, 2020</w:t>
      </w:r>
      <w:r w:rsidR="003C48E0">
        <w:t>)</w:t>
      </w:r>
      <w:r w:rsidR="0036309A">
        <w:t xml:space="preserve">. This helps in increasing the relevant surge capacity of the community engagement program. In this chosen </w:t>
      </w:r>
      <w:r w:rsidR="007A154A">
        <w:t>cont</w:t>
      </w:r>
      <w:r w:rsidR="00A9784A">
        <w:t xml:space="preserve">ext, effective communication has influenced the commission to understand, how the black British youth getting out of school is influenced by the </w:t>
      </w:r>
      <w:r w:rsidR="003C48E0">
        <w:t xml:space="preserve">mistreatment they get in the school system. Thus, the programs are designed to identify certain aspects of this mistreatment and then eliminate that. </w:t>
      </w:r>
    </w:p>
    <w:p w14:paraId="267D0FEF" w14:textId="77777777" w:rsidR="00CB5393" w:rsidRDefault="00CB5393" w:rsidP="00CB5393">
      <w:pPr>
        <w:jc w:val="center"/>
      </w:pPr>
      <w:r w:rsidRPr="00A606D7">
        <w:rPr>
          <w:noProof/>
        </w:rPr>
        <w:lastRenderedPageBreak/>
        <w:drawing>
          <wp:inline distT="0" distB="0" distL="0" distR="0" wp14:anchorId="7205BD59" wp14:editId="613DFD82">
            <wp:extent cx="5273749" cy="6009465"/>
            <wp:effectExtent l="38100" t="57150" r="117401" b="86535"/>
            <wp:docPr id="1" name="Picture 8" descr="C:\DMG\2022-04-13 07_40_03-8ShSMKrByLhvRy-BcfVWDOq29GdYuHqhDm4rNnHsW58.PNG (718×8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DMG\2022-04-13 07_40_03-8ShSMKrByLhvRy-BcfVWDOq29GdYuHqhDm4rNnHsW58.PNG (718×811).png"/>
                    <pic:cNvPicPr>
                      <a:picLocks noChangeAspect="1" noChangeArrowheads="1"/>
                    </pic:cNvPicPr>
                  </pic:nvPicPr>
                  <pic:blipFill>
                    <a:blip r:embed="rId9"/>
                    <a:srcRect l="4198" r="2045" b="843"/>
                    <a:stretch>
                      <a:fillRect/>
                    </a:stretch>
                  </pic:blipFill>
                  <pic:spPr bwMode="auto">
                    <a:xfrm>
                      <a:off x="0" y="0"/>
                      <a:ext cx="5273749" cy="60094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D91A5E" w14:textId="77777777" w:rsidR="00CB5393" w:rsidRPr="00A606D7" w:rsidRDefault="00CB5393" w:rsidP="00CB5393">
      <w:pPr>
        <w:jc w:val="center"/>
        <w:rPr>
          <w:b/>
        </w:rPr>
      </w:pPr>
      <w:r>
        <w:rPr>
          <w:b/>
        </w:rPr>
        <w:t>Figure 2</w:t>
      </w:r>
      <w:r w:rsidRPr="00A606D7">
        <w:rPr>
          <w:b/>
        </w:rPr>
        <w:t>: Ethnic students experiencing racist treatment in school</w:t>
      </w:r>
    </w:p>
    <w:p w14:paraId="71D55A1E" w14:textId="77777777" w:rsidR="00CB5393" w:rsidRPr="00DF439F" w:rsidRDefault="00CB5393" w:rsidP="00CB5393">
      <w:pPr>
        <w:jc w:val="center"/>
      </w:pPr>
      <w:r>
        <w:t xml:space="preserve">(Source: Inspired from </w:t>
      </w:r>
      <w:r w:rsidRPr="00AF7E3C">
        <w:t>gov.uk</w:t>
      </w:r>
      <w:r>
        <w:t>, 2022)</w:t>
      </w:r>
    </w:p>
    <w:p w14:paraId="20EF262A" w14:textId="77777777" w:rsidR="00CB5393" w:rsidRDefault="00CB5393" w:rsidP="00B06B33"/>
    <w:p w14:paraId="1197D714" w14:textId="77777777" w:rsidR="00393651" w:rsidRDefault="0067703C" w:rsidP="004C38A1">
      <w:pPr>
        <w:pStyle w:val="Heading2"/>
      </w:pPr>
      <w:bookmarkStart w:id="5" w:name="_Toc100728902"/>
      <w:r w:rsidRPr="00F35637">
        <w:t xml:space="preserve">The process </w:t>
      </w:r>
      <w:r w:rsidR="00F35637" w:rsidRPr="00F35637">
        <w:t xml:space="preserve">regarding </w:t>
      </w:r>
      <w:r w:rsidR="00F35637">
        <w:t xml:space="preserve">research conduction, social engagement, community mapping, </w:t>
      </w:r>
      <w:r w:rsidR="008C4A98">
        <w:t>impact analysis, evaluation of the best practices</w:t>
      </w:r>
      <w:bookmarkEnd w:id="5"/>
      <w:r w:rsidR="00F35637">
        <w:t xml:space="preserve"> </w:t>
      </w:r>
    </w:p>
    <w:p w14:paraId="0922C820" w14:textId="77777777" w:rsidR="00A85D09" w:rsidRDefault="0067703C" w:rsidP="003C48E0">
      <w:r w:rsidRPr="000C2EB3">
        <w:rPr>
          <w:b/>
          <w:i/>
        </w:rPr>
        <w:t>Research conduction</w:t>
      </w:r>
      <w:r w:rsidR="000C2EB3">
        <w:rPr>
          <w:b/>
          <w:i/>
        </w:rPr>
        <w:t xml:space="preserve">: </w:t>
      </w:r>
      <w:r w:rsidR="00FE7D94">
        <w:t xml:space="preserve">Research conduction is the most primitive step for any kind of community engagement practice.  </w:t>
      </w:r>
      <w:r>
        <w:t xml:space="preserve">This helps in understanding the dynamics of the situation. </w:t>
      </w:r>
      <w:r>
        <w:lastRenderedPageBreak/>
        <w:t xml:space="preserve">It also helps in understanding the relevance of the respective context. In terms of community engagement, organisations or practitioner utilises research for determining the public perception and then align the public engagement for this. In this </w:t>
      </w:r>
      <w:proofErr w:type="gramStart"/>
      <w:r>
        <w:t>particular study</w:t>
      </w:r>
      <w:proofErr w:type="gramEnd"/>
      <w:r>
        <w:t xml:space="preserve">, Seawall's commission identified the harbinger fields associated with the UK population.  </w:t>
      </w:r>
      <w:proofErr w:type="gramStart"/>
      <w:r>
        <w:t>Thus</w:t>
      </w:r>
      <w:proofErr w:type="gramEnd"/>
      <w:r>
        <w:t xml:space="preserve"> it can help increase the feasibility of the study and the relevance of public engagement can be achieved (</w:t>
      </w:r>
      <w:r w:rsidRPr="00A85D09">
        <w:t>Lavorgna</w:t>
      </w:r>
      <w:r>
        <w:t xml:space="preserve"> </w:t>
      </w:r>
      <w:r>
        <w:rPr>
          <w:i/>
        </w:rPr>
        <w:t>et al.</w:t>
      </w:r>
      <w:r>
        <w:t>, 2021).</w:t>
      </w:r>
      <w:r w:rsidR="00240785">
        <w:t xml:space="preserve"> I have identified that the program was differentiated based on several fields of interest, thus it helps in widening the range of the program. Also, the inclusion of health and education can help the youth from ethnic backgrounds. </w:t>
      </w:r>
    </w:p>
    <w:p w14:paraId="16642D66" w14:textId="77777777" w:rsidR="003C48E0" w:rsidRDefault="0067703C" w:rsidP="003C48E0">
      <w:r w:rsidRPr="000C2EB3">
        <w:rPr>
          <w:b/>
          <w:i/>
        </w:rPr>
        <w:t>Social Engagement</w:t>
      </w:r>
      <w:r w:rsidR="00A85D09">
        <w:rPr>
          <w:b/>
          <w:i/>
        </w:rPr>
        <w:t xml:space="preserve">: </w:t>
      </w:r>
      <w:r w:rsidR="00A85D09">
        <w:t xml:space="preserve">Social engagement is also a key element regarding the relevance of the arranged program for community engagement. </w:t>
      </w:r>
      <w:r w:rsidR="00240785">
        <w:t xml:space="preserve">This also helps in making these processes as inclusive as possible. Without proper inclusion and diverse nature of representativeness, the program would go in vain. This also helps in understanding the myriad aspects of community preferences; </w:t>
      </w:r>
      <w:proofErr w:type="gramStart"/>
      <w:r w:rsidR="00240785">
        <w:t>therefore</w:t>
      </w:r>
      <w:proofErr w:type="gramEnd"/>
      <w:r w:rsidR="00240785">
        <w:t xml:space="preserve"> the program can cater to those preferences</w:t>
      </w:r>
      <w:r w:rsidR="00235625">
        <w:t xml:space="preserve"> (</w:t>
      </w:r>
      <w:r w:rsidR="00235625" w:rsidRPr="00235625">
        <w:t>Weaver</w:t>
      </w:r>
      <w:r w:rsidR="00235625">
        <w:t xml:space="preserve"> </w:t>
      </w:r>
      <w:r w:rsidR="00235625">
        <w:rPr>
          <w:i/>
        </w:rPr>
        <w:t>et al.</w:t>
      </w:r>
      <w:r w:rsidR="00235625">
        <w:t>, 2021)</w:t>
      </w:r>
      <w:r w:rsidR="00240785">
        <w:t>. In this case, the commission has utilised the relevant features regarding the process of the "</w:t>
      </w:r>
      <w:r w:rsidR="00240785" w:rsidRPr="00481F5D">
        <w:t>Socio-culture integration process (SCIP)</w:t>
      </w:r>
      <w:r w:rsidR="00240785">
        <w:t xml:space="preserve">”. It helps in integrating the designed project with the pop-culture </w:t>
      </w:r>
      <w:proofErr w:type="gramStart"/>
      <w:r w:rsidR="00240785">
        <w:t>aspects;</w:t>
      </w:r>
      <w:proofErr w:type="gramEnd"/>
      <w:r w:rsidR="00240785">
        <w:t xml:space="preserve"> like music, food, sports and arts. This has helped the ethnic background to connect with the program and find a tinge of representativeness</w:t>
      </w:r>
      <w:r w:rsidR="006D4D2C">
        <w:t xml:space="preserve"> (</w:t>
      </w:r>
      <w:r w:rsidR="006D4D2C" w:rsidRPr="00481F5D">
        <w:t>uni-goettingen.de, 2022</w:t>
      </w:r>
      <w:r w:rsidR="006D4D2C">
        <w:t>)</w:t>
      </w:r>
      <w:r w:rsidR="00240785">
        <w:t xml:space="preserve">. </w:t>
      </w:r>
      <w:r w:rsidR="00235625">
        <w:t>From my perspective, the supporting role this commission has played regarding the case of an Indian British couple against the adoption agency, which refused to provide service to the Indian couple, helped in influencing the social engagement (</w:t>
      </w:r>
      <w:r w:rsidR="00235625" w:rsidRPr="00481F5D">
        <w:t>gov.uk, 2022</w:t>
      </w:r>
      <w:r w:rsidR="00235625">
        <w:t xml:space="preserve">). </w:t>
      </w:r>
    </w:p>
    <w:p w14:paraId="1C2E5742" w14:textId="77777777" w:rsidR="000C2EB3" w:rsidRDefault="0067703C" w:rsidP="003C48E0">
      <w:r w:rsidRPr="000C2EB3">
        <w:rPr>
          <w:b/>
          <w:i/>
        </w:rPr>
        <w:t>Community mapping</w:t>
      </w:r>
      <w:r w:rsidR="00235625">
        <w:rPr>
          <w:b/>
          <w:i/>
        </w:rPr>
        <w:t xml:space="preserve">: </w:t>
      </w:r>
      <w:r w:rsidR="00235625">
        <w:t>Community mapping can help in identifying the representative, who would make the program successful and influence other people to join the venture. This can lead to fostering the essential accountability of these ethnic people as well as the wholesome UK population to be more inclusive and not take part or prohibit any sort of racial discrimination. Regarding designing or developing the program for community engagement community mapping can help in sorting out the priorities and issues with the help of participatory mapping</w:t>
      </w:r>
      <w:r w:rsidR="009B4EBF">
        <w:t xml:space="preserve"> (Brown</w:t>
      </w:r>
      <w:r w:rsidR="009B4EBF" w:rsidRPr="009B4EBF">
        <w:t xml:space="preserve"> and </w:t>
      </w:r>
      <w:proofErr w:type="spellStart"/>
      <w:r w:rsidR="009B4EBF" w:rsidRPr="009B4EBF">
        <w:t>Kyttä</w:t>
      </w:r>
      <w:proofErr w:type="spellEnd"/>
      <w:r w:rsidR="009B4EBF">
        <w:t>, 2018)</w:t>
      </w:r>
      <w:r w:rsidR="00235625">
        <w:t xml:space="preserve">. It can also lead to increased specialisation for the program. </w:t>
      </w:r>
      <w:r w:rsidR="00001A76">
        <w:t>In this program, the commission has used community mapping for designing targeted campaigns, for COVID vaccination for the ethnic or aboriginal people along with schooling campaigns for mitigating the drooping outnumber of people from African or Caribbean communities (</w:t>
      </w:r>
      <w:r w:rsidR="00001A76" w:rsidRPr="00481F5D">
        <w:t>gov.uk, 2022</w:t>
      </w:r>
      <w:r w:rsidR="00001A76">
        <w:t xml:space="preserve">). </w:t>
      </w:r>
    </w:p>
    <w:p w14:paraId="38D6311B" w14:textId="77777777" w:rsidR="00C37A1B" w:rsidRDefault="0067703C" w:rsidP="00AF7E3C">
      <w:pPr>
        <w:rPr>
          <w:b/>
        </w:rPr>
      </w:pPr>
      <w:r w:rsidRPr="000C2EB3">
        <w:rPr>
          <w:b/>
          <w:i/>
        </w:rPr>
        <w:lastRenderedPageBreak/>
        <w:t>Impact analysis</w:t>
      </w:r>
      <w:r w:rsidR="009B4EBF">
        <w:rPr>
          <w:b/>
          <w:i/>
        </w:rPr>
        <w:t xml:space="preserve">: </w:t>
      </w:r>
      <w:r w:rsidR="00001A76">
        <w:t>Impact analysis is a process important for the evaluation of a program. Impact analysis is often conducted for these kinds of programs through a people private-public partnership basis. Through this, the impact analysis not only the community engagement efforts or intent can be evaluated, but also it can help understand the basic needs or the limitation of the program</w:t>
      </w:r>
      <w:r w:rsidR="00443F34">
        <w:t xml:space="preserve"> (</w:t>
      </w:r>
      <w:proofErr w:type="spellStart"/>
      <w:r w:rsidR="00443F34" w:rsidRPr="00443F34">
        <w:t>Batidzirai</w:t>
      </w:r>
      <w:proofErr w:type="spellEnd"/>
      <w:r w:rsidR="00443F34">
        <w:t xml:space="preserve"> </w:t>
      </w:r>
      <w:r w:rsidR="00443F34">
        <w:rPr>
          <w:i/>
        </w:rPr>
        <w:t>et al.</w:t>
      </w:r>
      <w:r w:rsidR="00443F34">
        <w:t>, 2021)</w:t>
      </w:r>
      <w:r w:rsidR="00001A76">
        <w:t>. In this community engagement effort from the UK government</w:t>
      </w:r>
      <w:r w:rsidR="00443F34">
        <w:t>, the impact analysis has been used for further relevant decision making. This also helped in making an action plan, like delivering the social media filter and safety app. Which will identify the hate speech or discriminatory and racial comments to detent the person involved and mitigate these hoodlum activities (</w:t>
      </w:r>
      <w:r w:rsidR="00443F34" w:rsidRPr="00481F5D">
        <w:t>gov.uk, 2022</w:t>
      </w:r>
      <w:r w:rsidR="00443F34">
        <w:t xml:space="preserve">). </w:t>
      </w:r>
      <w:r w:rsidRPr="000C2EB3">
        <w:rPr>
          <w:b/>
          <w:i/>
        </w:rPr>
        <w:br w:type="page"/>
      </w:r>
    </w:p>
    <w:p w14:paraId="0C26A025" w14:textId="77777777" w:rsidR="00393651" w:rsidRPr="00F35637" w:rsidRDefault="0067703C" w:rsidP="004C38A1">
      <w:pPr>
        <w:pStyle w:val="Heading1"/>
      </w:pPr>
      <w:bookmarkStart w:id="6" w:name="_Toc100728903"/>
      <w:r>
        <w:lastRenderedPageBreak/>
        <w:t>Conclusion</w:t>
      </w:r>
      <w:bookmarkEnd w:id="6"/>
      <w:r>
        <w:t xml:space="preserve"> </w:t>
      </w:r>
    </w:p>
    <w:p w14:paraId="40DA5BEC" w14:textId="77777777" w:rsidR="00393651" w:rsidRDefault="0067703C" w:rsidP="004C38A1">
      <w:r w:rsidRPr="000F2D7F">
        <w:t>Since 2000, the UK has experienced a steady increase in the number of people migrating inward. It has diversified the population, but the society or treatment of this heterogeneous UK population is still insufficiently inclusive. Following the failure of Euro 2020, various discriminatory incidents have occurred in the United Kingdom, including assault and vituperate-related criminal proceedings against minorities. The COVID-19 fiasco also revealed that persons of ethnic origins in the United Kingdom feel uncomfortable and have had poor treatment from medical professionals. These issues influenced the government in appointing the commission under the leadership of Sewell and that has led the panel to compile reports from 9 other panels from various other fields. It serves as the foundation for the "Commission on Racial and Ethnic Disparities (2022)."</w:t>
      </w:r>
      <w:r>
        <w:t xml:space="preserve"> The reflection is based upon the analysis of this </w:t>
      </w:r>
      <w:proofErr w:type="gramStart"/>
      <w:r>
        <w:t>report</w:t>
      </w:r>
      <w:proofErr w:type="gramEnd"/>
      <w:r>
        <w:t xml:space="preserve"> and it is utilised for future planning in community engagement. </w:t>
      </w:r>
    </w:p>
    <w:p w14:paraId="14053438" w14:textId="77777777" w:rsidR="00DC293E" w:rsidRDefault="00DC293E">
      <w:pPr>
        <w:spacing w:line="276" w:lineRule="auto"/>
        <w:jc w:val="left"/>
      </w:pPr>
      <w:r>
        <w:br w:type="page"/>
      </w:r>
    </w:p>
    <w:p w14:paraId="26B106C3" w14:textId="77777777" w:rsidR="000F2D7F" w:rsidRDefault="00DC293E" w:rsidP="00DC293E">
      <w:pPr>
        <w:pStyle w:val="Heading1"/>
      </w:pPr>
      <w:r>
        <w:lastRenderedPageBreak/>
        <w:t>References</w:t>
      </w:r>
    </w:p>
    <w:p w14:paraId="705D2614" w14:textId="77777777" w:rsidR="00DC293E" w:rsidRPr="00DC293E" w:rsidRDefault="00DC293E" w:rsidP="00DC293E">
      <w:pPr>
        <w:rPr>
          <w:color w:val="222222"/>
          <w:shd w:val="clear" w:color="auto" w:fill="FFFFFF"/>
        </w:rPr>
      </w:pPr>
      <w:r w:rsidRPr="00DC293E">
        <w:rPr>
          <w:color w:val="222222"/>
          <w:shd w:val="clear" w:color="auto" w:fill="FFFFFF"/>
        </w:rPr>
        <w:t>Armstrong, M.J., Gronseth, G.S., Gagliardi, A.R. and Mullins, C.D., 2020. Participation and consultation engagement strategies have complementary roles: A case study of patient and public involvement in clinical practice guideline development. </w:t>
      </w:r>
      <w:r w:rsidRPr="00DC293E">
        <w:rPr>
          <w:i/>
          <w:iCs/>
          <w:color w:val="222222"/>
          <w:shd w:val="clear" w:color="auto" w:fill="FFFFFF"/>
        </w:rPr>
        <w:t>Health Expectations</w:t>
      </w:r>
      <w:r w:rsidRPr="00DC293E">
        <w:rPr>
          <w:color w:val="222222"/>
          <w:shd w:val="clear" w:color="auto" w:fill="FFFFFF"/>
        </w:rPr>
        <w:t>, </w:t>
      </w:r>
      <w:r w:rsidRPr="00DC293E">
        <w:rPr>
          <w:i/>
          <w:iCs/>
          <w:color w:val="222222"/>
          <w:shd w:val="clear" w:color="auto" w:fill="FFFFFF"/>
        </w:rPr>
        <w:t>23</w:t>
      </w:r>
      <w:r w:rsidRPr="00DC293E">
        <w:rPr>
          <w:color w:val="222222"/>
          <w:shd w:val="clear" w:color="auto" w:fill="FFFFFF"/>
        </w:rPr>
        <w:t>(2), pp.423-432.</w:t>
      </w:r>
    </w:p>
    <w:p w14:paraId="408AB2CB" w14:textId="77777777" w:rsidR="00DC293E" w:rsidRPr="00DC293E" w:rsidRDefault="00DC293E" w:rsidP="00DC293E">
      <w:pPr>
        <w:rPr>
          <w:color w:val="222222"/>
          <w:shd w:val="clear" w:color="auto" w:fill="FFFFFF"/>
        </w:rPr>
      </w:pPr>
      <w:r w:rsidRPr="00DC293E">
        <w:rPr>
          <w:color w:val="222222"/>
          <w:shd w:val="clear" w:color="auto" w:fill="FFFFFF"/>
        </w:rPr>
        <w:t xml:space="preserve">Barker, K.M., Ling, E.J., Fallah, M., </w:t>
      </w:r>
      <w:proofErr w:type="spellStart"/>
      <w:r w:rsidRPr="00DC293E">
        <w:rPr>
          <w:color w:val="222222"/>
          <w:shd w:val="clear" w:color="auto" w:fill="FFFFFF"/>
        </w:rPr>
        <w:t>VanDeBogert</w:t>
      </w:r>
      <w:proofErr w:type="spellEnd"/>
      <w:r w:rsidRPr="00DC293E">
        <w:rPr>
          <w:color w:val="222222"/>
          <w:shd w:val="clear" w:color="auto" w:fill="FFFFFF"/>
        </w:rPr>
        <w:t>, B., Kodl, Y., Macauley, R.J., Viswanath, K. and Kruk, M.E., 2020. Community engagement for health system resilience: evidence from Liberia’s Ebola epidemic. </w:t>
      </w:r>
      <w:r w:rsidRPr="00DC293E">
        <w:rPr>
          <w:i/>
          <w:iCs/>
          <w:color w:val="222222"/>
          <w:shd w:val="clear" w:color="auto" w:fill="FFFFFF"/>
        </w:rPr>
        <w:t>Health policy and planning</w:t>
      </w:r>
      <w:r w:rsidRPr="00DC293E">
        <w:rPr>
          <w:color w:val="222222"/>
          <w:shd w:val="clear" w:color="auto" w:fill="FFFFFF"/>
        </w:rPr>
        <w:t>, </w:t>
      </w:r>
      <w:r w:rsidRPr="00DC293E">
        <w:rPr>
          <w:i/>
          <w:iCs/>
          <w:color w:val="222222"/>
          <w:shd w:val="clear" w:color="auto" w:fill="FFFFFF"/>
        </w:rPr>
        <w:t>35</w:t>
      </w:r>
      <w:r w:rsidRPr="00DC293E">
        <w:rPr>
          <w:color w:val="222222"/>
          <w:shd w:val="clear" w:color="auto" w:fill="FFFFFF"/>
        </w:rPr>
        <w:t>(4), pp.416-423.</w:t>
      </w:r>
    </w:p>
    <w:p w14:paraId="23F9F462" w14:textId="77777777" w:rsidR="00DC293E" w:rsidRPr="00DC293E" w:rsidRDefault="00DC293E" w:rsidP="00DC293E">
      <w:proofErr w:type="spellStart"/>
      <w:r w:rsidRPr="00DC293E">
        <w:rPr>
          <w:color w:val="222222"/>
          <w:shd w:val="clear" w:color="auto" w:fill="FFFFFF"/>
        </w:rPr>
        <w:t>Batidzirai</w:t>
      </w:r>
      <w:proofErr w:type="spellEnd"/>
      <w:r w:rsidRPr="00DC293E">
        <w:rPr>
          <w:color w:val="222222"/>
          <w:shd w:val="clear" w:color="auto" w:fill="FFFFFF"/>
        </w:rPr>
        <w:t xml:space="preserve">, B., Trotter, P.A., Brophy, A., Stritzke, S., Moyo, A., Twesigye, P., </w:t>
      </w:r>
      <w:proofErr w:type="spellStart"/>
      <w:r w:rsidRPr="00DC293E">
        <w:rPr>
          <w:color w:val="222222"/>
          <w:shd w:val="clear" w:color="auto" w:fill="FFFFFF"/>
        </w:rPr>
        <w:t>Puranasamriddhi</w:t>
      </w:r>
      <w:proofErr w:type="spellEnd"/>
      <w:r w:rsidRPr="00DC293E">
        <w:rPr>
          <w:color w:val="222222"/>
          <w:shd w:val="clear" w:color="auto" w:fill="FFFFFF"/>
        </w:rPr>
        <w:t xml:space="preserve">, A. and </w:t>
      </w:r>
      <w:proofErr w:type="spellStart"/>
      <w:r w:rsidRPr="00DC293E">
        <w:rPr>
          <w:color w:val="222222"/>
          <w:shd w:val="clear" w:color="auto" w:fill="FFFFFF"/>
        </w:rPr>
        <w:t>Madhlopa</w:t>
      </w:r>
      <w:proofErr w:type="spellEnd"/>
      <w:r w:rsidRPr="00DC293E">
        <w:rPr>
          <w:color w:val="222222"/>
          <w:shd w:val="clear" w:color="auto" w:fill="FFFFFF"/>
        </w:rPr>
        <w:t>, A., 2021. Towards people-private-public partnerships: An integrated community engagement model for capturing energy access needs. </w:t>
      </w:r>
      <w:r w:rsidRPr="00DC293E">
        <w:rPr>
          <w:i/>
          <w:iCs/>
          <w:color w:val="222222"/>
          <w:shd w:val="clear" w:color="auto" w:fill="FFFFFF"/>
        </w:rPr>
        <w:t>Energy Research &amp; Social Science</w:t>
      </w:r>
      <w:r w:rsidRPr="00DC293E">
        <w:rPr>
          <w:color w:val="222222"/>
          <w:shd w:val="clear" w:color="auto" w:fill="FFFFFF"/>
        </w:rPr>
        <w:t>, </w:t>
      </w:r>
      <w:r w:rsidRPr="00DC293E">
        <w:rPr>
          <w:i/>
          <w:iCs/>
          <w:color w:val="222222"/>
          <w:shd w:val="clear" w:color="auto" w:fill="FFFFFF"/>
        </w:rPr>
        <w:t>74</w:t>
      </w:r>
      <w:r w:rsidRPr="00DC293E">
        <w:rPr>
          <w:color w:val="222222"/>
          <w:shd w:val="clear" w:color="auto" w:fill="FFFFFF"/>
        </w:rPr>
        <w:t>, p.101975.</w:t>
      </w:r>
    </w:p>
    <w:p w14:paraId="472116E3" w14:textId="77777777" w:rsidR="00DC293E" w:rsidRPr="00DC293E" w:rsidRDefault="00DC293E" w:rsidP="00DC293E">
      <w:pPr>
        <w:rPr>
          <w:color w:val="222222"/>
          <w:shd w:val="clear" w:color="auto" w:fill="FFFFFF"/>
        </w:rPr>
      </w:pPr>
      <w:r w:rsidRPr="00DC293E">
        <w:rPr>
          <w:color w:val="222222"/>
          <w:shd w:val="clear" w:color="auto" w:fill="FFFFFF"/>
        </w:rPr>
        <w:t xml:space="preserve">Brown, G. and </w:t>
      </w:r>
      <w:proofErr w:type="spellStart"/>
      <w:r w:rsidRPr="00DC293E">
        <w:rPr>
          <w:color w:val="222222"/>
          <w:shd w:val="clear" w:color="auto" w:fill="FFFFFF"/>
        </w:rPr>
        <w:t>Kyttä</w:t>
      </w:r>
      <w:proofErr w:type="spellEnd"/>
      <w:r w:rsidRPr="00DC293E">
        <w:rPr>
          <w:color w:val="222222"/>
          <w:shd w:val="clear" w:color="auto" w:fill="FFFFFF"/>
        </w:rPr>
        <w:t xml:space="preserve">, M., 2018. Key issues and priorities in participatory mapping: Toward integration or increased </w:t>
      </w:r>
      <w:proofErr w:type="gramStart"/>
      <w:r w:rsidRPr="00DC293E">
        <w:rPr>
          <w:color w:val="222222"/>
          <w:shd w:val="clear" w:color="auto" w:fill="FFFFFF"/>
        </w:rPr>
        <w:t>specialization?.</w:t>
      </w:r>
      <w:proofErr w:type="gramEnd"/>
      <w:r w:rsidRPr="00DC293E">
        <w:rPr>
          <w:color w:val="222222"/>
          <w:shd w:val="clear" w:color="auto" w:fill="FFFFFF"/>
        </w:rPr>
        <w:t> </w:t>
      </w:r>
      <w:r w:rsidRPr="00DC293E">
        <w:rPr>
          <w:i/>
          <w:iCs/>
          <w:color w:val="222222"/>
          <w:shd w:val="clear" w:color="auto" w:fill="FFFFFF"/>
        </w:rPr>
        <w:t>Applied geography</w:t>
      </w:r>
      <w:r w:rsidRPr="00DC293E">
        <w:rPr>
          <w:color w:val="222222"/>
          <w:shd w:val="clear" w:color="auto" w:fill="FFFFFF"/>
        </w:rPr>
        <w:t>, </w:t>
      </w:r>
      <w:r w:rsidRPr="00DC293E">
        <w:rPr>
          <w:i/>
          <w:iCs/>
          <w:color w:val="222222"/>
          <w:shd w:val="clear" w:color="auto" w:fill="FFFFFF"/>
        </w:rPr>
        <w:t>95</w:t>
      </w:r>
      <w:r w:rsidRPr="00DC293E">
        <w:rPr>
          <w:color w:val="222222"/>
          <w:shd w:val="clear" w:color="auto" w:fill="FFFFFF"/>
        </w:rPr>
        <w:t>, pp.1-8.</w:t>
      </w:r>
    </w:p>
    <w:p w14:paraId="5B77E0A6" w14:textId="77777777" w:rsidR="00DC293E" w:rsidRPr="00DC293E" w:rsidRDefault="00DC293E" w:rsidP="00DC293E">
      <w:r w:rsidRPr="00DC293E">
        <w:rPr>
          <w:color w:val="222222"/>
          <w:shd w:val="clear" w:color="auto" w:fill="FFFFFF"/>
        </w:rPr>
        <w:t>Fergusson, L., van der Laan, L. and Baker, S., 2019. Reflective practice and work-based research: a description of micro-and macro-reflective cycles. </w:t>
      </w:r>
      <w:r w:rsidRPr="00DC293E">
        <w:rPr>
          <w:i/>
          <w:iCs/>
          <w:color w:val="222222"/>
          <w:shd w:val="clear" w:color="auto" w:fill="FFFFFF"/>
        </w:rPr>
        <w:t>Reflective Practice</w:t>
      </w:r>
      <w:r w:rsidRPr="00DC293E">
        <w:rPr>
          <w:color w:val="222222"/>
          <w:shd w:val="clear" w:color="auto" w:fill="FFFFFF"/>
        </w:rPr>
        <w:t>, </w:t>
      </w:r>
      <w:r w:rsidRPr="00DC293E">
        <w:rPr>
          <w:i/>
          <w:iCs/>
          <w:color w:val="222222"/>
          <w:shd w:val="clear" w:color="auto" w:fill="FFFFFF"/>
        </w:rPr>
        <w:t>20</w:t>
      </w:r>
      <w:r w:rsidRPr="00DC293E">
        <w:rPr>
          <w:color w:val="222222"/>
          <w:shd w:val="clear" w:color="auto" w:fill="FFFFFF"/>
        </w:rPr>
        <w:t>(2), pp.289-303.</w:t>
      </w:r>
    </w:p>
    <w:p w14:paraId="20F22682" w14:textId="77777777" w:rsidR="00DC293E" w:rsidRPr="00DC293E" w:rsidRDefault="00DC293E" w:rsidP="00DC293E">
      <w:r w:rsidRPr="00DC293E">
        <w:t>gov.uk, 2022,</w:t>
      </w:r>
      <w:r w:rsidRPr="00DC293E">
        <w:rPr>
          <w:i/>
        </w:rPr>
        <w:t xml:space="preserve"> Final report on progress to address COVID-19 health inequalities </w:t>
      </w:r>
      <w:r w:rsidRPr="00DC293E">
        <w:t xml:space="preserve">[Online] Available at: https://www.gov.uk/government/publications/final-report-on-progress-to-address-covid-19-health-inequalities [Accessed 12 </w:t>
      </w:r>
      <w:proofErr w:type="gramStart"/>
      <w:r w:rsidRPr="00DC293E">
        <w:t>April,</w:t>
      </w:r>
      <w:proofErr w:type="gramEnd"/>
      <w:r w:rsidRPr="00DC293E">
        <w:t xml:space="preserve"> 2022]</w:t>
      </w:r>
    </w:p>
    <w:p w14:paraId="04BC19C7" w14:textId="77777777" w:rsidR="00DC293E" w:rsidRPr="00DC293E" w:rsidRDefault="00DC293E" w:rsidP="00DC293E">
      <w:r w:rsidRPr="00DC293E">
        <w:t>gov.uk, 2022,</w:t>
      </w:r>
      <w:r w:rsidRPr="00DC293E">
        <w:rPr>
          <w:i/>
        </w:rPr>
        <w:t xml:space="preserve"> Inclusive Britain: government response to the Commission on Race and Ethnic Disparities </w:t>
      </w:r>
      <w:r w:rsidRPr="00DC293E">
        <w:t>[Online] Available at: https://www.gov.uk/government/publications/inclusive-britainaction-plan-government-response-to-the-commission-on-race-and-ethnic-disparities/inclusive-britain-government-response-to-the-commission-on-race-and-ethnic-disparities [Accessed 12 April 2022]</w:t>
      </w:r>
    </w:p>
    <w:p w14:paraId="3F35A4E2" w14:textId="77777777" w:rsidR="00DC293E" w:rsidRPr="00DC293E" w:rsidRDefault="00DC293E" w:rsidP="00DC293E">
      <w:r w:rsidRPr="00DC293E">
        <w:rPr>
          <w:color w:val="222222"/>
          <w:shd w:val="clear" w:color="auto" w:fill="FFFFFF"/>
        </w:rPr>
        <w:t>Key, K.D. and Lewis, E.Y., 2018. Sustainable community engagement in a constantly changing health system. </w:t>
      </w:r>
      <w:r w:rsidRPr="00DC293E">
        <w:rPr>
          <w:i/>
          <w:iCs/>
          <w:color w:val="222222"/>
          <w:shd w:val="clear" w:color="auto" w:fill="FFFFFF"/>
        </w:rPr>
        <w:t>Learning health systems</w:t>
      </w:r>
      <w:r w:rsidRPr="00DC293E">
        <w:rPr>
          <w:color w:val="222222"/>
          <w:shd w:val="clear" w:color="auto" w:fill="FFFFFF"/>
        </w:rPr>
        <w:t>, </w:t>
      </w:r>
      <w:r w:rsidRPr="00DC293E">
        <w:rPr>
          <w:i/>
          <w:iCs/>
          <w:color w:val="222222"/>
          <w:shd w:val="clear" w:color="auto" w:fill="FFFFFF"/>
        </w:rPr>
        <w:t>2</w:t>
      </w:r>
      <w:r w:rsidRPr="00DC293E">
        <w:rPr>
          <w:color w:val="222222"/>
          <w:shd w:val="clear" w:color="auto" w:fill="FFFFFF"/>
        </w:rPr>
        <w:t>(3), p.e10053.</w:t>
      </w:r>
    </w:p>
    <w:p w14:paraId="080357C8" w14:textId="77777777" w:rsidR="00DC293E" w:rsidRPr="00DC293E" w:rsidRDefault="00DC293E" w:rsidP="00DC293E">
      <w:r w:rsidRPr="00DC293E">
        <w:rPr>
          <w:color w:val="222222"/>
          <w:shd w:val="clear" w:color="auto" w:fill="FFFFFF"/>
        </w:rPr>
        <w:lastRenderedPageBreak/>
        <w:t xml:space="preserve">Lavorgna, L., Brigo, F., Esposito, S., Abbadessa, G., Sparaco, M., Lanzillo, R., Moccia, M., Inglese, M., Bonfanti, L., </w:t>
      </w:r>
      <w:proofErr w:type="spellStart"/>
      <w:r w:rsidRPr="00DC293E">
        <w:rPr>
          <w:color w:val="222222"/>
          <w:shd w:val="clear" w:color="auto" w:fill="FFFFFF"/>
        </w:rPr>
        <w:t>Trojsi</w:t>
      </w:r>
      <w:proofErr w:type="spellEnd"/>
      <w:r w:rsidRPr="00DC293E">
        <w:rPr>
          <w:color w:val="222222"/>
          <w:shd w:val="clear" w:color="auto" w:fill="FFFFFF"/>
        </w:rPr>
        <w:t>, F. and Spina, E., 2021. Public engagement and neurology: An update. </w:t>
      </w:r>
      <w:r w:rsidRPr="00DC293E">
        <w:rPr>
          <w:i/>
          <w:iCs/>
          <w:color w:val="222222"/>
          <w:shd w:val="clear" w:color="auto" w:fill="FFFFFF"/>
        </w:rPr>
        <w:t>Brain Sciences</w:t>
      </w:r>
      <w:r w:rsidRPr="00DC293E">
        <w:rPr>
          <w:color w:val="222222"/>
          <w:shd w:val="clear" w:color="auto" w:fill="FFFFFF"/>
        </w:rPr>
        <w:t>, </w:t>
      </w:r>
      <w:r w:rsidRPr="00DC293E">
        <w:rPr>
          <w:i/>
          <w:iCs/>
          <w:color w:val="222222"/>
          <w:shd w:val="clear" w:color="auto" w:fill="FFFFFF"/>
        </w:rPr>
        <w:t>11</w:t>
      </w:r>
      <w:r w:rsidRPr="00DC293E">
        <w:rPr>
          <w:color w:val="222222"/>
          <w:shd w:val="clear" w:color="auto" w:fill="FFFFFF"/>
        </w:rPr>
        <w:t>(4), p.429.</w:t>
      </w:r>
      <w:r w:rsidRPr="00DC293E">
        <w:t xml:space="preserve">                    </w:t>
      </w:r>
    </w:p>
    <w:p w14:paraId="034B59CB" w14:textId="77777777" w:rsidR="00DC293E" w:rsidRPr="00DC293E" w:rsidRDefault="00DC293E" w:rsidP="00DC293E">
      <w:r w:rsidRPr="00DC293E">
        <w:rPr>
          <w:color w:val="222222"/>
          <w:shd w:val="clear" w:color="auto" w:fill="FFFFFF"/>
        </w:rPr>
        <w:t>Morris, D., Phillips, R. and Bates, P., Reflections on the approach to social inclusion and community engagement of people using mental health services in New Zealand and England.</w:t>
      </w:r>
    </w:p>
    <w:p w14:paraId="7CC074D1" w14:textId="77777777" w:rsidR="00DC293E" w:rsidRPr="00DC293E" w:rsidRDefault="00DC293E" w:rsidP="00DC293E">
      <w:r w:rsidRPr="00DC293E">
        <w:t>nytimes.com, 2021,</w:t>
      </w:r>
      <w:r w:rsidRPr="00DC293E">
        <w:rPr>
          <w:i/>
        </w:rPr>
        <w:t xml:space="preserve"> After Defeat, England’s Black Soccer Players Face a Racist Outburst </w:t>
      </w:r>
      <w:r w:rsidRPr="00DC293E">
        <w:t xml:space="preserve">[Online] Available at: https://www.nytimes.com/2021/07/12/world/europe/england-european-championships-racism.html [Accessed 12 </w:t>
      </w:r>
      <w:proofErr w:type="gramStart"/>
      <w:r w:rsidRPr="00DC293E">
        <w:t>April,</w:t>
      </w:r>
      <w:proofErr w:type="gramEnd"/>
      <w:r w:rsidRPr="00DC293E">
        <w:t xml:space="preserve"> 2022]</w:t>
      </w:r>
    </w:p>
    <w:p w14:paraId="7E4E7F58" w14:textId="77777777" w:rsidR="00DC293E" w:rsidRPr="00DC293E" w:rsidRDefault="00DC293E" w:rsidP="00DC293E">
      <w:pPr>
        <w:rPr>
          <w:color w:val="222222"/>
          <w:shd w:val="clear" w:color="auto" w:fill="FFFFFF"/>
        </w:rPr>
      </w:pPr>
      <w:r w:rsidRPr="00DC293E">
        <w:rPr>
          <w:color w:val="222222"/>
          <w:shd w:val="clear" w:color="auto" w:fill="FFFFFF"/>
        </w:rPr>
        <w:t xml:space="preserve">Reynolds, L. and </w:t>
      </w:r>
      <w:proofErr w:type="spellStart"/>
      <w:r w:rsidRPr="00DC293E">
        <w:rPr>
          <w:color w:val="222222"/>
          <w:shd w:val="clear" w:color="auto" w:fill="FFFFFF"/>
        </w:rPr>
        <w:t>Sariola</w:t>
      </w:r>
      <w:proofErr w:type="spellEnd"/>
      <w:r w:rsidRPr="00DC293E">
        <w:rPr>
          <w:color w:val="222222"/>
          <w:shd w:val="clear" w:color="auto" w:fill="FFFFFF"/>
        </w:rPr>
        <w:t>, S., 2018. The ethics and politics of community engagement in global health research. </w:t>
      </w:r>
      <w:r w:rsidRPr="00DC293E">
        <w:rPr>
          <w:i/>
          <w:iCs/>
          <w:color w:val="222222"/>
          <w:shd w:val="clear" w:color="auto" w:fill="FFFFFF"/>
        </w:rPr>
        <w:t>Critical Public Health</w:t>
      </w:r>
      <w:r w:rsidRPr="00DC293E">
        <w:rPr>
          <w:color w:val="222222"/>
          <w:shd w:val="clear" w:color="auto" w:fill="FFFFFF"/>
        </w:rPr>
        <w:t>, </w:t>
      </w:r>
      <w:r w:rsidRPr="00DC293E">
        <w:rPr>
          <w:i/>
          <w:iCs/>
          <w:color w:val="222222"/>
          <w:shd w:val="clear" w:color="auto" w:fill="FFFFFF"/>
        </w:rPr>
        <w:t>28</w:t>
      </w:r>
      <w:r w:rsidRPr="00DC293E">
        <w:rPr>
          <w:color w:val="222222"/>
          <w:shd w:val="clear" w:color="auto" w:fill="FFFFFF"/>
        </w:rPr>
        <w:t>(3), pp.257-268.</w:t>
      </w:r>
    </w:p>
    <w:p w14:paraId="247848D5" w14:textId="77777777" w:rsidR="00DC293E" w:rsidRPr="00DC293E" w:rsidRDefault="00DC293E" w:rsidP="00DC293E">
      <w:r w:rsidRPr="00DC293E">
        <w:t>uni-goettingen.de, 2022,</w:t>
      </w:r>
      <w:r w:rsidRPr="00DC293E">
        <w:rPr>
          <w:i/>
        </w:rPr>
        <w:t xml:space="preserve"> Causes and Consequences of Socio-Cultural Integration Processes among New Immigrants in Europe (Info) </w:t>
      </w:r>
      <w:r w:rsidRPr="00DC293E">
        <w:t xml:space="preserve">[Online] Available at: </w:t>
      </w:r>
      <w:proofErr w:type="gramStart"/>
      <w:r w:rsidRPr="00DC293E">
        <w:t>https://uni-goettingen.de/de/153336.html[</w:t>
      </w:r>
      <w:proofErr w:type="gramEnd"/>
      <w:r w:rsidRPr="00DC293E">
        <w:t>Accessed 12 March 2022]</w:t>
      </w:r>
    </w:p>
    <w:p w14:paraId="358EE294" w14:textId="77777777" w:rsidR="00DC293E" w:rsidRPr="00DC293E" w:rsidRDefault="00DC293E" w:rsidP="00DC293E">
      <w:r w:rsidRPr="00DC293E">
        <w:rPr>
          <w:color w:val="222222"/>
          <w:shd w:val="clear" w:color="auto" w:fill="FFFFFF"/>
        </w:rPr>
        <w:t>Weaver, L.A., Bingham, E., Luo, K., Juárez, A.P. and Taylor, J.L., 2021. What do we really mean by “inclusion?”: The importance of terminology when discussing approaches to community engagement. </w:t>
      </w:r>
      <w:r w:rsidRPr="00DC293E">
        <w:rPr>
          <w:i/>
          <w:iCs/>
          <w:color w:val="222222"/>
          <w:shd w:val="clear" w:color="auto" w:fill="FFFFFF"/>
        </w:rPr>
        <w:t>Autism</w:t>
      </w:r>
      <w:r w:rsidRPr="00DC293E">
        <w:rPr>
          <w:color w:val="222222"/>
          <w:shd w:val="clear" w:color="auto" w:fill="FFFFFF"/>
        </w:rPr>
        <w:t>, </w:t>
      </w:r>
      <w:r w:rsidRPr="00DC293E">
        <w:rPr>
          <w:i/>
          <w:iCs/>
          <w:color w:val="222222"/>
          <w:shd w:val="clear" w:color="auto" w:fill="FFFFFF"/>
        </w:rPr>
        <w:t>25</w:t>
      </w:r>
      <w:r w:rsidRPr="00DC293E">
        <w:rPr>
          <w:color w:val="222222"/>
          <w:shd w:val="clear" w:color="auto" w:fill="FFFFFF"/>
        </w:rPr>
        <w:t>(8), pp.2149-2151.</w:t>
      </w:r>
    </w:p>
    <w:p w14:paraId="45972161" w14:textId="77777777" w:rsidR="00DC293E" w:rsidRPr="00DC293E" w:rsidRDefault="00DC293E" w:rsidP="00DC293E">
      <w:proofErr w:type="spellStart"/>
      <w:r w:rsidRPr="00DC293E">
        <w:rPr>
          <w:color w:val="222222"/>
          <w:shd w:val="clear" w:color="auto" w:fill="FFFFFF"/>
        </w:rPr>
        <w:t>Widiastuti</w:t>
      </w:r>
      <w:proofErr w:type="spellEnd"/>
      <w:r w:rsidRPr="00DC293E">
        <w:rPr>
          <w:color w:val="222222"/>
          <w:shd w:val="clear" w:color="auto" w:fill="FFFFFF"/>
        </w:rPr>
        <w:t xml:space="preserve">, I. and </w:t>
      </w:r>
      <w:proofErr w:type="spellStart"/>
      <w:r w:rsidRPr="00DC293E">
        <w:rPr>
          <w:color w:val="222222"/>
          <w:shd w:val="clear" w:color="auto" w:fill="FFFFFF"/>
        </w:rPr>
        <w:t>Budiyanto</w:t>
      </w:r>
      <w:proofErr w:type="spellEnd"/>
      <w:r w:rsidRPr="00DC293E">
        <w:rPr>
          <w:color w:val="222222"/>
          <w:shd w:val="clear" w:color="auto" w:fill="FFFFFF"/>
        </w:rPr>
        <w:t>, C.W., 2018. Applying an experiential learning cycle with the aid of finite element analysis in engineering education. </w:t>
      </w:r>
      <w:r w:rsidRPr="00DC293E">
        <w:rPr>
          <w:i/>
          <w:iCs/>
          <w:color w:val="222222"/>
          <w:shd w:val="clear" w:color="auto" w:fill="FFFFFF"/>
        </w:rPr>
        <w:t>Journal of Turkish science education</w:t>
      </w:r>
      <w:r w:rsidRPr="00DC293E">
        <w:rPr>
          <w:color w:val="222222"/>
          <w:shd w:val="clear" w:color="auto" w:fill="FFFFFF"/>
        </w:rPr>
        <w:t>, </w:t>
      </w:r>
      <w:r w:rsidRPr="00DC293E">
        <w:rPr>
          <w:i/>
          <w:iCs/>
          <w:color w:val="222222"/>
          <w:shd w:val="clear" w:color="auto" w:fill="FFFFFF"/>
        </w:rPr>
        <w:t>15</w:t>
      </w:r>
      <w:r w:rsidRPr="00DC293E">
        <w:rPr>
          <w:color w:val="222222"/>
          <w:shd w:val="clear" w:color="auto" w:fill="FFFFFF"/>
        </w:rPr>
        <w:t>(Special), pp.97-103.</w:t>
      </w:r>
    </w:p>
    <w:p w14:paraId="51E8695E" w14:textId="77777777" w:rsidR="00DC293E" w:rsidRPr="00DC293E" w:rsidRDefault="00DC293E" w:rsidP="00DC293E">
      <w:r w:rsidRPr="00DC293E">
        <w:rPr>
          <w:color w:val="222222"/>
          <w:shd w:val="clear" w:color="auto" w:fill="FFFFFF"/>
        </w:rPr>
        <w:t>World Health Organization, 2020. </w:t>
      </w:r>
      <w:r w:rsidRPr="00DC293E">
        <w:rPr>
          <w:i/>
          <w:iCs/>
          <w:color w:val="222222"/>
          <w:shd w:val="clear" w:color="auto" w:fill="FFFFFF"/>
        </w:rPr>
        <w:t>Risk communication and community engagement readiness and response to coronavirus disease (COVID-19): interim guidance, 19 March 2020</w:t>
      </w:r>
      <w:r w:rsidRPr="00DC293E">
        <w:rPr>
          <w:color w:val="222222"/>
          <w:shd w:val="clear" w:color="auto" w:fill="FFFFFF"/>
        </w:rPr>
        <w:t> (No. WHO/2019-nCoV/RCCE/2020.2). World Health Organization.</w:t>
      </w:r>
    </w:p>
    <w:p w14:paraId="5C1F20E6" w14:textId="77777777" w:rsidR="000F2D7F" w:rsidRPr="00393651" w:rsidRDefault="000F2D7F" w:rsidP="004C38A1"/>
    <w:sectPr w:rsidR="000F2D7F" w:rsidRPr="00393651" w:rsidSect="00AE7CEC">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625992" w14:textId="77777777" w:rsidR="009D66F6" w:rsidRDefault="009D66F6" w:rsidP="00AE7CEC">
      <w:pPr>
        <w:spacing w:after="0" w:line="240" w:lineRule="auto"/>
      </w:pPr>
      <w:r>
        <w:separator/>
      </w:r>
    </w:p>
  </w:endnote>
  <w:endnote w:type="continuationSeparator" w:id="0">
    <w:p w14:paraId="0D2A3560" w14:textId="77777777" w:rsidR="009D66F6" w:rsidRDefault="009D66F6" w:rsidP="00AE7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88273"/>
      <w:docPartObj>
        <w:docPartGallery w:val="Page Numbers (Bottom of Page)"/>
        <w:docPartUnique/>
      </w:docPartObj>
    </w:sdtPr>
    <w:sdtEndPr/>
    <w:sdtContent>
      <w:p w14:paraId="5394C19B" w14:textId="77777777" w:rsidR="00AE7CEC" w:rsidRDefault="009D66F6">
        <w:pPr>
          <w:pStyle w:val="Footer"/>
          <w:jc w:val="right"/>
        </w:pPr>
        <w:r>
          <w:fldChar w:fldCharType="begin"/>
        </w:r>
        <w:r>
          <w:instrText xml:space="preserve"> PAGE   \* MERGEFORMAT </w:instrText>
        </w:r>
        <w:r>
          <w:fldChar w:fldCharType="separate"/>
        </w:r>
        <w:r w:rsidR="00AE7CEC">
          <w:rPr>
            <w:noProof/>
          </w:rPr>
          <w:t>2</w:t>
        </w:r>
        <w:r>
          <w:rPr>
            <w:noProof/>
          </w:rPr>
          <w:fldChar w:fldCharType="end"/>
        </w:r>
      </w:p>
    </w:sdtContent>
  </w:sdt>
  <w:p w14:paraId="0CD42BC2" w14:textId="77777777" w:rsidR="00AE7CEC" w:rsidRDefault="00AE7C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9966A" w14:textId="77777777" w:rsidR="009D66F6" w:rsidRDefault="009D66F6" w:rsidP="00AE7CEC">
      <w:pPr>
        <w:spacing w:after="0" w:line="240" w:lineRule="auto"/>
      </w:pPr>
      <w:r>
        <w:separator/>
      </w:r>
    </w:p>
  </w:footnote>
  <w:footnote w:type="continuationSeparator" w:id="0">
    <w:p w14:paraId="3006D895" w14:textId="77777777" w:rsidR="009D66F6" w:rsidRDefault="009D66F6" w:rsidP="00AE7C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85F4D"/>
    <w:multiLevelType w:val="hybridMultilevel"/>
    <w:tmpl w:val="A308D5B6"/>
    <w:lvl w:ilvl="0" w:tplc="FF5C197C">
      <w:start w:val="1"/>
      <w:numFmt w:val="bullet"/>
      <w:lvlText w:val=""/>
      <w:lvlJc w:val="left"/>
      <w:pPr>
        <w:ind w:left="720" w:hanging="360"/>
      </w:pPr>
      <w:rPr>
        <w:rFonts w:ascii="Symbol" w:hAnsi="Symbol" w:hint="default"/>
      </w:rPr>
    </w:lvl>
    <w:lvl w:ilvl="1" w:tplc="17C66D72" w:tentative="1">
      <w:start w:val="1"/>
      <w:numFmt w:val="bullet"/>
      <w:lvlText w:val="o"/>
      <w:lvlJc w:val="left"/>
      <w:pPr>
        <w:ind w:left="1440" w:hanging="360"/>
      </w:pPr>
      <w:rPr>
        <w:rFonts w:ascii="Courier New" w:hAnsi="Courier New" w:cs="Courier New" w:hint="default"/>
      </w:rPr>
    </w:lvl>
    <w:lvl w:ilvl="2" w:tplc="2C66D1AC" w:tentative="1">
      <w:start w:val="1"/>
      <w:numFmt w:val="bullet"/>
      <w:lvlText w:val=""/>
      <w:lvlJc w:val="left"/>
      <w:pPr>
        <w:ind w:left="2160" w:hanging="360"/>
      </w:pPr>
      <w:rPr>
        <w:rFonts w:ascii="Wingdings" w:hAnsi="Wingdings" w:hint="default"/>
      </w:rPr>
    </w:lvl>
    <w:lvl w:ilvl="3" w:tplc="38E2BB5C" w:tentative="1">
      <w:start w:val="1"/>
      <w:numFmt w:val="bullet"/>
      <w:lvlText w:val=""/>
      <w:lvlJc w:val="left"/>
      <w:pPr>
        <w:ind w:left="2880" w:hanging="360"/>
      </w:pPr>
      <w:rPr>
        <w:rFonts w:ascii="Symbol" w:hAnsi="Symbol" w:hint="default"/>
      </w:rPr>
    </w:lvl>
    <w:lvl w:ilvl="4" w:tplc="39AE38D0" w:tentative="1">
      <w:start w:val="1"/>
      <w:numFmt w:val="bullet"/>
      <w:lvlText w:val="o"/>
      <w:lvlJc w:val="left"/>
      <w:pPr>
        <w:ind w:left="3600" w:hanging="360"/>
      </w:pPr>
      <w:rPr>
        <w:rFonts w:ascii="Courier New" w:hAnsi="Courier New" w:cs="Courier New" w:hint="default"/>
      </w:rPr>
    </w:lvl>
    <w:lvl w:ilvl="5" w:tplc="043A5F96" w:tentative="1">
      <w:start w:val="1"/>
      <w:numFmt w:val="bullet"/>
      <w:lvlText w:val=""/>
      <w:lvlJc w:val="left"/>
      <w:pPr>
        <w:ind w:left="4320" w:hanging="360"/>
      </w:pPr>
      <w:rPr>
        <w:rFonts w:ascii="Wingdings" w:hAnsi="Wingdings" w:hint="default"/>
      </w:rPr>
    </w:lvl>
    <w:lvl w:ilvl="6" w:tplc="8912DDC8" w:tentative="1">
      <w:start w:val="1"/>
      <w:numFmt w:val="bullet"/>
      <w:lvlText w:val=""/>
      <w:lvlJc w:val="left"/>
      <w:pPr>
        <w:ind w:left="5040" w:hanging="360"/>
      </w:pPr>
      <w:rPr>
        <w:rFonts w:ascii="Symbol" w:hAnsi="Symbol" w:hint="default"/>
      </w:rPr>
    </w:lvl>
    <w:lvl w:ilvl="7" w:tplc="FE629EDE" w:tentative="1">
      <w:start w:val="1"/>
      <w:numFmt w:val="bullet"/>
      <w:lvlText w:val="o"/>
      <w:lvlJc w:val="left"/>
      <w:pPr>
        <w:ind w:left="5760" w:hanging="360"/>
      </w:pPr>
      <w:rPr>
        <w:rFonts w:ascii="Courier New" w:hAnsi="Courier New" w:cs="Courier New" w:hint="default"/>
      </w:rPr>
    </w:lvl>
    <w:lvl w:ilvl="8" w:tplc="1DDA8480" w:tentative="1">
      <w:start w:val="1"/>
      <w:numFmt w:val="bullet"/>
      <w:lvlText w:val=""/>
      <w:lvlJc w:val="left"/>
      <w:pPr>
        <w:ind w:left="6480" w:hanging="360"/>
      </w:pPr>
      <w:rPr>
        <w:rFonts w:ascii="Wingdings" w:hAnsi="Wingdings" w:hint="default"/>
      </w:rPr>
    </w:lvl>
  </w:abstractNum>
  <w:num w:numId="1" w16cid:durableId="1150248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2D0"/>
    <w:rsid w:val="00001A76"/>
    <w:rsid w:val="00005FBE"/>
    <w:rsid w:val="000C2EB3"/>
    <w:rsid w:val="000F2D7F"/>
    <w:rsid w:val="001218B1"/>
    <w:rsid w:val="00235625"/>
    <w:rsid w:val="002362DA"/>
    <w:rsid w:val="00240785"/>
    <w:rsid w:val="00272EB8"/>
    <w:rsid w:val="0036309A"/>
    <w:rsid w:val="00393651"/>
    <w:rsid w:val="003C48E0"/>
    <w:rsid w:val="003C7602"/>
    <w:rsid w:val="00443F34"/>
    <w:rsid w:val="00481F5D"/>
    <w:rsid w:val="004C38A1"/>
    <w:rsid w:val="004D6AEA"/>
    <w:rsid w:val="005F112C"/>
    <w:rsid w:val="006749A4"/>
    <w:rsid w:val="0067703C"/>
    <w:rsid w:val="006D4D2C"/>
    <w:rsid w:val="00795EEC"/>
    <w:rsid w:val="007A154A"/>
    <w:rsid w:val="007E5280"/>
    <w:rsid w:val="0083341C"/>
    <w:rsid w:val="008C4A98"/>
    <w:rsid w:val="008F559C"/>
    <w:rsid w:val="009550F0"/>
    <w:rsid w:val="009642D0"/>
    <w:rsid w:val="009B4EBF"/>
    <w:rsid w:val="009D2F39"/>
    <w:rsid w:val="009D66F6"/>
    <w:rsid w:val="009E63AA"/>
    <w:rsid w:val="00A10D3A"/>
    <w:rsid w:val="00A85D09"/>
    <w:rsid w:val="00A9784A"/>
    <w:rsid w:val="00AE7CEC"/>
    <w:rsid w:val="00AF7E3C"/>
    <w:rsid w:val="00B06B33"/>
    <w:rsid w:val="00B52BE1"/>
    <w:rsid w:val="00BC640F"/>
    <w:rsid w:val="00C044B3"/>
    <w:rsid w:val="00C15E6A"/>
    <w:rsid w:val="00C275E9"/>
    <w:rsid w:val="00C37A1B"/>
    <w:rsid w:val="00CB5393"/>
    <w:rsid w:val="00CC4102"/>
    <w:rsid w:val="00CC78A4"/>
    <w:rsid w:val="00CE0245"/>
    <w:rsid w:val="00DC05E7"/>
    <w:rsid w:val="00DC293E"/>
    <w:rsid w:val="00DF439F"/>
    <w:rsid w:val="00E34CD8"/>
    <w:rsid w:val="00E476BE"/>
    <w:rsid w:val="00E724DC"/>
    <w:rsid w:val="00F35637"/>
    <w:rsid w:val="00F67BCA"/>
    <w:rsid w:val="00FE7D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A2627"/>
  <w15:docId w15:val="{1F3A2F89-A0AB-4C82-9133-3569D6C79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38A1"/>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F35637"/>
    <w:pPr>
      <w:outlineLvl w:val="0"/>
    </w:pPr>
    <w:rPr>
      <w:b/>
    </w:rPr>
  </w:style>
  <w:style w:type="paragraph" w:styleId="Heading2">
    <w:name w:val="heading 2"/>
    <w:basedOn w:val="Normal"/>
    <w:next w:val="Normal"/>
    <w:link w:val="Heading2Char"/>
    <w:uiPriority w:val="9"/>
    <w:unhideWhenUsed/>
    <w:qFormat/>
    <w:rsid w:val="00F35637"/>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2D0"/>
    <w:rPr>
      <w:color w:val="0000FF" w:themeColor="hyperlink"/>
      <w:u w:val="single"/>
    </w:rPr>
  </w:style>
  <w:style w:type="character" w:customStyle="1" w:styleId="Heading1Char">
    <w:name w:val="Heading 1 Char"/>
    <w:basedOn w:val="DefaultParagraphFont"/>
    <w:link w:val="Heading1"/>
    <w:uiPriority w:val="9"/>
    <w:rsid w:val="00F35637"/>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F35637"/>
    <w:rPr>
      <w:rFonts w:ascii="Times New Roman" w:hAnsi="Times New Roman" w:cs="Times New Roman"/>
      <w:b/>
      <w:sz w:val="24"/>
      <w:szCs w:val="24"/>
    </w:rPr>
  </w:style>
  <w:style w:type="character" w:customStyle="1" w:styleId="x258708556size">
    <w:name w:val="x_258708556size"/>
    <w:basedOn w:val="DefaultParagraphFont"/>
    <w:rsid w:val="00DC05E7"/>
  </w:style>
  <w:style w:type="paragraph" w:styleId="ListParagraph">
    <w:name w:val="List Paragraph"/>
    <w:basedOn w:val="Normal"/>
    <w:uiPriority w:val="34"/>
    <w:qFormat/>
    <w:rsid w:val="000F2D7F"/>
    <w:pPr>
      <w:ind w:left="720"/>
      <w:contextualSpacing/>
    </w:pPr>
  </w:style>
  <w:style w:type="paragraph" w:styleId="BalloonText">
    <w:name w:val="Balloon Text"/>
    <w:basedOn w:val="Normal"/>
    <w:link w:val="BalloonTextChar"/>
    <w:uiPriority w:val="99"/>
    <w:semiHidden/>
    <w:unhideWhenUsed/>
    <w:rsid w:val="00CB53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5393"/>
    <w:rPr>
      <w:rFonts w:ascii="Tahoma" w:hAnsi="Tahoma" w:cs="Tahoma"/>
      <w:sz w:val="16"/>
      <w:szCs w:val="16"/>
    </w:rPr>
  </w:style>
  <w:style w:type="paragraph" w:styleId="Title">
    <w:name w:val="Title"/>
    <w:basedOn w:val="Normal"/>
    <w:next w:val="Normal"/>
    <w:link w:val="TitleChar"/>
    <w:uiPriority w:val="10"/>
    <w:qFormat/>
    <w:rsid w:val="00CB5393"/>
    <w:pPr>
      <w:pBdr>
        <w:bottom w:val="single" w:sz="8" w:space="4" w:color="4F81BD" w:themeColor="accent1"/>
      </w:pBdr>
      <w:spacing w:after="300"/>
      <w:contextualSpacing/>
      <w:jc w:val="center"/>
    </w:pPr>
    <w:rPr>
      <w:rFonts w:eastAsiaTheme="majorEastAsia" w:cstheme="majorBidi"/>
      <w:spacing w:val="5"/>
      <w:kern w:val="28"/>
      <w:sz w:val="36"/>
      <w:szCs w:val="52"/>
    </w:rPr>
  </w:style>
  <w:style w:type="character" w:customStyle="1" w:styleId="TitleChar">
    <w:name w:val="Title Char"/>
    <w:basedOn w:val="DefaultParagraphFont"/>
    <w:link w:val="Title"/>
    <w:uiPriority w:val="10"/>
    <w:rsid w:val="00CB5393"/>
    <w:rPr>
      <w:rFonts w:ascii="Times New Roman" w:eastAsiaTheme="majorEastAsia" w:hAnsi="Times New Roman" w:cstheme="majorBidi"/>
      <w:spacing w:val="5"/>
      <w:kern w:val="28"/>
      <w:sz w:val="36"/>
      <w:szCs w:val="52"/>
    </w:rPr>
  </w:style>
  <w:style w:type="paragraph" w:styleId="TOCHeading">
    <w:name w:val="TOC Heading"/>
    <w:basedOn w:val="Heading1"/>
    <w:next w:val="Normal"/>
    <w:uiPriority w:val="39"/>
    <w:semiHidden/>
    <w:unhideWhenUsed/>
    <w:qFormat/>
    <w:rsid w:val="00CB5393"/>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B5393"/>
    <w:pPr>
      <w:spacing w:after="100"/>
    </w:pPr>
  </w:style>
  <w:style w:type="paragraph" w:styleId="TOC2">
    <w:name w:val="toc 2"/>
    <w:basedOn w:val="Normal"/>
    <w:next w:val="Normal"/>
    <w:autoRedefine/>
    <w:uiPriority w:val="39"/>
    <w:unhideWhenUsed/>
    <w:rsid w:val="00CB5393"/>
    <w:pPr>
      <w:spacing w:after="100"/>
      <w:ind w:left="240"/>
    </w:pPr>
  </w:style>
  <w:style w:type="paragraph" w:styleId="Header">
    <w:name w:val="header"/>
    <w:basedOn w:val="Normal"/>
    <w:link w:val="HeaderChar"/>
    <w:uiPriority w:val="99"/>
    <w:semiHidden/>
    <w:unhideWhenUsed/>
    <w:rsid w:val="00AE7CE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E7CEC"/>
    <w:rPr>
      <w:rFonts w:ascii="Times New Roman" w:hAnsi="Times New Roman" w:cs="Times New Roman"/>
      <w:sz w:val="24"/>
      <w:szCs w:val="24"/>
    </w:rPr>
  </w:style>
  <w:style w:type="paragraph" w:styleId="Footer">
    <w:name w:val="footer"/>
    <w:basedOn w:val="Normal"/>
    <w:link w:val="FooterChar"/>
    <w:uiPriority w:val="99"/>
    <w:unhideWhenUsed/>
    <w:rsid w:val="00AE7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CEC"/>
    <w:rPr>
      <w:rFonts w:ascii="Times New Roman" w:hAnsi="Times New Roman" w:cs="Times New Roman"/>
      <w:sz w:val="24"/>
      <w:szCs w:val="24"/>
    </w:rPr>
  </w:style>
  <w:style w:type="paragraph" w:styleId="BodyText">
    <w:name w:val="Body Text"/>
    <w:basedOn w:val="Normal"/>
    <w:link w:val="BodyTextChar"/>
    <w:uiPriority w:val="1"/>
    <w:semiHidden/>
    <w:unhideWhenUsed/>
    <w:qFormat/>
    <w:rsid w:val="003C7602"/>
    <w:pPr>
      <w:widowControl w:val="0"/>
      <w:autoSpaceDE w:val="0"/>
      <w:autoSpaceDN w:val="0"/>
      <w:spacing w:after="0"/>
    </w:pPr>
    <w:rPr>
      <w:rFonts w:eastAsia="Arial MT" w:cs="Arial MT"/>
      <w:szCs w:val="22"/>
      <w:lang w:val="en-US"/>
    </w:rPr>
  </w:style>
  <w:style w:type="character" w:customStyle="1" w:styleId="BodyTextChar">
    <w:name w:val="Body Text Char"/>
    <w:basedOn w:val="DefaultParagraphFont"/>
    <w:link w:val="BodyText"/>
    <w:uiPriority w:val="1"/>
    <w:semiHidden/>
    <w:rsid w:val="003C7602"/>
    <w:rPr>
      <w:rFonts w:ascii="Times New Roman" w:eastAsia="Arial MT" w:hAnsi="Times New Roman" w:cs="Arial MT"/>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42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CD41F8-C80F-4E11-AC8B-926EC43250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2886</Words>
  <Characters>16451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Elitsa Yankova</dc:creator>
  <cp:lastModifiedBy>Elitsa Yankova</cp:lastModifiedBy>
  <cp:revision>2</cp:revision>
  <dcterms:created xsi:type="dcterms:W3CDTF">2022-04-21T20:22:00Z</dcterms:created>
  <dcterms:modified xsi:type="dcterms:W3CDTF">2022-04-21T20:22:00Z</dcterms:modified>
</cp:coreProperties>
</file>