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91252" w:rsidRDefault="00991252" w:rsidP="00991252">
      <w:pPr>
        <w:pStyle w:val="Title"/>
        <w:jc w:val="center"/>
        <w:rPr>
          <w:sz w:val="52"/>
        </w:rPr>
      </w:pPr>
      <w:r w:rsidRPr="00EE162A">
        <w:rPr>
          <w:sz w:val="52"/>
        </w:rPr>
        <w:t>Can Gods be Monsters?</w:t>
      </w:r>
    </w:p>
    <w:p w:rsidR="00991252" w:rsidRPr="00931D8F" w:rsidRDefault="00991252" w:rsidP="00991252"/>
    <w:p w:rsidR="00991252" w:rsidRDefault="00991252" w:rsidP="00991252">
      <w:r>
        <w:t xml:space="preserve">The topic of a monster is defined is a topic widely discussed in modern scholarship. In its most basic definition, the term monster can be defined by looking at the Latin origin of monster; this being the term </w:t>
      </w:r>
      <w:proofErr w:type="spellStart"/>
      <w:r>
        <w:rPr>
          <w:i/>
        </w:rPr>
        <w:t>monstrum</w:t>
      </w:r>
      <w:proofErr w:type="spellEnd"/>
      <w:r>
        <w:rPr>
          <w:i/>
        </w:rPr>
        <w:t>.</w:t>
      </w:r>
      <w:r>
        <w:rPr>
          <w:rStyle w:val="FootnoteReference"/>
          <w:i/>
        </w:rPr>
        <w:footnoteReference w:id="1"/>
      </w:r>
      <w:r>
        <w:t xml:space="preserve"> </w:t>
      </w:r>
      <w:proofErr w:type="spellStart"/>
      <w:r>
        <w:rPr>
          <w:i/>
        </w:rPr>
        <w:t>Monstrum</w:t>
      </w:r>
      <w:proofErr w:type="spellEnd"/>
      <w:r>
        <w:t xml:space="preserve"> originally meant any supernatural phenomenon but was also applied to any uncanny individual, creature, or thing.</w:t>
      </w:r>
      <w:r>
        <w:rPr>
          <w:rStyle w:val="FootnoteReference"/>
        </w:rPr>
        <w:footnoteReference w:id="2"/>
      </w:r>
      <w:r>
        <w:t xml:space="preserve"> However, due to the broadening of the term in modern definitions of what it means to be a monster a certain level of vagueness is applicable.</w:t>
      </w:r>
      <w:r>
        <w:rPr>
          <w:rStyle w:val="FootnoteReference"/>
        </w:rPr>
        <w:footnoteReference w:id="3"/>
      </w:r>
      <w:r>
        <w:t xml:space="preserve"> To summarise the generic modern definition of a monster is to say that they are “</w:t>
      </w:r>
      <w:r>
        <w:rPr>
          <w:i/>
        </w:rPr>
        <w:t xml:space="preserve">terrifying, malevolent, savage and evil…” </w:t>
      </w:r>
      <w:r>
        <w:t>but this isn’t to say that monsters aren’t also capable of being harmless and beneficent.</w:t>
      </w:r>
      <w:r>
        <w:rPr>
          <w:rStyle w:val="FootnoteReference"/>
        </w:rPr>
        <w:footnoteReference w:id="4"/>
      </w:r>
      <w:r w:rsidR="00D714EC">
        <w:t xml:space="preserve"> In this essay, I intend to address the question of whether or not it is possible to consider Gods as monsters. Using as a basis the definition of monstrosity put forward by Cohen in </w:t>
      </w:r>
      <w:r w:rsidR="00D714EC">
        <w:rPr>
          <w:i/>
        </w:rPr>
        <w:t xml:space="preserve">Monster Theory Reading Culture </w:t>
      </w:r>
      <w:r w:rsidR="00D714EC">
        <w:t>and focusing primarily on the Greek Pantheon and the examples of ‘monstrous’ Gods and Goddesses that can be seen with</w:t>
      </w:r>
      <w:r w:rsidR="00F90C14">
        <w:t>in the network of Greek deities, notably that of Chimera and Hephaestus.</w:t>
      </w:r>
    </w:p>
    <w:p w:rsidR="00191F2C" w:rsidRDefault="00F90C14" w:rsidP="00991252">
      <w:r>
        <w:t xml:space="preserve">In Cohen’s </w:t>
      </w:r>
      <w:r>
        <w:rPr>
          <w:i/>
        </w:rPr>
        <w:t>Monster Theory Reading Culture</w:t>
      </w:r>
      <w:r>
        <w:t xml:space="preserve">, he presents seven theses relating to the monstrous body with ancient society and culture through which a definition of what it means to be a monster can be attained. </w:t>
      </w:r>
      <w:r w:rsidR="00CD727C">
        <w:t>The first of these is that the monster’s body is a cultural body;</w:t>
      </w:r>
      <w:r w:rsidR="00CD727C">
        <w:rPr>
          <w:rStyle w:val="FootnoteReference"/>
        </w:rPr>
        <w:footnoteReference w:id="5"/>
      </w:r>
      <w:r w:rsidR="00CD727C">
        <w:t xml:space="preserve"> </w:t>
      </w:r>
      <w:r w:rsidR="00B5336C">
        <w:t>this idea encompasses the concept of the monster’s body incorporating fear, desire, anxiety, and fantasy.</w:t>
      </w:r>
      <w:r w:rsidR="00B5336C">
        <w:rPr>
          <w:rStyle w:val="FootnoteReference"/>
        </w:rPr>
        <w:footnoteReference w:id="6"/>
      </w:r>
      <w:r w:rsidR="00B5336C">
        <w:t xml:space="preserve"> </w:t>
      </w:r>
      <w:r w:rsidR="00E852D2">
        <w:t>Part of which meaning that monsters are a displacement, representing something other than themselves.</w:t>
      </w:r>
      <w:r w:rsidR="00E852D2">
        <w:rPr>
          <w:rStyle w:val="FootnoteReference"/>
        </w:rPr>
        <w:footnoteReference w:id="7"/>
      </w:r>
      <w:r w:rsidR="00E852D2">
        <w:t xml:space="preserve"> This links back to the term </w:t>
      </w:r>
      <w:proofErr w:type="spellStart"/>
      <w:r w:rsidR="00E852D2">
        <w:rPr>
          <w:i/>
        </w:rPr>
        <w:t>monstrum</w:t>
      </w:r>
      <w:proofErr w:type="spellEnd"/>
      <w:r w:rsidR="00E852D2">
        <w:rPr>
          <w:i/>
        </w:rPr>
        <w:t xml:space="preserve"> </w:t>
      </w:r>
      <w:r w:rsidR="00E852D2">
        <w:t>as it is ‘that which reveals’ or ‘that which warns’.</w:t>
      </w:r>
      <w:r w:rsidR="00E852D2">
        <w:rPr>
          <w:rStyle w:val="FootnoteReference"/>
        </w:rPr>
        <w:footnoteReference w:id="8"/>
      </w:r>
      <w:r w:rsidR="004135E9">
        <w:t xml:space="preserve"> The second thesis is that the monster always escapes.</w:t>
      </w:r>
      <w:r w:rsidR="004135E9">
        <w:rPr>
          <w:rStyle w:val="FootnoteReference"/>
        </w:rPr>
        <w:footnoteReference w:id="9"/>
      </w:r>
      <w:r w:rsidR="004135E9">
        <w:t xml:space="preserve"> </w:t>
      </w:r>
      <w:r w:rsidR="006955E9">
        <w:t>The primary element to this thesis is that the monster’s body is “</w:t>
      </w:r>
      <w:r w:rsidR="006955E9">
        <w:rPr>
          <w:i/>
        </w:rPr>
        <w:t>both corporal and incorporeal</w:t>
      </w:r>
      <w:r w:rsidR="006955E9">
        <w:t>”;</w:t>
      </w:r>
      <w:r w:rsidR="006955E9">
        <w:rPr>
          <w:rStyle w:val="FootnoteReference"/>
        </w:rPr>
        <w:footnoteReference w:id="10"/>
      </w:r>
      <w:r w:rsidR="006955E9">
        <w:t xml:space="preserve"> as a result of this the threat presented by monsters can be viewed as belonging to individual monsters rather than by monsters in general (a concept I will cover in more detail at the end of this section). Giving validity to the idea that a monster itself can become immaterial and vanish.</w:t>
      </w:r>
      <w:r w:rsidR="006955E9">
        <w:rPr>
          <w:rStyle w:val="FootnoteReference"/>
        </w:rPr>
        <w:footnoteReference w:id="11"/>
      </w:r>
      <w:r w:rsidR="00850E62">
        <w:t xml:space="preserve"> The third thesis is that the monster is the harbinger of category crisis.</w:t>
      </w:r>
      <w:r w:rsidR="00850E62">
        <w:rPr>
          <w:rStyle w:val="FootnoteReference"/>
        </w:rPr>
        <w:footnoteReference w:id="12"/>
      </w:r>
      <w:r w:rsidR="00850E62">
        <w:t xml:space="preserve"> </w:t>
      </w:r>
      <w:r w:rsidR="00765AB6">
        <w:t>In summary, this thesis puts forward the idea that a monster will always escape categorization because it is not possible for monsters to be placed with systematic structures or any form of hierarchical society.</w:t>
      </w:r>
      <w:r w:rsidR="00765AB6">
        <w:rPr>
          <w:rStyle w:val="FootnoteReference"/>
        </w:rPr>
        <w:footnoteReference w:id="13"/>
      </w:r>
      <w:r w:rsidR="00765AB6">
        <w:t xml:space="preserve"> </w:t>
      </w:r>
      <w:r w:rsidR="00736116">
        <w:t>Cohen goes as far as to say that monsters lead to scientific inquiry and rationality crumbling.</w:t>
      </w:r>
      <w:r w:rsidR="00736116">
        <w:rPr>
          <w:rStyle w:val="FootnoteReference"/>
        </w:rPr>
        <w:footnoteReference w:id="14"/>
      </w:r>
      <w:r w:rsidR="00191F2C">
        <w:t xml:space="preserve"> This is a concept that can also be applied to the Gods as Gods in themselves cannot be explained through scientific inquiry. The fourth thesis is that monsters dwell at the gate of difference.</w:t>
      </w:r>
      <w:r w:rsidR="00191F2C">
        <w:rPr>
          <w:rStyle w:val="FootnoteReference"/>
        </w:rPr>
        <w:footnoteReference w:id="15"/>
      </w:r>
      <w:r w:rsidR="00616ABC">
        <w:t xml:space="preserve"> </w:t>
      </w:r>
      <w:r w:rsidR="000C26CB">
        <w:t xml:space="preserve">Cohen suggests that a monster is difference made flesh sent to live among us with the aim of exploiting cultural alterity. </w:t>
      </w:r>
      <w:r w:rsidR="000C26CB">
        <w:rPr>
          <w:rStyle w:val="FootnoteReference"/>
        </w:rPr>
        <w:footnoteReference w:id="16"/>
      </w:r>
      <w:r w:rsidR="000C26CB">
        <w:t xml:space="preserve"> To some extent, this is a concept that can </w:t>
      </w:r>
      <w:r w:rsidR="000C26CB">
        <w:lastRenderedPageBreak/>
        <w:t xml:space="preserve">be seen among some Greek Gods as there are records of individual Gods taking a physical form and dwelling with humanity or dwelling upon the surface of the earth. </w:t>
      </w:r>
      <w:r w:rsidR="00795636">
        <w:t>The fifth thesis is that monsters police the borders of the possible.</w:t>
      </w:r>
      <w:r w:rsidR="00795636">
        <w:rPr>
          <w:rStyle w:val="FootnoteReference"/>
        </w:rPr>
        <w:footnoteReference w:id="17"/>
      </w:r>
      <w:r w:rsidR="00795636">
        <w:t xml:space="preserve"> This thesis covers the idea of monsters standing as warning of exploration into areas considered uncertain or unlawful.</w:t>
      </w:r>
      <w:r w:rsidR="00795636">
        <w:rPr>
          <w:rStyle w:val="FootnoteReference"/>
        </w:rPr>
        <w:footnoteReference w:id="18"/>
      </w:r>
      <w:r w:rsidR="00795636">
        <w:t xml:space="preserve"> In summary, a monster is “</w:t>
      </w:r>
      <w:r w:rsidR="00795636">
        <w:rPr>
          <w:i/>
        </w:rPr>
        <w:t xml:space="preserve">transgressive, too sexual, perversely erotic, a lawbreaker; and </w:t>
      </w:r>
      <w:proofErr w:type="gramStart"/>
      <w:r w:rsidR="00795636">
        <w:rPr>
          <w:i/>
        </w:rPr>
        <w:t>so</w:t>
      </w:r>
      <w:proofErr w:type="gramEnd"/>
      <w:r w:rsidR="00795636">
        <w:rPr>
          <w:i/>
        </w:rPr>
        <w:t xml:space="preserve"> the monster and all that it embodies must be exiled or destroyed.</w:t>
      </w:r>
      <w:r w:rsidR="00795636">
        <w:t>”</w:t>
      </w:r>
      <w:r w:rsidR="00795636">
        <w:rPr>
          <w:rStyle w:val="FootnoteReference"/>
        </w:rPr>
        <w:footnoteReference w:id="19"/>
      </w:r>
      <w:r w:rsidR="00F935C0">
        <w:t xml:space="preserve"> </w:t>
      </w:r>
      <w:r w:rsidR="00795636">
        <w:t xml:space="preserve">It is from this thesis that </w:t>
      </w:r>
      <w:r w:rsidR="00F935C0">
        <w:t>I my argument for monsters not being fundamentally evil in general stems. The sixth thesis is that the fear of monsters is in reality a kind of desire.</w:t>
      </w:r>
      <w:r w:rsidR="00F935C0">
        <w:rPr>
          <w:rStyle w:val="FootnoteReference"/>
        </w:rPr>
        <w:footnoteReference w:id="20"/>
      </w:r>
      <w:r w:rsidR="00A2662D">
        <w:t xml:space="preserve"> This thesis seems to stem from the idea of monsters being linked to forbidden practices; given the human desire to do the forbidden, it isn’t wrong to assume that monsters also attract.</w:t>
      </w:r>
      <w:r w:rsidR="00A2662D">
        <w:rPr>
          <w:rStyle w:val="FootnoteReference"/>
        </w:rPr>
        <w:footnoteReference w:id="21"/>
      </w:r>
      <w:r w:rsidR="00896B24">
        <w:t xml:space="preserve"> This can also be seen in the habitats in which monsters are found, often they are dark regions of uncertain danger but can also be viewed as being happy fantasies and </w:t>
      </w:r>
      <w:r w:rsidR="00B57A27">
        <w:t>places of liberation.</w:t>
      </w:r>
      <w:r w:rsidR="00B57A27">
        <w:rPr>
          <w:rStyle w:val="FootnoteReference"/>
        </w:rPr>
        <w:footnoteReference w:id="22"/>
      </w:r>
      <w:r w:rsidR="002568A1">
        <w:t xml:space="preserve"> The final of Cohen’s theses is that monsters stand at the threshold of becoming.</w:t>
      </w:r>
      <w:r w:rsidR="002568A1">
        <w:rPr>
          <w:rStyle w:val="FootnoteReference"/>
        </w:rPr>
        <w:footnoteReference w:id="23"/>
      </w:r>
      <w:r w:rsidR="00FB2037">
        <w:t xml:space="preserve"> To summarize what Cohen means by this is that monsters are the creation of our own minds, hiding in the forbidden recesses yet always returning.</w:t>
      </w:r>
      <w:r w:rsidR="00FB2037">
        <w:rPr>
          <w:rStyle w:val="FootnoteReference"/>
        </w:rPr>
        <w:footnoteReference w:id="24"/>
      </w:r>
      <w:r w:rsidR="00FB2037">
        <w:t xml:space="preserve"> </w:t>
      </w:r>
    </w:p>
    <w:p w:rsidR="00FB2037" w:rsidRDefault="00FB2037" w:rsidP="00991252">
      <w:r>
        <w:t xml:space="preserve">Whilst the definition for monstrosity that Cohen proposes can be viewed as being valid and to the point, it seems to miss a vital point. Any definition of monstrosity relies on a basis within nature and an ability to fit in with the norms of society. However, this is not the case with monsters; as outlined by </w:t>
      </w:r>
      <w:proofErr w:type="spellStart"/>
      <w:r>
        <w:t>Murgatroyd</w:t>
      </w:r>
      <w:proofErr w:type="spellEnd"/>
      <w:r>
        <w:t xml:space="preserve"> monsters do not fit within normal boundaries and often cross between then.</w:t>
      </w:r>
      <w:r>
        <w:rPr>
          <w:rStyle w:val="FootnoteReference"/>
        </w:rPr>
        <w:footnoteReference w:id="25"/>
      </w:r>
      <w:r w:rsidR="00A730CF">
        <w:t xml:space="preserve"> One of the best examples of this within mythological monsters is that of the centaur Chiron/</w:t>
      </w:r>
      <w:proofErr w:type="spellStart"/>
      <w:r w:rsidR="00A730CF">
        <w:t>Cheiron</w:t>
      </w:r>
      <w:proofErr w:type="spellEnd"/>
      <w:r w:rsidR="00425AB3">
        <w:t xml:space="preserve"> (child of Cronos and </w:t>
      </w:r>
      <w:proofErr w:type="spellStart"/>
      <w:r w:rsidR="00425AB3">
        <w:t>Philyra</w:t>
      </w:r>
      <w:proofErr w:type="spellEnd"/>
      <w:r w:rsidR="00425AB3">
        <w:rPr>
          <w:rStyle w:val="FootnoteReference"/>
        </w:rPr>
        <w:footnoteReference w:id="26"/>
      </w:r>
      <w:r w:rsidR="00425AB3">
        <w:t>)</w:t>
      </w:r>
      <w:r w:rsidR="00A730CF">
        <w:t xml:space="preserve">. Centaurs are creatures depicted as being a hybrid with </w:t>
      </w:r>
      <w:r w:rsidR="00425AB3">
        <w:t xml:space="preserve">a </w:t>
      </w:r>
      <w:r w:rsidR="00A730CF">
        <w:t>human head and the torso and legs and body of a horse.</w:t>
      </w:r>
      <w:r w:rsidR="00A730CF">
        <w:rPr>
          <w:rStyle w:val="FootnoteReference"/>
        </w:rPr>
        <w:footnoteReference w:id="27"/>
      </w:r>
      <w:r w:rsidR="00A730CF">
        <w:t xml:space="preserve"> Whilst typically centaurs are viewed as being barbaric and monstrous (one example of which can be seen in the encounter</w:t>
      </w:r>
      <w:r w:rsidR="00425AB3">
        <w:t xml:space="preserve"> </w:t>
      </w:r>
      <w:r w:rsidR="00A605C7">
        <w:t>between Peleus and the centaurs</w:t>
      </w:r>
      <w:r w:rsidR="00A605C7">
        <w:rPr>
          <w:rStyle w:val="FootnoteReference"/>
        </w:rPr>
        <w:footnoteReference w:id="28"/>
      </w:r>
      <w:r w:rsidR="00A605C7">
        <w:t xml:space="preserve">). However, Chiron provides a contrast to the typical view of centaurs as Chiron is depicted as being wise, </w:t>
      </w:r>
      <w:proofErr w:type="gramStart"/>
      <w:r w:rsidR="00A605C7">
        <w:t>gentle</w:t>
      </w:r>
      <w:proofErr w:type="gramEnd"/>
      <w:r w:rsidR="00A605C7">
        <w:t xml:space="preserve"> and skilled in both medicine and music.</w:t>
      </w:r>
      <w:r w:rsidR="00A605C7">
        <w:rPr>
          <w:rStyle w:val="FootnoteReference"/>
        </w:rPr>
        <w:footnoteReference w:id="29"/>
      </w:r>
      <w:r w:rsidR="00A605C7">
        <w:t xml:space="preserve"> He is also entrusted with the upbringing on many mythological heroes, including (but not limited to) </w:t>
      </w:r>
      <w:proofErr w:type="spellStart"/>
      <w:r w:rsidR="00A605C7">
        <w:t>Acation</w:t>
      </w:r>
      <w:proofErr w:type="spellEnd"/>
      <w:r w:rsidR="00A605C7">
        <w:t>,</w:t>
      </w:r>
      <w:r w:rsidR="00A605C7">
        <w:rPr>
          <w:rStyle w:val="FootnoteReference"/>
        </w:rPr>
        <w:footnoteReference w:id="30"/>
      </w:r>
      <w:r w:rsidR="00A605C7">
        <w:t xml:space="preserve"> Asclepios</w:t>
      </w:r>
      <w:r w:rsidR="00A605C7">
        <w:rPr>
          <w:rStyle w:val="FootnoteReference"/>
        </w:rPr>
        <w:footnoteReference w:id="31"/>
      </w:r>
      <w:r w:rsidR="00A605C7">
        <w:t xml:space="preserve"> and Achilles.</w:t>
      </w:r>
      <w:r w:rsidR="00A605C7">
        <w:rPr>
          <w:rStyle w:val="FootnoteReference"/>
        </w:rPr>
        <w:footnoteReference w:id="32"/>
      </w:r>
      <w:r w:rsidR="00A605C7">
        <w:t xml:space="preserve"> This further shows the extent to which the definition of what is a monster can be including of individuals that are not evil by nature and are not barbaric even if they bear a monstrous body. </w:t>
      </w:r>
    </w:p>
    <w:p w:rsidR="00AB51A6" w:rsidRDefault="00AB51A6" w:rsidP="00991252">
      <w:r>
        <w:t xml:space="preserve">In the section part of this essay, I will move away from the concept of what it means to be a monster and briefly cover what constituted a God in the ancient world. I will also use the examples of Chimera and Hephaestus to show how the two can be connected. Gods in Ancient Greece are not as simple to define as Gods of the modern era. It can be argued that a god of Greek Pantheon was constituted of, and arguably mediated by, </w:t>
      </w:r>
      <w:proofErr w:type="gramStart"/>
      <w:r>
        <w:t>a number of</w:t>
      </w:r>
      <w:proofErr w:type="gramEnd"/>
      <w:r>
        <w:t xml:space="preserve"> different factors.</w:t>
      </w:r>
      <w:r>
        <w:rPr>
          <w:rStyle w:val="FootnoteReference"/>
        </w:rPr>
        <w:footnoteReference w:id="33"/>
      </w:r>
      <w:r>
        <w:t xml:space="preserve"> These factors included, but are not limited to, </w:t>
      </w:r>
      <w:r>
        <w:lastRenderedPageBreak/>
        <w:t>their establishment within cult worship, the divine name associated with them and the myths told about them.</w:t>
      </w:r>
      <w:r>
        <w:rPr>
          <w:rStyle w:val="FootnoteReference"/>
        </w:rPr>
        <w:footnoteReference w:id="34"/>
      </w:r>
      <w:r>
        <w:t xml:space="preserve"> As a result of this, it is also possible to view the children of Gods as being Gods themselves as there are many heroic figures with ancestry to the Gods worshipped in cult; for example, Herakles was worshipped in cult as a Godlike figure.</w:t>
      </w:r>
      <w:r>
        <w:rPr>
          <w:rStyle w:val="FootnoteReference"/>
        </w:rPr>
        <w:footnoteReference w:id="35"/>
      </w:r>
      <w:r>
        <w:t xml:space="preserve"> There is also not a clear divide between the Gods and ‘Demi-Gods’ as can be seen in the fact that it was often the case that </w:t>
      </w:r>
      <w:r w:rsidR="002F24EE">
        <w:t>Gods could be confronted by heroes.</w:t>
      </w:r>
      <w:r w:rsidR="002F24EE">
        <w:rPr>
          <w:rStyle w:val="FootnoteReference"/>
        </w:rPr>
        <w:footnoteReference w:id="36"/>
      </w:r>
      <w:r w:rsidR="002F24EE">
        <w:t xml:space="preserve"> </w:t>
      </w:r>
      <w:r w:rsidR="00281175">
        <w:t>This shows a certain level of similarity between Gods and monsters as it can be seen that both were often confronted by heroes (and on occasion killed by them too). Another link between the Greek Gods and monstrosity is the fact that there appear to be the equivalent of generations of Greek Gods.</w:t>
      </w:r>
      <w:r w:rsidR="00281175">
        <w:rPr>
          <w:rStyle w:val="FootnoteReference"/>
        </w:rPr>
        <w:footnoteReference w:id="37"/>
      </w:r>
      <w:r w:rsidR="00EC67B5">
        <w:t xml:space="preserve"> Therefore, the Olympians Gods form one generation of Gods whilst there are also older primeval and natural Gods (also Gods such as nymphs, etc).</w:t>
      </w:r>
      <w:r w:rsidR="00EC67B5">
        <w:rPr>
          <w:rStyle w:val="FootnoteReference"/>
        </w:rPr>
        <w:footnoteReference w:id="38"/>
      </w:r>
      <w:r w:rsidR="00E74431">
        <w:t xml:space="preserve"> This provides the conclusion that there is more than one type and/or form of God within the Greek Pantheon. The diversity and size of the family group of the Gods can be seen in the numerous children that were had both by the Olympian Gods and their predecessors.</w:t>
      </w:r>
      <w:r w:rsidR="00E74431">
        <w:rPr>
          <w:rStyle w:val="FootnoteReference"/>
        </w:rPr>
        <w:footnoteReference w:id="39"/>
      </w:r>
      <w:r w:rsidR="00E74431">
        <w:t xml:space="preserve"> Furthermore, it is possible to make the argument that Gods are capable of being considered monsters due to the sheer number of being considered Gods in Ancient Greece and how their representations can be argued as monstrous. </w:t>
      </w:r>
    </w:p>
    <w:p w:rsidR="00E74431" w:rsidRPr="002053C8" w:rsidRDefault="00E74431" w:rsidP="00991252">
      <w:r>
        <w:t xml:space="preserve">The first example of this is the Goddess Chimera/Chimaera. </w:t>
      </w:r>
      <w:r w:rsidR="009813DD">
        <w:t xml:space="preserve">Chimaera was the child of the </w:t>
      </w:r>
      <w:r w:rsidR="002053C8">
        <w:t>Echidna (A hybrid monster part snake and part woman) and the Titan Typhon.</w:t>
      </w:r>
      <w:r w:rsidR="002053C8">
        <w:rPr>
          <w:rStyle w:val="FootnoteReference"/>
        </w:rPr>
        <w:footnoteReference w:id="40"/>
      </w:r>
      <w:r w:rsidR="002053C8">
        <w:t xml:space="preserve"> It is also suggested that Chimaera was a descendent of Poseidon.</w:t>
      </w:r>
      <w:r w:rsidR="002053C8">
        <w:rPr>
          <w:rStyle w:val="FootnoteReference"/>
        </w:rPr>
        <w:footnoteReference w:id="41"/>
      </w:r>
      <w:r w:rsidR="002053C8">
        <w:t xml:space="preserve"> </w:t>
      </w:r>
      <w:r w:rsidR="0048219A">
        <w:t xml:space="preserve">Chimaera was the sibling of the monsters Cerberus, </w:t>
      </w:r>
      <w:proofErr w:type="spellStart"/>
      <w:r w:rsidR="0048219A">
        <w:t>Orthus</w:t>
      </w:r>
      <w:proofErr w:type="spellEnd"/>
      <w:r w:rsidR="0048219A">
        <w:t xml:space="preserve"> and the </w:t>
      </w:r>
      <w:proofErr w:type="spellStart"/>
      <w:r w:rsidR="0048219A">
        <w:t>Lernaean</w:t>
      </w:r>
      <w:proofErr w:type="spellEnd"/>
      <w:r w:rsidR="0048219A">
        <w:t xml:space="preserve"> Hydra.</w:t>
      </w:r>
      <w:r w:rsidR="0048219A">
        <w:rPr>
          <w:rStyle w:val="FootnoteReference"/>
        </w:rPr>
        <w:footnoteReference w:id="42"/>
      </w:r>
      <w:r w:rsidR="0048219A">
        <w:t xml:space="preserve"> </w:t>
      </w:r>
      <w:r w:rsidR="002053C8">
        <w:t xml:space="preserve">In any case, there is a clear link to the divine in the monstrous creature that is Chimaera. It is without argument that Chimaera is a monstrous being given her description by both Homer and </w:t>
      </w:r>
      <w:proofErr w:type="spellStart"/>
      <w:r w:rsidR="002053C8">
        <w:t>Apollodorus</w:t>
      </w:r>
      <w:proofErr w:type="spellEnd"/>
      <w:r w:rsidR="002053C8">
        <w:t xml:space="preserve">. In both accounts, the description of Chimaera as a being monstrous creature are clear. In </w:t>
      </w:r>
      <w:proofErr w:type="spellStart"/>
      <w:r w:rsidR="002053C8">
        <w:t>Apollodorus</w:t>
      </w:r>
      <w:proofErr w:type="spellEnd"/>
      <w:r w:rsidR="002053C8">
        <w:t xml:space="preserve"> the Chimaera is descripted as being “</w:t>
      </w:r>
      <w:r w:rsidR="002053C8">
        <w:rPr>
          <w:i/>
        </w:rPr>
        <w:t>… a single creature with the power of three, having the foreparts of a lion, the tail of a dragon and a third head in the middle… through which it breathed fire.</w:t>
      </w:r>
      <w:r w:rsidR="002053C8">
        <w:t>”</w:t>
      </w:r>
      <w:r w:rsidR="002053C8">
        <w:rPr>
          <w:rStyle w:val="FootnoteReference"/>
        </w:rPr>
        <w:footnoteReference w:id="43"/>
      </w:r>
      <w:r w:rsidR="002053C8">
        <w:t xml:space="preserve"> From this description of Chimaera it can be clearly seen that what is being described is a monstrous creation</w:t>
      </w:r>
      <w:r w:rsidR="00837D37">
        <w:t>; for the most part, the description given by Homer is similar except for one key element. Homer describes Chimaera as being a Goddess, likely a link to the parentage and heritage of Chimaera.</w:t>
      </w:r>
      <w:r w:rsidR="00837D37">
        <w:rPr>
          <w:rStyle w:val="FootnoteReference"/>
        </w:rPr>
        <w:footnoteReference w:id="44"/>
      </w:r>
      <w:r w:rsidR="000F2C34">
        <w:t xml:space="preserve"> </w:t>
      </w:r>
      <w:r w:rsidR="0048219A">
        <w:t>From the example of Chimaera it is possible to see that a monstrous being is capable of being a God in name; therefore, proving it possible for a monster to be a God. From the next example, it is possible to see a God as a monster in depiction.</w:t>
      </w:r>
    </w:p>
    <w:p w:rsidR="0080749E" w:rsidRPr="005C20B8" w:rsidRDefault="001907C5" w:rsidP="00991252">
      <w:r>
        <w:t>The second example is that of Hephaestus, son of Hera (and arguably one of the children of Zeus).</w:t>
      </w:r>
      <w:r>
        <w:rPr>
          <w:rStyle w:val="FootnoteReference"/>
        </w:rPr>
        <w:footnoteReference w:id="45"/>
      </w:r>
      <w:r w:rsidR="00FE40C7">
        <w:t xml:space="preserve"> </w:t>
      </w:r>
      <w:r w:rsidR="005C20B8">
        <w:t xml:space="preserve">He is also the brother of Hebe, Ares and </w:t>
      </w:r>
      <w:proofErr w:type="spellStart"/>
      <w:r w:rsidR="005C20B8">
        <w:t>Elleithyia</w:t>
      </w:r>
      <w:proofErr w:type="spellEnd"/>
      <w:r w:rsidR="005C20B8">
        <w:t>.</w:t>
      </w:r>
      <w:r w:rsidR="005C20B8">
        <w:rPr>
          <w:rStyle w:val="FootnoteReference"/>
        </w:rPr>
        <w:footnoteReference w:id="46"/>
      </w:r>
      <w:r w:rsidR="005C20B8">
        <w:t xml:space="preserve"> Hephaestus is part of the Olympian generation of Gods however he is often depicted as being less than them despite being having a great deal of renown </w:t>
      </w:r>
      <w:r w:rsidR="005C20B8">
        <w:lastRenderedPageBreak/>
        <w:t>assigned to him for things such as art</w:t>
      </w:r>
      <w:r w:rsidR="005C20B8">
        <w:rPr>
          <w:rStyle w:val="FootnoteReference"/>
        </w:rPr>
        <w:footnoteReference w:id="47"/>
      </w:r>
      <w:r w:rsidR="005C20B8">
        <w:t>, his skill as a smith</w:t>
      </w:r>
      <w:r w:rsidR="005C20B8">
        <w:rPr>
          <w:rStyle w:val="FootnoteReference"/>
        </w:rPr>
        <w:footnoteReference w:id="48"/>
      </w:r>
      <w:r w:rsidR="005C20B8">
        <w:t xml:space="preserve"> and his intelligence.</w:t>
      </w:r>
      <w:r w:rsidR="005C20B8">
        <w:rPr>
          <w:rStyle w:val="FootnoteReference"/>
        </w:rPr>
        <w:footnoteReference w:id="49"/>
      </w:r>
      <w:r w:rsidR="005C20B8">
        <w:t xml:space="preserve"> Despite all of this, it is possible to view Hephaestus as a monster in the sense of his physical appearance. In the </w:t>
      </w:r>
      <w:r w:rsidR="005C20B8">
        <w:rPr>
          <w:i/>
        </w:rPr>
        <w:t>Homeric Hymn to Apollo</w:t>
      </w:r>
      <w:r w:rsidR="005C20B8">
        <w:t>, Hera can be seen to shame him in her description of him; Hera describes him as being “</w:t>
      </w:r>
      <w:r w:rsidR="005C20B8">
        <w:rPr>
          <w:i/>
        </w:rPr>
        <w:t xml:space="preserve">…shrivelled of foot, a </w:t>
      </w:r>
      <w:proofErr w:type="gramStart"/>
      <w:r w:rsidR="005C20B8">
        <w:rPr>
          <w:i/>
        </w:rPr>
        <w:t>shame</w:t>
      </w:r>
      <w:proofErr w:type="gramEnd"/>
      <w:r w:rsidR="005C20B8">
        <w:rPr>
          <w:i/>
        </w:rPr>
        <w:t xml:space="preserve"> and a disgrace to me in heaven…</w:t>
      </w:r>
      <w:r w:rsidR="005C20B8">
        <w:t>”.</w:t>
      </w:r>
      <w:r w:rsidR="005C20B8">
        <w:rPr>
          <w:rStyle w:val="FootnoteReference"/>
        </w:rPr>
        <w:footnoteReference w:id="50"/>
      </w:r>
      <w:r w:rsidR="005C20B8">
        <w:t xml:space="preserve"> This concept of a physical abnormality is something that would have constituted one to have been viewed as a monstrosity or heavily deformed, therefore allowing people to define said individual as a monster. This is something also seen in depictions of Hephaestus as he is often shown as hobbling around the other Gods and often being mocked.</w:t>
      </w:r>
      <w:r w:rsidR="005C20B8">
        <w:rPr>
          <w:rStyle w:val="FootnoteReference"/>
        </w:rPr>
        <w:footnoteReference w:id="51"/>
      </w:r>
      <w:r w:rsidR="005C20B8">
        <w:t xml:space="preserve"> This is not dissimilar to how those with physical deformities were treated and viewed as monsters. Therefore, allowing the view to be taken in this instance that </w:t>
      </w:r>
      <w:proofErr w:type="gramStart"/>
      <w:r w:rsidR="005C20B8">
        <w:t>by definition Hephaestus</w:t>
      </w:r>
      <w:proofErr w:type="gramEnd"/>
      <w:r w:rsidR="005C20B8">
        <w:t xml:space="preserve"> can be viewed as a monster</w:t>
      </w:r>
      <w:r w:rsidR="0080749E">
        <w:t xml:space="preserve"> whilst also maintaining the position of a God. Hephaestus can be viewed in a similar light to Chiron in the sense that he maintains the generally accepted opinion of himself (as a God) but can also be viewed as something completely different. </w:t>
      </w:r>
      <w:proofErr w:type="gramStart"/>
      <w:r w:rsidR="0080749E">
        <w:t>It can be seen that Hephaestus</w:t>
      </w:r>
      <w:proofErr w:type="gramEnd"/>
      <w:r w:rsidR="0080749E">
        <w:t xml:space="preserve"> was valued as a God through the fact that he was honoured in Lemnos among other Gods.</w:t>
      </w:r>
      <w:r w:rsidR="0080749E">
        <w:rPr>
          <w:rStyle w:val="FootnoteReference"/>
        </w:rPr>
        <w:footnoteReference w:id="52"/>
      </w:r>
    </w:p>
    <w:p w:rsidR="008E567A" w:rsidRDefault="0080749E">
      <w:r>
        <w:t xml:space="preserve">In conclusion, there are two key elements to the answer of whether a God can be a monster. These are firstly, that to be a monster and to be monstrous are two completely different things altogether; meaning that it is possible to be a monster without being evil, however you cannot be monstrous without being a monster. Secondly, this makes it possible for a God to be a monster without falling into the question of </w:t>
      </w:r>
      <w:proofErr w:type="gramStart"/>
      <w:r>
        <w:t>whether or not</w:t>
      </w:r>
      <w:proofErr w:type="gramEnd"/>
      <w:r>
        <w:t xml:space="preserve"> this makes them instinctively evil in comparison with the modern blending of monster and monstrosity into a single definition. Furthermore, this also allows for Gods to be monstrous causing a transition into both God and monster through the consequences of their actions. To summarise, it is possible for a God to become a monster in the same way that a God can have always been a monster. However, this does not make them monstrous.</w:t>
      </w:r>
    </w:p>
    <w:p w:rsidR="00AD3DB1" w:rsidRDefault="00AD3DB1"/>
    <w:p w:rsidR="00AD3DB1" w:rsidRDefault="00AD3DB1"/>
    <w:p w:rsidR="00AD3DB1" w:rsidRDefault="00AD3DB1"/>
    <w:p w:rsidR="00AD3DB1" w:rsidRDefault="00AD3DB1"/>
    <w:p w:rsidR="00AD3DB1" w:rsidRDefault="00AD3DB1"/>
    <w:p w:rsidR="00AD3DB1" w:rsidRDefault="00AD3DB1"/>
    <w:p w:rsidR="00AD3DB1" w:rsidRDefault="00AD3DB1"/>
    <w:p w:rsidR="00AD3DB1" w:rsidRDefault="00AD3DB1"/>
    <w:p w:rsidR="00AD3DB1" w:rsidRDefault="00AD3DB1"/>
    <w:p w:rsidR="00AD3DB1" w:rsidRDefault="00AD3DB1"/>
    <w:p w:rsidR="00AD3DB1" w:rsidRDefault="00AD3DB1"/>
    <w:p w:rsidR="00AD3DB1" w:rsidRDefault="00AD3DB1" w:rsidP="00AD3DB1">
      <w:pPr>
        <w:pStyle w:val="Title"/>
        <w:jc w:val="center"/>
        <w:rPr>
          <w:sz w:val="52"/>
        </w:rPr>
      </w:pPr>
      <w:r w:rsidRPr="00AD3DB1">
        <w:rPr>
          <w:sz w:val="52"/>
        </w:rPr>
        <w:lastRenderedPageBreak/>
        <w:t>Bibliography</w:t>
      </w:r>
    </w:p>
    <w:p w:rsidR="00AD3DB1" w:rsidRDefault="00AD3DB1" w:rsidP="00AD3DB1"/>
    <w:p w:rsidR="00AD3DB1" w:rsidRDefault="00AD3DB1" w:rsidP="00AD3DB1">
      <w:pPr>
        <w:pStyle w:val="Heading2"/>
      </w:pPr>
      <w:r>
        <w:t xml:space="preserve">Ancient Sources: </w:t>
      </w:r>
    </w:p>
    <w:p w:rsidR="00E11CE6" w:rsidRPr="00E11CE6" w:rsidRDefault="00E11CE6" w:rsidP="00E11CE6">
      <w:r>
        <w:t xml:space="preserve">Anonymous. </w:t>
      </w:r>
      <w:r>
        <w:rPr>
          <w:i/>
        </w:rPr>
        <w:t>Hymn 3 to Apollo</w:t>
      </w:r>
      <w:r>
        <w:t xml:space="preserve">. </w:t>
      </w:r>
      <w:r>
        <w:t>H. G. Evelyn-White (trans.). 1914. London: William Heinemann Ltd.</w:t>
      </w:r>
      <w:bookmarkStart w:id="0" w:name="_GoBack"/>
      <w:bookmarkEnd w:id="0"/>
    </w:p>
    <w:p w:rsidR="00AD3DB1" w:rsidRDefault="00E11CE6" w:rsidP="00AD3DB1">
      <w:proofErr w:type="spellStart"/>
      <w:r>
        <w:t>Apollodorus</w:t>
      </w:r>
      <w:proofErr w:type="spellEnd"/>
      <w:r>
        <w:t xml:space="preserve">, </w:t>
      </w:r>
      <w:r>
        <w:rPr>
          <w:i/>
        </w:rPr>
        <w:t>The Library.</w:t>
      </w:r>
      <w:r>
        <w:t xml:space="preserve"> J. G. Frazer (trans.). 1921. London: William Heinemann Ltd.</w:t>
      </w:r>
    </w:p>
    <w:p w:rsidR="00E11CE6" w:rsidRDefault="00E11CE6" w:rsidP="00AD3DB1">
      <w:r>
        <w:t xml:space="preserve">Homer, </w:t>
      </w:r>
      <w:r>
        <w:rPr>
          <w:i/>
        </w:rPr>
        <w:t>The Iliad</w:t>
      </w:r>
      <w:r>
        <w:t>. A. T. Murray (trans.). 1924. London: William Heinemann Ltd.</w:t>
      </w:r>
    </w:p>
    <w:p w:rsidR="00AD3DB1" w:rsidRDefault="00AD3DB1" w:rsidP="00AD3DB1">
      <w:pPr>
        <w:pStyle w:val="Heading2"/>
      </w:pPr>
      <w:r>
        <w:t>Modern Scholarship:</w:t>
      </w:r>
    </w:p>
    <w:p w:rsidR="00E11CE6" w:rsidRPr="00E11CE6" w:rsidRDefault="00E11CE6" w:rsidP="00E11CE6">
      <w:proofErr w:type="spellStart"/>
      <w:r>
        <w:t>Burkert</w:t>
      </w:r>
      <w:proofErr w:type="spellEnd"/>
      <w:r>
        <w:t xml:space="preserve">, W. 1985. </w:t>
      </w:r>
      <w:r>
        <w:rPr>
          <w:i/>
        </w:rPr>
        <w:t>Greek Religion.</w:t>
      </w:r>
      <w:r>
        <w:t xml:space="preserve"> Cambridge: Harvard University Press.</w:t>
      </w:r>
    </w:p>
    <w:p w:rsidR="00AD3DB1" w:rsidRDefault="006300F7" w:rsidP="00AD3DB1">
      <w:r>
        <w:t xml:space="preserve">Cohen, J. J. 1996. </w:t>
      </w:r>
      <w:r>
        <w:rPr>
          <w:i/>
        </w:rPr>
        <w:t xml:space="preserve">Monster Theory: Reading Culture. </w:t>
      </w:r>
      <w:r>
        <w:t>Minneapolis, MN: University of Minnesota Press.</w:t>
      </w:r>
    </w:p>
    <w:p w:rsidR="006300F7" w:rsidRDefault="006300F7" w:rsidP="00AD3DB1">
      <w:proofErr w:type="spellStart"/>
      <w:r>
        <w:t>Morford</w:t>
      </w:r>
      <w:proofErr w:type="spellEnd"/>
      <w:r>
        <w:t xml:space="preserve">, M., </w:t>
      </w:r>
      <w:proofErr w:type="spellStart"/>
      <w:r>
        <w:t>Lenardon</w:t>
      </w:r>
      <w:proofErr w:type="spellEnd"/>
      <w:r>
        <w:t xml:space="preserve">, R., and Sham, M. 2011. </w:t>
      </w:r>
      <w:r>
        <w:rPr>
          <w:i/>
        </w:rPr>
        <w:t>Classical Mythology, International Edition</w:t>
      </w:r>
      <w:r>
        <w:t>. New York: Oxford University Press.</w:t>
      </w:r>
    </w:p>
    <w:p w:rsidR="00E11CE6" w:rsidRDefault="00E11CE6" w:rsidP="00E11CE6">
      <w:proofErr w:type="spellStart"/>
      <w:r>
        <w:t>Eidinow</w:t>
      </w:r>
      <w:proofErr w:type="spellEnd"/>
      <w:r>
        <w:t xml:space="preserve">, E. and </w:t>
      </w:r>
      <w:proofErr w:type="spellStart"/>
      <w:r>
        <w:t>Kindt</w:t>
      </w:r>
      <w:proofErr w:type="spellEnd"/>
      <w:r>
        <w:t xml:space="preserve">, J. 2015. </w:t>
      </w:r>
      <w:r>
        <w:rPr>
          <w:i/>
        </w:rPr>
        <w:t>The Oxford Handbook of Ancient Greek Religion.</w:t>
      </w:r>
      <w:r>
        <w:t xml:space="preserve"> Oxford: Oxford University Press.</w:t>
      </w:r>
    </w:p>
    <w:p w:rsidR="006300F7" w:rsidRPr="006300F7" w:rsidRDefault="006300F7" w:rsidP="00AD3DB1">
      <w:r>
        <w:t xml:space="preserve">Hard, R. 1997. </w:t>
      </w:r>
      <w:proofErr w:type="spellStart"/>
      <w:r>
        <w:rPr>
          <w:i/>
        </w:rPr>
        <w:t>Apollodorus</w:t>
      </w:r>
      <w:proofErr w:type="spellEnd"/>
      <w:r>
        <w:rPr>
          <w:i/>
        </w:rPr>
        <w:t>: The Library of Greek Mythology.</w:t>
      </w:r>
      <w:r>
        <w:t xml:space="preserve"> New York: Oxford University Press.</w:t>
      </w:r>
    </w:p>
    <w:p w:rsidR="00AD3DB1" w:rsidRDefault="006300F7" w:rsidP="00AD3DB1">
      <w:proofErr w:type="spellStart"/>
      <w:r>
        <w:t>Murgatroyd</w:t>
      </w:r>
      <w:proofErr w:type="spellEnd"/>
      <w:r>
        <w:t>, P. 2007</w:t>
      </w:r>
      <w:r w:rsidR="00AD3DB1">
        <w:t xml:space="preserve">. </w:t>
      </w:r>
      <w:r w:rsidR="00AD3DB1" w:rsidRPr="006300F7">
        <w:rPr>
          <w:i/>
        </w:rPr>
        <w:t>Mythical Monsters in Classical Literature</w:t>
      </w:r>
      <w:r w:rsidR="00AD3DB1">
        <w:t>. London: Duckworth.</w:t>
      </w:r>
    </w:p>
    <w:p w:rsidR="00E11CE6" w:rsidRPr="00E11CE6" w:rsidRDefault="00E11CE6"/>
    <w:sectPr w:rsidR="00E11CE6" w:rsidRPr="00E11CE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6C2E" w:rsidRDefault="00686C2E" w:rsidP="00991252">
      <w:pPr>
        <w:spacing w:after="0" w:line="240" w:lineRule="auto"/>
      </w:pPr>
      <w:r>
        <w:separator/>
      </w:r>
    </w:p>
  </w:endnote>
  <w:endnote w:type="continuationSeparator" w:id="0">
    <w:p w:rsidR="00686C2E" w:rsidRDefault="00686C2E" w:rsidP="009912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6C2E" w:rsidRDefault="00686C2E" w:rsidP="00991252">
      <w:pPr>
        <w:spacing w:after="0" w:line="240" w:lineRule="auto"/>
      </w:pPr>
      <w:r>
        <w:separator/>
      </w:r>
    </w:p>
  </w:footnote>
  <w:footnote w:type="continuationSeparator" w:id="0">
    <w:p w:rsidR="00686C2E" w:rsidRDefault="00686C2E" w:rsidP="00991252">
      <w:pPr>
        <w:spacing w:after="0" w:line="240" w:lineRule="auto"/>
      </w:pPr>
      <w:r>
        <w:continuationSeparator/>
      </w:r>
    </w:p>
  </w:footnote>
  <w:footnote w:id="1">
    <w:p w:rsidR="00991252" w:rsidRDefault="00991252" w:rsidP="00991252">
      <w:pPr>
        <w:pStyle w:val="FootnoteText"/>
      </w:pPr>
      <w:r>
        <w:rPr>
          <w:rStyle w:val="FootnoteReference"/>
        </w:rPr>
        <w:footnoteRef/>
      </w:r>
      <w:r>
        <w:t xml:space="preserve"> </w:t>
      </w:r>
      <w:proofErr w:type="spellStart"/>
      <w:r>
        <w:t>Murgatroyd</w:t>
      </w:r>
      <w:proofErr w:type="spellEnd"/>
      <w:r>
        <w:t xml:space="preserve"> 2007: 1</w:t>
      </w:r>
    </w:p>
  </w:footnote>
  <w:footnote w:id="2">
    <w:p w:rsidR="00991252" w:rsidRDefault="00991252" w:rsidP="00991252">
      <w:pPr>
        <w:pStyle w:val="FootnoteText"/>
      </w:pPr>
      <w:r>
        <w:rPr>
          <w:rStyle w:val="FootnoteReference"/>
        </w:rPr>
        <w:footnoteRef/>
      </w:r>
      <w:r>
        <w:t xml:space="preserve"> </w:t>
      </w:r>
      <w:proofErr w:type="spellStart"/>
      <w:r>
        <w:t>Murgatroyd</w:t>
      </w:r>
      <w:proofErr w:type="spellEnd"/>
      <w:r>
        <w:t xml:space="preserve"> 2007: 1</w:t>
      </w:r>
    </w:p>
  </w:footnote>
  <w:footnote w:id="3">
    <w:p w:rsidR="00991252" w:rsidRDefault="00991252" w:rsidP="00991252">
      <w:pPr>
        <w:pStyle w:val="FootnoteText"/>
      </w:pPr>
      <w:r>
        <w:rPr>
          <w:rStyle w:val="FootnoteReference"/>
        </w:rPr>
        <w:footnoteRef/>
      </w:r>
      <w:r>
        <w:t xml:space="preserve"> </w:t>
      </w:r>
      <w:proofErr w:type="spellStart"/>
      <w:r>
        <w:t>Murgatroyd</w:t>
      </w:r>
      <w:proofErr w:type="spellEnd"/>
      <w:r>
        <w:t xml:space="preserve"> 2007: 1</w:t>
      </w:r>
    </w:p>
  </w:footnote>
  <w:footnote w:id="4">
    <w:p w:rsidR="00991252" w:rsidRDefault="00991252" w:rsidP="00991252">
      <w:pPr>
        <w:pStyle w:val="FootnoteText"/>
      </w:pPr>
      <w:r>
        <w:rPr>
          <w:rStyle w:val="FootnoteReference"/>
        </w:rPr>
        <w:footnoteRef/>
      </w:r>
      <w:r>
        <w:t xml:space="preserve"> </w:t>
      </w:r>
      <w:proofErr w:type="spellStart"/>
      <w:r>
        <w:t>Murgatroyd</w:t>
      </w:r>
      <w:proofErr w:type="spellEnd"/>
      <w:r>
        <w:t xml:space="preserve"> 2007: 1</w:t>
      </w:r>
    </w:p>
  </w:footnote>
  <w:footnote w:id="5">
    <w:p w:rsidR="00CD727C" w:rsidRDefault="00CD727C">
      <w:pPr>
        <w:pStyle w:val="FootnoteText"/>
      </w:pPr>
      <w:r>
        <w:rPr>
          <w:rStyle w:val="FootnoteReference"/>
        </w:rPr>
        <w:footnoteRef/>
      </w:r>
      <w:r>
        <w:t xml:space="preserve"> Cohen 1996: 4</w:t>
      </w:r>
    </w:p>
  </w:footnote>
  <w:footnote w:id="6">
    <w:p w:rsidR="00B5336C" w:rsidRDefault="00B5336C">
      <w:pPr>
        <w:pStyle w:val="FootnoteText"/>
      </w:pPr>
      <w:r>
        <w:rPr>
          <w:rStyle w:val="FootnoteReference"/>
        </w:rPr>
        <w:footnoteRef/>
      </w:r>
      <w:r w:rsidR="00795636">
        <w:t xml:space="preserve"> Cohen 1996</w:t>
      </w:r>
      <w:r>
        <w:t>: 4</w:t>
      </w:r>
    </w:p>
  </w:footnote>
  <w:footnote w:id="7">
    <w:p w:rsidR="00E852D2" w:rsidRDefault="00E852D2">
      <w:pPr>
        <w:pStyle w:val="FootnoteText"/>
      </w:pPr>
      <w:r>
        <w:rPr>
          <w:rStyle w:val="FootnoteReference"/>
        </w:rPr>
        <w:footnoteRef/>
      </w:r>
      <w:r w:rsidR="00795636">
        <w:t xml:space="preserve"> Cohen 1996</w:t>
      </w:r>
      <w:r>
        <w:t>: 4</w:t>
      </w:r>
    </w:p>
  </w:footnote>
  <w:footnote w:id="8">
    <w:p w:rsidR="00E852D2" w:rsidRDefault="00E852D2">
      <w:pPr>
        <w:pStyle w:val="FootnoteText"/>
      </w:pPr>
      <w:r>
        <w:rPr>
          <w:rStyle w:val="FootnoteReference"/>
        </w:rPr>
        <w:footnoteRef/>
      </w:r>
      <w:r w:rsidR="00795636">
        <w:t xml:space="preserve"> Cohen 1996</w:t>
      </w:r>
      <w:r>
        <w:t>: 4</w:t>
      </w:r>
    </w:p>
  </w:footnote>
  <w:footnote w:id="9">
    <w:p w:rsidR="004135E9" w:rsidRDefault="004135E9">
      <w:pPr>
        <w:pStyle w:val="FootnoteText"/>
      </w:pPr>
      <w:r>
        <w:rPr>
          <w:rStyle w:val="FootnoteReference"/>
        </w:rPr>
        <w:footnoteRef/>
      </w:r>
      <w:r w:rsidR="00795636">
        <w:t xml:space="preserve"> Cohen 1996</w:t>
      </w:r>
      <w:r>
        <w:t>: 4</w:t>
      </w:r>
    </w:p>
  </w:footnote>
  <w:footnote w:id="10">
    <w:p w:rsidR="006955E9" w:rsidRDefault="006955E9">
      <w:pPr>
        <w:pStyle w:val="FootnoteText"/>
      </w:pPr>
      <w:r>
        <w:rPr>
          <w:rStyle w:val="FootnoteReference"/>
        </w:rPr>
        <w:footnoteRef/>
      </w:r>
      <w:r>
        <w:t xml:space="preserve"> Cohen 1996: 5</w:t>
      </w:r>
    </w:p>
  </w:footnote>
  <w:footnote w:id="11">
    <w:p w:rsidR="006955E9" w:rsidRDefault="006955E9">
      <w:pPr>
        <w:pStyle w:val="FootnoteText"/>
      </w:pPr>
      <w:r>
        <w:rPr>
          <w:rStyle w:val="FootnoteReference"/>
        </w:rPr>
        <w:footnoteRef/>
      </w:r>
      <w:r>
        <w:t xml:space="preserve"> Cohen 1996: 4</w:t>
      </w:r>
    </w:p>
  </w:footnote>
  <w:footnote w:id="12">
    <w:p w:rsidR="00850E62" w:rsidRDefault="00850E62">
      <w:pPr>
        <w:pStyle w:val="FootnoteText"/>
      </w:pPr>
      <w:r>
        <w:rPr>
          <w:rStyle w:val="FootnoteReference"/>
        </w:rPr>
        <w:footnoteRef/>
      </w:r>
      <w:r>
        <w:t xml:space="preserve"> Cohen 1996: 6</w:t>
      </w:r>
    </w:p>
  </w:footnote>
  <w:footnote w:id="13">
    <w:p w:rsidR="00765AB6" w:rsidRDefault="00765AB6">
      <w:pPr>
        <w:pStyle w:val="FootnoteText"/>
      </w:pPr>
      <w:r>
        <w:rPr>
          <w:rStyle w:val="FootnoteReference"/>
        </w:rPr>
        <w:footnoteRef/>
      </w:r>
      <w:r>
        <w:t xml:space="preserve"> Cohen 1996: 6,7</w:t>
      </w:r>
    </w:p>
  </w:footnote>
  <w:footnote w:id="14">
    <w:p w:rsidR="00736116" w:rsidRDefault="00736116">
      <w:pPr>
        <w:pStyle w:val="FootnoteText"/>
      </w:pPr>
      <w:r>
        <w:rPr>
          <w:rStyle w:val="FootnoteReference"/>
        </w:rPr>
        <w:footnoteRef/>
      </w:r>
      <w:r>
        <w:t xml:space="preserve"> Cohen 1996: 7</w:t>
      </w:r>
    </w:p>
  </w:footnote>
  <w:footnote w:id="15">
    <w:p w:rsidR="00191F2C" w:rsidRDefault="00191F2C">
      <w:pPr>
        <w:pStyle w:val="FootnoteText"/>
      </w:pPr>
      <w:r>
        <w:rPr>
          <w:rStyle w:val="FootnoteReference"/>
        </w:rPr>
        <w:footnoteRef/>
      </w:r>
      <w:r w:rsidR="000C26CB">
        <w:t xml:space="preserve"> Cohen 1996</w:t>
      </w:r>
      <w:r>
        <w:t>: 7</w:t>
      </w:r>
    </w:p>
  </w:footnote>
  <w:footnote w:id="16">
    <w:p w:rsidR="000C26CB" w:rsidRDefault="000C26CB">
      <w:pPr>
        <w:pStyle w:val="FootnoteText"/>
      </w:pPr>
      <w:r>
        <w:rPr>
          <w:rStyle w:val="FootnoteReference"/>
        </w:rPr>
        <w:footnoteRef/>
      </w:r>
      <w:r>
        <w:t xml:space="preserve"> Cohen 1996:</w:t>
      </w:r>
      <w:r w:rsidR="00795636">
        <w:t xml:space="preserve"> 8</w:t>
      </w:r>
    </w:p>
  </w:footnote>
  <w:footnote w:id="17">
    <w:p w:rsidR="00795636" w:rsidRDefault="00795636">
      <w:pPr>
        <w:pStyle w:val="FootnoteText"/>
      </w:pPr>
      <w:r>
        <w:rPr>
          <w:rStyle w:val="FootnoteReference"/>
        </w:rPr>
        <w:footnoteRef/>
      </w:r>
      <w:r>
        <w:t xml:space="preserve"> Cohen 1996: 12</w:t>
      </w:r>
    </w:p>
  </w:footnote>
  <w:footnote w:id="18">
    <w:p w:rsidR="00795636" w:rsidRDefault="00795636">
      <w:pPr>
        <w:pStyle w:val="FootnoteText"/>
      </w:pPr>
      <w:r>
        <w:rPr>
          <w:rStyle w:val="FootnoteReference"/>
        </w:rPr>
        <w:footnoteRef/>
      </w:r>
      <w:r>
        <w:t xml:space="preserve"> Cohen 1996 :12</w:t>
      </w:r>
    </w:p>
  </w:footnote>
  <w:footnote w:id="19">
    <w:p w:rsidR="00795636" w:rsidRDefault="00795636">
      <w:pPr>
        <w:pStyle w:val="FootnoteText"/>
      </w:pPr>
      <w:r>
        <w:rPr>
          <w:rStyle w:val="FootnoteReference"/>
        </w:rPr>
        <w:footnoteRef/>
      </w:r>
      <w:r>
        <w:t xml:space="preserve"> Cohen 1996: 16</w:t>
      </w:r>
    </w:p>
  </w:footnote>
  <w:footnote w:id="20">
    <w:p w:rsidR="00F935C0" w:rsidRDefault="00F935C0">
      <w:pPr>
        <w:pStyle w:val="FootnoteText"/>
      </w:pPr>
      <w:r>
        <w:rPr>
          <w:rStyle w:val="FootnoteReference"/>
        </w:rPr>
        <w:footnoteRef/>
      </w:r>
      <w:r>
        <w:t xml:space="preserve"> Cohen 1996: 16</w:t>
      </w:r>
    </w:p>
  </w:footnote>
  <w:footnote w:id="21">
    <w:p w:rsidR="00A2662D" w:rsidRDefault="00A2662D">
      <w:pPr>
        <w:pStyle w:val="FootnoteText"/>
      </w:pPr>
      <w:r>
        <w:rPr>
          <w:rStyle w:val="FootnoteReference"/>
        </w:rPr>
        <w:footnoteRef/>
      </w:r>
      <w:r>
        <w:t xml:space="preserve"> Cohen 1996: 16-7</w:t>
      </w:r>
    </w:p>
  </w:footnote>
  <w:footnote w:id="22">
    <w:p w:rsidR="00B57A27" w:rsidRDefault="00B57A27">
      <w:pPr>
        <w:pStyle w:val="FootnoteText"/>
      </w:pPr>
      <w:r>
        <w:rPr>
          <w:rStyle w:val="FootnoteReference"/>
        </w:rPr>
        <w:footnoteRef/>
      </w:r>
      <w:r>
        <w:t xml:space="preserve"> Cohen 1996: 18</w:t>
      </w:r>
    </w:p>
  </w:footnote>
  <w:footnote w:id="23">
    <w:p w:rsidR="002568A1" w:rsidRDefault="002568A1">
      <w:pPr>
        <w:pStyle w:val="FootnoteText"/>
      </w:pPr>
      <w:r>
        <w:rPr>
          <w:rStyle w:val="FootnoteReference"/>
        </w:rPr>
        <w:footnoteRef/>
      </w:r>
      <w:r>
        <w:t xml:space="preserve"> Cohen 1996: 20</w:t>
      </w:r>
    </w:p>
  </w:footnote>
  <w:footnote w:id="24">
    <w:p w:rsidR="00FB2037" w:rsidRDefault="00FB2037">
      <w:pPr>
        <w:pStyle w:val="FootnoteText"/>
      </w:pPr>
      <w:r>
        <w:rPr>
          <w:rStyle w:val="FootnoteReference"/>
        </w:rPr>
        <w:footnoteRef/>
      </w:r>
      <w:r>
        <w:t xml:space="preserve"> Cohen 1996: 20</w:t>
      </w:r>
    </w:p>
  </w:footnote>
  <w:footnote w:id="25">
    <w:p w:rsidR="00FB2037" w:rsidRDefault="00FB2037">
      <w:pPr>
        <w:pStyle w:val="FootnoteText"/>
      </w:pPr>
      <w:r>
        <w:rPr>
          <w:rStyle w:val="FootnoteReference"/>
        </w:rPr>
        <w:footnoteRef/>
      </w:r>
      <w:r>
        <w:t xml:space="preserve"> </w:t>
      </w:r>
      <w:proofErr w:type="spellStart"/>
      <w:r>
        <w:t>Murgatroyd</w:t>
      </w:r>
      <w:proofErr w:type="spellEnd"/>
      <w:r>
        <w:t xml:space="preserve"> 2007: 1 </w:t>
      </w:r>
    </w:p>
  </w:footnote>
  <w:footnote w:id="26">
    <w:p w:rsidR="00425AB3" w:rsidRDefault="00425AB3">
      <w:pPr>
        <w:pStyle w:val="FootnoteText"/>
      </w:pPr>
      <w:r>
        <w:rPr>
          <w:rStyle w:val="FootnoteReference"/>
        </w:rPr>
        <w:footnoteRef/>
      </w:r>
      <w:r>
        <w:t xml:space="preserve"> Hard 1997: 29</w:t>
      </w:r>
    </w:p>
  </w:footnote>
  <w:footnote w:id="27">
    <w:p w:rsidR="00A730CF" w:rsidRDefault="00A730CF">
      <w:pPr>
        <w:pStyle w:val="FootnoteText"/>
      </w:pPr>
      <w:r>
        <w:rPr>
          <w:rStyle w:val="FootnoteReference"/>
        </w:rPr>
        <w:footnoteRef/>
      </w:r>
      <w:r>
        <w:t xml:space="preserve"> </w:t>
      </w:r>
      <w:proofErr w:type="spellStart"/>
      <w:r>
        <w:t>Morford</w:t>
      </w:r>
      <w:proofErr w:type="spellEnd"/>
      <w:r>
        <w:t xml:space="preserve">, </w:t>
      </w:r>
      <w:proofErr w:type="spellStart"/>
      <w:r>
        <w:t>Lenardon</w:t>
      </w:r>
      <w:proofErr w:type="spellEnd"/>
      <w:r>
        <w:t xml:space="preserve"> and Sham 2011: 117</w:t>
      </w:r>
    </w:p>
  </w:footnote>
  <w:footnote w:id="28">
    <w:p w:rsidR="00A605C7" w:rsidRDefault="00A605C7">
      <w:pPr>
        <w:pStyle w:val="FootnoteText"/>
      </w:pPr>
      <w:r>
        <w:rPr>
          <w:rStyle w:val="FootnoteReference"/>
        </w:rPr>
        <w:footnoteRef/>
      </w:r>
      <w:r>
        <w:t xml:space="preserve"> </w:t>
      </w:r>
      <w:proofErr w:type="spellStart"/>
      <w:r>
        <w:t>Morford</w:t>
      </w:r>
      <w:proofErr w:type="spellEnd"/>
      <w:r>
        <w:t xml:space="preserve">, </w:t>
      </w:r>
      <w:proofErr w:type="spellStart"/>
      <w:r>
        <w:t>Lenardon</w:t>
      </w:r>
      <w:proofErr w:type="spellEnd"/>
      <w:r>
        <w:t xml:space="preserve"> and Sham 2011: 484</w:t>
      </w:r>
    </w:p>
  </w:footnote>
  <w:footnote w:id="29">
    <w:p w:rsidR="00A605C7" w:rsidRDefault="00A605C7">
      <w:pPr>
        <w:pStyle w:val="FootnoteText"/>
      </w:pPr>
      <w:r>
        <w:rPr>
          <w:rStyle w:val="FootnoteReference"/>
        </w:rPr>
        <w:footnoteRef/>
      </w:r>
      <w:r>
        <w:t xml:space="preserve"> </w:t>
      </w:r>
      <w:proofErr w:type="spellStart"/>
      <w:r>
        <w:t>Morford</w:t>
      </w:r>
      <w:proofErr w:type="spellEnd"/>
      <w:r>
        <w:t xml:space="preserve">, </w:t>
      </w:r>
      <w:proofErr w:type="spellStart"/>
      <w:r>
        <w:t>Lenardon</w:t>
      </w:r>
      <w:proofErr w:type="spellEnd"/>
      <w:r>
        <w:t xml:space="preserve"> and Sham 2011: 117, 257</w:t>
      </w:r>
    </w:p>
  </w:footnote>
  <w:footnote w:id="30">
    <w:p w:rsidR="00A605C7" w:rsidRDefault="00A605C7">
      <w:pPr>
        <w:pStyle w:val="FootnoteText"/>
      </w:pPr>
      <w:r>
        <w:rPr>
          <w:rStyle w:val="FootnoteReference"/>
        </w:rPr>
        <w:footnoteRef/>
      </w:r>
      <w:r>
        <w:t xml:space="preserve"> Hard 1997: 102</w:t>
      </w:r>
    </w:p>
  </w:footnote>
  <w:footnote w:id="31">
    <w:p w:rsidR="00A605C7" w:rsidRDefault="00A605C7">
      <w:pPr>
        <w:pStyle w:val="FootnoteText"/>
      </w:pPr>
      <w:r>
        <w:rPr>
          <w:rStyle w:val="FootnoteReference"/>
        </w:rPr>
        <w:footnoteRef/>
      </w:r>
      <w:r>
        <w:t xml:space="preserve"> Hard 1997: 119</w:t>
      </w:r>
    </w:p>
  </w:footnote>
  <w:footnote w:id="32">
    <w:p w:rsidR="00A605C7" w:rsidRDefault="00A605C7">
      <w:pPr>
        <w:pStyle w:val="FootnoteText"/>
      </w:pPr>
      <w:r>
        <w:rPr>
          <w:rStyle w:val="FootnoteReference"/>
        </w:rPr>
        <w:footnoteRef/>
      </w:r>
      <w:r>
        <w:t xml:space="preserve"> Hard 1997: 129; </w:t>
      </w:r>
      <w:proofErr w:type="spellStart"/>
      <w:r>
        <w:t>Morford</w:t>
      </w:r>
      <w:proofErr w:type="spellEnd"/>
      <w:r>
        <w:t xml:space="preserve">, </w:t>
      </w:r>
      <w:proofErr w:type="spellStart"/>
      <w:r>
        <w:t>Lenardon</w:t>
      </w:r>
      <w:proofErr w:type="spellEnd"/>
      <w:r>
        <w:t xml:space="preserve"> and Sham 2011: 484</w:t>
      </w:r>
    </w:p>
  </w:footnote>
  <w:footnote w:id="33">
    <w:p w:rsidR="00AB51A6" w:rsidRDefault="00AB51A6">
      <w:pPr>
        <w:pStyle w:val="FootnoteText"/>
      </w:pPr>
      <w:r>
        <w:rPr>
          <w:rStyle w:val="FootnoteReference"/>
        </w:rPr>
        <w:footnoteRef/>
      </w:r>
      <w:r>
        <w:t xml:space="preserve"> </w:t>
      </w:r>
      <w:proofErr w:type="spellStart"/>
      <w:r>
        <w:t>Burkert</w:t>
      </w:r>
      <w:proofErr w:type="spellEnd"/>
      <w:r>
        <w:t xml:space="preserve"> 1985: 119</w:t>
      </w:r>
    </w:p>
  </w:footnote>
  <w:footnote w:id="34">
    <w:p w:rsidR="00AB51A6" w:rsidRDefault="00AB51A6">
      <w:pPr>
        <w:pStyle w:val="FootnoteText"/>
      </w:pPr>
      <w:r>
        <w:rPr>
          <w:rStyle w:val="FootnoteReference"/>
        </w:rPr>
        <w:footnoteRef/>
      </w:r>
      <w:r>
        <w:t xml:space="preserve"> </w:t>
      </w:r>
      <w:proofErr w:type="spellStart"/>
      <w:r>
        <w:t>Burkert</w:t>
      </w:r>
      <w:proofErr w:type="spellEnd"/>
      <w:r>
        <w:t xml:space="preserve"> 1985: 119</w:t>
      </w:r>
    </w:p>
  </w:footnote>
  <w:footnote w:id="35">
    <w:p w:rsidR="00AB51A6" w:rsidRDefault="00AB51A6">
      <w:pPr>
        <w:pStyle w:val="FootnoteText"/>
      </w:pPr>
      <w:r>
        <w:rPr>
          <w:rStyle w:val="FootnoteReference"/>
        </w:rPr>
        <w:footnoteRef/>
      </w:r>
      <w:r>
        <w:t xml:space="preserve"> </w:t>
      </w:r>
      <w:proofErr w:type="spellStart"/>
      <w:r>
        <w:t>Burkert</w:t>
      </w:r>
      <w:proofErr w:type="spellEnd"/>
      <w:r>
        <w:t xml:space="preserve"> 1985: 119</w:t>
      </w:r>
    </w:p>
  </w:footnote>
  <w:footnote w:id="36">
    <w:p w:rsidR="002F24EE" w:rsidRDefault="002F24EE">
      <w:pPr>
        <w:pStyle w:val="FootnoteText"/>
      </w:pPr>
      <w:r>
        <w:rPr>
          <w:rStyle w:val="FootnoteReference"/>
        </w:rPr>
        <w:footnoteRef/>
      </w:r>
      <w:r>
        <w:t xml:space="preserve"> </w:t>
      </w:r>
      <w:proofErr w:type="spellStart"/>
      <w:r>
        <w:t>Burkert</w:t>
      </w:r>
      <w:proofErr w:type="spellEnd"/>
      <w:r>
        <w:t xml:space="preserve"> 1985: 121</w:t>
      </w:r>
    </w:p>
  </w:footnote>
  <w:footnote w:id="37">
    <w:p w:rsidR="00281175" w:rsidRDefault="00281175">
      <w:pPr>
        <w:pStyle w:val="FootnoteText"/>
      </w:pPr>
      <w:r>
        <w:rPr>
          <w:rStyle w:val="FootnoteReference"/>
        </w:rPr>
        <w:footnoteRef/>
      </w:r>
      <w:r>
        <w:t xml:space="preserve"> </w:t>
      </w:r>
      <w:proofErr w:type="spellStart"/>
      <w:r>
        <w:t>Eidinow</w:t>
      </w:r>
      <w:proofErr w:type="spellEnd"/>
      <w:r>
        <w:t xml:space="preserve"> and </w:t>
      </w:r>
      <w:proofErr w:type="spellStart"/>
      <w:r>
        <w:t>Kindt</w:t>
      </w:r>
      <w:proofErr w:type="spellEnd"/>
      <w:r>
        <w:t xml:space="preserve"> 2015: 371</w:t>
      </w:r>
    </w:p>
  </w:footnote>
  <w:footnote w:id="38">
    <w:p w:rsidR="00EC67B5" w:rsidRDefault="00EC67B5">
      <w:pPr>
        <w:pStyle w:val="FootnoteText"/>
      </w:pPr>
      <w:r>
        <w:rPr>
          <w:rStyle w:val="FootnoteReference"/>
        </w:rPr>
        <w:footnoteRef/>
      </w:r>
      <w:r w:rsidR="00E74431">
        <w:t xml:space="preserve"> </w:t>
      </w:r>
      <w:proofErr w:type="spellStart"/>
      <w:r w:rsidR="00E74431">
        <w:t>Eidinow</w:t>
      </w:r>
      <w:proofErr w:type="spellEnd"/>
      <w:r w:rsidR="00E74431">
        <w:t xml:space="preserve"> and </w:t>
      </w:r>
      <w:proofErr w:type="spellStart"/>
      <w:r w:rsidR="00E74431">
        <w:t>Kindt</w:t>
      </w:r>
      <w:proofErr w:type="spellEnd"/>
      <w:r w:rsidR="00E74431">
        <w:t xml:space="preserve"> 2015: 373</w:t>
      </w:r>
    </w:p>
  </w:footnote>
  <w:footnote w:id="39">
    <w:p w:rsidR="00E74431" w:rsidRDefault="00E74431">
      <w:pPr>
        <w:pStyle w:val="FootnoteText"/>
      </w:pPr>
      <w:r>
        <w:rPr>
          <w:rStyle w:val="FootnoteReference"/>
        </w:rPr>
        <w:footnoteRef/>
      </w:r>
      <w:r>
        <w:t xml:space="preserve"> </w:t>
      </w:r>
      <w:proofErr w:type="spellStart"/>
      <w:r>
        <w:t>Eidinow</w:t>
      </w:r>
      <w:proofErr w:type="spellEnd"/>
      <w:r>
        <w:t xml:space="preserve"> and </w:t>
      </w:r>
      <w:proofErr w:type="spellStart"/>
      <w:r>
        <w:t>Kindt</w:t>
      </w:r>
      <w:proofErr w:type="spellEnd"/>
      <w:r>
        <w:t xml:space="preserve"> 2015: 371</w:t>
      </w:r>
    </w:p>
  </w:footnote>
  <w:footnote w:id="40">
    <w:p w:rsidR="002053C8" w:rsidRDefault="002053C8">
      <w:pPr>
        <w:pStyle w:val="FootnoteText"/>
      </w:pPr>
      <w:r>
        <w:rPr>
          <w:rStyle w:val="FootnoteReference"/>
        </w:rPr>
        <w:footnoteRef/>
      </w:r>
      <w:r>
        <w:t xml:space="preserve"> </w:t>
      </w:r>
      <w:proofErr w:type="spellStart"/>
      <w:r>
        <w:t>Morford</w:t>
      </w:r>
      <w:proofErr w:type="spellEnd"/>
      <w:r>
        <w:t xml:space="preserve">, </w:t>
      </w:r>
      <w:proofErr w:type="spellStart"/>
      <w:r>
        <w:t>Lenardon</w:t>
      </w:r>
      <w:proofErr w:type="spellEnd"/>
      <w:r>
        <w:t xml:space="preserve"> and Sham 2011: 168</w:t>
      </w:r>
    </w:p>
  </w:footnote>
  <w:footnote w:id="41">
    <w:p w:rsidR="002053C8" w:rsidRDefault="002053C8">
      <w:pPr>
        <w:pStyle w:val="FootnoteText"/>
      </w:pPr>
      <w:r>
        <w:rPr>
          <w:rStyle w:val="FootnoteReference"/>
        </w:rPr>
        <w:footnoteRef/>
      </w:r>
      <w:r>
        <w:t xml:space="preserve"> </w:t>
      </w:r>
      <w:proofErr w:type="spellStart"/>
      <w:r>
        <w:t>Morford</w:t>
      </w:r>
      <w:proofErr w:type="spellEnd"/>
      <w:r>
        <w:t xml:space="preserve">, </w:t>
      </w:r>
      <w:proofErr w:type="spellStart"/>
      <w:r>
        <w:t>Lenardon</w:t>
      </w:r>
      <w:proofErr w:type="spellEnd"/>
      <w:r>
        <w:t xml:space="preserve"> and Sham 2011: 168</w:t>
      </w:r>
    </w:p>
  </w:footnote>
  <w:footnote w:id="42">
    <w:p w:rsidR="0048219A" w:rsidRDefault="0048219A">
      <w:pPr>
        <w:pStyle w:val="FootnoteText"/>
      </w:pPr>
      <w:r>
        <w:rPr>
          <w:rStyle w:val="FootnoteReference"/>
        </w:rPr>
        <w:footnoteRef/>
      </w:r>
      <w:r>
        <w:t xml:space="preserve"> </w:t>
      </w:r>
      <w:proofErr w:type="spellStart"/>
      <w:r>
        <w:t>Morford</w:t>
      </w:r>
      <w:proofErr w:type="spellEnd"/>
      <w:r>
        <w:t xml:space="preserve">, </w:t>
      </w:r>
      <w:proofErr w:type="spellStart"/>
      <w:r>
        <w:t>Lenardon</w:t>
      </w:r>
      <w:proofErr w:type="spellEnd"/>
      <w:r>
        <w:t xml:space="preserve"> and Sham 2011: 169</w:t>
      </w:r>
    </w:p>
  </w:footnote>
  <w:footnote w:id="43">
    <w:p w:rsidR="002053C8" w:rsidRDefault="002053C8">
      <w:pPr>
        <w:pStyle w:val="FootnoteText"/>
      </w:pPr>
      <w:r>
        <w:rPr>
          <w:rStyle w:val="FootnoteReference"/>
        </w:rPr>
        <w:footnoteRef/>
      </w:r>
      <w:r>
        <w:t xml:space="preserve"> Hard 1997: 64</w:t>
      </w:r>
    </w:p>
  </w:footnote>
  <w:footnote w:id="44">
    <w:p w:rsidR="00837D37" w:rsidRPr="00837D37" w:rsidRDefault="00837D37">
      <w:pPr>
        <w:pStyle w:val="FootnoteText"/>
      </w:pPr>
      <w:r>
        <w:rPr>
          <w:rStyle w:val="FootnoteReference"/>
        </w:rPr>
        <w:footnoteRef/>
      </w:r>
      <w:r>
        <w:t xml:space="preserve"> </w:t>
      </w:r>
      <w:proofErr w:type="spellStart"/>
      <w:r>
        <w:t>Hom</w:t>
      </w:r>
      <w:proofErr w:type="spellEnd"/>
      <w:r>
        <w:t xml:space="preserve">. </w:t>
      </w:r>
      <w:r>
        <w:rPr>
          <w:i/>
        </w:rPr>
        <w:t>Il</w:t>
      </w:r>
      <w:r>
        <w:t>. 6.179 - 193</w:t>
      </w:r>
    </w:p>
  </w:footnote>
  <w:footnote w:id="45">
    <w:p w:rsidR="001907C5" w:rsidRDefault="001907C5">
      <w:pPr>
        <w:pStyle w:val="FootnoteText"/>
      </w:pPr>
      <w:r>
        <w:rPr>
          <w:rStyle w:val="FootnoteReference"/>
        </w:rPr>
        <w:footnoteRef/>
      </w:r>
      <w:r>
        <w:t xml:space="preserve"> Hard 1997: 30-1</w:t>
      </w:r>
    </w:p>
  </w:footnote>
  <w:footnote w:id="46">
    <w:p w:rsidR="005C20B8" w:rsidRDefault="005C20B8">
      <w:pPr>
        <w:pStyle w:val="FootnoteText"/>
      </w:pPr>
      <w:r>
        <w:rPr>
          <w:rStyle w:val="FootnoteReference"/>
        </w:rPr>
        <w:footnoteRef/>
      </w:r>
      <w:r>
        <w:t xml:space="preserve"> </w:t>
      </w:r>
      <w:proofErr w:type="spellStart"/>
      <w:r>
        <w:t>Morford</w:t>
      </w:r>
      <w:proofErr w:type="spellEnd"/>
      <w:r>
        <w:t xml:space="preserve">, </w:t>
      </w:r>
      <w:proofErr w:type="spellStart"/>
      <w:r>
        <w:t>Lenardon</w:t>
      </w:r>
      <w:proofErr w:type="spellEnd"/>
      <w:r>
        <w:t xml:space="preserve"> and Sham 2011: 113</w:t>
      </w:r>
    </w:p>
  </w:footnote>
  <w:footnote w:id="47">
    <w:p w:rsidR="005C20B8" w:rsidRDefault="005C20B8">
      <w:pPr>
        <w:pStyle w:val="FootnoteText"/>
      </w:pPr>
      <w:r>
        <w:rPr>
          <w:rStyle w:val="FootnoteReference"/>
        </w:rPr>
        <w:footnoteRef/>
      </w:r>
      <w:r>
        <w:t xml:space="preserve"> </w:t>
      </w:r>
      <w:proofErr w:type="spellStart"/>
      <w:r>
        <w:t>Morford</w:t>
      </w:r>
      <w:proofErr w:type="spellEnd"/>
      <w:r>
        <w:t xml:space="preserve">, </w:t>
      </w:r>
      <w:proofErr w:type="spellStart"/>
      <w:r>
        <w:t>Lenardon</w:t>
      </w:r>
      <w:proofErr w:type="spellEnd"/>
      <w:r>
        <w:t xml:space="preserve"> and Sham 2011: 125</w:t>
      </w:r>
    </w:p>
  </w:footnote>
  <w:footnote w:id="48">
    <w:p w:rsidR="005C20B8" w:rsidRDefault="005C20B8">
      <w:pPr>
        <w:pStyle w:val="FootnoteText"/>
      </w:pPr>
      <w:r>
        <w:rPr>
          <w:rStyle w:val="FootnoteReference"/>
        </w:rPr>
        <w:footnoteRef/>
      </w:r>
      <w:r>
        <w:t xml:space="preserve"> </w:t>
      </w:r>
      <w:proofErr w:type="spellStart"/>
      <w:r>
        <w:t>Morford</w:t>
      </w:r>
      <w:proofErr w:type="spellEnd"/>
      <w:r>
        <w:t xml:space="preserve">, </w:t>
      </w:r>
      <w:proofErr w:type="spellStart"/>
      <w:r>
        <w:t>Lenardon</w:t>
      </w:r>
      <w:proofErr w:type="spellEnd"/>
      <w:r>
        <w:t xml:space="preserve"> and Sham 2011: 127</w:t>
      </w:r>
    </w:p>
  </w:footnote>
  <w:footnote w:id="49">
    <w:p w:rsidR="005C20B8" w:rsidRDefault="005C20B8">
      <w:pPr>
        <w:pStyle w:val="FootnoteText"/>
      </w:pPr>
      <w:r>
        <w:rPr>
          <w:rStyle w:val="FootnoteReference"/>
        </w:rPr>
        <w:footnoteRef/>
      </w:r>
      <w:r>
        <w:t xml:space="preserve"> </w:t>
      </w:r>
      <w:proofErr w:type="spellStart"/>
      <w:r>
        <w:t>Morford</w:t>
      </w:r>
      <w:proofErr w:type="spellEnd"/>
      <w:r>
        <w:t xml:space="preserve">, </w:t>
      </w:r>
      <w:proofErr w:type="spellStart"/>
      <w:r>
        <w:t>Lenardon</w:t>
      </w:r>
      <w:proofErr w:type="spellEnd"/>
      <w:r>
        <w:t xml:space="preserve"> and Sham 2011: 122</w:t>
      </w:r>
    </w:p>
  </w:footnote>
  <w:footnote w:id="50">
    <w:p w:rsidR="005C20B8" w:rsidRDefault="005C20B8">
      <w:pPr>
        <w:pStyle w:val="FootnoteText"/>
      </w:pPr>
      <w:r>
        <w:rPr>
          <w:rStyle w:val="FootnoteReference"/>
        </w:rPr>
        <w:footnoteRef/>
      </w:r>
      <w:r>
        <w:t xml:space="preserve"> HH. 3. 315-320</w:t>
      </w:r>
    </w:p>
  </w:footnote>
  <w:footnote w:id="51">
    <w:p w:rsidR="005C20B8" w:rsidRDefault="005C20B8">
      <w:pPr>
        <w:pStyle w:val="FootnoteText"/>
      </w:pPr>
      <w:r>
        <w:rPr>
          <w:rStyle w:val="FootnoteReference"/>
        </w:rPr>
        <w:footnoteRef/>
      </w:r>
      <w:r>
        <w:t xml:space="preserve"> </w:t>
      </w:r>
      <w:proofErr w:type="spellStart"/>
      <w:r>
        <w:t>Morford</w:t>
      </w:r>
      <w:proofErr w:type="spellEnd"/>
      <w:r>
        <w:t xml:space="preserve">, </w:t>
      </w:r>
      <w:proofErr w:type="spellStart"/>
      <w:r>
        <w:t>Lenardon</w:t>
      </w:r>
      <w:proofErr w:type="spellEnd"/>
      <w:r>
        <w:t xml:space="preserve"> and Sham 2011: 125</w:t>
      </w:r>
    </w:p>
  </w:footnote>
  <w:footnote w:id="52">
    <w:p w:rsidR="0080749E" w:rsidRDefault="0080749E">
      <w:pPr>
        <w:pStyle w:val="FootnoteText"/>
      </w:pPr>
      <w:r>
        <w:rPr>
          <w:rStyle w:val="FootnoteReference"/>
        </w:rPr>
        <w:footnoteRef/>
      </w:r>
      <w:r>
        <w:t xml:space="preserve"> </w:t>
      </w:r>
      <w:proofErr w:type="spellStart"/>
      <w:r>
        <w:t>Morford</w:t>
      </w:r>
      <w:proofErr w:type="spellEnd"/>
      <w:r>
        <w:t xml:space="preserve">, </w:t>
      </w:r>
      <w:proofErr w:type="spellStart"/>
      <w:r>
        <w:t>Lenardon</w:t>
      </w:r>
      <w:proofErr w:type="spellEnd"/>
      <w:r>
        <w:t xml:space="preserve"> and Sham 2011: 136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3DB1" w:rsidRDefault="00AD3DB1">
    <w:pPr>
      <w:pStyle w:val="Header"/>
    </w:pPr>
    <w:r>
      <w:t xml:space="preserve">CLCS6015 </w:t>
    </w:r>
    <w:r>
      <w:tab/>
    </w:r>
    <w:r>
      <w:tab/>
      <w:t>Tomas Sharpe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1252"/>
    <w:rsid w:val="000210E1"/>
    <w:rsid w:val="000B4833"/>
    <w:rsid w:val="000C26CB"/>
    <w:rsid w:val="000F2C34"/>
    <w:rsid w:val="001907C5"/>
    <w:rsid w:val="00191F2C"/>
    <w:rsid w:val="002053C8"/>
    <w:rsid w:val="002568A1"/>
    <w:rsid w:val="00281175"/>
    <w:rsid w:val="002F24EE"/>
    <w:rsid w:val="003A0757"/>
    <w:rsid w:val="003B1796"/>
    <w:rsid w:val="004135E9"/>
    <w:rsid w:val="00425AB3"/>
    <w:rsid w:val="0048219A"/>
    <w:rsid w:val="005C20B8"/>
    <w:rsid w:val="00616ABC"/>
    <w:rsid w:val="006300F7"/>
    <w:rsid w:val="00686C2E"/>
    <w:rsid w:val="006955E9"/>
    <w:rsid w:val="00736116"/>
    <w:rsid w:val="00765AB6"/>
    <w:rsid w:val="00795636"/>
    <w:rsid w:val="007F769C"/>
    <w:rsid w:val="0080749E"/>
    <w:rsid w:val="00837D37"/>
    <w:rsid w:val="00850E62"/>
    <w:rsid w:val="00886635"/>
    <w:rsid w:val="00896B24"/>
    <w:rsid w:val="008E567A"/>
    <w:rsid w:val="009813DD"/>
    <w:rsid w:val="00991252"/>
    <w:rsid w:val="00A2662D"/>
    <w:rsid w:val="00A605C7"/>
    <w:rsid w:val="00A730CF"/>
    <w:rsid w:val="00AB51A6"/>
    <w:rsid w:val="00AD3DB1"/>
    <w:rsid w:val="00B5336C"/>
    <w:rsid w:val="00B57A27"/>
    <w:rsid w:val="00C03809"/>
    <w:rsid w:val="00CD727C"/>
    <w:rsid w:val="00D714EC"/>
    <w:rsid w:val="00E11CE6"/>
    <w:rsid w:val="00E74431"/>
    <w:rsid w:val="00E852D2"/>
    <w:rsid w:val="00EC67B5"/>
    <w:rsid w:val="00F90C14"/>
    <w:rsid w:val="00F935C0"/>
    <w:rsid w:val="00FB2037"/>
    <w:rsid w:val="00FE40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2321C"/>
  <w15:chartTrackingRefBased/>
  <w15:docId w15:val="{43FEAE9E-D407-4442-9458-D8258E244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991252"/>
  </w:style>
  <w:style w:type="paragraph" w:styleId="Heading1">
    <w:name w:val="heading 1"/>
    <w:basedOn w:val="Normal"/>
    <w:next w:val="Normal"/>
    <w:link w:val="Heading1Char"/>
    <w:uiPriority w:val="9"/>
    <w:qFormat/>
    <w:rsid w:val="007F769C"/>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7F769C"/>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7F769C"/>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7F769C"/>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7F769C"/>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7F769C"/>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7F769C"/>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7F769C"/>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7F769C"/>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769C"/>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7F769C"/>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semiHidden/>
    <w:rsid w:val="007F769C"/>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7F769C"/>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7F769C"/>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7F769C"/>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7F769C"/>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7F769C"/>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7F769C"/>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7F769C"/>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7F769C"/>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7F769C"/>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7F769C"/>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7F769C"/>
    <w:rPr>
      <w:caps/>
      <w:color w:val="404040" w:themeColor="text1" w:themeTint="BF"/>
      <w:spacing w:val="20"/>
      <w:sz w:val="28"/>
      <w:szCs w:val="28"/>
    </w:rPr>
  </w:style>
  <w:style w:type="character" w:styleId="Strong">
    <w:name w:val="Strong"/>
    <w:basedOn w:val="DefaultParagraphFont"/>
    <w:uiPriority w:val="22"/>
    <w:qFormat/>
    <w:rsid w:val="007F769C"/>
    <w:rPr>
      <w:b/>
      <w:bCs/>
    </w:rPr>
  </w:style>
  <w:style w:type="character" w:styleId="Emphasis">
    <w:name w:val="Emphasis"/>
    <w:basedOn w:val="DefaultParagraphFont"/>
    <w:uiPriority w:val="20"/>
    <w:qFormat/>
    <w:rsid w:val="007F769C"/>
    <w:rPr>
      <w:i/>
      <w:iCs/>
      <w:color w:val="000000" w:themeColor="text1"/>
    </w:rPr>
  </w:style>
  <w:style w:type="paragraph" w:styleId="NoSpacing">
    <w:name w:val="No Spacing"/>
    <w:uiPriority w:val="1"/>
    <w:qFormat/>
    <w:rsid w:val="007F769C"/>
    <w:pPr>
      <w:spacing w:after="0" w:line="240" w:lineRule="auto"/>
    </w:pPr>
  </w:style>
  <w:style w:type="paragraph" w:styleId="Quote">
    <w:name w:val="Quote"/>
    <w:basedOn w:val="Normal"/>
    <w:next w:val="Normal"/>
    <w:link w:val="QuoteChar"/>
    <w:uiPriority w:val="29"/>
    <w:qFormat/>
    <w:rsid w:val="007F769C"/>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7F769C"/>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7F769C"/>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7F769C"/>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7F769C"/>
    <w:rPr>
      <w:i/>
      <w:iCs/>
      <w:color w:val="595959" w:themeColor="text1" w:themeTint="A6"/>
    </w:rPr>
  </w:style>
  <w:style w:type="character" w:styleId="IntenseEmphasis">
    <w:name w:val="Intense Emphasis"/>
    <w:basedOn w:val="DefaultParagraphFont"/>
    <w:uiPriority w:val="21"/>
    <w:qFormat/>
    <w:rsid w:val="007F769C"/>
    <w:rPr>
      <w:b/>
      <w:bCs/>
      <w:i/>
      <w:iCs/>
      <w:caps w:val="0"/>
      <w:smallCaps w:val="0"/>
      <w:strike w:val="0"/>
      <w:dstrike w:val="0"/>
      <w:color w:val="ED7D31" w:themeColor="accent2"/>
    </w:rPr>
  </w:style>
  <w:style w:type="character" w:styleId="SubtleReference">
    <w:name w:val="Subtle Reference"/>
    <w:basedOn w:val="DefaultParagraphFont"/>
    <w:uiPriority w:val="31"/>
    <w:qFormat/>
    <w:rsid w:val="007F769C"/>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7F769C"/>
    <w:rPr>
      <w:b/>
      <w:bCs/>
      <w:caps w:val="0"/>
      <w:smallCaps/>
      <w:color w:val="auto"/>
      <w:spacing w:val="0"/>
      <w:u w:val="single"/>
    </w:rPr>
  </w:style>
  <w:style w:type="character" w:styleId="BookTitle">
    <w:name w:val="Book Title"/>
    <w:basedOn w:val="DefaultParagraphFont"/>
    <w:uiPriority w:val="33"/>
    <w:qFormat/>
    <w:rsid w:val="007F769C"/>
    <w:rPr>
      <w:b/>
      <w:bCs/>
      <w:caps w:val="0"/>
      <w:smallCaps/>
      <w:spacing w:val="0"/>
    </w:rPr>
  </w:style>
  <w:style w:type="paragraph" w:styleId="TOCHeading">
    <w:name w:val="TOC Heading"/>
    <w:basedOn w:val="Heading1"/>
    <w:next w:val="Normal"/>
    <w:uiPriority w:val="39"/>
    <w:semiHidden/>
    <w:unhideWhenUsed/>
    <w:qFormat/>
    <w:rsid w:val="007F769C"/>
    <w:pPr>
      <w:outlineLvl w:val="9"/>
    </w:pPr>
  </w:style>
  <w:style w:type="paragraph" w:styleId="FootnoteText">
    <w:name w:val="footnote text"/>
    <w:basedOn w:val="Normal"/>
    <w:link w:val="FootnoteTextChar"/>
    <w:uiPriority w:val="99"/>
    <w:semiHidden/>
    <w:unhideWhenUsed/>
    <w:rsid w:val="0099125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91252"/>
    <w:rPr>
      <w:sz w:val="20"/>
      <w:szCs w:val="20"/>
    </w:rPr>
  </w:style>
  <w:style w:type="character" w:styleId="FootnoteReference">
    <w:name w:val="footnote reference"/>
    <w:basedOn w:val="DefaultParagraphFont"/>
    <w:uiPriority w:val="99"/>
    <w:semiHidden/>
    <w:unhideWhenUsed/>
    <w:rsid w:val="00991252"/>
    <w:rPr>
      <w:vertAlign w:val="superscript"/>
    </w:rPr>
  </w:style>
  <w:style w:type="paragraph" w:styleId="Header">
    <w:name w:val="header"/>
    <w:basedOn w:val="Normal"/>
    <w:link w:val="HeaderChar"/>
    <w:uiPriority w:val="99"/>
    <w:unhideWhenUsed/>
    <w:rsid w:val="00AD3D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DB1"/>
  </w:style>
  <w:style w:type="paragraph" w:styleId="Footer">
    <w:name w:val="footer"/>
    <w:basedOn w:val="Normal"/>
    <w:link w:val="FooterChar"/>
    <w:uiPriority w:val="99"/>
    <w:unhideWhenUsed/>
    <w:rsid w:val="00AD3D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D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8136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2C35DC-7421-410B-B5CC-166E97D13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956</TotalTime>
  <Pages>5</Pages>
  <Words>1817</Words>
  <Characters>10362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 Sharpe (1500326)</dc:creator>
  <cp:keywords/>
  <dc:description/>
  <cp:lastModifiedBy>Tomas Sharpe (1500326)</cp:lastModifiedBy>
  <cp:revision>22</cp:revision>
  <dcterms:created xsi:type="dcterms:W3CDTF">2017-11-21T14:14:00Z</dcterms:created>
  <dcterms:modified xsi:type="dcterms:W3CDTF">2017-11-27T23:05:00Z</dcterms:modified>
</cp:coreProperties>
</file>