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3E39F" w14:textId="7F1A27A0" w:rsidR="00022A46" w:rsidRDefault="004D1647" w:rsidP="00710C1C">
      <w:pPr>
        <w:pStyle w:val="Normal1"/>
        <w:rPr>
          <w:rFonts w:ascii="Arial" w:hAnsi="Arial"/>
          <w:sz w:val="22"/>
        </w:rPr>
      </w:pPr>
      <w:r>
        <w:rPr>
          <w:rFonts w:ascii="Arial" w:hAnsi="Arial"/>
          <w:noProof/>
          <w:sz w:val="22"/>
        </w:rPr>
        <w:drawing>
          <wp:inline distT="0" distB="0" distL="0" distR="0" wp14:anchorId="296F1525" wp14:editId="2B7D6CDD">
            <wp:extent cx="1749425" cy="622300"/>
            <wp:effectExtent l="0" t="0" r="3175"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9425" cy="622300"/>
                    </a:xfrm>
                    <a:prstGeom prst="rect">
                      <a:avLst/>
                    </a:prstGeom>
                    <a:noFill/>
                  </pic:spPr>
                </pic:pic>
              </a:graphicData>
            </a:graphic>
          </wp:inline>
        </w:drawing>
      </w:r>
    </w:p>
    <w:p w14:paraId="1B2B22F3" w14:textId="12BC2024" w:rsidR="00022A46" w:rsidRDefault="00022A46" w:rsidP="00710C1C">
      <w:pPr>
        <w:pStyle w:val="Normal1"/>
        <w:rPr>
          <w:rFonts w:ascii="Arial" w:hAnsi="Arial"/>
          <w:sz w:val="22"/>
        </w:rPr>
      </w:pPr>
    </w:p>
    <w:p w14:paraId="50B17F82" w14:textId="77777777" w:rsidR="00022A46" w:rsidRDefault="00022A46" w:rsidP="00710C1C">
      <w:pPr>
        <w:pStyle w:val="Normal1"/>
        <w:rPr>
          <w:rFonts w:ascii="Arial" w:hAnsi="Arial"/>
          <w:sz w:val="22"/>
        </w:rPr>
      </w:pPr>
    </w:p>
    <w:p w14:paraId="6C776A9D" w14:textId="77777777" w:rsidR="004E5BC0" w:rsidRDefault="004E5BC0" w:rsidP="00710C1C">
      <w:pPr>
        <w:pStyle w:val="Normal1"/>
        <w:rPr>
          <w:rFonts w:ascii="Arial" w:hAnsi="Arial"/>
          <w:sz w:val="22"/>
        </w:rPr>
      </w:pPr>
    </w:p>
    <w:p w14:paraId="47953284" w14:textId="77777777" w:rsidR="004E5BC0" w:rsidRDefault="004E5BC0" w:rsidP="00710C1C">
      <w:pPr>
        <w:pStyle w:val="Normal1"/>
        <w:rPr>
          <w:rFonts w:ascii="Arial" w:hAnsi="Arial"/>
          <w:sz w:val="22"/>
        </w:rPr>
      </w:pPr>
    </w:p>
    <w:p w14:paraId="780DC47D" w14:textId="77777777" w:rsidR="004E5BC0" w:rsidRDefault="004E5BC0" w:rsidP="00710C1C">
      <w:pPr>
        <w:pStyle w:val="Normal1"/>
        <w:rPr>
          <w:rFonts w:ascii="Arial" w:hAnsi="Arial"/>
          <w:sz w:val="22"/>
        </w:rPr>
      </w:pPr>
    </w:p>
    <w:p w14:paraId="5499C43A" w14:textId="77777777" w:rsidR="004E5BC0" w:rsidRDefault="004E5BC0" w:rsidP="00710C1C">
      <w:pPr>
        <w:pStyle w:val="Normal1"/>
        <w:rPr>
          <w:rFonts w:ascii="Arial" w:hAnsi="Arial"/>
          <w:sz w:val="22"/>
        </w:rPr>
      </w:pPr>
    </w:p>
    <w:p w14:paraId="6CD90FD3" w14:textId="5D0A023E" w:rsidR="00022A46" w:rsidRDefault="000B6ACE" w:rsidP="00403924">
      <w:pPr>
        <w:pStyle w:val="Normal1"/>
        <w:jc w:val="center"/>
        <w:rPr>
          <w:rStyle w:val="SubtleReference"/>
          <w:sz w:val="32"/>
          <w:szCs w:val="28"/>
        </w:rPr>
      </w:pPr>
      <w:r w:rsidRPr="00403924">
        <w:rPr>
          <w:rStyle w:val="SubtleReference"/>
          <w:sz w:val="32"/>
          <w:szCs w:val="28"/>
        </w:rPr>
        <w:t>LCBB4002-Community Engagement</w:t>
      </w:r>
    </w:p>
    <w:p w14:paraId="775E9E2A" w14:textId="77777777" w:rsidR="00403924" w:rsidRDefault="00403924" w:rsidP="00403924">
      <w:pPr>
        <w:pStyle w:val="Normal1"/>
        <w:jc w:val="center"/>
        <w:rPr>
          <w:rStyle w:val="SubtleReference"/>
          <w:sz w:val="32"/>
          <w:szCs w:val="28"/>
        </w:rPr>
      </w:pPr>
    </w:p>
    <w:p w14:paraId="42640283" w14:textId="77777777" w:rsidR="00403924" w:rsidRDefault="00403924" w:rsidP="00403924">
      <w:pPr>
        <w:pStyle w:val="Normal1"/>
        <w:jc w:val="center"/>
        <w:rPr>
          <w:rStyle w:val="SubtleReference"/>
          <w:sz w:val="32"/>
          <w:szCs w:val="28"/>
        </w:rPr>
      </w:pPr>
    </w:p>
    <w:p w14:paraId="3A23460B" w14:textId="77777777" w:rsidR="00403924" w:rsidRPr="00403924" w:rsidRDefault="00403924" w:rsidP="00403924">
      <w:pPr>
        <w:pStyle w:val="Normal1"/>
        <w:jc w:val="center"/>
        <w:rPr>
          <w:rStyle w:val="SubtleReference"/>
          <w:sz w:val="32"/>
          <w:szCs w:val="28"/>
        </w:rPr>
      </w:pPr>
    </w:p>
    <w:p w14:paraId="30775C0F" w14:textId="77777777" w:rsidR="002F457F" w:rsidRDefault="002F457F" w:rsidP="00710C1C">
      <w:pPr>
        <w:pStyle w:val="Normal1"/>
        <w:rPr>
          <w:rFonts w:ascii="Arial" w:hAnsi="Arial"/>
          <w:sz w:val="22"/>
        </w:rPr>
      </w:pPr>
    </w:p>
    <w:p w14:paraId="40E9C938" w14:textId="77777777" w:rsidR="002F457F" w:rsidRDefault="002F457F" w:rsidP="00710C1C">
      <w:pPr>
        <w:pStyle w:val="Normal1"/>
        <w:rPr>
          <w:rFonts w:ascii="Arial" w:hAnsi="Arial"/>
          <w:sz w:val="22"/>
        </w:rPr>
      </w:pPr>
    </w:p>
    <w:p w14:paraId="28BF9046" w14:textId="44758E18" w:rsidR="00830FF3" w:rsidRPr="008147BC" w:rsidRDefault="00E55651" w:rsidP="00710C1C">
      <w:pPr>
        <w:pStyle w:val="Normal1"/>
        <w:rPr>
          <w:rFonts w:eastAsia="Times New Roman" w:cs="Times New Roman"/>
          <w:bCs/>
          <w:szCs w:val="24"/>
        </w:rPr>
      </w:pPr>
      <w:r w:rsidRPr="008147BC">
        <w:rPr>
          <w:rFonts w:eastAsia="Times New Roman" w:cs="Times New Roman"/>
          <w:bCs/>
          <w:szCs w:val="24"/>
        </w:rPr>
        <w:t>Student Name:</w:t>
      </w:r>
      <w:r w:rsidR="00C81D38">
        <w:rPr>
          <w:rFonts w:eastAsia="Times New Roman" w:cs="Times New Roman"/>
          <w:bCs/>
          <w:szCs w:val="24"/>
        </w:rPr>
        <w:t xml:space="preserve"> Alexandra-</w:t>
      </w:r>
      <w:proofErr w:type="spellStart"/>
      <w:r w:rsidR="00C81D38">
        <w:rPr>
          <w:rFonts w:eastAsia="Times New Roman" w:cs="Times New Roman"/>
          <w:bCs/>
          <w:szCs w:val="24"/>
        </w:rPr>
        <w:t>Lenuta</w:t>
      </w:r>
      <w:proofErr w:type="spellEnd"/>
      <w:r w:rsidR="00C81D38">
        <w:rPr>
          <w:rFonts w:eastAsia="Times New Roman" w:cs="Times New Roman"/>
          <w:bCs/>
          <w:szCs w:val="24"/>
        </w:rPr>
        <w:t xml:space="preserve"> Creanga</w:t>
      </w:r>
    </w:p>
    <w:p w14:paraId="580E9270" w14:textId="3FD285AD" w:rsidR="00830FF3" w:rsidRPr="008147BC" w:rsidRDefault="00E55651" w:rsidP="00710C1C">
      <w:pPr>
        <w:pStyle w:val="Normal1"/>
        <w:rPr>
          <w:rFonts w:eastAsia="Times New Roman" w:cs="Times New Roman"/>
          <w:bCs/>
          <w:szCs w:val="24"/>
        </w:rPr>
      </w:pPr>
      <w:r w:rsidRPr="008147BC">
        <w:rPr>
          <w:rFonts w:eastAsia="Times New Roman" w:cs="Times New Roman"/>
          <w:bCs/>
          <w:szCs w:val="24"/>
        </w:rPr>
        <w:t>Student ID:</w:t>
      </w:r>
      <w:r w:rsidR="009E7715">
        <w:rPr>
          <w:rFonts w:eastAsia="Times New Roman" w:cs="Times New Roman"/>
          <w:bCs/>
          <w:szCs w:val="24"/>
        </w:rPr>
        <w:t xml:space="preserve"> 2113195</w:t>
      </w:r>
    </w:p>
    <w:p w14:paraId="10E2C74C" w14:textId="662A5299" w:rsidR="008147BC" w:rsidRPr="00FC368A" w:rsidRDefault="00E55651" w:rsidP="00710C1C">
      <w:pPr>
        <w:pStyle w:val="Normal1"/>
        <w:rPr>
          <w:rFonts w:eastAsia="Times New Roman" w:cs="Times New Roman"/>
          <w:bCs/>
          <w:szCs w:val="24"/>
        </w:rPr>
      </w:pPr>
      <w:r w:rsidRPr="008147BC">
        <w:rPr>
          <w:rFonts w:eastAsia="Times New Roman" w:cs="Times New Roman"/>
          <w:bCs/>
          <w:szCs w:val="24"/>
        </w:rPr>
        <w:t xml:space="preserve">Module: </w:t>
      </w:r>
      <w:r w:rsidR="00A06890" w:rsidRPr="00FC368A">
        <w:rPr>
          <w:rFonts w:eastAsia="Times New Roman" w:cs="Times New Roman"/>
          <w:bCs/>
          <w:szCs w:val="24"/>
        </w:rPr>
        <w:t>Community Engagement</w:t>
      </w:r>
    </w:p>
    <w:p w14:paraId="5206E0D8" w14:textId="77777777" w:rsidR="00FC368A" w:rsidRDefault="00F86308" w:rsidP="00710C1C">
      <w:pPr>
        <w:pStyle w:val="Normal1"/>
      </w:pPr>
      <w:r>
        <w:rPr>
          <w:rFonts w:eastAsia="Times New Roman" w:cs="Times New Roman"/>
          <w:bCs/>
          <w:szCs w:val="24"/>
        </w:rPr>
        <w:t>Module code</w:t>
      </w:r>
      <w:r w:rsidR="00E55651" w:rsidRPr="00FC368A">
        <w:rPr>
          <w:rFonts w:eastAsia="Times New Roman" w:cs="Times New Roman"/>
          <w:bCs/>
          <w:szCs w:val="24"/>
        </w:rPr>
        <w:t xml:space="preserve">: </w:t>
      </w:r>
      <w:r w:rsidR="00FC368A" w:rsidRPr="00FC368A">
        <w:rPr>
          <w:rFonts w:eastAsia="Times New Roman" w:cs="Times New Roman"/>
          <w:bCs/>
          <w:szCs w:val="24"/>
        </w:rPr>
        <w:t>LCBB4002</w:t>
      </w:r>
    </w:p>
    <w:p w14:paraId="4214C331" w14:textId="1C0A03F1" w:rsidR="00830FF3" w:rsidRDefault="007900E2" w:rsidP="00710C1C">
      <w:pPr>
        <w:pStyle w:val="Normal1"/>
        <w:rPr>
          <w:rFonts w:eastAsia="Times New Roman" w:cs="Times New Roman"/>
          <w:b/>
          <w:szCs w:val="24"/>
        </w:rPr>
      </w:pPr>
      <w:proofErr w:type="spellStart"/>
      <w:r>
        <w:t>Asignment</w:t>
      </w:r>
      <w:proofErr w:type="spellEnd"/>
      <w:r>
        <w:t xml:space="preserve"> Title:</w:t>
      </w:r>
      <w:r w:rsidR="0083764A">
        <w:t xml:space="preserve"> Assessment 2 Community Engagement </w:t>
      </w:r>
      <w:r w:rsidR="00FA008E">
        <w:br w:type="page"/>
      </w:r>
    </w:p>
    <w:sdt>
      <w:sdtPr>
        <w:rPr>
          <w:rFonts w:ascii="Arial" w:eastAsia="Arial" w:hAnsi="Arial" w:cs="Arial"/>
          <w:b w:val="0"/>
          <w:bCs w:val="0"/>
          <w:color w:val="auto"/>
          <w:sz w:val="22"/>
          <w:szCs w:val="22"/>
        </w:rPr>
        <w:id w:val="778539735"/>
        <w:docPartObj>
          <w:docPartGallery w:val="Table of Contents"/>
          <w:docPartUnique/>
        </w:docPartObj>
      </w:sdtPr>
      <w:sdtEndPr>
        <w:rPr>
          <w:rFonts w:ascii="Times New Roman" w:hAnsi="Times New Roman" w:cs="Times New Roman"/>
          <w:sz w:val="24"/>
          <w:szCs w:val="24"/>
        </w:rPr>
      </w:sdtEndPr>
      <w:sdtContent>
        <w:p w14:paraId="3191118F" w14:textId="77777777" w:rsidR="00DC2E0F" w:rsidRPr="00DC2E0F" w:rsidRDefault="00E55651" w:rsidP="00DC2E0F">
          <w:pPr>
            <w:pStyle w:val="TOCHeading"/>
            <w:jc w:val="center"/>
            <w:rPr>
              <w:rFonts w:ascii="Times New Roman" w:hAnsi="Times New Roman" w:cs="Times New Roman"/>
              <w:color w:val="auto"/>
            </w:rPr>
          </w:pPr>
          <w:r w:rsidRPr="00DC2E0F">
            <w:rPr>
              <w:rFonts w:ascii="Times New Roman" w:hAnsi="Times New Roman" w:cs="Times New Roman"/>
              <w:color w:val="auto"/>
            </w:rPr>
            <w:t>Table of Contents</w:t>
          </w:r>
        </w:p>
        <w:p w14:paraId="255B5DDD" w14:textId="77777777" w:rsidR="00DC2E0F" w:rsidRPr="00DC2E0F" w:rsidRDefault="00E55651" w:rsidP="00DC2E0F">
          <w:pPr>
            <w:pStyle w:val="TOC1"/>
            <w:tabs>
              <w:tab w:val="right" w:leader="dot" w:pos="9350"/>
            </w:tabs>
            <w:spacing w:line="360" w:lineRule="auto"/>
            <w:jc w:val="both"/>
            <w:rPr>
              <w:rFonts w:ascii="Times New Roman" w:hAnsi="Times New Roman" w:cs="Times New Roman"/>
              <w:noProof/>
              <w:sz w:val="24"/>
              <w:szCs w:val="24"/>
            </w:rPr>
          </w:pPr>
          <w:r w:rsidRPr="00DC2E0F">
            <w:rPr>
              <w:rFonts w:ascii="Times New Roman" w:hAnsi="Times New Roman" w:cs="Times New Roman"/>
              <w:sz w:val="24"/>
              <w:szCs w:val="24"/>
            </w:rPr>
            <w:fldChar w:fldCharType="begin"/>
          </w:r>
          <w:r w:rsidRPr="00DC2E0F">
            <w:rPr>
              <w:rFonts w:ascii="Times New Roman" w:hAnsi="Times New Roman" w:cs="Times New Roman"/>
              <w:sz w:val="24"/>
              <w:szCs w:val="24"/>
            </w:rPr>
            <w:instrText xml:space="preserve"> TOC \o "1-3" \h \z \u </w:instrText>
          </w:r>
          <w:r w:rsidRPr="00DC2E0F">
            <w:rPr>
              <w:rFonts w:ascii="Times New Roman" w:hAnsi="Times New Roman" w:cs="Times New Roman"/>
              <w:sz w:val="24"/>
              <w:szCs w:val="24"/>
            </w:rPr>
            <w:fldChar w:fldCharType="separate"/>
          </w:r>
          <w:hyperlink w:anchor="_Toc99577874" w:history="1">
            <w:r w:rsidRPr="00DC2E0F">
              <w:rPr>
                <w:rStyle w:val="Hyperlink"/>
                <w:rFonts w:ascii="Times New Roman" w:hAnsi="Times New Roman" w:cs="Times New Roman"/>
                <w:noProof/>
                <w:color w:val="auto"/>
                <w:sz w:val="24"/>
                <w:szCs w:val="24"/>
              </w:rPr>
              <w:t>Introduction</w:t>
            </w:r>
            <w:r w:rsidRPr="00DC2E0F">
              <w:rPr>
                <w:rFonts w:ascii="Times New Roman" w:hAnsi="Times New Roman" w:cs="Times New Roman"/>
                <w:noProof/>
                <w:webHidden/>
                <w:sz w:val="24"/>
                <w:szCs w:val="24"/>
              </w:rPr>
              <w:tab/>
            </w:r>
            <w:r w:rsidRPr="00DC2E0F">
              <w:rPr>
                <w:rFonts w:ascii="Times New Roman" w:hAnsi="Times New Roman" w:cs="Times New Roman"/>
                <w:noProof/>
                <w:webHidden/>
                <w:sz w:val="24"/>
                <w:szCs w:val="24"/>
              </w:rPr>
              <w:fldChar w:fldCharType="begin"/>
            </w:r>
            <w:r w:rsidRPr="00DC2E0F">
              <w:rPr>
                <w:rFonts w:ascii="Times New Roman" w:hAnsi="Times New Roman" w:cs="Times New Roman"/>
                <w:noProof/>
                <w:webHidden/>
                <w:sz w:val="24"/>
                <w:szCs w:val="24"/>
              </w:rPr>
              <w:instrText xml:space="preserve"> PAGEREF _Toc99577874 \h </w:instrText>
            </w:r>
            <w:r w:rsidRPr="00DC2E0F">
              <w:rPr>
                <w:rFonts w:ascii="Times New Roman" w:hAnsi="Times New Roman" w:cs="Times New Roman"/>
                <w:noProof/>
                <w:webHidden/>
                <w:sz w:val="24"/>
                <w:szCs w:val="24"/>
              </w:rPr>
            </w:r>
            <w:r w:rsidRPr="00DC2E0F">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DC2E0F">
              <w:rPr>
                <w:rFonts w:ascii="Times New Roman" w:hAnsi="Times New Roman" w:cs="Times New Roman"/>
                <w:noProof/>
                <w:webHidden/>
                <w:sz w:val="24"/>
                <w:szCs w:val="24"/>
              </w:rPr>
              <w:fldChar w:fldCharType="end"/>
            </w:r>
          </w:hyperlink>
        </w:p>
        <w:p w14:paraId="3D2CA2A1" w14:textId="77777777" w:rsidR="00DC2E0F" w:rsidRPr="00DC2E0F" w:rsidRDefault="009F2756" w:rsidP="00DC2E0F">
          <w:pPr>
            <w:pStyle w:val="TOC1"/>
            <w:tabs>
              <w:tab w:val="right" w:leader="dot" w:pos="9350"/>
            </w:tabs>
            <w:spacing w:line="360" w:lineRule="auto"/>
            <w:jc w:val="both"/>
            <w:rPr>
              <w:rFonts w:ascii="Times New Roman" w:hAnsi="Times New Roman" w:cs="Times New Roman"/>
              <w:noProof/>
              <w:sz w:val="24"/>
              <w:szCs w:val="24"/>
            </w:rPr>
          </w:pPr>
          <w:hyperlink w:anchor="_Toc99577875" w:history="1">
            <w:r w:rsidR="00E55651" w:rsidRPr="00DC2E0F">
              <w:rPr>
                <w:rStyle w:val="Hyperlink"/>
                <w:rFonts w:ascii="Times New Roman" w:hAnsi="Times New Roman" w:cs="Times New Roman"/>
                <w:noProof/>
                <w:color w:val="auto"/>
                <w:sz w:val="24"/>
                <w:szCs w:val="24"/>
              </w:rPr>
              <w:t>Discussion</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_Toc99577875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3</w:t>
            </w:r>
            <w:r w:rsidR="001E452D" w:rsidRPr="00DC2E0F">
              <w:rPr>
                <w:rFonts w:ascii="Times New Roman" w:hAnsi="Times New Roman" w:cs="Times New Roman"/>
                <w:noProof/>
                <w:webHidden/>
                <w:sz w:val="24"/>
                <w:szCs w:val="24"/>
              </w:rPr>
              <w:fldChar w:fldCharType="end"/>
            </w:r>
          </w:hyperlink>
        </w:p>
        <w:p w14:paraId="7467CEEE"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76" w:history="1">
            <w:r w:rsidR="00E55651" w:rsidRPr="00DC2E0F">
              <w:rPr>
                <w:rStyle w:val="Hyperlink"/>
                <w:rFonts w:ascii="Times New Roman" w:hAnsi="Times New Roman" w:cs="Times New Roman"/>
                <w:noProof/>
                <w:color w:val="auto"/>
                <w:sz w:val="24"/>
                <w:szCs w:val="24"/>
              </w:rPr>
              <w:t>Differences between the projects</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_Toc99577876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3</w:t>
            </w:r>
            <w:r w:rsidR="001E452D" w:rsidRPr="00DC2E0F">
              <w:rPr>
                <w:rFonts w:ascii="Times New Roman" w:hAnsi="Times New Roman" w:cs="Times New Roman"/>
                <w:noProof/>
                <w:webHidden/>
                <w:sz w:val="24"/>
                <w:szCs w:val="24"/>
              </w:rPr>
              <w:fldChar w:fldCharType="end"/>
            </w:r>
          </w:hyperlink>
        </w:p>
        <w:p w14:paraId="4D7A7580"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77" w:history="1">
            <w:r w:rsidR="00E55651" w:rsidRPr="00DC2E0F">
              <w:rPr>
                <w:rStyle w:val="Hyperlink"/>
                <w:rFonts w:ascii="Times New Roman" w:hAnsi="Times New Roman" w:cs="Times New Roman"/>
                <w:noProof/>
                <w:color w:val="auto"/>
                <w:sz w:val="24"/>
                <w:szCs w:val="24"/>
              </w:rPr>
              <w:t>Dynamic consultation</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_Toc99577877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4</w:t>
            </w:r>
            <w:r w:rsidR="001E452D" w:rsidRPr="00DC2E0F">
              <w:rPr>
                <w:rFonts w:ascii="Times New Roman" w:hAnsi="Times New Roman" w:cs="Times New Roman"/>
                <w:noProof/>
                <w:webHidden/>
                <w:sz w:val="24"/>
                <w:szCs w:val="24"/>
              </w:rPr>
              <w:fldChar w:fldCharType="end"/>
            </w:r>
          </w:hyperlink>
        </w:p>
        <w:p w14:paraId="6DFA7ED9"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78" w:history="1">
            <w:r w:rsidR="00E55651" w:rsidRPr="00DC2E0F">
              <w:rPr>
                <w:rStyle w:val="Hyperlink"/>
                <w:rFonts w:ascii="Times New Roman" w:hAnsi="Times New Roman" w:cs="Times New Roman"/>
                <w:noProof/>
                <w:color w:val="auto"/>
                <w:sz w:val="24"/>
                <w:szCs w:val="24"/>
              </w:rPr>
              <w:t>Impactful communication</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_Toc99577878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4</w:t>
            </w:r>
            <w:r w:rsidR="001E452D" w:rsidRPr="00DC2E0F">
              <w:rPr>
                <w:rFonts w:ascii="Times New Roman" w:hAnsi="Times New Roman" w:cs="Times New Roman"/>
                <w:noProof/>
                <w:webHidden/>
                <w:sz w:val="24"/>
                <w:szCs w:val="24"/>
              </w:rPr>
              <w:fldChar w:fldCharType="end"/>
            </w:r>
          </w:hyperlink>
        </w:p>
        <w:p w14:paraId="3DE13262"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79" w:history="1">
            <w:r w:rsidR="00E55651" w:rsidRPr="00DC2E0F">
              <w:rPr>
                <w:rStyle w:val="Hyperlink"/>
                <w:rFonts w:ascii="Times New Roman" w:hAnsi="Times New Roman" w:cs="Times New Roman"/>
                <w:noProof/>
                <w:color w:val="auto"/>
                <w:sz w:val="24"/>
                <w:szCs w:val="24"/>
              </w:rPr>
              <w:t>Participation of stakeholders</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_Toc99577879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4</w:t>
            </w:r>
            <w:r w:rsidR="001E452D" w:rsidRPr="00DC2E0F">
              <w:rPr>
                <w:rFonts w:ascii="Times New Roman" w:hAnsi="Times New Roman" w:cs="Times New Roman"/>
                <w:noProof/>
                <w:webHidden/>
                <w:sz w:val="24"/>
                <w:szCs w:val="24"/>
              </w:rPr>
              <w:fldChar w:fldCharType="end"/>
            </w:r>
          </w:hyperlink>
        </w:p>
        <w:p w14:paraId="0356B4A5"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80" w:history="1">
            <w:r w:rsidR="00E55651" w:rsidRPr="00DC2E0F">
              <w:rPr>
                <w:rStyle w:val="Hyperlink"/>
                <w:rFonts w:ascii="Times New Roman" w:hAnsi="Times New Roman" w:cs="Times New Roman"/>
                <w:noProof/>
                <w:color w:val="auto"/>
                <w:sz w:val="24"/>
                <w:szCs w:val="24"/>
              </w:rPr>
              <w:t>Inclusion of Future approaches</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_Toc99577880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5</w:t>
            </w:r>
            <w:r w:rsidR="001E452D" w:rsidRPr="00DC2E0F">
              <w:rPr>
                <w:rFonts w:ascii="Times New Roman" w:hAnsi="Times New Roman" w:cs="Times New Roman"/>
                <w:noProof/>
                <w:webHidden/>
                <w:sz w:val="24"/>
                <w:szCs w:val="24"/>
              </w:rPr>
              <w:fldChar w:fldCharType="end"/>
            </w:r>
          </w:hyperlink>
        </w:p>
        <w:p w14:paraId="305CC5A8" w14:textId="77777777" w:rsidR="00DC2E0F" w:rsidRPr="00DC2E0F" w:rsidRDefault="009F2756" w:rsidP="00DC2E0F">
          <w:pPr>
            <w:pStyle w:val="TOC1"/>
            <w:tabs>
              <w:tab w:val="right" w:leader="dot" w:pos="9350"/>
            </w:tabs>
            <w:spacing w:line="360" w:lineRule="auto"/>
            <w:jc w:val="both"/>
            <w:rPr>
              <w:rFonts w:ascii="Times New Roman" w:hAnsi="Times New Roman" w:cs="Times New Roman"/>
              <w:noProof/>
              <w:sz w:val="24"/>
              <w:szCs w:val="24"/>
            </w:rPr>
          </w:pPr>
          <w:hyperlink w:anchor="_Toc99577881" w:history="1">
            <w:r w:rsidR="00E55651" w:rsidRPr="00DC2E0F">
              <w:rPr>
                <w:rStyle w:val="Hyperlink"/>
                <w:rFonts w:ascii="Times New Roman" w:hAnsi="Times New Roman" w:cs="Times New Roman"/>
                <w:noProof/>
                <w:color w:val="auto"/>
                <w:sz w:val="24"/>
                <w:szCs w:val="24"/>
              </w:rPr>
              <w:t>Analysis of Project</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_Toc99577881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5</w:t>
            </w:r>
            <w:r w:rsidR="001E452D" w:rsidRPr="00DC2E0F">
              <w:rPr>
                <w:rFonts w:ascii="Times New Roman" w:hAnsi="Times New Roman" w:cs="Times New Roman"/>
                <w:noProof/>
                <w:webHidden/>
                <w:sz w:val="24"/>
                <w:szCs w:val="24"/>
              </w:rPr>
              <w:fldChar w:fldCharType="end"/>
            </w:r>
          </w:hyperlink>
        </w:p>
        <w:p w14:paraId="72177BD8"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82" w:history="1">
            <w:r w:rsidR="00E55651" w:rsidRPr="00DC2E0F">
              <w:rPr>
                <w:rStyle w:val="Hyperlink"/>
                <w:rFonts w:ascii="Times New Roman" w:hAnsi="Times New Roman" w:cs="Times New Roman"/>
                <w:noProof/>
                <w:color w:val="auto"/>
                <w:sz w:val="24"/>
                <w:szCs w:val="24"/>
              </w:rPr>
              <w:t>Mapping of the community</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_Toc99577882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5</w:t>
            </w:r>
            <w:r w:rsidR="001E452D" w:rsidRPr="00DC2E0F">
              <w:rPr>
                <w:rFonts w:ascii="Times New Roman" w:hAnsi="Times New Roman" w:cs="Times New Roman"/>
                <w:noProof/>
                <w:webHidden/>
                <w:sz w:val="24"/>
                <w:szCs w:val="24"/>
              </w:rPr>
              <w:fldChar w:fldCharType="end"/>
            </w:r>
          </w:hyperlink>
        </w:p>
        <w:p w14:paraId="09F7080E"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83" w:history="1">
            <w:r w:rsidR="00E55651" w:rsidRPr="00DC2E0F">
              <w:rPr>
                <w:rStyle w:val="Hyperlink"/>
                <w:rFonts w:ascii="Times New Roman" w:hAnsi="Times New Roman" w:cs="Times New Roman"/>
                <w:noProof/>
                <w:color w:val="auto"/>
                <w:sz w:val="24"/>
                <w:szCs w:val="24"/>
              </w:rPr>
              <w:t>Societal engagement</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_Toc99577883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6</w:t>
            </w:r>
            <w:r w:rsidR="001E452D" w:rsidRPr="00DC2E0F">
              <w:rPr>
                <w:rFonts w:ascii="Times New Roman" w:hAnsi="Times New Roman" w:cs="Times New Roman"/>
                <w:noProof/>
                <w:webHidden/>
                <w:sz w:val="24"/>
                <w:szCs w:val="24"/>
              </w:rPr>
              <w:fldChar w:fldCharType="end"/>
            </w:r>
          </w:hyperlink>
        </w:p>
        <w:p w14:paraId="64FCBADB"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84" w:history="1">
            <w:r w:rsidR="00E55651" w:rsidRPr="00DC2E0F">
              <w:rPr>
                <w:rStyle w:val="Hyperlink"/>
                <w:rFonts w:ascii="Times New Roman" w:hAnsi="Times New Roman" w:cs="Times New Roman"/>
                <w:noProof/>
                <w:color w:val="auto"/>
                <w:sz w:val="24"/>
                <w:szCs w:val="24"/>
              </w:rPr>
              <w:t>Critical analysis of activities</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_Toc99577884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6</w:t>
            </w:r>
            <w:r w:rsidR="001E452D" w:rsidRPr="00DC2E0F">
              <w:rPr>
                <w:rFonts w:ascii="Times New Roman" w:hAnsi="Times New Roman" w:cs="Times New Roman"/>
                <w:noProof/>
                <w:webHidden/>
                <w:sz w:val="24"/>
                <w:szCs w:val="24"/>
              </w:rPr>
              <w:fldChar w:fldCharType="end"/>
            </w:r>
          </w:hyperlink>
        </w:p>
        <w:p w14:paraId="4E993F1F"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85" w:history="1">
            <w:r w:rsidR="00E55651" w:rsidRPr="00DC2E0F">
              <w:rPr>
                <w:rStyle w:val="Hyperlink"/>
                <w:rFonts w:ascii="Times New Roman" w:hAnsi="Times New Roman" w:cs="Times New Roman"/>
                <w:noProof/>
                <w:color w:val="auto"/>
                <w:sz w:val="24"/>
                <w:szCs w:val="24"/>
              </w:rPr>
              <w:t>Assessment</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_Toc99577885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6</w:t>
            </w:r>
            <w:r w:rsidR="001E452D" w:rsidRPr="00DC2E0F">
              <w:rPr>
                <w:rFonts w:ascii="Times New Roman" w:hAnsi="Times New Roman" w:cs="Times New Roman"/>
                <w:noProof/>
                <w:webHidden/>
                <w:sz w:val="24"/>
                <w:szCs w:val="24"/>
              </w:rPr>
              <w:fldChar w:fldCharType="end"/>
            </w:r>
          </w:hyperlink>
        </w:p>
        <w:p w14:paraId="681760C0" w14:textId="77777777" w:rsidR="00DC2E0F" w:rsidRPr="00DC2E0F" w:rsidRDefault="009F2756" w:rsidP="00DC2E0F">
          <w:pPr>
            <w:pStyle w:val="TOC2"/>
            <w:tabs>
              <w:tab w:val="right" w:leader="dot" w:pos="9350"/>
            </w:tabs>
            <w:spacing w:line="360" w:lineRule="auto"/>
            <w:jc w:val="both"/>
            <w:rPr>
              <w:rFonts w:ascii="Times New Roman" w:hAnsi="Times New Roman" w:cs="Times New Roman"/>
              <w:noProof/>
              <w:sz w:val="24"/>
              <w:szCs w:val="24"/>
            </w:rPr>
          </w:pPr>
          <w:hyperlink w:anchor="_Toc99577886" w:history="1">
            <w:r w:rsidR="00E55651" w:rsidRPr="00DC2E0F">
              <w:rPr>
                <w:rStyle w:val="Hyperlink"/>
                <w:rFonts w:ascii="Times New Roman" w:hAnsi="Times New Roman" w:cs="Times New Roman"/>
                <w:noProof/>
                <w:color w:val="auto"/>
                <w:sz w:val="24"/>
                <w:szCs w:val="24"/>
              </w:rPr>
              <w:t>Good Practices</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_Toc99577886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7</w:t>
            </w:r>
            <w:r w:rsidR="001E452D" w:rsidRPr="00DC2E0F">
              <w:rPr>
                <w:rFonts w:ascii="Times New Roman" w:hAnsi="Times New Roman" w:cs="Times New Roman"/>
                <w:noProof/>
                <w:webHidden/>
                <w:sz w:val="24"/>
                <w:szCs w:val="24"/>
              </w:rPr>
              <w:fldChar w:fldCharType="end"/>
            </w:r>
          </w:hyperlink>
        </w:p>
        <w:p w14:paraId="63E79371" w14:textId="77777777" w:rsidR="00DC2E0F" w:rsidRPr="00DC2E0F" w:rsidRDefault="009F2756" w:rsidP="00DC2E0F">
          <w:pPr>
            <w:pStyle w:val="TOC1"/>
            <w:tabs>
              <w:tab w:val="right" w:leader="dot" w:pos="9350"/>
            </w:tabs>
            <w:spacing w:line="360" w:lineRule="auto"/>
            <w:jc w:val="both"/>
            <w:rPr>
              <w:rFonts w:ascii="Times New Roman" w:hAnsi="Times New Roman" w:cs="Times New Roman"/>
              <w:noProof/>
              <w:sz w:val="24"/>
              <w:szCs w:val="24"/>
            </w:rPr>
          </w:pPr>
          <w:hyperlink w:anchor="_Toc99577887" w:history="1">
            <w:r w:rsidR="00E55651" w:rsidRPr="00DC2E0F">
              <w:rPr>
                <w:rStyle w:val="Hyperlink"/>
                <w:rFonts w:ascii="Times New Roman" w:hAnsi="Times New Roman" w:cs="Times New Roman"/>
                <w:noProof/>
                <w:color w:val="auto"/>
                <w:sz w:val="24"/>
                <w:szCs w:val="24"/>
              </w:rPr>
              <w:t>Conclusion</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_Toc99577887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7</w:t>
            </w:r>
            <w:r w:rsidR="001E452D" w:rsidRPr="00DC2E0F">
              <w:rPr>
                <w:rFonts w:ascii="Times New Roman" w:hAnsi="Times New Roman" w:cs="Times New Roman"/>
                <w:noProof/>
                <w:webHidden/>
                <w:sz w:val="24"/>
                <w:szCs w:val="24"/>
              </w:rPr>
              <w:fldChar w:fldCharType="end"/>
            </w:r>
          </w:hyperlink>
        </w:p>
        <w:p w14:paraId="46105342" w14:textId="77777777" w:rsidR="00DC2E0F" w:rsidRPr="00DC2E0F" w:rsidRDefault="009F2756" w:rsidP="00DC2E0F">
          <w:pPr>
            <w:pStyle w:val="TOC1"/>
            <w:tabs>
              <w:tab w:val="right" w:leader="dot" w:pos="9350"/>
            </w:tabs>
            <w:spacing w:line="360" w:lineRule="auto"/>
            <w:jc w:val="both"/>
            <w:rPr>
              <w:rFonts w:ascii="Times New Roman" w:hAnsi="Times New Roman" w:cs="Times New Roman"/>
              <w:noProof/>
              <w:sz w:val="24"/>
              <w:szCs w:val="24"/>
            </w:rPr>
          </w:pPr>
          <w:hyperlink w:anchor="_Toc99577888" w:history="1">
            <w:r w:rsidR="00E55651" w:rsidRPr="00DC2E0F">
              <w:rPr>
                <w:rStyle w:val="Hyperlink"/>
                <w:rFonts w:ascii="Times New Roman" w:hAnsi="Times New Roman" w:cs="Times New Roman"/>
                <w:noProof/>
                <w:color w:val="auto"/>
                <w:sz w:val="24"/>
                <w:szCs w:val="24"/>
              </w:rPr>
              <w:t>Reference List</w:t>
            </w:r>
            <w:r w:rsidR="00E55651" w:rsidRPr="00DC2E0F">
              <w:rPr>
                <w:rFonts w:ascii="Times New Roman" w:hAnsi="Times New Roman" w:cs="Times New Roman"/>
                <w:noProof/>
                <w:webHidden/>
                <w:sz w:val="24"/>
                <w:szCs w:val="24"/>
              </w:rPr>
              <w:tab/>
            </w:r>
            <w:r w:rsidR="001E452D" w:rsidRPr="00DC2E0F">
              <w:rPr>
                <w:rFonts w:ascii="Times New Roman" w:hAnsi="Times New Roman" w:cs="Times New Roman"/>
                <w:noProof/>
                <w:webHidden/>
                <w:sz w:val="24"/>
                <w:szCs w:val="24"/>
              </w:rPr>
              <w:fldChar w:fldCharType="begin"/>
            </w:r>
            <w:r w:rsidR="00E55651" w:rsidRPr="00DC2E0F">
              <w:rPr>
                <w:rFonts w:ascii="Times New Roman" w:hAnsi="Times New Roman" w:cs="Times New Roman"/>
                <w:noProof/>
                <w:webHidden/>
                <w:sz w:val="24"/>
                <w:szCs w:val="24"/>
              </w:rPr>
              <w:instrText xml:space="preserve"> PAGEREF _Toc99577888 \h </w:instrText>
            </w:r>
            <w:r w:rsidR="001E452D" w:rsidRPr="00DC2E0F">
              <w:rPr>
                <w:rFonts w:ascii="Times New Roman" w:hAnsi="Times New Roman" w:cs="Times New Roman"/>
                <w:noProof/>
                <w:webHidden/>
                <w:sz w:val="24"/>
                <w:szCs w:val="24"/>
              </w:rPr>
            </w:r>
            <w:r w:rsidR="001E452D" w:rsidRPr="00DC2E0F">
              <w:rPr>
                <w:rFonts w:ascii="Times New Roman" w:hAnsi="Times New Roman" w:cs="Times New Roman"/>
                <w:noProof/>
                <w:webHidden/>
                <w:sz w:val="24"/>
                <w:szCs w:val="24"/>
              </w:rPr>
              <w:fldChar w:fldCharType="separate"/>
            </w:r>
            <w:r w:rsidR="00E55651">
              <w:rPr>
                <w:rFonts w:ascii="Times New Roman" w:hAnsi="Times New Roman" w:cs="Times New Roman"/>
                <w:noProof/>
                <w:webHidden/>
                <w:sz w:val="24"/>
                <w:szCs w:val="24"/>
              </w:rPr>
              <w:t>9</w:t>
            </w:r>
            <w:r w:rsidR="001E452D" w:rsidRPr="00DC2E0F">
              <w:rPr>
                <w:rFonts w:ascii="Times New Roman" w:hAnsi="Times New Roman" w:cs="Times New Roman"/>
                <w:noProof/>
                <w:webHidden/>
                <w:sz w:val="24"/>
                <w:szCs w:val="24"/>
              </w:rPr>
              <w:fldChar w:fldCharType="end"/>
            </w:r>
          </w:hyperlink>
        </w:p>
        <w:p w14:paraId="7B56D274" w14:textId="77777777" w:rsidR="00DC2E0F" w:rsidRPr="00DC2E0F" w:rsidRDefault="00E55651" w:rsidP="00DC2E0F">
          <w:pPr>
            <w:spacing w:line="360" w:lineRule="auto"/>
            <w:jc w:val="both"/>
            <w:rPr>
              <w:rFonts w:ascii="Times New Roman" w:hAnsi="Times New Roman" w:cs="Times New Roman"/>
              <w:sz w:val="24"/>
              <w:szCs w:val="24"/>
            </w:rPr>
          </w:pPr>
          <w:r w:rsidRPr="00DC2E0F">
            <w:rPr>
              <w:rFonts w:ascii="Times New Roman" w:hAnsi="Times New Roman" w:cs="Times New Roman"/>
              <w:sz w:val="24"/>
              <w:szCs w:val="24"/>
            </w:rPr>
            <w:fldChar w:fldCharType="end"/>
          </w:r>
        </w:p>
      </w:sdtContent>
    </w:sdt>
    <w:p w14:paraId="4CD4B748" w14:textId="77777777" w:rsidR="00DC2E0F" w:rsidRPr="00DC2E0F" w:rsidRDefault="00E55651" w:rsidP="00DC2E0F">
      <w:pPr>
        <w:spacing w:line="360" w:lineRule="auto"/>
        <w:jc w:val="both"/>
        <w:rPr>
          <w:rFonts w:ascii="Times New Roman" w:hAnsi="Times New Roman" w:cs="Times New Roman"/>
          <w:b/>
          <w:sz w:val="24"/>
          <w:szCs w:val="24"/>
        </w:rPr>
      </w:pPr>
      <w:bookmarkStart w:id="0" w:name="_Toc99577874"/>
      <w:r w:rsidRPr="00DC2E0F">
        <w:rPr>
          <w:rFonts w:ascii="Times New Roman" w:hAnsi="Times New Roman" w:cs="Times New Roman"/>
          <w:sz w:val="24"/>
          <w:szCs w:val="24"/>
        </w:rPr>
        <w:br w:type="page"/>
      </w:r>
    </w:p>
    <w:p w14:paraId="17882AD6" w14:textId="77777777" w:rsidR="00830FF3" w:rsidRDefault="00E55651" w:rsidP="00DC2E0F">
      <w:pPr>
        <w:pStyle w:val="Heading1"/>
      </w:pPr>
      <w:r>
        <w:lastRenderedPageBreak/>
        <w:t>Introduction</w:t>
      </w:r>
      <w:bookmarkEnd w:id="0"/>
      <w:r>
        <w:t xml:space="preserve"> </w:t>
      </w:r>
    </w:p>
    <w:p w14:paraId="5DE019E0" w14:textId="77777777" w:rsidR="00830FF3" w:rsidRPr="00DC2E0F" w:rsidRDefault="00E55651" w:rsidP="00DC2E0F">
      <w:pPr>
        <w:pStyle w:val="Normal1"/>
      </w:pPr>
      <w:r w:rsidRPr="00DC2E0F">
        <w:t xml:space="preserve">Community engagement is a process of working in a combined way with the support of certain groups or individuals. These people should have an interest in social contribution and the development of the socio-economic structure. The mentality of welfare helps to create special bonding in community engagement. It has a power-packed appearance to circulate changes not only in the socio-economic structure but also in the moral and behavioural changes of the individuals. The improvement of the mental health of the team members energises to invite more positive changes in society (Alencar, 2018). It has been seen that an organisation named Scope is working extensively in community engagement by helping disabled people from the age group of 12 to 65. They especially work for left parents, specially-abled children by taking care of their health through the trust funds. They are running such community engagement in many places in the UK. The new project taken into consideration evolves with patients with AIDS who are still found deprived of mainstream society. A specially built community engagement is working crucially on the local communities to find out the barriers which are reflected in the attitude of people and awareness programmes are formed to eradicate such issues. This report will place the distinguished points between the two projects from different angles. </w:t>
      </w:r>
    </w:p>
    <w:p w14:paraId="794D80CF" w14:textId="77777777" w:rsidR="00830FF3" w:rsidRDefault="00E55651" w:rsidP="00DC2E0F">
      <w:pPr>
        <w:pStyle w:val="Heading1"/>
        <w:rPr>
          <w:sz w:val="24"/>
        </w:rPr>
      </w:pPr>
      <w:bookmarkStart w:id="1" w:name="_Toc99577875"/>
      <w:r>
        <w:t>Discussion</w:t>
      </w:r>
      <w:bookmarkEnd w:id="1"/>
      <w:r>
        <w:t xml:space="preserve"> </w:t>
      </w:r>
    </w:p>
    <w:p w14:paraId="2D538E9F" w14:textId="77777777" w:rsidR="00830FF3" w:rsidRDefault="00E55651" w:rsidP="00DC2E0F">
      <w:pPr>
        <w:pStyle w:val="Heading2"/>
      </w:pPr>
      <w:bookmarkStart w:id="2" w:name="_Toc99577876"/>
      <w:r>
        <w:t>Dif</w:t>
      </w:r>
      <w:r w:rsidR="00DC2E0F">
        <w:t>ferences between the projects</w:t>
      </w:r>
      <w:bookmarkEnd w:id="2"/>
      <w:r w:rsidR="00DC2E0F">
        <w:t xml:space="preserve"> </w:t>
      </w:r>
    </w:p>
    <w:p w14:paraId="79932254" w14:textId="77777777" w:rsidR="00830FF3" w:rsidRPr="00DC2E0F" w:rsidRDefault="00E55651" w:rsidP="00DC2E0F">
      <w:pPr>
        <w:pStyle w:val="Normal1"/>
      </w:pPr>
      <w:r w:rsidRPr="00DC2E0F">
        <w:t>In assessment 1, the explanation of working strategies by Scope has been elaborated. The project of the Scope is contracted to specially-abled people between the age group of 12 to 65. They arrange community engagement programmes for taking special care of old aged people and children. The People's Health Trust raises funds for the projects. This project is being operated in different locations in the UK. while the new project is centralised to AIDS patients. It has been found that even as society has grown up, the mentality of people needs to be changed (Bungău et al., 2019). Therefore, the organisation is working hard and soul to create awareness among the people about AIDS. Different campaigns are being organised in routine to make people understand that Elop of AIDS is necessary but not the patients. The organisation is trying its level best to collect funds for the greater expansion of communal development.</w:t>
      </w:r>
    </w:p>
    <w:p w14:paraId="1C98F60A" w14:textId="77777777" w:rsidR="00830FF3" w:rsidRDefault="00E55651" w:rsidP="00DC2E0F">
      <w:pPr>
        <w:pStyle w:val="Heading2"/>
      </w:pPr>
      <w:bookmarkStart w:id="3" w:name="_Toc99577877"/>
      <w:r>
        <w:lastRenderedPageBreak/>
        <w:t>Dynamic consultation</w:t>
      </w:r>
      <w:bookmarkEnd w:id="3"/>
      <w:r>
        <w:t xml:space="preserve"> </w:t>
      </w:r>
    </w:p>
    <w:p w14:paraId="3323AB7C" w14:textId="77777777" w:rsidR="00830FF3" w:rsidRPr="00DC2E0F" w:rsidRDefault="00E55651" w:rsidP="00DC2E0F">
      <w:pPr>
        <w:pStyle w:val="Normal1"/>
      </w:pPr>
      <w:r w:rsidRPr="00DC2E0F">
        <w:t xml:space="preserve">Dynamic consultation mainly focuses on the principles which are prepared to handle the project and therefore, no unnecessary investment takes place. The organisation's Scope has been found meeting with different local authorities at certain intervals to find out if there is any disabled person who needs utmost care and emotional dressing. If required, they speak to the immediate guardian of the person and can start taking care of them with the support of the raised funds. In the project AIDS, the organisation reaches every door to understand the individual mentality of the people (Childs and Grooms, 2018). The consultants involved in the project are special; listed in reading psychology. Therefore, they can assume the hidden truth from the words of the landlords. As a consequence, if it is needed, they arrange larger campaigns within the local community ground to brief the necessary and unnecessary points of AIDS. </w:t>
      </w:r>
    </w:p>
    <w:p w14:paraId="7A768351" w14:textId="77777777" w:rsidR="00830FF3" w:rsidRDefault="00E55651" w:rsidP="00DC2E0F">
      <w:pPr>
        <w:pStyle w:val="Heading2"/>
      </w:pPr>
      <w:bookmarkStart w:id="4" w:name="_Toc99577878"/>
      <w:r>
        <w:t>Impac</w:t>
      </w:r>
      <w:r w:rsidR="00DC2E0F">
        <w:t>tful communication</w:t>
      </w:r>
      <w:bookmarkEnd w:id="4"/>
      <w:r w:rsidR="00DC2E0F">
        <w:t xml:space="preserve"> </w:t>
      </w:r>
    </w:p>
    <w:p w14:paraId="2F98C15F" w14:textId="77777777" w:rsidR="00830FF3" w:rsidRPr="00DC2E0F" w:rsidRDefault="00E55651" w:rsidP="00DC2E0F">
      <w:pPr>
        <w:pStyle w:val="Normal1"/>
      </w:pPr>
      <w:r w:rsidRPr="00DC2E0F">
        <w:t xml:space="preserve">Communication plays the role of the most powerful tool in community engagement. Addressing people to get involved in noble working strategies can only be done through powerful communication. People’s health trust funds the Scope to promote its services on a global level through continuous advertisements in different print and electronic media. The organisation has also hyped itself by posting its charity workshops on different social pages. The reactions received to their posts show the powerplay of digital communication (Jimenez et al., 2019). Similarly, the newly started project on social awareness of AIDS and patients is still struggling to convey their messages by reaching door to door. They are using pamphlets, brochures and e-cards to spread the social awareness message among the group of the community. The newly formed organisation is active in social media as well and working-level best to maximise the reach of their page so that a large number of people can come under this project. </w:t>
      </w:r>
    </w:p>
    <w:p w14:paraId="123F3899" w14:textId="77777777" w:rsidR="00830FF3" w:rsidRDefault="00E55651" w:rsidP="00DC2E0F">
      <w:pPr>
        <w:pStyle w:val="Heading2"/>
      </w:pPr>
      <w:bookmarkStart w:id="5" w:name="_Toc99577879"/>
      <w:r>
        <w:t>P</w:t>
      </w:r>
      <w:r w:rsidR="00DC2E0F">
        <w:t>articipation of stakeholders</w:t>
      </w:r>
      <w:bookmarkEnd w:id="5"/>
      <w:r w:rsidR="00DC2E0F">
        <w:t xml:space="preserve"> </w:t>
      </w:r>
    </w:p>
    <w:p w14:paraId="1E6B0C51" w14:textId="77777777" w:rsidR="00830FF3" w:rsidRPr="00DC2E0F" w:rsidRDefault="00E55651" w:rsidP="00DC2E0F">
      <w:pPr>
        <w:pStyle w:val="Normal1"/>
      </w:pPr>
      <w:r w:rsidRPr="00DC2E0F">
        <w:t xml:space="preserve">Stakeholders are the prime important factor for any noble project. The Scope maintains a healthy relationship with its stakeholders such as employees, members, donors and local communities. Board of directors to lower functionaries are given equal importance as stakeholders in Scope. The partners of the organisation are equally invited to participate in any of their activities. Main fundraisers, donors are given focused importance so that investment never fails. Lastly, local </w:t>
      </w:r>
      <w:r w:rsidRPr="00DC2E0F">
        <w:lastRenderedPageBreak/>
        <w:t xml:space="preserve">communities that are participating in different meetings and campaigns are given priority as stakeholders (Lockey et al., 2019). The new organisation has started its journey with a very limited number of stakeholders. The local communities and social media groups are considered here as major stakeholders and given equal importance as fundraisers. Mainly, the founders of the organisation play the role of donors. Though it has been seen that the charitable organisation collects funds from different campaigns to run the operational cost. </w:t>
      </w:r>
    </w:p>
    <w:p w14:paraId="0BC444E3" w14:textId="77777777" w:rsidR="00830FF3" w:rsidRDefault="00E55651" w:rsidP="00DC2E0F">
      <w:pPr>
        <w:pStyle w:val="Heading2"/>
      </w:pPr>
      <w:bookmarkStart w:id="6" w:name="_Toc99577880"/>
      <w:r>
        <w:t>In</w:t>
      </w:r>
      <w:r w:rsidR="00DC2E0F">
        <w:t>clusion of Future approaches</w:t>
      </w:r>
      <w:bookmarkEnd w:id="6"/>
      <w:r w:rsidR="00DC2E0F">
        <w:t xml:space="preserve"> </w:t>
      </w:r>
    </w:p>
    <w:p w14:paraId="03937A8E" w14:textId="77777777" w:rsidR="00830FF3" w:rsidRPr="00DC2E0F" w:rsidRDefault="00E55651" w:rsidP="00DC2E0F">
      <w:pPr>
        <w:pStyle w:val="Normal1"/>
      </w:pPr>
      <w:r w:rsidRPr="00DC2E0F">
        <w:t xml:space="preserve">The Scope is an effective organisation with a vision of upcoming projects. They have a plan to employ specially-abled people in different sectors of the community. The main motive of doing so is to return mainstream life to specially-abled persons. In that way, they will never feel left out of society and discrimination will be reduced. The organisation is also planning to bring more schools for differently-abled persons so that they will never be out of track with their studies (Wallen and Docherty-Hughes, 2022). Though started the journey very recently, the organisation has a plan to build up a shelter for the left out AIDS patients to give them a home out of the home. To create social awareness regarding the various causes of AIDS such as blood transplantation, bone marrow transplantation apart from unrestrained sexual life, the organisation is in a plan to form a medical counsellor team permanently.  </w:t>
      </w:r>
    </w:p>
    <w:p w14:paraId="4BD15501" w14:textId="77777777" w:rsidR="00830FF3" w:rsidRDefault="00E55651" w:rsidP="00DC2E0F">
      <w:pPr>
        <w:pStyle w:val="Heading1"/>
        <w:rPr>
          <w:sz w:val="24"/>
        </w:rPr>
      </w:pPr>
      <w:bookmarkStart w:id="7" w:name="_Toc99577881"/>
      <w:r>
        <w:t>Analysis of Project</w:t>
      </w:r>
      <w:bookmarkEnd w:id="7"/>
      <w:r>
        <w:t xml:space="preserve"> </w:t>
      </w:r>
    </w:p>
    <w:p w14:paraId="38B6E2C7" w14:textId="77777777" w:rsidR="00830FF3" w:rsidRDefault="00E55651" w:rsidP="00DC2E0F">
      <w:pPr>
        <w:pStyle w:val="Heading2"/>
      </w:pPr>
      <w:bookmarkStart w:id="8" w:name="_Toc99577882"/>
      <w:r>
        <w:t>Mappin</w:t>
      </w:r>
      <w:r w:rsidR="00DC2E0F">
        <w:t>g of the community</w:t>
      </w:r>
      <w:bookmarkEnd w:id="8"/>
      <w:r w:rsidR="00DC2E0F">
        <w:t xml:space="preserve"> </w:t>
      </w:r>
    </w:p>
    <w:p w14:paraId="5B26B6D8" w14:textId="77777777" w:rsidR="00830FF3" w:rsidRPr="00DC2E0F" w:rsidRDefault="00E55651" w:rsidP="00DC2E0F">
      <w:pPr>
        <w:pStyle w:val="Normal1"/>
      </w:pPr>
      <w:r w:rsidRPr="00DC2E0F">
        <w:t xml:space="preserve">The important segment while analysing a project is mapping the community the organisation is going to work for. It has been seen that Scope has rooted its projects before launching it to the community level. They have understood the value and ethics of the society accurately and thereafter synchronised the entire process of the project so that not a single person in the community gets hurt or harmed by their assignment. In the new project, stakeholders have firstly made surveys on the community before investing anything into the project. They mapped the community by its psychological values (Yu, 2020).  It has also been recorded if the true existence of AIDS patients is there. Then accordingly, they have started the prologue of their project. The </w:t>
      </w:r>
      <w:r w:rsidRPr="00DC2E0F">
        <w:lastRenderedPageBreak/>
        <w:t xml:space="preserve">investment part came into it after getting a clear picture of the community. Transparency in the entire communication process has been sustained. </w:t>
      </w:r>
    </w:p>
    <w:p w14:paraId="77417267" w14:textId="77777777" w:rsidR="00830FF3" w:rsidRDefault="00E55651" w:rsidP="00DC2E0F">
      <w:pPr>
        <w:pStyle w:val="Heading2"/>
      </w:pPr>
      <w:bookmarkStart w:id="9" w:name="_Toc99577883"/>
      <w:r>
        <w:t>Societal engagement</w:t>
      </w:r>
      <w:bookmarkEnd w:id="9"/>
      <w:r>
        <w:t xml:space="preserve"> </w:t>
      </w:r>
    </w:p>
    <w:p w14:paraId="24CED5E0" w14:textId="6C1D2040" w:rsidR="00830FF3" w:rsidRPr="00DC2E0F" w:rsidRDefault="00E55651" w:rsidP="00DC2E0F">
      <w:pPr>
        <w:pStyle w:val="Normal1"/>
      </w:pPr>
      <w:r w:rsidRPr="00DC2E0F">
        <w:t xml:space="preserve">In the era of digitalisation, social media has an evident impact. On the other hand, societal engagement also refers to social participation. In the project of Scope, it has been seen </w:t>
      </w:r>
      <w:r w:rsidR="008147BC" w:rsidRPr="00DC2E0F">
        <w:t>that fundraiser</w:t>
      </w:r>
      <w:r w:rsidRPr="00DC2E0F">
        <w:t xml:space="preserve">s and the executors are mainly focused on promotions of their campaigns on social media. At the same time, social attachment to the project is necessary to create emotional harmony with the community (Witton and Paisi, 2022). Through the report, Scope has been found backwards in this position. On the other hand, the new organisation is very much efficient in creating social attachment faster as they directly visit the client’s houses for data collection purposes. To grab a larger community at a glance, they also arrange campaigns. The new organisation is effective on the social media pages as well which is an added advantage for them to promote the organisational culture to the larger world. </w:t>
      </w:r>
    </w:p>
    <w:p w14:paraId="2DEFC0FA" w14:textId="77777777" w:rsidR="00830FF3" w:rsidRDefault="00E55651" w:rsidP="00DC2E0F">
      <w:pPr>
        <w:pStyle w:val="Heading2"/>
      </w:pPr>
      <w:bookmarkStart w:id="10" w:name="_Toc99577884"/>
      <w:r>
        <w:t>Cri</w:t>
      </w:r>
      <w:r w:rsidR="00DC2E0F">
        <w:t>tical analysis of activities</w:t>
      </w:r>
      <w:bookmarkEnd w:id="10"/>
      <w:r w:rsidR="00DC2E0F">
        <w:t xml:space="preserve"> </w:t>
      </w:r>
    </w:p>
    <w:p w14:paraId="61CAFF0D" w14:textId="77777777" w:rsidR="00830FF3" w:rsidRPr="00DC2E0F" w:rsidRDefault="00E55651" w:rsidP="00DC2E0F">
      <w:pPr>
        <w:pStyle w:val="Normal1"/>
      </w:pPr>
      <w:r w:rsidRPr="00DC2E0F">
        <w:t xml:space="preserve">Critical analysis of the performances of the social activists is based upon the results established by their meaningful contribution to society. It is a kind of evaluation that is done by the local communities. The critical analysis of activities of the Scope has been well-granted by the public. They have recognised that specially-abled children or persons have got caring hands. Therefore, responsibilities have been taken by the organisation. Continuous promotion of their work has not been recognised in a good way as it means them to try crowdfunding (De Weger et al., 2018). On the other hand, a new project on social awareness of AIDS has been recognised by most of the people in the community. A maximum of them have understood the missing link of reasons behind the formation of AIDS within a human being. Therefore, direct questions about the ethical and moral characters of AIDS patients have been reduced. </w:t>
      </w:r>
    </w:p>
    <w:p w14:paraId="43A77375" w14:textId="77777777" w:rsidR="00830FF3" w:rsidRDefault="00E55651" w:rsidP="00DC2E0F">
      <w:pPr>
        <w:pStyle w:val="Heading2"/>
      </w:pPr>
      <w:bookmarkStart w:id="11" w:name="_Toc99577885"/>
      <w:r>
        <w:t>Assessment</w:t>
      </w:r>
      <w:bookmarkEnd w:id="11"/>
      <w:r>
        <w:t xml:space="preserve"> </w:t>
      </w:r>
    </w:p>
    <w:p w14:paraId="0A053243" w14:textId="77777777" w:rsidR="00830FF3" w:rsidRPr="00DC2E0F" w:rsidRDefault="00E55651" w:rsidP="00DC2E0F">
      <w:pPr>
        <w:pStyle w:val="Normal1"/>
      </w:pPr>
      <w:r w:rsidRPr="00DC2E0F">
        <w:t xml:space="preserve">Some consecutive steps need to be followed while evaluating the project. It is important to understand the needs of the local community. And the participation of the external group in communal development can be recognised negatively. Therefore, before launching the project. A </w:t>
      </w:r>
      <w:r w:rsidRPr="00DC2E0F">
        <w:lastRenderedPageBreak/>
        <w:t xml:space="preserve">survey is needed on the community. While the project is on the floor, continuous monitoring of the reactions of the community members needs to be followed. Different social strategies are to be implemented to keep the people satisfied to remove the barriers which may disrupt the project. Engagement of all levels of employees of the organisation is highly expected (Singgalen et al., 2019). Especially, the leaders or managers are well recognised by the community members and develop faith in the project. Similarly, active participation from the local society is equally demanded to run the project with better enthusiasm. The organisation needs to place the project without hurting any sensitivity of the local community. </w:t>
      </w:r>
    </w:p>
    <w:p w14:paraId="0465F741" w14:textId="77777777" w:rsidR="00830FF3" w:rsidRDefault="00E55651" w:rsidP="00DC2E0F">
      <w:pPr>
        <w:pStyle w:val="Heading2"/>
      </w:pPr>
      <w:bookmarkStart w:id="12" w:name="_Toc99577886"/>
      <w:r>
        <w:t>Good Practices</w:t>
      </w:r>
      <w:bookmarkEnd w:id="12"/>
      <w:r>
        <w:t xml:space="preserve"> </w:t>
      </w:r>
    </w:p>
    <w:p w14:paraId="56CB33F5" w14:textId="77777777" w:rsidR="00830FF3" w:rsidRDefault="00E55651">
      <w:pPr>
        <w:pStyle w:val="Normal1"/>
        <w:rPr>
          <w:rFonts w:eastAsia="Times New Roman" w:cs="Times New Roman"/>
          <w:color w:val="0E101A"/>
          <w:szCs w:val="24"/>
        </w:rPr>
      </w:pPr>
      <w:r>
        <w:rPr>
          <w:rFonts w:eastAsia="Times New Roman" w:cs="Times New Roman"/>
          <w:color w:val="0E101A"/>
          <w:szCs w:val="24"/>
        </w:rPr>
        <w:t>In respect of launching and efficiently operating the project, a few good practices are essential. Below are the searched tools:</w:t>
      </w:r>
    </w:p>
    <w:p w14:paraId="4C951273" w14:textId="77777777" w:rsidR="00830FF3" w:rsidRDefault="00E55651">
      <w:pPr>
        <w:pStyle w:val="Normal1"/>
        <w:numPr>
          <w:ilvl w:val="0"/>
          <w:numId w:val="1"/>
        </w:numPr>
        <w:rPr>
          <w:rFonts w:eastAsia="Times New Roman" w:cs="Times New Roman"/>
          <w:szCs w:val="24"/>
        </w:rPr>
      </w:pPr>
      <w:r>
        <w:rPr>
          <w:rFonts w:eastAsia="Times New Roman" w:cs="Times New Roman"/>
          <w:b/>
          <w:color w:val="0E101A"/>
          <w:szCs w:val="24"/>
        </w:rPr>
        <w:t xml:space="preserve">Effective communication - </w:t>
      </w:r>
      <w:r>
        <w:rPr>
          <w:rFonts w:eastAsia="Times New Roman" w:cs="Times New Roman"/>
          <w:color w:val="0E101A"/>
          <w:szCs w:val="24"/>
        </w:rPr>
        <w:t xml:space="preserve">Placing the communication on a right track is essential to carry forward the project. Without communication, no organisation can address or convey messages to the local community for social needs. </w:t>
      </w:r>
    </w:p>
    <w:p w14:paraId="0DF19475" w14:textId="77777777" w:rsidR="00830FF3" w:rsidRDefault="00E55651">
      <w:pPr>
        <w:pStyle w:val="Normal1"/>
        <w:numPr>
          <w:ilvl w:val="0"/>
          <w:numId w:val="1"/>
        </w:numPr>
        <w:rPr>
          <w:rFonts w:eastAsia="Times New Roman" w:cs="Times New Roman"/>
          <w:szCs w:val="24"/>
        </w:rPr>
      </w:pPr>
      <w:r>
        <w:rPr>
          <w:rFonts w:eastAsia="Times New Roman" w:cs="Times New Roman"/>
          <w:b/>
          <w:color w:val="0E101A"/>
          <w:szCs w:val="24"/>
        </w:rPr>
        <w:t xml:space="preserve">Transparency - </w:t>
      </w:r>
      <w:r>
        <w:rPr>
          <w:rFonts w:eastAsia="Times New Roman" w:cs="Times New Roman"/>
          <w:color w:val="0E101A"/>
          <w:szCs w:val="24"/>
        </w:rPr>
        <w:t>Crystal clearness in the work format is very important to present a loyal image in front of the community (Tan et al., 2022). Transparency in the working strategies and objectives supplies confidence to rely on the project organisers.</w:t>
      </w:r>
    </w:p>
    <w:p w14:paraId="07D8F558" w14:textId="77777777" w:rsidR="00830FF3" w:rsidRDefault="00E55651">
      <w:pPr>
        <w:pStyle w:val="Normal1"/>
        <w:numPr>
          <w:ilvl w:val="0"/>
          <w:numId w:val="1"/>
        </w:numPr>
        <w:rPr>
          <w:rFonts w:eastAsia="Times New Roman" w:cs="Times New Roman"/>
          <w:szCs w:val="24"/>
        </w:rPr>
      </w:pPr>
      <w:r>
        <w:rPr>
          <w:rFonts w:eastAsia="Times New Roman" w:cs="Times New Roman"/>
          <w:b/>
          <w:color w:val="0E101A"/>
          <w:szCs w:val="24"/>
        </w:rPr>
        <w:t xml:space="preserve">Report of expenditures - </w:t>
      </w:r>
      <w:r>
        <w:rPr>
          <w:rFonts w:eastAsia="Times New Roman" w:cs="Times New Roman"/>
          <w:color w:val="0E101A"/>
          <w:szCs w:val="24"/>
        </w:rPr>
        <w:t>Good organisations believe in good practices for long term sustainability. Therefore, while allowing crowdfunding or sponsorship to run the organisation and its various projects an annual report with the ratio of all the financial transactions in terms of income, funds (Williamson, 2022). Donations and expenditures need to be published in the public forum.</w:t>
      </w:r>
    </w:p>
    <w:p w14:paraId="2948E439" w14:textId="77777777" w:rsidR="00830FF3" w:rsidRDefault="00E55651" w:rsidP="00DC2E0F">
      <w:pPr>
        <w:pStyle w:val="Heading1"/>
        <w:rPr>
          <w:sz w:val="24"/>
        </w:rPr>
      </w:pPr>
      <w:bookmarkStart w:id="13" w:name="_Toc99577887"/>
      <w:r>
        <w:t>Conclusion</w:t>
      </w:r>
      <w:bookmarkEnd w:id="13"/>
    </w:p>
    <w:p w14:paraId="6C681B79" w14:textId="77777777" w:rsidR="00830FF3" w:rsidRPr="00DC2E0F" w:rsidRDefault="00E55651" w:rsidP="00DC2E0F">
      <w:pPr>
        <w:pStyle w:val="Normal1"/>
      </w:pPr>
      <w:r w:rsidRPr="00DC2E0F">
        <w:t xml:space="preserve">Hence to conclude, throughout the above report, it has been justified that community engagement is a pivotal part of socio-economic structure and development. Several community engagements are sustained in society. All of them have specifically identified objectives. In the report, it has been seen that the organisation named Scope is working for the social development of elderly people and children who are specially abled and a massive part of the society looks at them with full of sympathy. Scope works on this particular segment where they empower the track lost </w:t>
      </w:r>
      <w:r w:rsidRPr="00DC2E0F">
        <w:lastRenderedPageBreak/>
        <w:t xml:space="preserve">people. The purpose of Scope is to involve normal people in the growth of specially treated children. For running the project, Scope raises funds from its stakeholders. Ethically, they maintain a healthy relationship with all of them to secure the sustainability of the organisation and investment too. Scope uses social media pages exclusively for the brand promotion of their activities. On the other hand, a project run by the newly built organisation takes care of AIDS patients by creating social awareness among the community. The organisation uses both the physical and virtual appearance to make the project more successful. Across the nation, their project had already been recognised because of its cool appearance. It has also been found that the new organisation has certain plans with the AIDS patients and they are working hard and soul to achieve the set target. The aesthetic value of the organisation has made an easy approach to the entire community so that maximum people can join this venture. They maintain a very good relationship with all their stakeholders. Lastly, it is to justify that community engagement is based upon inter-relationship, like mentality and societal approach. Therefore, before taking any assignment of community engagement, the organisations should be extra cautious regarding sustainability in the societal platform. </w:t>
      </w:r>
    </w:p>
    <w:p w14:paraId="70F2D6B5" w14:textId="77777777" w:rsidR="00830FF3" w:rsidRPr="00DC2E0F" w:rsidRDefault="00830FF3" w:rsidP="00DC2E0F">
      <w:pPr>
        <w:pStyle w:val="Normal1"/>
      </w:pPr>
    </w:p>
    <w:p w14:paraId="2F23D15F" w14:textId="77777777" w:rsidR="00830FF3" w:rsidRDefault="00E55651">
      <w:pPr>
        <w:pStyle w:val="Normal1"/>
        <w:rPr>
          <w:rFonts w:eastAsia="Times New Roman" w:cs="Times New Roman"/>
          <w:b/>
          <w:szCs w:val="24"/>
        </w:rPr>
      </w:pPr>
      <w:r>
        <w:br w:type="page"/>
      </w:r>
    </w:p>
    <w:p w14:paraId="0C23E77B" w14:textId="77777777" w:rsidR="00830FF3" w:rsidRDefault="00E55651" w:rsidP="00DC2E0F">
      <w:pPr>
        <w:pStyle w:val="Heading1"/>
      </w:pPr>
      <w:bookmarkStart w:id="14" w:name="_Toc99577888"/>
      <w:r>
        <w:lastRenderedPageBreak/>
        <w:t>Reference List</w:t>
      </w:r>
      <w:bookmarkEnd w:id="14"/>
      <w:r>
        <w:t xml:space="preserve"> </w:t>
      </w:r>
    </w:p>
    <w:p w14:paraId="5874157A" w14:textId="77777777" w:rsidR="00DC2E0F" w:rsidRPr="00DC2E0F" w:rsidRDefault="00E55651" w:rsidP="008147BC">
      <w:pPr>
        <w:pStyle w:val="Normal1"/>
      </w:pPr>
      <w:r w:rsidRPr="00DC2E0F">
        <w:t>Alencar, A., 2018. Refugee integration and social media: A local and experiential perspective. Information, Communication &amp; Society, 21(11), pp.1588-1603. Available at:</w:t>
      </w:r>
      <w:hyperlink r:id="rId9" w:history="1">
        <w:r w:rsidRPr="00DC2E0F">
          <w:t>https://www.tandfonline.com/doi/abs/10.1080/1369118X.2017.1340500</w:t>
        </w:r>
      </w:hyperlink>
      <w:r w:rsidRPr="00DC2E0F">
        <w:t xml:space="preserve"> </w:t>
      </w:r>
    </w:p>
    <w:p w14:paraId="7868C135" w14:textId="77777777" w:rsidR="00DC2E0F" w:rsidRPr="00DC2E0F" w:rsidRDefault="00E55651" w:rsidP="008147BC">
      <w:pPr>
        <w:pStyle w:val="Normal1"/>
      </w:pPr>
      <w:r w:rsidRPr="00DC2E0F">
        <w:t>Bungău, S., Ţiţ, D.M., Popa, V.C., Sabău, A. and Cioca, G., 2019. Practices and attitudes regarding the employment of people with disabilities in Romania. Calitatea, 20(170), pp.154-159. Available at:</w:t>
      </w:r>
      <w:hyperlink r:id="rId10" w:history="1">
        <w:r w:rsidRPr="00DC2E0F">
          <w:t>https://www.researchgate.net/profile/Simona-Bungau/publication/333045075_Practices_and_attitudes_regarding_the_employment_of_people_with_disabilities_in_Romania/links/5cd949aa458515712ea6d5ad/Practices-and-attitudes-regarding-the-employment-of-people-with-disabilities-in-Romania.pdf</w:t>
        </w:r>
      </w:hyperlink>
      <w:r w:rsidRPr="00DC2E0F">
        <w:t xml:space="preserve"> </w:t>
      </w:r>
    </w:p>
    <w:p w14:paraId="65C910ED" w14:textId="77777777" w:rsidR="00DC2E0F" w:rsidRPr="00DC2E0F" w:rsidRDefault="00E55651" w:rsidP="008147BC">
      <w:pPr>
        <w:pStyle w:val="Normal1"/>
      </w:pPr>
      <w:r w:rsidRPr="00DC2E0F">
        <w:t>Childs, J. and Grooms, A.A., 2018. Improving school attendance through collaboration: A catalyst for community involvement and change. Journal of Education for Students Placed at Risk (JESPAR), 23(1-2), pp.122-138. Available at:</w:t>
      </w:r>
      <w:hyperlink r:id="rId11" w:history="1">
        <w:r w:rsidRPr="00DC2E0F">
          <w:t>https://www.tandfonline.com/doi/abs/10.1080/10824669.2018.1439751</w:t>
        </w:r>
      </w:hyperlink>
      <w:r w:rsidRPr="00DC2E0F">
        <w:t xml:space="preserve"> </w:t>
      </w:r>
    </w:p>
    <w:p w14:paraId="6D9B4BE8" w14:textId="77777777" w:rsidR="00DC2E0F" w:rsidRPr="00DC2E0F" w:rsidRDefault="00E55651" w:rsidP="008147BC">
      <w:pPr>
        <w:pStyle w:val="Normal1"/>
      </w:pPr>
      <w:r w:rsidRPr="00DC2E0F">
        <w:t xml:space="preserve">De Weger, E., Van Vooren, N., Luijkx, K.G., Baan, C.A. and Drewes, H.W., 2018. Achieving successful community engagement: a rapid realist review. BMC health services research, 18(1), pp.1-18. Available at: </w:t>
      </w:r>
      <w:hyperlink r:id="rId12" w:history="1">
        <w:r w:rsidRPr="00DC2E0F">
          <w:t>https://bmchealthservres.biomedcentral.com/articles/10.1186/s12913-018-3090-1</w:t>
        </w:r>
      </w:hyperlink>
      <w:r w:rsidRPr="00DC2E0F">
        <w:t xml:space="preserve"> </w:t>
      </w:r>
    </w:p>
    <w:p w14:paraId="79BBEE20" w14:textId="77777777" w:rsidR="00DC2E0F" w:rsidRPr="00DC2E0F" w:rsidRDefault="00E55651" w:rsidP="008147BC">
      <w:pPr>
        <w:pStyle w:val="Normal1"/>
      </w:pPr>
      <w:r w:rsidRPr="00DC2E0F">
        <w:t>Jimenez, M.F., Laverty, T.M., Bombaci, S.P., Wilkins, K., Bennett, D.E. and Pejchar, L., 2019. Underrepresented faculty play a disproportionate role in advancing diversity and inclusion. Nature ecology &amp; evolution, 3(7), pp.1030-1033. Available at:</w:t>
      </w:r>
      <w:hyperlink r:id="rId13" w:history="1">
        <w:r w:rsidRPr="00DC2E0F">
          <w:t>https://www.nature.com/articles/s41559-019-0911-5</w:t>
        </w:r>
      </w:hyperlink>
      <w:r w:rsidRPr="00DC2E0F">
        <w:t xml:space="preserve"> </w:t>
      </w:r>
    </w:p>
    <w:p w14:paraId="39AB42BA" w14:textId="77777777" w:rsidR="00DC2E0F" w:rsidRPr="00DC2E0F" w:rsidRDefault="00E55651" w:rsidP="008147BC">
      <w:pPr>
        <w:pStyle w:val="Normal1"/>
      </w:pPr>
      <w:r w:rsidRPr="00DC2E0F">
        <w:t xml:space="preserve">Lockey, S., Graham, L., Redman, T., Zheng, Y., Routledge, G. and Purves, L., 2019. The impact of a local community engagement intervention on residents’ fear of crime and perceptions of the police. International Journal of Police Science &amp; Management, 21(3), pp.168-180. Available at: </w:t>
      </w:r>
      <w:hyperlink r:id="rId14" w:history="1">
        <w:r w:rsidRPr="00DC2E0F">
          <w:t>https://nrl.northumbria.ac.uk/id/eprint/40007/1/Lockey%20et%20al%20-%20The%20impact%20of%20a%20local%20community%20engagement%20intervention%20on%20residents%E2%80%99%20fear%20of%20crime%20and%20perceptions%20of%20the%20police%20AAM.pdf</w:t>
        </w:r>
      </w:hyperlink>
      <w:r w:rsidRPr="00DC2E0F">
        <w:t xml:space="preserve"> </w:t>
      </w:r>
    </w:p>
    <w:p w14:paraId="7A2BB235" w14:textId="77777777" w:rsidR="00DC2E0F" w:rsidRPr="00DC2E0F" w:rsidRDefault="00E55651" w:rsidP="008147BC">
      <w:pPr>
        <w:pStyle w:val="Normal1"/>
      </w:pPr>
      <w:r w:rsidRPr="00DC2E0F">
        <w:t xml:space="preserve">Singgalen, Y.A., Sasongko, G. and Wiloso, P.G., 2019. Community participation in regional tourism development: a case study in North Halmahera Regency-Indonesia. Insights into Regional </w:t>
      </w:r>
      <w:r w:rsidRPr="00DC2E0F">
        <w:lastRenderedPageBreak/>
        <w:t xml:space="preserve">Development, 1(4), pp.318-333. Available at: </w:t>
      </w:r>
      <w:hyperlink r:id="rId15" w:history="1">
        <w:r w:rsidRPr="00DC2E0F">
          <w:t>https://hal.archives-ouvertes.fr/hal-02342716/document</w:t>
        </w:r>
      </w:hyperlink>
    </w:p>
    <w:p w14:paraId="796096E2" w14:textId="77777777" w:rsidR="00DC2E0F" w:rsidRPr="00DC2E0F" w:rsidRDefault="00E55651" w:rsidP="008147BC">
      <w:pPr>
        <w:pStyle w:val="Normal1"/>
      </w:pPr>
      <w:r w:rsidRPr="00DC2E0F">
        <w:t>Tan, R.K., Wu, D., Day, S., Zhao, Y., Larson, H.J., Sylvia, S., Tang, W. and Tucker, J.D., 2022. Digital approaches to enhancing community engagement in clinical trials. npj Digital Medicine, 5(1), pp.1-8. Available at:</w:t>
      </w:r>
      <w:hyperlink r:id="rId16" w:history="1">
        <w:r w:rsidRPr="00DC2E0F">
          <w:t>https://www.nature.com/articles/s41746-022-00581-1</w:t>
        </w:r>
      </w:hyperlink>
    </w:p>
    <w:p w14:paraId="09895138" w14:textId="77777777" w:rsidR="00DC2E0F" w:rsidRPr="00DC2E0F" w:rsidRDefault="00E55651" w:rsidP="008147BC">
      <w:pPr>
        <w:pStyle w:val="Normal1"/>
      </w:pPr>
      <w:r w:rsidRPr="00DC2E0F">
        <w:t xml:space="preserve">Wallen, L. and Docherty-Hughes, J.R., 2022. Caring Spaces: Individual and Social Wellbeing in Museum Community Engagement Experiences. Journal of Museum Education, 47(1), pp.93-102. Available at: </w:t>
      </w:r>
      <w:hyperlink r:id="rId17" w:history="1">
        <w:r w:rsidRPr="00DC2E0F">
          <w:t>https://www.tandfonline.com/doi/pdf/10.1080/10598650.2021.2021490</w:t>
        </w:r>
      </w:hyperlink>
      <w:r w:rsidRPr="00DC2E0F">
        <w:t xml:space="preserve"> </w:t>
      </w:r>
    </w:p>
    <w:p w14:paraId="73FD8138" w14:textId="77777777" w:rsidR="00DC2E0F" w:rsidRPr="00DC2E0F" w:rsidRDefault="00E55651" w:rsidP="008147BC">
      <w:pPr>
        <w:pStyle w:val="Normal1"/>
      </w:pPr>
      <w:r w:rsidRPr="00DC2E0F">
        <w:t xml:space="preserve">Williamson, D.H., 2022. Using the Community Engagement-Framework to Understand and Assess EJ-Related Research Efforts. Sustainability, 14(5), p.2809. Available at: </w:t>
      </w:r>
      <w:hyperlink r:id="rId18" w:history="1">
        <w:r w:rsidRPr="00DC2E0F">
          <w:t>https://www.mdpi.com/2071-1050/14/5/2809/pdf</w:t>
        </w:r>
      </w:hyperlink>
      <w:r w:rsidRPr="00DC2E0F">
        <w:t xml:space="preserve"> </w:t>
      </w:r>
    </w:p>
    <w:p w14:paraId="5F53442B" w14:textId="77777777" w:rsidR="00DC2E0F" w:rsidRPr="00DC2E0F" w:rsidRDefault="00E55651" w:rsidP="008147BC">
      <w:pPr>
        <w:pStyle w:val="Normal1"/>
      </w:pPr>
      <w:r w:rsidRPr="00DC2E0F">
        <w:t xml:space="preserve">Witton, R. and Paisi, M., 2022. The benefits of an innovative community engagement model in dental undergraduate education. Education for Primary Care, 33(1), pp.41-45. Available at: </w:t>
      </w:r>
      <w:hyperlink r:id="rId19" w:history="1">
        <w:r w:rsidRPr="00DC2E0F">
          <w:t>https://www.tandfonline.com/doi/pdf/10.1080/14739879.2021.1947160</w:t>
        </w:r>
      </w:hyperlink>
      <w:r w:rsidRPr="00DC2E0F">
        <w:t xml:space="preserve"> </w:t>
      </w:r>
    </w:p>
    <w:p w14:paraId="186B0528" w14:textId="77777777" w:rsidR="00DC2E0F" w:rsidRPr="00DC2E0F" w:rsidRDefault="00E55651" w:rsidP="008147BC">
      <w:pPr>
        <w:pStyle w:val="Normal1"/>
      </w:pPr>
      <w:r w:rsidRPr="00DC2E0F">
        <w:t xml:space="preserve">Yu, Y., 2020. From universities to Christian churches: agency in the intercultural engagement of non-Christian Chinese students in the UK. Higher Education, 80(2), pp.197-213. Available at: </w:t>
      </w:r>
      <w:hyperlink r:id="rId20" w:history="1">
        <w:r w:rsidRPr="00DC2E0F">
          <w:t>https://d1wqtxts1xzle7.cloudfront.net/61469500/Yuns10734-019-00474-520191209-65527-17obzxw-with-cover-page-v2.pdf?Expires=1648641256&amp;Signature=AfmKUFGKQNZxFR~YdaqXPq2ku0WkvTNer55-gwdxkxzCbBvh8b6b7Tzx~jzni5BwmB9ENcjLezUOe7ypH1QUaoDNLUI8xahwLBWa9gMXg8zvWLc9fnK-qQNimrTdtprDWs75Q0B-VONJgJJT23AneLsKt3pN6QdkMuKR66trwxF3yp9pu5Oxa4O2ehKrc1Z0k-HXhv4h0EkwMjGpBLZsSElvqzAKWDqfn0qFgXThIVEPyvZ8~~aOr6E10i3b-jKgZPH3NaLQDslri-JqA2xiefVurY-OSR~bRo78WaVtnytf7bx~H2N4XpBZ877jvEItmGPcfaiwM~s-IQlWHg6IQQ__&amp;Key-Pair-Id=APKAJLOHF5GGSLRBV4ZA</w:t>
        </w:r>
      </w:hyperlink>
      <w:r w:rsidRPr="00DC2E0F">
        <w:t xml:space="preserve"> </w:t>
      </w:r>
    </w:p>
    <w:sectPr w:rsidR="00DC2E0F" w:rsidRPr="00DC2E0F" w:rsidSect="00DC2E0F">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A6738" w14:textId="77777777" w:rsidR="009F2756" w:rsidRDefault="009F2756">
      <w:pPr>
        <w:spacing w:line="240" w:lineRule="auto"/>
      </w:pPr>
      <w:r>
        <w:separator/>
      </w:r>
    </w:p>
  </w:endnote>
  <w:endnote w:type="continuationSeparator" w:id="0">
    <w:p w14:paraId="7DC94C08" w14:textId="77777777" w:rsidR="009F2756" w:rsidRDefault="009F27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539744"/>
      <w:docPartObj>
        <w:docPartGallery w:val="Page Numbers (Bottom of Page)"/>
        <w:docPartUnique/>
      </w:docPartObj>
    </w:sdtPr>
    <w:sdtEndPr/>
    <w:sdtContent>
      <w:sdt>
        <w:sdtPr>
          <w:id w:val="565050523"/>
          <w:docPartObj>
            <w:docPartGallery w:val="Page Numbers (Top of Page)"/>
            <w:docPartUnique/>
          </w:docPartObj>
        </w:sdtPr>
        <w:sdtEndPr/>
        <w:sdtContent>
          <w:p w14:paraId="267EACCC" w14:textId="77777777" w:rsidR="00DC2E0F" w:rsidRDefault="00E55651">
            <w:pPr>
              <w:pStyle w:val="Footer"/>
              <w:jc w:val="right"/>
            </w:pPr>
            <w:r>
              <w:t xml:space="preserve">Page </w:t>
            </w:r>
            <w:r w:rsidR="001E452D">
              <w:rPr>
                <w:b/>
                <w:sz w:val="24"/>
                <w:szCs w:val="24"/>
              </w:rPr>
              <w:fldChar w:fldCharType="begin"/>
            </w:r>
            <w:r>
              <w:rPr>
                <w:b/>
              </w:rPr>
              <w:instrText xml:space="preserve"> PAGE </w:instrText>
            </w:r>
            <w:r w:rsidR="001E452D">
              <w:rPr>
                <w:b/>
                <w:sz w:val="24"/>
                <w:szCs w:val="24"/>
              </w:rPr>
              <w:fldChar w:fldCharType="separate"/>
            </w:r>
            <w:r w:rsidR="00BA0AA5">
              <w:rPr>
                <w:b/>
                <w:noProof/>
              </w:rPr>
              <w:t>3</w:t>
            </w:r>
            <w:r w:rsidR="001E452D">
              <w:rPr>
                <w:b/>
                <w:sz w:val="24"/>
                <w:szCs w:val="24"/>
              </w:rPr>
              <w:fldChar w:fldCharType="end"/>
            </w:r>
            <w:r>
              <w:t xml:space="preserve"> of </w:t>
            </w:r>
            <w:r w:rsidR="001E452D">
              <w:rPr>
                <w:b/>
                <w:sz w:val="24"/>
                <w:szCs w:val="24"/>
              </w:rPr>
              <w:fldChar w:fldCharType="begin"/>
            </w:r>
            <w:r>
              <w:rPr>
                <w:b/>
              </w:rPr>
              <w:instrText xml:space="preserve"> NUMPAGES  </w:instrText>
            </w:r>
            <w:r w:rsidR="001E452D">
              <w:rPr>
                <w:b/>
                <w:sz w:val="24"/>
                <w:szCs w:val="24"/>
              </w:rPr>
              <w:fldChar w:fldCharType="separate"/>
            </w:r>
            <w:r w:rsidR="00BA0AA5">
              <w:rPr>
                <w:b/>
                <w:noProof/>
              </w:rPr>
              <w:t>10</w:t>
            </w:r>
            <w:r w:rsidR="001E452D">
              <w:rPr>
                <w:b/>
                <w:sz w:val="24"/>
                <w:szCs w:val="24"/>
              </w:rPr>
              <w:fldChar w:fldCharType="end"/>
            </w:r>
          </w:p>
        </w:sdtContent>
      </w:sdt>
    </w:sdtContent>
  </w:sdt>
  <w:p w14:paraId="64B7C39B" w14:textId="77777777" w:rsidR="00DC2E0F" w:rsidRDefault="00DC2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3DAF0" w14:textId="77777777" w:rsidR="009F2756" w:rsidRDefault="009F2756">
      <w:pPr>
        <w:spacing w:line="240" w:lineRule="auto"/>
      </w:pPr>
      <w:r>
        <w:separator/>
      </w:r>
    </w:p>
  </w:footnote>
  <w:footnote w:type="continuationSeparator" w:id="0">
    <w:p w14:paraId="200A4828" w14:textId="77777777" w:rsidR="009F2756" w:rsidRDefault="009F27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A0B2A"/>
    <w:multiLevelType w:val="hybridMultilevel"/>
    <w:tmpl w:val="06E6E982"/>
    <w:lvl w:ilvl="0" w:tplc="581A678C">
      <w:start w:val="1"/>
      <w:numFmt w:val="decimal"/>
      <w:lvlText w:val="%1."/>
      <w:lvlJc w:val="left"/>
      <w:pPr>
        <w:ind w:left="720" w:hanging="360"/>
      </w:pPr>
    </w:lvl>
    <w:lvl w:ilvl="1" w:tplc="F03A7282" w:tentative="1">
      <w:start w:val="1"/>
      <w:numFmt w:val="lowerLetter"/>
      <w:lvlText w:val="%2."/>
      <w:lvlJc w:val="left"/>
      <w:pPr>
        <w:ind w:left="1440" w:hanging="360"/>
      </w:pPr>
    </w:lvl>
    <w:lvl w:ilvl="2" w:tplc="3F98F834" w:tentative="1">
      <w:start w:val="1"/>
      <w:numFmt w:val="lowerRoman"/>
      <w:lvlText w:val="%3."/>
      <w:lvlJc w:val="right"/>
      <w:pPr>
        <w:ind w:left="2160" w:hanging="180"/>
      </w:pPr>
    </w:lvl>
    <w:lvl w:ilvl="3" w:tplc="661CCD5E" w:tentative="1">
      <w:start w:val="1"/>
      <w:numFmt w:val="decimal"/>
      <w:lvlText w:val="%4."/>
      <w:lvlJc w:val="left"/>
      <w:pPr>
        <w:ind w:left="2880" w:hanging="360"/>
      </w:pPr>
    </w:lvl>
    <w:lvl w:ilvl="4" w:tplc="19F406D4" w:tentative="1">
      <w:start w:val="1"/>
      <w:numFmt w:val="lowerLetter"/>
      <w:lvlText w:val="%5."/>
      <w:lvlJc w:val="left"/>
      <w:pPr>
        <w:ind w:left="3600" w:hanging="360"/>
      </w:pPr>
    </w:lvl>
    <w:lvl w:ilvl="5" w:tplc="3E6619DE" w:tentative="1">
      <w:start w:val="1"/>
      <w:numFmt w:val="lowerRoman"/>
      <w:lvlText w:val="%6."/>
      <w:lvlJc w:val="right"/>
      <w:pPr>
        <w:ind w:left="4320" w:hanging="180"/>
      </w:pPr>
    </w:lvl>
    <w:lvl w:ilvl="6" w:tplc="9C120592" w:tentative="1">
      <w:start w:val="1"/>
      <w:numFmt w:val="decimal"/>
      <w:lvlText w:val="%7."/>
      <w:lvlJc w:val="left"/>
      <w:pPr>
        <w:ind w:left="5040" w:hanging="360"/>
      </w:pPr>
    </w:lvl>
    <w:lvl w:ilvl="7" w:tplc="128CFFBC" w:tentative="1">
      <w:start w:val="1"/>
      <w:numFmt w:val="lowerLetter"/>
      <w:lvlText w:val="%8."/>
      <w:lvlJc w:val="left"/>
      <w:pPr>
        <w:ind w:left="5760" w:hanging="360"/>
      </w:pPr>
    </w:lvl>
    <w:lvl w:ilvl="8" w:tplc="778E27C2" w:tentative="1">
      <w:start w:val="1"/>
      <w:numFmt w:val="lowerRoman"/>
      <w:lvlText w:val="%9."/>
      <w:lvlJc w:val="right"/>
      <w:pPr>
        <w:ind w:left="6480" w:hanging="180"/>
      </w:pPr>
    </w:lvl>
  </w:abstractNum>
  <w:abstractNum w:abstractNumId="1" w15:restartNumberingAfterBreak="0">
    <w:nsid w:val="7352622B"/>
    <w:multiLevelType w:val="multilevel"/>
    <w:tmpl w:val="3E583A5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8456424">
    <w:abstractNumId w:val="1"/>
  </w:num>
  <w:num w:numId="2" w16cid:durableId="664433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FF3"/>
    <w:rsid w:val="00022A46"/>
    <w:rsid w:val="000B6ACE"/>
    <w:rsid w:val="0016562F"/>
    <w:rsid w:val="001E452D"/>
    <w:rsid w:val="002F457F"/>
    <w:rsid w:val="00403924"/>
    <w:rsid w:val="004D1647"/>
    <w:rsid w:val="004E5BC0"/>
    <w:rsid w:val="00604FFD"/>
    <w:rsid w:val="00710C1C"/>
    <w:rsid w:val="007900E2"/>
    <w:rsid w:val="007D6547"/>
    <w:rsid w:val="007E77ED"/>
    <w:rsid w:val="008147BC"/>
    <w:rsid w:val="00830FF3"/>
    <w:rsid w:val="0083764A"/>
    <w:rsid w:val="008B69DF"/>
    <w:rsid w:val="009E7715"/>
    <w:rsid w:val="009F2756"/>
    <w:rsid w:val="00A06890"/>
    <w:rsid w:val="00BA0AA5"/>
    <w:rsid w:val="00C81D38"/>
    <w:rsid w:val="00C92082"/>
    <w:rsid w:val="00CC5825"/>
    <w:rsid w:val="00D86541"/>
    <w:rsid w:val="00DC2E0F"/>
    <w:rsid w:val="00E55651"/>
    <w:rsid w:val="00F86308"/>
    <w:rsid w:val="00FA008E"/>
    <w:rsid w:val="00FC3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3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52D"/>
  </w:style>
  <w:style w:type="paragraph" w:styleId="Heading1">
    <w:name w:val="heading 1"/>
    <w:basedOn w:val="Normal1"/>
    <w:next w:val="Normal1"/>
    <w:rsid w:val="00DC2E0F"/>
    <w:pPr>
      <w:keepNext/>
      <w:keepLines/>
      <w:spacing w:before="400" w:after="120"/>
      <w:outlineLvl w:val="0"/>
    </w:pPr>
    <w:rPr>
      <w:b/>
      <w:sz w:val="28"/>
      <w:szCs w:val="40"/>
    </w:rPr>
  </w:style>
  <w:style w:type="paragraph" w:styleId="Heading2">
    <w:name w:val="heading 2"/>
    <w:basedOn w:val="Normal1"/>
    <w:next w:val="Normal1"/>
    <w:rsid w:val="00DC2E0F"/>
    <w:pPr>
      <w:keepNext/>
      <w:keepLines/>
      <w:spacing w:before="360" w:after="120"/>
      <w:outlineLvl w:val="1"/>
    </w:pPr>
    <w:rPr>
      <w:b/>
      <w:szCs w:val="32"/>
    </w:rPr>
  </w:style>
  <w:style w:type="paragraph" w:styleId="Heading3">
    <w:name w:val="heading 3"/>
    <w:basedOn w:val="Normal1"/>
    <w:next w:val="Normal1"/>
    <w:rsid w:val="00830FF3"/>
    <w:pPr>
      <w:keepNext/>
      <w:keepLines/>
      <w:spacing w:before="320" w:after="80"/>
      <w:outlineLvl w:val="2"/>
    </w:pPr>
    <w:rPr>
      <w:color w:val="434343"/>
      <w:sz w:val="28"/>
      <w:szCs w:val="28"/>
    </w:rPr>
  </w:style>
  <w:style w:type="paragraph" w:styleId="Heading4">
    <w:name w:val="heading 4"/>
    <w:basedOn w:val="Normal1"/>
    <w:next w:val="Normal1"/>
    <w:rsid w:val="00830FF3"/>
    <w:pPr>
      <w:keepNext/>
      <w:keepLines/>
      <w:spacing w:before="280" w:after="80"/>
      <w:outlineLvl w:val="3"/>
    </w:pPr>
    <w:rPr>
      <w:color w:val="666666"/>
      <w:szCs w:val="24"/>
    </w:rPr>
  </w:style>
  <w:style w:type="paragraph" w:styleId="Heading5">
    <w:name w:val="heading 5"/>
    <w:basedOn w:val="Normal1"/>
    <w:next w:val="Normal1"/>
    <w:rsid w:val="00830FF3"/>
    <w:pPr>
      <w:keepNext/>
      <w:keepLines/>
      <w:spacing w:before="240" w:after="80"/>
      <w:outlineLvl w:val="4"/>
    </w:pPr>
    <w:rPr>
      <w:color w:val="666666"/>
      <w:sz w:val="22"/>
    </w:rPr>
  </w:style>
  <w:style w:type="paragraph" w:styleId="Heading6">
    <w:name w:val="heading 6"/>
    <w:basedOn w:val="Normal1"/>
    <w:next w:val="Normal1"/>
    <w:rsid w:val="00830FF3"/>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C2E0F"/>
    <w:pPr>
      <w:spacing w:line="360" w:lineRule="auto"/>
      <w:jc w:val="both"/>
    </w:pPr>
    <w:rPr>
      <w:rFonts w:ascii="Times New Roman" w:hAnsi="Times New Roman"/>
      <w:sz w:val="24"/>
    </w:rPr>
  </w:style>
  <w:style w:type="paragraph" w:styleId="Title">
    <w:name w:val="Title"/>
    <w:basedOn w:val="Normal1"/>
    <w:next w:val="Normal1"/>
    <w:rsid w:val="00830FF3"/>
    <w:pPr>
      <w:keepNext/>
      <w:keepLines/>
      <w:spacing w:after="60"/>
    </w:pPr>
    <w:rPr>
      <w:sz w:val="52"/>
      <w:szCs w:val="52"/>
    </w:rPr>
  </w:style>
  <w:style w:type="paragraph" w:styleId="Subtitle">
    <w:name w:val="Subtitle"/>
    <w:basedOn w:val="Normal1"/>
    <w:next w:val="Normal1"/>
    <w:rsid w:val="00830FF3"/>
    <w:pPr>
      <w:keepNext/>
      <w:keepLines/>
      <w:spacing w:after="320"/>
    </w:pPr>
    <w:rPr>
      <w:rFonts w:ascii="Arial" w:hAnsi="Arial"/>
      <w:color w:val="666666"/>
      <w:sz w:val="30"/>
      <w:szCs w:val="30"/>
    </w:rPr>
  </w:style>
  <w:style w:type="paragraph" w:styleId="TOCHeading">
    <w:name w:val="TOC Heading"/>
    <w:basedOn w:val="Heading1"/>
    <w:next w:val="Normal"/>
    <w:uiPriority w:val="39"/>
    <w:semiHidden/>
    <w:unhideWhenUsed/>
    <w:qFormat/>
    <w:rsid w:val="00DC2E0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C2E0F"/>
    <w:pPr>
      <w:spacing w:after="100"/>
    </w:pPr>
  </w:style>
  <w:style w:type="paragraph" w:styleId="TOC2">
    <w:name w:val="toc 2"/>
    <w:basedOn w:val="Normal"/>
    <w:next w:val="Normal"/>
    <w:autoRedefine/>
    <w:uiPriority w:val="39"/>
    <w:unhideWhenUsed/>
    <w:rsid w:val="00DC2E0F"/>
    <w:pPr>
      <w:spacing w:after="100"/>
      <w:ind w:left="220"/>
    </w:pPr>
  </w:style>
  <w:style w:type="character" w:styleId="Hyperlink">
    <w:name w:val="Hyperlink"/>
    <w:basedOn w:val="DefaultParagraphFont"/>
    <w:uiPriority w:val="99"/>
    <w:unhideWhenUsed/>
    <w:rsid w:val="00DC2E0F"/>
    <w:rPr>
      <w:color w:val="0000FF" w:themeColor="hyperlink"/>
      <w:u w:val="single"/>
    </w:rPr>
  </w:style>
  <w:style w:type="paragraph" w:styleId="BalloonText">
    <w:name w:val="Balloon Text"/>
    <w:basedOn w:val="Normal"/>
    <w:link w:val="BalloonTextChar"/>
    <w:uiPriority w:val="99"/>
    <w:semiHidden/>
    <w:unhideWhenUsed/>
    <w:rsid w:val="00DC2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E0F"/>
    <w:rPr>
      <w:rFonts w:ascii="Tahoma" w:hAnsi="Tahoma" w:cs="Tahoma"/>
      <w:sz w:val="16"/>
      <w:szCs w:val="16"/>
    </w:rPr>
  </w:style>
  <w:style w:type="paragraph" w:styleId="Header">
    <w:name w:val="header"/>
    <w:basedOn w:val="Normal"/>
    <w:link w:val="HeaderChar"/>
    <w:uiPriority w:val="99"/>
    <w:unhideWhenUsed/>
    <w:rsid w:val="00DC2E0F"/>
    <w:pPr>
      <w:tabs>
        <w:tab w:val="center" w:pos="4680"/>
        <w:tab w:val="right" w:pos="9360"/>
      </w:tabs>
      <w:spacing w:line="240" w:lineRule="auto"/>
    </w:pPr>
  </w:style>
  <w:style w:type="character" w:customStyle="1" w:styleId="HeaderChar">
    <w:name w:val="Header Char"/>
    <w:basedOn w:val="DefaultParagraphFont"/>
    <w:link w:val="Header"/>
    <w:uiPriority w:val="99"/>
    <w:rsid w:val="00DC2E0F"/>
  </w:style>
  <w:style w:type="paragraph" w:styleId="Footer">
    <w:name w:val="footer"/>
    <w:basedOn w:val="Normal"/>
    <w:link w:val="FooterChar"/>
    <w:uiPriority w:val="99"/>
    <w:unhideWhenUsed/>
    <w:rsid w:val="00DC2E0F"/>
    <w:pPr>
      <w:tabs>
        <w:tab w:val="center" w:pos="4680"/>
        <w:tab w:val="right" w:pos="9360"/>
      </w:tabs>
      <w:spacing w:line="240" w:lineRule="auto"/>
    </w:pPr>
  </w:style>
  <w:style w:type="character" w:customStyle="1" w:styleId="FooterChar">
    <w:name w:val="Footer Char"/>
    <w:basedOn w:val="DefaultParagraphFont"/>
    <w:link w:val="Footer"/>
    <w:uiPriority w:val="99"/>
    <w:rsid w:val="00DC2E0F"/>
  </w:style>
  <w:style w:type="character" w:styleId="SubtleReference">
    <w:name w:val="Subtle Reference"/>
    <w:basedOn w:val="DefaultParagraphFont"/>
    <w:uiPriority w:val="31"/>
    <w:qFormat/>
    <w:rsid w:val="0040392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ture.com/articles/s41559-019-0911-5" TargetMode="External"/><Relationship Id="rId18" Type="http://schemas.openxmlformats.org/officeDocument/2006/relationships/hyperlink" Target="https://www.mdpi.com/2071-1050/14/5/2809/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mchealthservres.biomedcentral.com/articles/10.1186/s12913-018-3090-1" TargetMode="External"/><Relationship Id="rId17" Type="http://schemas.openxmlformats.org/officeDocument/2006/relationships/hyperlink" Target="https://www.tandfonline.com/doi/pdf/10.1080/10598650.2021.2021490" TargetMode="External"/><Relationship Id="rId2" Type="http://schemas.openxmlformats.org/officeDocument/2006/relationships/numbering" Target="numbering.xml"/><Relationship Id="rId16" Type="http://schemas.openxmlformats.org/officeDocument/2006/relationships/hyperlink" Target="https://www.nature.com/articles/s41746-022-00581-1" TargetMode="External"/><Relationship Id="rId20" Type="http://schemas.openxmlformats.org/officeDocument/2006/relationships/hyperlink" Target="https://d1wqtxts1xzle7.cloudfront.net/61469500/Yuns10734-019-00474-520191209-65527-17obzxw-with-cover-page-v2.pdf?Expires=1648641256&amp;Signature=AfmKUFGKQNZxFR~YdaqXPq2ku0WkvTNer55-gwdxkxzCbBvh8b6b7Tzx~jzni5BwmB9ENcjLezUOe7ypH1QUaoDNLUI8xahwLBWa9gMXg8zvWLc9fnK-qQNimrTdtprDWs75Q0B-VONJgJJT23AneLsKt3pN6QdkMuKR66trwxF3yp9pu5Oxa4O2ehKrc1Z0k-HXhv4h0EkwMjGpBLZsSElvqzAKWDqfn0qFgXThIVEPyvZ8~~aOr6E10i3b-jKgZPH3NaLQDslri-JqA2xiefVurY-OSR~bRo78WaVtnytf7bx~H2N4XpBZ877jvEItmGPcfaiwM~s-IQlWHg6IQQ__&amp;Key-Pair-Id=APKAJLOHF5GGSLRBV4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10824669.2018.1439751" TargetMode="External"/><Relationship Id="rId5" Type="http://schemas.openxmlformats.org/officeDocument/2006/relationships/webSettings" Target="webSettings.xml"/><Relationship Id="rId15" Type="http://schemas.openxmlformats.org/officeDocument/2006/relationships/hyperlink" Target="https://hal.archives-ouvertes.fr/hal-02342716/document" TargetMode="External"/><Relationship Id="rId23" Type="http://schemas.openxmlformats.org/officeDocument/2006/relationships/theme" Target="theme/theme1.xml"/><Relationship Id="rId10" Type="http://schemas.openxmlformats.org/officeDocument/2006/relationships/hyperlink" Target="https://www.researchgate.net/profile/Simona-Bungau/publication/333045075_Practices_and_attitudes_regarding_the_employment_of_people_with_disabilities_in_Romania/links/5cd949aa458515712ea6d5ad/Practices-and-attitudes-regarding-the-employment-of-people-with-disabilities-in-Romania.pdf" TargetMode="External"/><Relationship Id="rId19" Type="http://schemas.openxmlformats.org/officeDocument/2006/relationships/hyperlink" Target="https://www.tandfonline.com/doi/pdf/10.1080/14739879.2021.1947160" TargetMode="External"/><Relationship Id="rId4" Type="http://schemas.openxmlformats.org/officeDocument/2006/relationships/settings" Target="settings.xml"/><Relationship Id="rId9" Type="http://schemas.openxmlformats.org/officeDocument/2006/relationships/hyperlink" Target="https://www.tandfonline.com/doi/abs/10.1080/1369118X.2017.1340500" TargetMode="External"/><Relationship Id="rId14" Type="http://schemas.openxmlformats.org/officeDocument/2006/relationships/hyperlink" Target="https://nrl.northumbria.ac.uk/id/eprint/40007/1/Lockey%20et%20al%20-%20The%20impact%20of%20a%20local%20community%20engagement%20intervention%20on%20residents%E2%80%99%20fear%20of%20crime%20and%20perceptions%20of%20the%20police%20AAM.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2D590-F077-40E3-A6A1-78D523075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3069</Words>
  <Characters>17499</Characters>
  <Application>Microsoft Office Word</Application>
  <DocSecurity>0</DocSecurity>
  <Lines>145</Lines>
  <Paragraphs>41</Paragraphs>
  <ScaleCrop>false</ScaleCrop>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2022-03-31T05:51:00Z</dcterms:created>
  <dcterms:modified xsi:type="dcterms:W3CDTF">2022-04-06T21:14:00Z</dcterms:modified>
</cp:coreProperties>
</file>