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2848" w:rsidRPr="008D6BDA" w:rsidRDefault="0027140B" w:rsidP="00126488">
      <w:pPr>
        <w:pStyle w:val="Default"/>
        <w:widowControl w:val="0"/>
        <w:rPr>
          <w:rFonts w:asciiTheme="majorHAnsi" w:hAnsiTheme="majorHAnsi"/>
          <w:b/>
          <w:sz w:val="48"/>
          <w:szCs w:val="48"/>
          <w:u w:val="single"/>
        </w:rPr>
      </w:pPr>
      <w:bookmarkStart w:id="0" w:name="_GoBack"/>
      <w:bookmarkEnd w:id="0"/>
      <w:r w:rsidRPr="008D6BDA">
        <w:rPr>
          <w:rFonts w:asciiTheme="majorHAnsi" w:hAnsiTheme="majorHAnsi"/>
          <w:b/>
          <w:sz w:val="48"/>
          <w:szCs w:val="48"/>
          <w:u w:val="single"/>
        </w:rPr>
        <w:t>NAME:                      KERESIA MADZWIMBO</w:t>
      </w:r>
    </w:p>
    <w:p w:rsidR="0027140B" w:rsidRPr="008D6BDA" w:rsidRDefault="0027140B" w:rsidP="00126488">
      <w:pPr>
        <w:pStyle w:val="Default"/>
        <w:widowControl w:val="0"/>
        <w:rPr>
          <w:rFonts w:asciiTheme="majorHAnsi" w:hAnsiTheme="majorHAnsi"/>
          <w:b/>
          <w:sz w:val="48"/>
          <w:szCs w:val="48"/>
          <w:u w:val="single"/>
        </w:rPr>
      </w:pPr>
    </w:p>
    <w:p w:rsidR="0027140B" w:rsidRPr="008D6BDA" w:rsidRDefault="0027140B" w:rsidP="00126488">
      <w:pPr>
        <w:pStyle w:val="Default"/>
        <w:widowControl w:val="0"/>
        <w:rPr>
          <w:rFonts w:asciiTheme="majorHAnsi" w:hAnsiTheme="majorHAnsi"/>
          <w:b/>
          <w:sz w:val="48"/>
          <w:szCs w:val="48"/>
          <w:u w:val="single"/>
        </w:rPr>
      </w:pPr>
      <w:r w:rsidRPr="008D6BDA">
        <w:rPr>
          <w:rFonts w:asciiTheme="majorHAnsi" w:hAnsiTheme="majorHAnsi"/>
          <w:b/>
          <w:sz w:val="48"/>
          <w:szCs w:val="48"/>
          <w:u w:val="single"/>
        </w:rPr>
        <w:t>STUDENT NO :         P150924</w:t>
      </w:r>
    </w:p>
    <w:p w:rsidR="008D6BDA" w:rsidRPr="008D6BDA" w:rsidRDefault="008D6BDA" w:rsidP="00126488">
      <w:pPr>
        <w:pStyle w:val="Default"/>
        <w:widowControl w:val="0"/>
        <w:rPr>
          <w:rFonts w:asciiTheme="majorHAnsi" w:hAnsiTheme="majorHAnsi"/>
          <w:b/>
          <w:sz w:val="48"/>
          <w:szCs w:val="48"/>
          <w:u w:val="single"/>
        </w:rPr>
      </w:pPr>
    </w:p>
    <w:p w:rsidR="008D6BDA" w:rsidRPr="008D6BDA" w:rsidRDefault="008D6BDA" w:rsidP="00126488">
      <w:pPr>
        <w:pStyle w:val="Default"/>
        <w:widowControl w:val="0"/>
        <w:rPr>
          <w:rFonts w:asciiTheme="majorHAnsi" w:hAnsiTheme="majorHAnsi"/>
          <w:b/>
          <w:sz w:val="48"/>
          <w:szCs w:val="48"/>
          <w:u w:val="single"/>
        </w:rPr>
      </w:pPr>
      <w:r w:rsidRPr="008D6BDA">
        <w:rPr>
          <w:rFonts w:asciiTheme="majorHAnsi" w:hAnsiTheme="majorHAnsi"/>
          <w:b/>
          <w:sz w:val="48"/>
          <w:szCs w:val="48"/>
          <w:u w:val="single"/>
        </w:rPr>
        <w:t>LECTURER                 BEN   DUXBURY</w:t>
      </w:r>
    </w:p>
    <w:p w:rsidR="0027140B" w:rsidRPr="008D6BDA" w:rsidRDefault="0027140B" w:rsidP="00126488">
      <w:pPr>
        <w:pStyle w:val="Default"/>
        <w:widowControl w:val="0"/>
        <w:rPr>
          <w:rFonts w:asciiTheme="majorHAnsi" w:hAnsiTheme="majorHAnsi"/>
          <w:b/>
          <w:sz w:val="48"/>
          <w:szCs w:val="48"/>
          <w:u w:val="single"/>
        </w:rPr>
      </w:pPr>
    </w:p>
    <w:p w:rsidR="0027140B" w:rsidRPr="008D6BDA" w:rsidRDefault="0027140B" w:rsidP="00126488">
      <w:pPr>
        <w:pStyle w:val="Default"/>
        <w:widowControl w:val="0"/>
        <w:rPr>
          <w:rFonts w:asciiTheme="majorHAnsi" w:hAnsiTheme="majorHAnsi"/>
          <w:sz w:val="48"/>
          <w:szCs w:val="48"/>
          <w:u w:val="single"/>
        </w:rPr>
      </w:pPr>
    </w:p>
    <w:p w:rsidR="00534089" w:rsidRPr="0027140B" w:rsidRDefault="00534089" w:rsidP="00126488">
      <w:pPr>
        <w:pStyle w:val="Default"/>
        <w:widowControl w:val="0"/>
        <w:rPr>
          <w:rFonts w:asciiTheme="majorHAnsi" w:hAnsiTheme="majorHAnsi"/>
          <w:sz w:val="48"/>
          <w:szCs w:val="48"/>
        </w:rPr>
      </w:pPr>
    </w:p>
    <w:p w:rsidR="0027140B" w:rsidRPr="0027140B" w:rsidRDefault="0027140B" w:rsidP="00126488">
      <w:pPr>
        <w:pStyle w:val="Default"/>
        <w:widowControl w:val="0"/>
        <w:rPr>
          <w:rFonts w:asciiTheme="minorHAnsi" w:hAnsiTheme="minorHAnsi" w:cstheme="minorHAnsi"/>
          <w:b/>
          <w:sz w:val="48"/>
          <w:szCs w:val="48"/>
          <w:u w:val="single"/>
        </w:rPr>
      </w:pPr>
    </w:p>
    <w:p w:rsidR="0027140B" w:rsidRPr="0027140B" w:rsidRDefault="0027140B" w:rsidP="00126488">
      <w:pPr>
        <w:pStyle w:val="Default"/>
        <w:widowControl w:val="0"/>
        <w:rPr>
          <w:rFonts w:asciiTheme="minorHAnsi" w:hAnsiTheme="minorHAnsi" w:cstheme="minorHAnsi"/>
          <w:b/>
          <w:sz w:val="48"/>
          <w:szCs w:val="4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27140B" w:rsidRDefault="0027140B" w:rsidP="00126488">
      <w:pPr>
        <w:pStyle w:val="Default"/>
        <w:widowControl w:val="0"/>
        <w:rPr>
          <w:rFonts w:asciiTheme="minorHAnsi" w:hAnsiTheme="minorHAnsi" w:cstheme="minorHAnsi"/>
          <w:b/>
          <w:sz w:val="28"/>
          <w:szCs w:val="28"/>
          <w:u w:val="single"/>
        </w:rPr>
      </w:pPr>
    </w:p>
    <w:p w:rsidR="008D6BDA" w:rsidRDefault="008D6BDA" w:rsidP="00126488">
      <w:pPr>
        <w:pStyle w:val="Default"/>
        <w:widowControl w:val="0"/>
        <w:rPr>
          <w:rFonts w:asciiTheme="minorHAnsi" w:hAnsiTheme="minorHAnsi" w:cstheme="minorHAnsi"/>
          <w:b/>
          <w:sz w:val="28"/>
          <w:szCs w:val="28"/>
          <w:u w:val="single"/>
        </w:rPr>
      </w:pPr>
    </w:p>
    <w:p w:rsidR="00E52848" w:rsidRPr="00E85FA1" w:rsidRDefault="00E52848" w:rsidP="00126488">
      <w:pPr>
        <w:pStyle w:val="Default"/>
        <w:widowControl w:val="0"/>
        <w:rPr>
          <w:rFonts w:asciiTheme="minorHAnsi" w:hAnsiTheme="minorHAnsi" w:cstheme="minorHAnsi"/>
          <w:b/>
          <w:sz w:val="28"/>
          <w:szCs w:val="28"/>
          <w:u w:val="single"/>
        </w:rPr>
      </w:pPr>
      <w:r w:rsidRPr="00E85FA1">
        <w:rPr>
          <w:rFonts w:asciiTheme="minorHAnsi" w:hAnsiTheme="minorHAnsi" w:cstheme="minorHAnsi"/>
          <w:b/>
          <w:sz w:val="28"/>
          <w:szCs w:val="28"/>
          <w:u w:val="single"/>
        </w:rPr>
        <w:lastRenderedPageBreak/>
        <w:t>A case study critique of Community Resource team, care closer to home</w:t>
      </w:r>
    </w:p>
    <w:p w:rsidR="00126488" w:rsidRPr="00E85FA1" w:rsidRDefault="00126488" w:rsidP="00D23B24">
      <w:pPr>
        <w:pStyle w:val="Default"/>
        <w:widowControl w:val="0"/>
        <w:spacing w:line="360" w:lineRule="auto"/>
        <w:rPr>
          <w:rFonts w:asciiTheme="majorHAnsi" w:hAnsiTheme="majorHAnsi"/>
        </w:rPr>
      </w:pPr>
    </w:p>
    <w:p w:rsidR="00126488" w:rsidRPr="00E85FA1" w:rsidRDefault="00AF3161" w:rsidP="00D23B24">
      <w:pPr>
        <w:spacing w:line="360" w:lineRule="auto"/>
        <w:jc w:val="both"/>
        <w:rPr>
          <w:sz w:val="24"/>
          <w:szCs w:val="24"/>
        </w:rPr>
      </w:pPr>
      <w:r w:rsidRPr="00E85FA1">
        <w:rPr>
          <w:sz w:val="24"/>
          <w:szCs w:val="24"/>
        </w:rPr>
        <w:t xml:space="preserve">Age-related chronic and complex medical conditions account for the largest and growing share of health care budgets in all </w:t>
      </w:r>
      <w:r w:rsidR="00CF3C17">
        <w:rPr>
          <w:sz w:val="24"/>
          <w:szCs w:val="24"/>
        </w:rPr>
        <w:t>modern</w:t>
      </w:r>
      <w:r w:rsidR="00CF3C17" w:rsidRPr="00E85FA1">
        <w:rPr>
          <w:sz w:val="24"/>
          <w:szCs w:val="24"/>
        </w:rPr>
        <w:t xml:space="preserve"> </w:t>
      </w:r>
      <w:r w:rsidRPr="00E85FA1">
        <w:rPr>
          <w:sz w:val="24"/>
          <w:szCs w:val="24"/>
        </w:rPr>
        <w:t>nations. However, people living with multiple health and social care needs often experience a highly fragmented service leading to sub-optimal care experiences, outcomes and costs. To address this, strategies of care coordination have been developed to promote more cost-effective care through integrated service</w:t>
      </w:r>
      <w:r w:rsidR="007371A5" w:rsidRPr="00E85FA1">
        <w:rPr>
          <w:sz w:val="24"/>
          <w:szCs w:val="24"/>
        </w:rPr>
        <w:t>s, known as Community Resources Team (CRTs).</w:t>
      </w:r>
    </w:p>
    <w:p w:rsidR="00F80D5C" w:rsidRPr="00E85FA1" w:rsidRDefault="00126488" w:rsidP="00D23B24">
      <w:pPr>
        <w:spacing w:line="360" w:lineRule="auto"/>
        <w:jc w:val="both"/>
        <w:rPr>
          <w:sz w:val="24"/>
          <w:szCs w:val="24"/>
        </w:rPr>
      </w:pPr>
      <w:r w:rsidRPr="00E85FA1">
        <w:rPr>
          <w:sz w:val="24"/>
          <w:szCs w:val="24"/>
        </w:rPr>
        <w:t>The assignment wi</w:t>
      </w:r>
      <w:r w:rsidR="001F635F" w:rsidRPr="00E85FA1">
        <w:rPr>
          <w:sz w:val="24"/>
          <w:szCs w:val="24"/>
        </w:rPr>
        <w:t xml:space="preserve">ll critique a </w:t>
      </w:r>
      <w:r w:rsidR="00F748E6" w:rsidRPr="00E85FA1">
        <w:rPr>
          <w:sz w:val="24"/>
          <w:szCs w:val="24"/>
        </w:rPr>
        <w:t>case study of my chosen topic, the Pembrokeshire model Community R</w:t>
      </w:r>
      <w:r w:rsidR="001F635F" w:rsidRPr="00E85FA1">
        <w:rPr>
          <w:sz w:val="24"/>
          <w:szCs w:val="24"/>
        </w:rPr>
        <w:t>esour</w:t>
      </w:r>
      <w:r w:rsidR="00F748E6" w:rsidRPr="00E85FA1">
        <w:rPr>
          <w:sz w:val="24"/>
          <w:szCs w:val="24"/>
        </w:rPr>
        <w:t>ce T</w:t>
      </w:r>
      <w:r w:rsidR="005D626D" w:rsidRPr="00E85FA1">
        <w:rPr>
          <w:sz w:val="24"/>
          <w:szCs w:val="24"/>
        </w:rPr>
        <w:t>eam</w:t>
      </w:r>
      <w:r w:rsidR="00F748E6" w:rsidRPr="00E85FA1">
        <w:rPr>
          <w:sz w:val="24"/>
          <w:szCs w:val="24"/>
        </w:rPr>
        <w:t xml:space="preserve"> (CRTs)</w:t>
      </w:r>
      <w:r w:rsidR="005D626D" w:rsidRPr="00E85FA1">
        <w:rPr>
          <w:sz w:val="24"/>
          <w:szCs w:val="24"/>
        </w:rPr>
        <w:t xml:space="preserve"> and care closer to home. </w:t>
      </w:r>
      <w:r w:rsidR="001F635F" w:rsidRPr="00E85FA1">
        <w:rPr>
          <w:sz w:val="24"/>
          <w:szCs w:val="24"/>
        </w:rPr>
        <w:t xml:space="preserve"> </w:t>
      </w:r>
      <w:r w:rsidR="00A521C5" w:rsidRPr="00E85FA1">
        <w:rPr>
          <w:sz w:val="24"/>
          <w:szCs w:val="24"/>
        </w:rPr>
        <w:t>The aims</w:t>
      </w:r>
      <w:r w:rsidR="001F635F" w:rsidRPr="00E85FA1">
        <w:rPr>
          <w:sz w:val="24"/>
          <w:szCs w:val="24"/>
        </w:rPr>
        <w:t xml:space="preserve"> of caring is to promote older people's independence and to ensure safe and consistently high quality home care services (</w:t>
      </w:r>
      <w:r w:rsidR="00F748E6" w:rsidRPr="00E85FA1">
        <w:rPr>
          <w:sz w:val="24"/>
          <w:szCs w:val="24"/>
        </w:rPr>
        <w:t>National Institute for Health and Care Excellence, NI</w:t>
      </w:r>
      <w:r w:rsidR="001F635F" w:rsidRPr="00E85FA1">
        <w:rPr>
          <w:sz w:val="24"/>
          <w:szCs w:val="24"/>
        </w:rPr>
        <w:t>CE guideline NG21, 2015).</w:t>
      </w:r>
      <w:r w:rsidR="00A521C5" w:rsidRPr="00E85FA1">
        <w:rPr>
          <w:sz w:val="24"/>
          <w:szCs w:val="24"/>
        </w:rPr>
        <w:t xml:space="preserve"> The assignment will describe, analyse, and evaluate the principles of support, policy and practice utilised within the community resource team which care for people in their own home. The impact of policy, legislation, regulation, codes of practice and standards on organisation policy and </w:t>
      </w:r>
      <w:r w:rsidR="00A521C5" w:rsidRPr="00FE321D">
        <w:rPr>
          <w:sz w:val="24"/>
          <w:szCs w:val="24"/>
        </w:rPr>
        <w:t>practice.</w:t>
      </w:r>
      <w:r w:rsidR="007371A5" w:rsidRPr="00FE321D">
        <w:rPr>
          <w:sz w:val="24"/>
          <w:szCs w:val="24"/>
        </w:rPr>
        <w:t xml:space="preserve"> Recommendations will be given.</w:t>
      </w:r>
      <w:r w:rsidR="00FE321D" w:rsidRPr="00FE321D">
        <w:rPr>
          <w:sz w:val="24"/>
          <w:szCs w:val="24"/>
        </w:rPr>
        <w:t xml:space="preserve"> Pembrokeshire is a largely rural county in the south-west of Wales.</w:t>
      </w:r>
      <w:r w:rsidR="00FE321D">
        <w:rPr>
          <w:sz w:val="24"/>
          <w:szCs w:val="24"/>
        </w:rPr>
        <w:t xml:space="preserve"> </w:t>
      </w:r>
    </w:p>
    <w:p w:rsidR="00E85FA1" w:rsidRDefault="0087675B" w:rsidP="00D23B24">
      <w:pPr>
        <w:spacing w:line="360" w:lineRule="auto"/>
        <w:jc w:val="both"/>
        <w:rPr>
          <w:sz w:val="24"/>
          <w:szCs w:val="24"/>
        </w:rPr>
      </w:pPr>
      <w:r w:rsidRPr="00E85FA1">
        <w:rPr>
          <w:sz w:val="24"/>
          <w:szCs w:val="24"/>
        </w:rPr>
        <w:t>The National Health Services (NHS) provides health care to the general public of United Kingdom (UK), and it is publicly funded through taxation and the service is provided free of charge to all people in the UK (Thiel et al, 2013).</w:t>
      </w:r>
      <w:r w:rsidR="00E85FA1">
        <w:rPr>
          <w:sz w:val="24"/>
          <w:szCs w:val="24"/>
        </w:rPr>
        <w:t xml:space="preserve"> </w:t>
      </w:r>
    </w:p>
    <w:p w:rsidR="009810BF" w:rsidRPr="00267E49" w:rsidRDefault="00E85FA1" w:rsidP="00267E49">
      <w:pPr>
        <w:spacing w:line="360" w:lineRule="auto"/>
        <w:jc w:val="both"/>
        <w:rPr>
          <w:sz w:val="24"/>
          <w:szCs w:val="24"/>
        </w:rPr>
      </w:pPr>
      <w:r w:rsidRPr="00E85FA1">
        <w:rPr>
          <w:sz w:val="24"/>
          <w:szCs w:val="24"/>
        </w:rPr>
        <w:t xml:space="preserve">Ham et, al (2013) the health care is devolved into each of the four constituent countries of the UK (England, Scotland, Wales and Northern Ireland) integration of health and social care is an </w:t>
      </w:r>
      <w:r>
        <w:rPr>
          <w:sz w:val="24"/>
          <w:szCs w:val="24"/>
        </w:rPr>
        <w:t>significant</w:t>
      </w:r>
      <w:r w:rsidRPr="00E85FA1">
        <w:rPr>
          <w:sz w:val="24"/>
          <w:szCs w:val="24"/>
        </w:rPr>
        <w:t xml:space="preserve"> </w:t>
      </w:r>
      <w:r>
        <w:rPr>
          <w:sz w:val="24"/>
          <w:szCs w:val="24"/>
        </w:rPr>
        <w:t>issue</w:t>
      </w:r>
      <w:r w:rsidRPr="00E85FA1">
        <w:rPr>
          <w:sz w:val="24"/>
          <w:szCs w:val="24"/>
        </w:rPr>
        <w:t xml:space="preserve"> in Wales and the Welsh government is </w:t>
      </w:r>
      <w:r>
        <w:rPr>
          <w:sz w:val="24"/>
          <w:szCs w:val="24"/>
        </w:rPr>
        <w:t>dynamically</w:t>
      </w:r>
      <w:r w:rsidRPr="00E85FA1">
        <w:rPr>
          <w:sz w:val="24"/>
          <w:szCs w:val="24"/>
        </w:rPr>
        <w:t xml:space="preserve"> </w:t>
      </w:r>
      <w:r>
        <w:rPr>
          <w:sz w:val="24"/>
          <w:szCs w:val="24"/>
        </w:rPr>
        <w:t>inspiring</w:t>
      </w:r>
      <w:r w:rsidRPr="00E85FA1">
        <w:rPr>
          <w:sz w:val="24"/>
          <w:szCs w:val="24"/>
        </w:rPr>
        <w:t xml:space="preserve"> </w:t>
      </w:r>
      <w:r>
        <w:rPr>
          <w:sz w:val="24"/>
          <w:szCs w:val="24"/>
        </w:rPr>
        <w:t>support</w:t>
      </w:r>
      <w:r w:rsidRPr="00E85FA1">
        <w:rPr>
          <w:sz w:val="24"/>
          <w:szCs w:val="24"/>
        </w:rPr>
        <w:t xml:space="preserve"> </w:t>
      </w:r>
      <w:r>
        <w:rPr>
          <w:sz w:val="24"/>
          <w:szCs w:val="24"/>
        </w:rPr>
        <w:t>amongst</w:t>
      </w:r>
      <w:r w:rsidRPr="00E85FA1">
        <w:rPr>
          <w:sz w:val="24"/>
          <w:szCs w:val="24"/>
        </w:rPr>
        <w:t xml:space="preserve"> the </w:t>
      </w:r>
      <w:r w:rsidR="00BB648B" w:rsidRPr="00E85FA1">
        <w:rPr>
          <w:sz w:val="24"/>
          <w:szCs w:val="24"/>
        </w:rPr>
        <w:t>sectors</w:t>
      </w:r>
      <w:r w:rsidR="00BB648B">
        <w:rPr>
          <w:sz w:val="24"/>
          <w:szCs w:val="24"/>
        </w:rPr>
        <w:t>.</w:t>
      </w:r>
      <w:r w:rsidR="00BB648B">
        <w:rPr>
          <w:rFonts w:eastAsia="Times New Roman" w:cstheme="minorHAnsi"/>
          <w:bCs/>
          <w:sz w:val="24"/>
          <w:szCs w:val="24"/>
          <w:lang w:eastAsia="en-GB"/>
        </w:rPr>
        <w:t xml:space="preserve"> The</w:t>
      </w:r>
      <w:r w:rsidR="00BE7447">
        <w:rPr>
          <w:rFonts w:eastAsia="Times New Roman" w:cstheme="minorHAnsi"/>
          <w:bCs/>
          <w:sz w:val="24"/>
          <w:szCs w:val="24"/>
          <w:lang w:eastAsia="en-GB"/>
        </w:rPr>
        <w:t xml:space="preserve"> assignment will begin by demonstrating the background of the case study examining </w:t>
      </w:r>
      <w:r w:rsidR="007371A5" w:rsidRPr="00E85FA1">
        <w:rPr>
          <w:rFonts w:eastAsia="Times New Roman" w:cstheme="minorHAnsi"/>
          <w:bCs/>
          <w:sz w:val="24"/>
          <w:szCs w:val="24"/>
          <w:lang w:eastAsia="en-GB"/>
        </w:rPr>
        <w:t xml:space="preserve"> the integrated teams of health and social care professionals, known as community resource teams (CRTs), who thrive to bring together and care for people living at home in the largely rural county of Pembrokeshire. </w:t>
      </w:r>
    </w:p>
    <w:p w:rsidR="00FE321D" w:rsidRDefault="009810BF" w:rsidP="00BE7447">
      <w:pPr>
        <w:shd w:val="clear" w:color="auto" w:fill="FFFFFF"/>
        <w:spacing w:before="100" w:beforeAutospacing="1" w:after="100" w:afterAutospacing="1" w:line="360" w:lineRule="auto"/>
        <w:jc w:val="both"/>
        <w:rPr>
          <w:sz w:val="24"/>
          <w:szCs w:val="24"/>
        </w:rPr>
      </w:pPr>
      <w:r w:rsidRPr="00E85FA1">
        <w:rPr>
          <w:rFonts w:eastAsia="Times New Roman" w:cstheme="minorHAnsi"/>
          <w:bCs/>
          <w:sz w:val="24"/>
          <w:szCs w:val="24"/>
          <w:lang w:eastAsia="en-GB"/>
        </w:rPr>
        <w:t>Pembrokeshire</w:t>
      </w:r>
      <w:r w:rsidRPr="009810BF">
        <w:rPr>
          <w:sz w:val="24"/>
          <w:szCs w:val="24"/>
        </w:rPr>
        <w:t xml:space="preserve"> </w:t>
      </w:r>
      <w:r>
        <w:rPr>
          <w:sz w:val="24"/>
          <w:szCs w:val="24"/>
        </w:rPr>
        <w:t xml:space="preserve">County Plan (2015) highlighted the notion of </w:t>
      </w:r>
      <w:r w:rsidR="000D4A50" w:rsidRPr="009810BF">
        <w:rPr>
          <w:sz w:val="24"/>
          <w:szCs w:val="24"/>
        </w:rPr>
        <w:t>life expectancy is increasing and also they have been a population shift, with older people now equites a l</w:t>
      </w:r>
      <w:r w:rsidR="00FE321D">
        <w:rPr>
          <w:sz w:val="24"/>
          <w:szCs w:val="24"/>
        </w:rPr>
        <w:t>arger amount of the population.</w:t>
      </w:r>
    </w:p>
    <w:p w:rsidR="00753B6E" w:rsidRPr="00BE7447" w:rsidRDefault="000D4A50" w:rsidP="00BE7447">
      <w:pPr>
        <w:shd w:val="clear" w:color="auto" w:fill="FFFFFF"/>
        <w:spacing w:before="100" w:beforeAutospacing="1" w:after="100" w:afterAutospacing="1" w:line="360" w:lineRule="auto"/>
        <w:jc w:val="both"/>
        <w:rPr>
          <w:rFonts w:eastAsia="Times New Roman" w:cstheme="minorHAnsi"/>
          <w:bCs/>
          <w:sz w:val="24"/>
          <w:szCs w:val="24"/>
          <w:lang w:eastAsia="en-GB"/>
        </w:rPr>
      </w:pPr>
      <w:r w:rsidRPr="009810BF">
        <w:rPr>
          <w:sz w:val="24"/>
          <w:szCs w:val="24"/>
        </w:rPr>
        <w:lastRenderedPageBreak/>
        <w:t xml:space="preserve">The most substantial area changes seen nowadays, and predicted to carry on, increasing in the numbers of elderly people in the County. In 2001, about 19% of the people aged 65 and over. By 2011, it rose to 22%. The </w:t>
      </w:r>
      <w:r w:rsidR="009810BF" w:rsidRPr="009810BF">
        <w:rPr>
          <w:sz w:val="24"/>
          <w:szCs w:val="24"/>
        </w:rPr>
        <w:t xml:space="preserve">percentage </w:t>
      </w:r>
      <w:r w:rsidRPr="009810BF">
        <w:rPr>
          <w:sz w:val="24"/>
          <w:szCs w:val="24"/>
        </w:rPr>
        <w:t xml:space="preserve">of the oldest people </w:t>
      </w:r>
      <w:r w:rsidR="009810BF" w:rsidRPr="009810BF">
        <w:rPr>
          <w:sz w:val="24"/>
          <w:szCs w:val="24"/>
        </w:rPr>
        <w:t>of 65 and over age group is arising</w:t>
      </w:r>
      <w:r w:rsidRPr="009810BF">
        <w:rPr>
          <w:sz w:val="24"/>
          <w:szCs w:val="24"/>
        </w:rPr>
        <w:t xml:space="preserve">, which has </w:t>
      </w:r>
      <w:r w:rsidR="009810BF" w:rsidRPr="009810BF">
        <w:rPr>
          <w:sz w:val="24"/>
          <w:szCs w:val="24"/>
        </w:rPr>
        <w:t xml:space="preserve">specific significance </w:t>
      </w:r>
      <w:r w:rsidRPr="009810BF">
        <w:rPr>
          <w:sz w:val="24"/>
          <w:szCs w:val="24"/>
        </w:rPr>
        <w:t xml:space="preserve">to the </w:t>
      </w:r>
      <w:r w:rsidR="009810BF" w:rsidRPr="009810BF">
        <w:rPr>
          <w:sz w:val="24"/>
          <w:szCs w:val="24"/>
        </w:rPr>
        <w:t xml:space="preserve">delivery </w:t>
      </w:r>
      <w:r w:rsidRPr="009810BF">
        <w:rPr>
          <w:sz w:val="24"/>
          <w:szCs w:val="24"/>
        </w:rPr>
        <w:t>of health an</w:t>
      </w:r>
      <w:r w:rsidR="009810BF" w:rsidRPr="009810BF">
        <w:rPr>
          <w:sz w:val="24"/>
          <w:szCs w:val="24"/>
        </w:rPr>
        <w:t>d social care services, as the</w:t>
      </w:r>
      <w:r w:rsidRPr="009810BF">
        <w:rPr>
          <w:sz w:val="24"/>
          <w:szCs w:val="24"/>
        </w:rPr>
        <w:t xml:space="preserve"> services are </w:t>
      </w:r>
      <w:r w:rsidR="009810BF" w:rsidRPr="009810BF">
        <w:rPr>
          <w:sz w:val="24"/>
          <w:szCs w:val="24"/>
        </w:rPr>
        <w:t>moreover going to be needed by the</w:t>
      </w:r>
      <w:r w:rsidRPr="009810BF">
        <w:rPr>
          <w:sz w:val="24"/>
          <w:szCs w:val="24"/>
        </w:rPr>
        <w:t xml:space="preserve"> age group</w:t>
      </w:r>
      <w:r w:rsidRPr="000D4A50">
        <w:rPr>
          <w:b/>
          <w:sz w:val="24"/>
          <w:szCs w:val="24"/>
        </w:rPr>
        <w:t>.</w:t>
      </w:r>
      <w:r w:rsidRPr="000D4A50">
        <w:t xml:space="preserve"> </w:t>
      </w:r>
      <w:r w:rsidR="007371A5" w:rsidRPr="00E85FA1">
        <w:rPr>
          <w:rFonts w:eastAsia="Times New Roman" w:cstheme="minorHAnsi"/>
          <w:bCs/>
          <w:sz w:val="24"/>
          <w:szCs w:val="24"/>
          <w:lang w:eastAsia="en-GB"/>
        </w:rPr>
        <w:t xml:space="preserve">This model of care is one aspect of a wider strategic programme of integrated care, called Care Closer to Home. The </w:t>
      </w:r>
      <w:r w:rsidR="007371A5" w:rsidRPr="00E85FA1">
        <w:rPr>
          <w:rFonts w:eastAsia="Times New Roman" w:cstheme="minorHAnsi"/>
          <w:sz w:val="24"/>
          <w:szCs w:val="24"/>
          <w:lang w:eastAsia="en-GB"/>
        </w:rPr>
        <w:t>case study is part of a </w:t>
      </w:r>
      <w:hyperlink r:id="rId8" w:history="1">
        <w:r w:rsidR="007371A5" w:rsidRPr="00E85FA1">
          <w:rPr>
            <w:rFonts w:eastAsia="Times New Roman" w:cstheme="minorHAnsi"/>
            <w:sz w:val="24"/>
            <w:szCs w:val="24"/>
            <w:lang w:eastAsia="en-GB"/>
          </w:rPr>
          <w:t>research project undertaken by The King’s Fund and funded by Aetna and the Aetna Foundation</w:t>
        </w:r>
      </w:hyperlink>
      <w:r w:rsidR="007371A5" w:rsidRPr="00E85FA1">
        <w:rPr>
          <w:rFonts w:eastAsia="Times New Roman" w:cstheme="minorHAnsi"/>
          <w:sz w:val="24"/>
          <w:szCs w:val="24"/>
          <w:lang w:eastAsia="en-GB"/>
        </w:rPr>
        <w:t> in the United States to compare five successful UK-based models of care co-ordination.</w:t>
      </w:r>
      <w:r w:rsidR="00BE7447">
        <w:rPr>
          <w:rFonts w:eastAsia="Times New Roman" w:cstheme="minorHAnsi"/>
          <w:bCs/>
          <w:sz w:val="24"/>
          <w:szCs w:val="24"/>
          <w:lang w:eastAsia="en-GB"/>
        </w:rPr>
        <w:t xml:space="preserve"> </w:t>
      </w:r>
      <w:r w:rsidR="00D66CF7" w:rsidRPr="00E85FA1">
        <w:rPr>
          <w:sz w:val="24"/>
          <w:szCs w:val="24"/>
        </w:rPr>
        <w:t xml:space="preserve">Case study is defined “as analysis of events, groups, periods, policies, institutions and other system that are learnt completely by one or more methods” </w:t>
      </w:r>
      <w:r w:rsidR="00F80D5C" w:rsidRPr="00E85FA1">
        <w:rPr>
          <w:sz w:val="24"/>
          <w:szCs w:val="24"/>
        </w:rPr>
        <w:t>Glaser and Strauss (1967); Stake (1995); Yin (1994, 1989) and Miles and Huberman (1984, 1994).</w:t>
      </w:r>
    </w:p>
    <w:p w:rsidR="00BE7447" w:rsidRPr="00BE7447" w:rsidRDefault="00AF3161" w:rsidP="00BE7447">
      <w:pPr>
        <w:pStyle w:val="NormalWeb"/>
        <w:shd w:val="clear" w:color="auto" w:fill="FFFFFF"/>
        <w:spacing w:before="270" w:beforeAutospacing="0" w:after="0" w:afterAutospacing="0" w:line="360" w:lineRule="auto"/>
        <w:jc w:val="both"/>
        <w:textAlignment w:val="baseline"/>
        <w:rPr>
          <w:rFonts w:asciiTheme="minorHAnsi" w:hAnsiTheme="minorHAnsi" w:cstheme="minorHAnsi"/>
        </w:rPr>
      </w:pPr>
      <w:r w:rsidRPr="00BE7447">
        <w:rPr>
          <w:rFonts w:asciiTheme="minorHAnsi" w:hAnsiTheme="minorHAnsi" w:cstheme="minorHAnsi"/>
        </w:rPr>
        <w:t>Goodwin et al (2013) CRTs main</w:t>
      </w:r>
      <w:r w:rsidR="00F748E6" w:rsidRPr="00BE7447">
        <w:rPr>
          <w:rFonts w:asciiTheme="minorHAnsi" w:hAnsiTheme="minorHAnsi" w:cstheme="minorHAnsi"/>
        </w:rPr>
        <w:t xml:space="preserve"> goals of the programme are to improve or restore the quality of life and confidence for people with complex health and social care needs, and to reduce avoidable admissions to hospital. The four community-based teams bring together professionals from health, social care and the third sector to provide care for patients at home.</w:t>
      </w:r>
      <w:r w:rsidRPr="00BE7447">
        <w:rPr>
          <w:rFonts w:asciiTheme="minorHAnsi" w:hAnsiTheme="minorHAnsi" w:cstheme="minorHAnsi"/>
        </w:rPr>
        <w:t xml:space="preserve"> The four teams consist of social workers, occupational therapists, physiotherapists, district nurses, voluntary sector service brokers and specialist nurses.</w:t>
      </w:r>
      <w:r w:rsidR="00BE7447" w:rsidRPr="00BE7447">
        <w:rPr>
          <w:rFonts w:asciiTheme="minorHAnsi" w:hAnsiTheme="minorHAnsi" w:cstheme="minorHAnsi"/>
        </w:rPr>
        <w:t xml:space="preserve"> Individuals with houses where forced to sell or rent their h</w:t>
      </w:r>
      <w:r w:rsidR="00AB543E">
        <w:rPr>
          <w:rFonts w:asciiTheme="minorHAnsi" w:hAnsiTheme="minorHAnsi" w:cstheme="minorHAnsi"/>
        </w:rPr>
        <w:t>ouses to pay for their own care.</w:t>
      </w:r>
      <w:r w:rsidR="00BE7447" w:rsidRPr="00BE7447">
        <w:rPr>
          <w:rFonts w:asciiTheme="minorHAnsi" w:hAnsiTheme="minorHAnsi" w:cstheme="minorHAnsi"/>
        </w:rPr>
        <w:t xml:space="preserve"> The cost of care provided in the home is capped at £60 a week. Those with assets of less than £24,000 - not including the value of their own home - may pay even less.</w:t>
      </w:r>
    </w:p>
    <w:p w:rsidR="002375E4" w:rsidRPr="00267E49" w:rsidRDefault="00BE7447" w:rsidP="00267E49">
      <w:pPr>
        <w:pStyle w:val="NormalWeb"/>
        <w:shd w:val="clear" w:color="auto" w:fill="FFFFFF"/>
        <w:spacing w:before="270" w:beforeAutospacing="0" w:after="0" w:afterAutospacing="0" w:line="360" w:lineRule="auto"/>
        <w:jc w:val="both"/>
        <w:textAlignment w:val="baseline"/>
        <w:rPr>
          <w:rFonts w:asciiTheme="minorHAnsi" w:hAnsiTheme="minorHAnsi" w:cstheme="minorHAnsi"/>
          <w:color w:val="404040"/>
        </w:rPr>
      </w:pPr>
      <w:r w:rsidRPr="00267E49">
        <w:rPr>
          <w:rFonts w:asciiTheme="minorHAnsi" w:hAnsiTheme="minorHAnsi" w:cstheme="minorHAnsi"/>
        </w:rPr>
        <w:t xml:space="preserve">But once again it is up to councils to determine whether a person's needs are severe enough to make them eligible for help - and most set the bar at the two highest levels - substantial or </w:t>
      </w:r>
      <w:r w:rsidR="00267E49" w:rsidRPr="00267E49">
        <w:rPr>
          <w:rFonts w:asciiTheme="minorHAnsi" w:hAnsiTheme="minorHAnsi" w:cstheme="minorHAnsi"/>
        </w:rPr>
        <w:t>critical</w:t>
      </w:r>
      <w:r w:rsidR="00267E49" w:rsidRPr="00267E49">
        <w:rPr>
          <w:rFonts w:asciiTheme="minorHAnsi" w:hAnsiTheme="minorHAnsi" w:cstheme="minorHAnsi"/>
          <w:color w:val="404040"/>
        </w:rPr>
        <w:t>.</w:t>
      </w:r>
      <w:r w:rsidR="00267E49" w:rsidRPr="00267E49">
        <w:rPr>
          <w:rFonts w:asciiTheme="minorHAnsi" w:hAnsiTheme="minorHAnsi" w:cstheme="minorHAnsi"/>
          <w:color w:val="000000"/>
          <w:shd w:val="clear" w:color="auto" w:fill="FFFFFF"/>
        </w:rPr>
        <w:t xml:space="preserve"> The</w:t>
      </w:r>
      <w:r w:rsidR="002375E4" w:rsidRPr="00267E49">
        <w:rPr>
          <w:rFonts w:asciiTheme="minorHAnsi" w:hAnsiTheme="minorHAnsi" w:cstheme="minorHAnsi"/>
          <w:color w:val="000000"/>
          <w:shd w:val="clear" w:color="auto" w:fill="FFFFFF"/>
        </w:rPr>
        <w:t xml:space="preserve"> NHS Institute’s Care Closer to Home Programme was established in 2005 to explore the scope for bringing abou</w:t>
      </w:r>
      <w:r w:rsidR="002176D2">
        <w:rPr>
          <w:rFonts w:asciiTheme="minorHAnsi" w:hAnsiTheme="minorHAnsi" w:cstheme="minorHAnsi"/>
          <w:color w:val="000000"/>
          <w:shd w:val="clear" w:color="auto" w:fill="FFFFFF"/>
        </w:rPr>
        <w:t>t shifts in care within the NHS. Throughout</w:t>
      </w:r>
      <w:r w:rsidR="002176D2" w:rsidRPr="002176D2">
        <w:rPr>
          <w:rFonts w:asciiTheme="minorHAnsi" w:hAnsiTheme="minorHAnsi" w:cstheme="minorHAnsi"/>
          <w:color w:val="000000"/>
          <w:shd w:val="clear" w:color="auto" w:fill="FFFFFF"/>
        </w:rPr>
        <w:t xml:space="preserve"> England, commissioners and </w:t>
      </w:r>
      <w:r w:rsidR="002176D2">
        <w:rPr>
          <w:rFonts w:asciiTheme="minorHAnsi" w:hAnsiTheme="minorHAnsi" w:cstheme="minorHAnsi"/>
          <w:color w:val="000000"/>
          <w:shd w:val="clear" w:color="auto" w:fill="FFFFFF"/>
        </w:rPr>
        <w:t>healthcare workers within</w:t>
      </w:r>
      <w:r w:rsidR="002176D2" w:rsidRPr="002176D2">
        <w:rPr>
          <w:rFonts w:asciiTheme="minorHAnsi" w:hAnsiTheme="minorHAnsi" w:cstheme="minorHAnsi"/>
          <w:color w:val="000000"/>
          <w:shd w:val="clear" w:color="auto" w:fill="FFFFFF"/>
        </w:rPr>
        <w:t xml:space="preserve"> NHS and local government need to work</w:t>
      </w:r>
      <w:r w:rsidR="002176D2">
        <w:rPr>
          <w:rFonts w:asciiTheme="minorHAnsi" w:hAnsiTheme="minorHAnsi" w:cstheme="minorHAnsi"/>
          <w:color w:val="000000"/>
          <w:shd w:val="clear" w:color="auto" w:fill="FFFFFF"/>
        </w:rPr>
        <w:t xml:space="preserve"> in partnership </w:t>
      </w:r>
      <w:r w:rsidR="002176D2" w:rsidRPr="002176D2">
        <w:rPr>
          <w:rFonts w:asciiTheme="minorHAnsi" w:hAnsiTheme="minorHAnsi" w:cstheme="minorHAnsi"/>
          <w:color w:val="000000"/>
          <w:shd w:val="clear" w:color="auto" w:fill="FFFFFF"/>
        </w:rPr>
        <w:t xml:space="preserve">to </w:t>
      </w:r>
      <w:r w:rsidR="002176D2">
        <w:rPr>
          <w:rFonts w:asciiTheme="minorHAnsi" w:hAnsiTheme="minorHAnsi" w:cstheme="minorHAnsi"/>
          <w:color w:val="000000"/>
          <w:shd w:val="clear" w:color="auto" w:fill="FFFFFF"/>
        </w:rPr>
        <w:t>build up</w:t>
      </w:r>
      <w:r w:rsidR="002176D2" w:rsidRPr="002176D2">
        <w:rPr>
          <w:rFonts w:asciiTheme="minorHAnsi" w:hAnsiTheme="minorHAnsi" w:cstheme="minorHAnsi"/>
          <w:color w:val="000000"/>
          <w:shd w:val="clear" w:color="auto" w:fill="FFFFFF"/>
        </w:rPr>
        <w:t xml:space="preserve"> t</w:t>
      </w:r>
      <w:r w:rsidR="002176D2">
        <w:rPr>
          <w:rFonts w:asciiTheme="minorHAnsi" w:hAnsiTheme="minorHAnsi" w:cstheme="minorHAnsi"/>
          <w:color w:val="000000"/>
          <w:shd w:val="clear" w:color="auto" w:fill="FFFFFF"/>
        </w:rPr>
        <w:t>he health and wellbeing of</w:t>
      </w:r>
      <w:r w:rsidR="002176D2" w:rsidRPr="002176D2">
        <w:rPr>
          <w:rFonts w:asciiTheme="minorHAnsi" w:hAnsiTheme="minorHAnsi" w:cstheme="minorHAnsi"/>
          <w:color w:val="000000"/>
          <w:shd w:val="clear" w:color="auto" w:fill="FFFFFF"/>
        </w:rPr>
        <w:t xml:space="preserve"> </w:t>
      </w:r>
      <w:r w:rsidR="002176D2">
        <w:rPr>
          <w:rFonts w:asciiTheme="minorHAnsi" w:hAnsiTheme="minorHAnsi" w:cstheme="minorHAnsi"/>
          <w:color w:val="000000"/>
          <w:shd w:val="clear" w:color="auto" w:fill="FFFFFF"/>
        </w:rPr>
        <w:t>community</w:t>
      </w:r>
      <w:r w:rsidR="002176D2" w:rsidRPr="002176D2">
        <w:rPr>
          <w:rFonts w:asciiTheme="minorHAnsi" w:hAnsiTheme="minorHAnsi" w:cstheme="minorHAnsi"/>
          <w:color w:val="000000"/>
          <w:shd w:val="clear" w:color="auto" w:fill="FFFFFF"/>
        </w:rPr>
        <w:t xml:space="preserve"> population and make </w:t>
      </w:r>
      <w:r w:rsidR="00BB648B">
        <w:rPr>
          <w:rFonts w:asciiTheme="minorHAnsi" w:hAnsiTheme="minorHAnsi" w:cstheme="minorHAnsi"/>
          <w:color w:val="000000"/>
          <w:shd w:val="clear" w:color="auto" w:fill="FFFFFF"/>
        </w:rPr>
        <w:t>useful</w:t>
      </w:r>
      <w:r w:rsidR="00BB648B" w:rsidRPr="002176D2">
        <w:rPr>
          <w:rFonts w:asciiTheme="minorHAnsi" w:hAnsiTheme="minorHAnsi" w:cstheme="minorHAnsi"/>
          <w:color w:val="000000"/>
          <w:shd w:val="clear" w:color="auto" w:fill="FFFFFF"/>
        </w:rPr>
        <w:t xml:space="preserve"> </w:t>
      </w:r>
      <w:r w:rsidR="002176D2" w:rsidRPr="002176D2">
        <w:rPr>
          <w:rFonts w:asciiTheme="minorHAnsi" w:hAnsiTheme="minorHAnsi" w:cstheme="minorHAnsi"/>
          <w:color w:val="000000"/>
          <w:shd w:val="clear" w:color="auto" w:fill="FFFFFF"/>
        </w:rPr>
        <w:t xml:space="preserve">of available funding. Services planned and </w:t>
      </w:r>
      <w:r w:rsidR="00BB648B">
        <w:rPr>
          <w:rFonts w:asciiTheme="minorHAnsi" w:hAnsiTheme="minorHAnsi" w:cstheme="minorHAnsi"/>
          <w:color w:val="000000"/>
          <w:shd w:val="clear" w:color="auto" w:fill="FFFFFF"/>
        </w:rPr>
        <w:t>delivered</w:t>
      </w:r>
      <w:r w:rsidR="00BB648B" w:rsidRPr="002176D2">
        <w:rPr>
          <w:rFonts w:asciiTheme="minorHAnsi" w:hAnsiTheme="minorHAnsi" w:cstheme="minorHAnsi"/>
          <w:color w:val="000000"/>
          <w:shd w:val="clear" w:color="auto" w:fill="FFFFFF"/>
        </w:rPr>
        <w:t xml:space="preserve"> </w:t>
      </w:r>
      <w:r w:rsidR="002176D2" w:rsidRPr="002176D2">
        <w:rPr>
          <w:rFonts w:asciiTheme="minorHAnsi" w:hAnsiTheme="minorHAnsi" w:cstheme="minorHAnsi"/>
          <w:color w:val="000000"/>
          <w:shd w:val="clear" w:color="auto" w:fill="FFFFFF"/>
        </w:rPr>
        <w:t xml:space="preserve">by local government, with the </w:t>
      </w:r>
      <w:r w:rsidR="00BB648B">
        <w:rPr>
          <w:rFonts w:asciiTheme="minorHAnsi" w:hAnsiTheme="minorHAnsi" w:cstheme="minorHAnsi"/>
          <w:color w:val="000000"/>
          <w:shd w:val="clear" w:color="auto" w:fill="FFFFFF"/>
        </w:rPr>
        <w:t xml:space="preserve">help </w:t>
      </w:r>
      <w:r w:rsidR="002176D2" w:rsidRPr="002176D2">
        <w:rPr>
          <w:rFonts w:asciiTheme="minorHAnsi" w:hAnsiTheme="minorHAnsi" w:cstheme="minorHAnsi"/>
          <w:color w:val="000000"/>
          <w:shd w:val="clear" w:color="auto" w:fill="FFFFFF"/>
        </w:rPr>
        <w:t xml:space="preserve">of local communities, housing, leisure and transport as well and public health and social care, </w:t>
      </w:r>
      <w:r w:rsidR="00BB648B">
        <w:rPr>
          <w:rFonts w:asciiTheme="minorHAnsi" w:hAnsiTheme="minorHAnsi" w:cstheme="minorHAnsi"/>
          <w:color w:val="000000"/>
          <w:shd w:val="clear" w:color="auto" w:fill="FFFFFF"/>
        </w:rPr>
        <w:t>influence</w:t>
      </w:r>
      <w:r w:rsidR="00BB648B" w:rsidRPr="002176D2">
        <w:rPr>
          <w:rFonts w:asciiTheme="minorHAnsi" w:hAnsiTheme="minorHAnsi" w:cstheme="minorHAnsi"/>
          <w:color w:val="000000"/>
          <w:shd w:val="clear" w:color="auto" w:fill="FFFFFF"/>
        </w:rPr>
        <w:t xml:space="preserve"> </w:t>
      </w:r>
      <w:r w:rsidR="002176D2" w:rsidRPr="002176D2">
        <w:rPr>
          <w:rFonts w:asciiTheme="minorHAnsi" w:hAnsiTheme="minorHAnsi" w:cstheme="minorHAnsi"/>
          <w:color w:val="000000"/>
          <w:shd w:val="clear" w:color="auto" w:fill="FFFFFF"/>
        </w:rPr>
        <w:t>on the healt</w:t>
      </w:r>
      <w:r w:rsidR="00BB648B">
        <w:rPr>
          <w:rFonts w:asciiTheme="minorHAnsi" w:hAnsiTheme="minorHAnsi" w:cstheme="minorHAnsi"/>
          <w:color w:val="000000"/>
          <w:shd w:val="clear" w:color="auto" w:fill="FFFFFF"/>
        </w:rPr>
        <w:t>h and wellbeing of local people</w:t>
      </w:r>
      <w:r w:rsidR="002176D2">
        <w:rPr>
          <w:rFonts w:asciiTheme="minorHAnsi" w:hAnsiTheme="minorHAnsi" w:cstheme="minorHAnsi"/>
          <w:color w:val="000000"/>
          <w:shd w:val="clear" w:color="auto" w:fill="FFFFFF"/>
        </w:rPr>
        <w:t xml:space="preserve"> (Cummings, 2017).</w:t>
      </w:r>
    </w:p>
    <w:p w:rsidR="00267E49" w:rsidRDefault="00570BF2" w:rsidP="00DF499B">
      <w:pPr>
        <w:spacing w:line="360" w:lineRule="auto"/>
        <w:jc w:val="both"/>
        <w:rPr>
          <w:rFonts w:cstheme="minorHAnsi"/>
          <w:sz w:val="24"/>
          <w:szCs w:val="24"/>
          <w:shd w:val="clear" w:color="auto" w:fill="FFFFFF"/>
        </w:rPr>
      </w:pPr>
      <w:r w:rsidRPr="00267E49">
        <w:rPr>
          <w:rFonts w:cstheme="minorHAnsi"/>
          <w:color w:val="000000"/>
          <w:sz w:val="24"/>
          <w:szCs w:val="24"/>
          <w:shd w:val="clear" w:color="auto" w:fill="FFFFFF"/>
        </w:rPr>
        <w:lastRenderedPageBreak/>
        <w:t>Community Care Act 1993 which states that the ageing population of people over the age of 65 year old is increasing and</w:t>
      </w:r>
      <w:r w:rsidR="009A199A" w:rsidRPr="00267E49">
        <w:rPr>
          <w:rFonts w:cstheme="minorHAnsi"/>
          <w:color w:val="000000"/>
          <w:sz w:val="24"/>
          <w:szCs w:val="24"/>
          <w:shd w:val="clear" w:color="auto" w:fill="FFFFFF"/>
        </w:rPr>
        <w:t xml:space="preserve"> are staying in their own homes.</w:t>
      </w:r>
      <w:r w:rsidRPr="00267E49">
        <w:rPr>
          <w:rFonts w:cstheme="minorHAnsi"/>
          <w:color w:val="000000"/>
          <w:sz w:val="24"/>
          <w:szCs w:val="24"/>
          <w:shd w:val="clear" w:color="auto" w:fill="FFFFFF"/>
        </w:rPr>
        <w:t xml:space="preserve"> </w:t>
      </w:r>
      <w:r w:rsidR="009A199A" w:rsidRPr="00267E49">
        <w:rPr>
          <w:rFonts w:cstheme="minorHAnsi"/>
          <w:color w:val="000000"/>
          <w:sz w:val="24"/>
          <w:szCs w:val="24"/>
          <w:shd w:val="clear" w:color="auto" w:fill="FFFFFF"/>
        </w:rPr>
        <w:t xml:space="preserve">The </w:t>
      </w:r>
      <w:r w:rsidR="009A199A" w:rsidRPr="00267E49">
        <w:rPr>
          <w:rFonts w:cstheme="minorHAnsi"/>
          <w:sz w:val="24"/>
          <w:szCs w:val="24"/>
          <w:shd w:val="clear" w:color="auto" w:fill="FFFFFF"/>
        </w:rPr>
        <w:t xml:space="preserve">2016 population was at its largest ever, at 65.6 million and projected to reach 74 million by 2039. </w:t>
      </w:r>
    </w:p>
    <w:p w:rsidR="00267E49" w:rsidRDefault="009A199A" w:rsidP="00DF499B">
      <w:pPr>
        <w:spacing w:line="360" w:lineRule="auto"/>
        <w:jc w:val="both"/>
        <w:rPr>
          <w:rFonts w:cstheme="minorHAnsi"/>
          <w:b/>
          <w:sz w:val="24"/>
          <w:szCs w:val="24"/>
          <w:shd w:val="clear" w:color="auto" w:fill="FFFFFF"/>
        </w:rPr>
      </w:pPr>
      <w:r w:rsidRPr="00267E49">
        <w:rPr>
          <w:rFonts w:cstheme="minorHAnsi"/>
          <w:sz w:val="24"/>
          <w:szCs w:val="24"/>
          <w:shd w:val="clear" w:color="auto" w:fill="FFFFFF"/>
        </w:rPr>
        <w:t>While it is growing,</w:t>
      </w:r>
      <w:r w:rsidRPr="009A199A">
        <w:rPr>
          <w:rFonts w:cstheme="minorHAnsi"/>
          <w:sz w:val="24"/>
          <w:szCs w:val="24"/>
          <w:shd w:val="clear" w:color="auto" w:fill="FFFFFF"/>
        </w:rPr>
        <w:t xml:space="preserve"> improvements in healthcare and lifestyles mean the population is getting older; in 2016 in the UK, 18% of people were aged 65 and over, and 2.4% were aged 85 and over</w:t>
      </w:r>
      <w:r>
        <w:rPr>
          <w:rFonts w:cstheme="minorHAnsi"/>
          <w:sz w:val="24"/>
          <w:szCs w:val="24"/>
          <w:shd w:val="clear" w:color="auto" w:fill="FFFFFF"/>
        </w:rPr>
        <w:t xml:space="preserve"> (Office of National Statistics</w:t>
      </w:r>
      <w:r w:rsidR="00A67B01">
        <w:rPr>
          <w:rFonts w:cstheme="minorHAnsi"/>
          <w:sz w:val="24"/>
          <w:szCs w:val="24"/>
          <w:shd w:val="clear" w:color="auto" w:fill="FFFFFF"/>
        </w:rPr>
        <w:t xml:space="preserve"> ONS</w:t>
      </w:r>
      <w:r>
        <w:rPr>
          <w:rFonts w:cstheme="minorHAnsi"/>
          <w:sz w:val="24"/>
          <w:szCs w:val="24"/>
          <w:shd w:val="clear" w:color="auto" w:fill="FFFFFF"/>
        </w:rPr>
        <w:t>, 2017</w:t>
      </w:r>
      <w:r w:rsidRPr="00E73E9C">
        <w:rPr>
          <w:rFonts w:cstheme="minorHAnsi"/>
          <w:b/>
          <w:sz w:val="24"/>
          <w:szCs w:val="24"/>
          <w:shd w:val="clear" w:color="auto" w:fill="FFFFFF"/>
        </w:rPr>
        <w:t>).</w:t>
      </w:r>
      <w:r w:rsidR="00E73E9C">
        <w:rPr>
          <w:rFonts w:cstheme="minorHAnsi"/>
          <w:b/>
          <w:sz w:val="24"/>
          <w:szCs w:val="24"/>
          <w:shd w:val="clear" w:color="auto" w:fill="FFFFFF"/>
        </w:rPr>
        <w:t xml:space="preserve"> </w:t>
      </w:r>
    </w:p>
    <w:p w:rsidR="00570BF2" w:rsidRPr="00267E49" w:rsidRDefault="00E73E9C" w:rsidP="00DF499B">
      <w:pPr>
        <w:spacing w:line="360" w:lineRule="auto"/>
        <w:jc w:val="both"/>
        <w:rPr>
          <w:rFonts w:cstheme="minorHAnsi"/>
          <w:sz w:val="24"/>
          <w:szCs w:val="24"/>
          <w:shd w:val="clear" w:color="auto" w:fill="FFFFFF"/>
        </w:rPr>
      </w:pPr>
      <w:r w:rsidRPr="00267E49">
        <w:rPr>
          <w:rFonts w:cstheme="minorHAnsi"/>
          <w:sz w:val="24"/>
          <w:szCs w:val="24"/>
          <w:shd w:val="clear" w:color="auto" w:fill="FFFFFF"/>
        </w:rPr>
        <w:t xml:space="preserve">Griffiths (2005) emphasises the notion of </w:t>
      </w:r>
      <w:r w:rsidRPr="00267E49">
        <w:rPr>
          <w:sz w:val="24"/>
          <w:szCs w:val="24"/>
        </w:rPr>
        <w:t>Healthy Ageing Action Plan (HAAP) 2012-16 which practises section of local reaction to the Older Peoples Strategy in Wales and partnership working with different constitutional and other agencies across the Hywel Dda footprint. The</w:t>
      </w:r>
      <w:r w:rsidR="00267E49" w:rsidRPr="00267E49">
        <w:rPr>
          <w:sz w:val="24"/>
          <w:szCs w:val="24"/>
        </w:rPr>
        <w:t xml:space="preserve"> emphasis is to campaign for</w:t>
      </w:r>
      <w:r w:rsidRPr="00267E49">
        <w:rPr>
          <w:sz w:val="24"/>
          <w:szCs w:val="24"/>
        </w:rPr>
        <w:t xml:space="preserve"> health and well-being, the focus is upon partnership working across </w:t>
      </w:r>
      <w:r w:rsidR="00267E49" w:rsidRPr="00267E49">
        <w:rPr>
          <w:sz w:val="24"/>
          <w:szCs w:val="24"/>
        </w:rPr>
        <w:t xml:space="preserve">areas </w:t>
      </w:r>
      <w:r w:rsidRPr="00267E49">
        <w:rPr>
          <w:sz w:val="24"/>
          <w:szCs w:val="24"/>
        </w:rPr>
        <w:t xml:space="preserve">to </w:t>
      </w:r>
      <w:r w:rsidR="00267E49" w:rsidRPr="00267E49">
        <w:rPr>
          <w:sz w:val="24"/>
          <w:szCs w:val="24"/>
        </w:rPr>
        <w:t xml:space="preserve">recognise developing urgencies </w:t>
      </w:r>
      <w:r w:rsidRPr="00267E49">
        <w:rPr>
          <w:sz w:val="24"/>
          <w:szCs w:val="24"/>
        </w:rPr>
        <w:t xml:space="preserve">and to </w:t>
      </w:r>
      <w:r w:rsidR="00267E49" w:rsidRPr="00267E49">
        <w:rPr>
          <w:sz w:val="24"/>
          <w:szCs w:val="24"/>
        </w:rPr>
        <w:t xml:space="preserve">rally </w:t>
      </w:r>
      <w:r w:rsidRPr="00267E49">
        <w:rPr>
          <w:sz w:val="24"/>
          <w:szCs w:val="24"/>
        </w:rPr>
        <w:t xml:space="preserve">the needs of a </w:t>
      </w:r>
      <w:r w:rsidR="00267E49" w:rsidRPr="00267E49">
        <w:rPr>
          <w:sz w:val="24"/>
          <w:szCs w:val="24"/>
        </w:rPr>
        <w:t xml:space="preserve">fast growing </w:t>
      </w:r>
      <w:r w:rsidRPr="00267E49">
        <w:rPr>
          <w:sz w:val="24"/>
          <w:szCs w:val="24"/>
        </w:rPr>
        <w:t>heal</w:t>
      </w:r>
      <w:r w:rsidR="00267E49" w:rsidRPr="00267E49">
        <w:rPr>
          <w:sz w:val="24"/>
          <w:szCs w:val="24"/>
        </w:rPr>
        <w:t xml:space="preserve">th and social care environment. The </w:t>
      </w:r>
      <w:r w:rsidRPr="00267E49">
        <w:rPr>
          <w:sz w:val="24"/>
          <w:szCs w:val="24"/>
        </w:rPr>
        <w:t xml:space="preserve">improvements have been </w:t>
      </w:r>
      <w:r w:rsidR="00267E49" w:rsidRPr="00267E49">
        <w:rPr>
          <w:sz w:val="24"/>
          <w:szCs w:val="24"/>
        </w:rPr>
        <w:t>conveyed</w:t>
      </w:r>
      <w:r w:rsidRPr="00267E49">
        <w:rPr>
          <w:sz w:val="24"/>
          <w:szCs w:val="24"/>
        </w:rPr>
        <w:t xml:space="preserve"> through the Plan, supporting better nutrition, physical activity, mental health and chronic conditions</w:t>
      </w:r>
      <w:r w:rsidR="00267E49" w:rsidRPr="00267E49">
        <w:rPr>
          <w:sz w:val="24"/>
          <w:szCs w:val="24"/>
        </w:rPr>
        <w:t>.</w:t>
      </w:r>
    </w:p>
    <w:p w:rsidR="009A199A" w:rsidRDefault="009A199A" w:rsidP="00DF499B">
      <w:pPr>
        <w:spacing w:line="360" w:lineRule="auto"/>
        <w:jc w:val="both"/>
        <w:rPr>
          <w:rFonts w:cstheme="minorHAnsi"/>
          <w:sz w:val="24"/>
          <w:szCs w:val="24"/>
          <w:shd w:val="clear" w:color="auto" w:fill="FFFFFF"/>
        </w:rPr>
      </w:pPr>
      <w:r w:rsidRPr="009A199A">
        <w:rPr>
          <w:rFonts w:cstheme="minorHAnsi"/>
          <w:sz w:val="24"/>
          <w:szCs w:val="24"/>
          <w:shd w:val="clear" w:color="auto" w:fill="FFFFFF"/>
        </w:rPr>
        <w:t>As a result of the ageing population the old age dependency ratio (OADR) is increasing. The OADR is the number of people over 65 years old for every 1,000 people aged between 16 and 64 years old – in mid-2016 the UK’s OADR was 285. It is a useful measure to understand how the balance in the population will change, particularly when planning for the needs of the different age groups. Life expectancy among older age groups in England rose to its highest level in 2014 - with male life expectancy increasing by 0.3 years at age 65 and 0.2 years at ages 75, 85 and 95 since 2013.</w:t>
      </w:r>
    </w:p>
    <w:p w:rsidR="00267E49" w:rsidRDefault="00C06150" w:rsidP="00267E49">
      <w:pPr>
        <w:spacing w:line="360" w:lineRule="auto"/>
        <w:jc w:val="both"/>
        <w:rPr>
          <w:rFonts w:cstheme="minorHAnsi"/>
          <w:sz w:val="24"/>
          <w:szCs w:val="24"/>
          <w:shd w:val="clear" w:color="auto" w:fill="FFFFFF"/>
        </w:rPr>
      </w:pPr>
      <w:r>
        <w:rPr>
          <w:rFonts w:cstheme="minorHAnsi"/>
          <w:sz w:val="24"/>
          <w:szCs w:val="24"/>
          <w:shd w:val="clear" w:color="auto" w:fill="FFFFFF"/>
        </w:rPr>
        <w:t>Elderly Care (2016) states that caring for someone in their own home has an advantage of speedy recovery and they can stay in their own homes for longer as compared to the person admitted to the ward. Home care services are flexible and relative may have as little or much help they need and care can be person centred that in a hospital settings.</w:t>
      </w:r>
      <w:r w:rsidR="00E817F3">
        <w:rPr>
          <w:rFonts w:cstheme="minorHAnsi"/>
          <w:sz w:val="24"/>
          <w:szCs w:val="24"/>
          <w:shd w:val="clear" w:color="auto" w:fill="FFFFFF"/>
        </w:rPr>
        <w:t xml:space="preserve"> The cost of receiving care at home is much cheaper than moving into a care home depending on the care required, and if the individual has a pet they can continue to live with it in their own home as compared to a care home settings.</w:t>
      </w:r>
      <w:r w:rsidR="002E2A51">
        <w:rPr>
          <w:rFonts w:cstheme="minorHAnsi"/>
          <w:sz w:val="24"/>
          <w:szCs w:val="24"/>
          <w:shd w:val="clear" w:color="auto" w:fill="FFFFFF"/>
        </w:rPr>
        <w:t xml:space="preserve"> There is some disadvantages of home care is that the carers are not available round the clock as compared</w:t>
      </w:r>
      <w:r w:rsidR="004A0D47">
        <w:rPr>
          <w:rFonts w:cstheme="minorHAnsi"/>
          <w:sz w:val="24"/>
          <w:szCs w:val="24"/>
          <w:shd w:val="clear" w:color="auto" w:fill="FFFFFF"/>
        </w:rPr>
        <w:t xml:space="preserve"> to care home or hospital. </w:t>
      </w:r>
    </w:p>
    <w:p w:rsidR="00267E49" w:rsidRDefault="00E50B53" w:rsidP="00267E49">
      <w:pPr>
        <w:spacing w:line="360" w:lineRule="auto"/>
        <w:jc w:val="both"/>
        <w:rPr>
          <w:sz w:val="24"/>
          <w:szCs w:val="24"/>
        </w:rPr>
      </w:pPr>
      <w:r w:rsidRPr="004F6466">
        <w:rPr>
          <w:sz w:val="24"/>
          <w:szCs w:val="24"/>
        </w:rPr>
        <w:t xml:space="preserve">Dignity’ is a difficult concept to define and has a strong association with respect. ‘Privacy’ has been defined as ‘freedom from intrusion’ and ‘dignity’ as ‘being worthy of respect’ (DH, 2003). </w:t>
      </w:r>
      <w:r w:rsidRPr="004F6466">
        <w:rPr>
          <w:sz w:val="24"/>
          <w:szCs w:val="24"/>
        </w:rPr>
        <w:lastRenderedPageBreak/>
        <w:t xml:space="preserve">The Healthcare Commission (2007: 9) states that ‘Dignity (including nutrition and privacy) is a human rights issue and should be the underlying principle when delivering services’. </w:t>
      </w:r>
    </w:p>
    <w:p w:rsidR="006C0DDB" w:rsidRPr="00267E49" w:rsidRDefault="006C0DDB" w:rsidP="00267E49">
      <w:pPr>
        <w:spacing w:line="360" w:lineRule="auto"/>
        <w:jc w:val="both"/>
        <w:rPr>
          <w:rFonts w:cstheme="minorHAnsi"/>
          <w:sz w:val="24"/>
          <w:szCs w:val="24"/>
          <w:shd w:val="clear" w:color="auto" w:fill="FFFFFF"/>
        </w:rPr>
      </w:pPr>
      <w:r w:rsidRPr="006C0DDB">
        <w:rPr>
          <w:rFonts w:cstheme="minorHAnsi"/>
          <w:sz w:val="24"/>
          <w:szCs w:val="24"/>
          <w:lang w:eastAsia="en-GB"/>
        </w:rPr>
        <w:t>The Equality Act 2010, it safeguards people from being discriminated against because of their disability. It also protects people from being discriminated against because of their caring responsibilities.</w:t>
      </w:r>
      <w:r w:rsidRPr="006C0DDB">
        <w:rPr>
          <w:rFonts w:cstheme="minorHAnsi"/>
          <w:sz w:val="24"/>
          <w:szCs w:val="24"/>
          <w:shd w:val="clear" w:color="auto" w:fill="FFFFFF"/>
        </w:rPr>
        <w:t xml:space="preserve"> The Equality Act includes conditions that protect older people against discrimination and harassment while buying goods or using services</w:t>
      </w:r>
      <w:r w:rsidRPr="006C0DDB">
        <w:rPr>
          <w:rFonts w:cstheme="minorHAnsi"/>
          <w:sz w:val="24"/>
          <w:szCs w:val="24"/>
          <w:lang w:eastAsia="en-GB"/>
        </w:rPr>
        <w:t>. The </w:t>
      </w:r>
      <w:hyperlink r:id="rId9" w:anchor="equalities-act-2010-legislation" w:history="1">
        <w:r w:rsidRPr="006C0DDB">
          <w:rPr>
            <w:rFonts w:cstheme="minorHAnsi"/>
            <w:sz w:val="24"/>
            <w:szCs w:val="24"/>
            <w:lang w:eastAsia="en-GB"/>
          </w:rPr>
          <w:t>Equality Act</w:t>
        </w:r>
      </w:hyperlink>
      <w:r w:rsidRPr="006C0DDB">
        <w:rPr>
          <w:rFonts w:cstheme="minorHAnsi"/>
          <w:sz w:val="24"/>
          <w:szCs w:val="24"/>
          <w:lang w:eastAsia="en-GB"/>
        </w:rPr>
        <w:t> changed previous laws protecting people from discrimination, including most of the Disability Discrimination Act. </w:t>
      </w:r>
    </w:p>
    <w:p w:rsidR="006C0DDB" w:rsidRPr="00E50B53" w:rsidRDefault="006C0DDB" w:rsidP="006C0DDB">
      <w:pPr>
        <w:pStyle w:val="NoSpacing"/>
        <w:spacing w:line="360" w:lineRule="auto"/>
        <w:jc w:val="both"/>
        <w:rPr>
          <w:rFonts w:cstheme="minorHAnsi"/>
          <w:sz w:val="24"/>
          <w:szCs w:val="24"/>
          <w:lang w:eastAsia="en-GB"/>
        </w:rPr>
      </w:pPr>
      <w:r w:rsidRPr="00E50B53">
        <w:rPr>
          <w:rFonts w:cstheme="minorHAnsi"/>
          <w:sz w:val="24"/>
          <w:szCs w:val="24"/>
          <w:shd w:val="clear" w:color="auto" w:fill="FFFFFF"/>
        </w:rPr>
        <w:t xml:space="preserve">Elderly people are the more prone to direct discrimination whereby an older person will be refused entry to the gym and the younger person will be allowed entry. </w:t>
      </w:r>
    </w:p>
    <w:p w:rsidR="001E0BDA" w:rsidRPr="006C0DDB" w:rsidRDefault="006C0DDB" w:rsidP="00DF499B">
      <w:pPr>
        <w:spacing w:line="360" w:lineRule="auto"/>
        <w:jc w:val="both"/>
        <w:rPr>
          <w:rFonts w:cstheme="minorHAnsi"/>
          <w:b/>
          <w:sz w:val="24"/>
          <w:szCs w:val="24"/>
        </w:rPr>
      </w:pPr>
      <w:r w:rsidRPr="00BA433E">
        <w:rPr>
          <w:rFonts w:cstheme="minorHAnsi"/>
          <w:sz w:val="24"/>
          <w:szCs w:val="24"/>
        </w:rPr>
        <w:t>The Safeguarding Vulnerable Groups Act (SVGA) 2006 was approved to support in avoiding harm, or risk of harm, by preventing people considered not fitting to work with children and vulnerable adults from getting contact to them through their work.</w:t>
      </w:r>
      <w:r w:rsidRPr="00BA433E">
        <w:rPr>
          <w:rFonts w:cstheme="minorHAnsi"/>
          <w:sz w:val="24"/>
          <w:szCs w:val="24"/>
          <w:shd w:val="clear" w:color="auto" w:fill="FFFFFF"/>
        </w:rPr>
        <w:t xml:space="preserve"> The act protects vulnerable people aged over 18 in care settings in England and Wales. At the centre of the act is the Protection of Vulnerable Adults (Pova) list</w:t>
      </w:r>
      <w:r>
        <w:rPr>
          <w:rFonts w:ascii="Helvetica" w:hAnsi="Helvetica"/>
          <w:color w:val="555555"/>
          <w:sz w:val="23"/>
          <w:szCs w:val="23"/>
          <w:shd w:val="clear" w:color="auto" w:fill="FFFFFF"/>
        </w:rPr>
        <w:t>.</w:t>
      </w:r>
      <w:r>
        <w:rPr>
          <w:rFonts w:cstheme="minorHAnsi"/>
          <w:sz w:val="24"/>
          <w:szCs w:val="24"/>
        </w:rPr>
        <w:t xml:space="preserve">  This includes any person working with vulnerable adults should have a Disclosure and Barring services (DBS) check so as to check if they have any convictions, caution and criminal offences.   </w:t>
      </w: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E73E9C" w:rsidRDefault="00E73E9C" w:rsidP="00DF499B">
      <w:pPr>
        <w:spacing w:line="360" w:lineRule="auto"/>
        <w:jc w:val="both"/>
        <w:rPr>
          <w:rFonts w:cstheme="minorHAnsi"/>
          <w:b/>
          <w:u w:val="single"/>
          <w:shd w:val="clear" w:color="auto" w:fill="FFFFFF"/>
        </w:rPr>
      </w:pPr>
    </w:p>
    <w:p w:rsidR="00267E49" w:rsidRDefault="00267E49" w:rsidP="00DF499B">
      <w:pPr>
        <w:spacing w:line="360" w:lineRule="auto"/>
        <w:jc w:val="both"/>
        <w:rPr>
          <w:rFonts w:cstheme="minorHAnsi"/>
          <w:b/>
          <w:u w:val="single"/>
          <w:shd w:val="clear" w:color="auto" w:fill="FFFFFF"/>
        </w:rPr>
      </w:pPr>
    </w:p>
    <w:p w:rsidR="00267E49" w:rsidRDefault="00267E49" w:rsidP="00DF499B">
      <w:pPr>
        <w:spacing w:line="360" w:lineRule="auto"/>
        <w:jc w:val="both"/>
        <w:rPr>
          <w:rFonts w:cstheme="minorHAnsi"/>
          <w:b/>
          <w:u w:val="single"/>
          <w:shd w:val="clear" w:color="auto" w:fill="FFFFFF"/>
        </w:rPr>
      </w:pPr>
    </w:p>
    <w:p w:rsidR="00267E49" w:rsidRDefault="00267E49" w:rsidP="00DF499B">
      <w:pPr>
        <w:spacing w:line="360" w:lineRule="auto"/>
        <w:jc w:val="both"/>
        <w:rPr>
          <w:rFonts w:cstheme="minorHAnsi"/>
          <w:b/>
          <w:u w:val="single"/>
          <w:shd w:val="clear" w:color="auto" w:fill="FFFFFF"/>
        </w:rPr>
      </w:pPr>
    </w:p>
    <w:p w:rsidR="001E0BDA" w:rsidRPr="001E0BDA" w:rsidRDefault="001E0BDA" w:rsidP="00DF499B">
      <w:pPr>
        <w:spacing w:line="360" w:lineRule="auto"/>
        <w:jc w:val="both"/>
        <w:rPr>
          <w:rFonts w:cstheme="minorHAnsi"/>
          <w:b/>
          <w:u w:val="single"/>
          <w:shd w:val="clear" w:color="auto" w:fill="FFFFFF"/>
        </w:rPr>
      </w:pPr>
      <w:r w:rsidRPr="001E0BDA">
        <w:rPr>
          <w:rFonts w:cstheme="minorHAnsi"/>
          <w:b/>
          <w:u w:val="single"/>
          <w:shd w:val="clear" w:color="auto" w:fill="FFFFFF"/>
        </w:rPr>
        <w:t>Figure 1- Pembrokeshire community resource team car</w:t>
      </w:r>
      <w:r>
        <w:rPr>
          <w:rFonts w:cstheme="minorHAnsi"/>
          <w:b/>
          <w:u w:val="single"/>
          <w:shd w:val="clear" w:color="auto" w:fill="FFFFFF"/>
        </w:rPr>
        <w:t>e planning/co-ordination process.</w:t>
      </w:r>
    </w:p>
    <w:p w:rsidR="00E50B53" w:rsidRPr="00753B6E" w:rsidRDefault="00E50B53" w:rsidP="00DF499B">
      <w:pPr>
        <w:spacing w:line="360" w:lineRule="auto"/>
        <w:jc w:val="both"/>
        <w:rPr>
          <w:rFonts w:cstheme="minorHAnsi"/>
          <w:sz w:val="24"/>
          <w:szCs w:val="24"/>
          <w:shd w:val="clear" w:color="auto" w:fill="FFFFFF"/>
        </w:rPr>
      </w:pPr>
      <w:r>
        <w:rPr>
          <w:noProof/>
          <w:lang w:eastAsia="en-GB"/>
        </w:rPr>
        <w:drawing>
          <wp:inline distT="0" distB="0" distL="0" distR="0" wp14:anchorId="224A651C" wp14:editId="672E4055">
            <wp:extent cx="5771957" cy="5895975"/>
            <wp:effectExtent l="0" t="0" r="635"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1203" cy="5915635"/>
                    </a:xfrm>
                    <a:prstGeom prst="rect">
                      <a:avLst/>
                    </a:prstGeom>
                    <a:noFill/>
                    <a:ln>
                      <a:noFill/>
                    </a:ln>
                  </pic:spPr>
                </pic:pic>
              </a:graphicData>
            </a:graphic>
          </wp:inline>
        </w:drawing>
      </w:r>
    </w:p>
    <w:p w:rsidR="00E50B53" w:rsidRDefault="00E50B53" w:rsidP="00DF499B">
      <w:pPr>
        <w:pStyle w:val="NoSpacing"/>
        <w:spacing w:line="360" w:lineRule="auto"/>
        <w:jc w:val="both"/>
        <w:rPr>
          <w:rFonts w:cstheme="minorHAnsi"/>
          <w:sz w:val="24"/>
          <w:szCs w:val="24"/>
          <w:lang w:eastAsia="en-GB"/>
        </w:rPr>
      </w:pPr>
      <w:r w:rsidRPr="00E50B53">
        <w:rPr>
          <w:rFonts w:cstheme="minorHAnsi"/>
          <w:sz w:val="24"/>
          <w:szCs w:val="24"/>
          <w:lang w:eastAsia="en-GB"/>
        </w:rPr>
        <w:t>Community Resources team care planning and Co-ordination process</w:t>
      </w:r>
      <w:r w:rsidR="001E0BDA">
        <w:rPr>
          <w:rFonts w:cstheme="minorHAnsi"/>
          <w:sz w:val="24"/>
          <w:szCs w:val="24"/>
          <w:lang w:eastAsia="en-GB"/>
        </w:rPr>
        <w:t xml:space="preserve"> the above</w:t>
      </w:r>
      <w:r>
        <w:rPr>
          <w:rFonts w:cstheme="minorHAnsi"/>
          <w:sz w:val="24"/>
          <w:szCs w:val="24"/>
          <w:lang w:eastAsia="en-GB"/>
        </w:rPr>
        <w:t xml:space="preserve"> organogram illustrates the referral process</w:t>
      </w:r>
      <w:r w:rsidR="001E0BDA">
        <w:rPr>
          <w:rFonts w:cstheme="minorHAnsi"/>
          <w:sz w:val="24"/>
          <w:szCs w:val="24"/>
          <w:lang w:eastAsia="en-GB"/>
        </w:rPr>
        <w:t xml:space="preserve"> of how a patient can be introduced by either the General Practitioner, Carers, family members or health care professionals if they think that the patient may benefit from the care coordinating approach.</w:t>
      </w:r>
    </w:p>
    <w:p w:rsidR="006C0DDB" w:rsidRDefault="001E0BDA" w:rsidP="00DF499B">
      <w:pPr>
        <w:pStyle w:val="NoSpacing"/>
        <w:spacing w:line="360" w:lineRule="auto"/>
        <w:jc w:val="both"/>
        <w:rPr>
          <w:rFonts w:cstheme="minorHAnsi"/>
          <w:sz w:val="24"/>
          <w:szCs w:val="24"/>
          <w:lang w:eastAsia="en-GB"/>
        </w:rPr>
      </w:pPr>
      <w:r>
        <w:rPr>
          <w:rFonts w:cstheme="minorHAnsi"/>
          <w:sz w:val="24"/>
          <w:szCs w:val="24"/>
          <w:lang w:eastAsia="en-GB"/>
        </w:rPr>
        <w:t xml:space="preserve">The referral may come through local authority run by the contact centre, </w:t>
      </w:r>
      <w:r w:rsidR="00C846C7">
        <w:rPr>
          <w:rFonts w:cstheme="minorHAnsi"/>
          <w:sz w:val="24"/>
          <w:szCs w:val="24"/>
          <w:lang w:eastAsia="en-GB"/>
        </w:rPr>
        <w:t xml:space="preserve">and it is designed for people in the local authority as a point of contact to relatives, friends or health care </w:t>
      </w:r>
      <w:r w:rsidR="00C846C7">
        <w:rPr>
          <w:rFonts w:cstheme="minorHAnsi"/>
          <w:sz w:val="24"/>
          <w:szCs w:val="24"/>
          <w:lang w:eastAsia="en-GB"/>
        </w:rPr>
        <w:lastRenderedPageBreak/>
        <w:t>professionals to patients they think might need care on their everyday lives. They might phone or walk in to make the referral, and</w:t>
      </w:r>
      <w:r w:rsidR="006C0DDB">
        <w:rPr>
          <w:rFonts w:cstheme="minorHAnsi"/>
          <w:sz w:val="24"/>
          <w:szCs w:val="24"/>
          <w:lang w:eastAsia="en-GB"/>
        </w:rPr>
        <w:t xml:space="preserve"> the patient will be assigned to a care co-ordinator</w:t>
      </w:r>
      <w:r w:rsidR="00C846C7">
        <w:rPr>
          <w:rFonts w:cstheme="minorHAnsi"/>
          <w:sz w:val="24"/>
          <w:szCs w:val="24"/>
          <w:lang w:eastAsia="en-GB"/>
        </w:rPr>
        <w:t xml:space="preserve"> an assessment can be done to see if they can fit the criteria</w:t>
      </w:r>
      <w:r w:rsidR="006C0DDB">
        <w:rPr>
          <w:rFonts w:cstheme="minorHAnsi"/>
          <w:sz w:val="24"/>
          <w:szCs w:val="24"/>
          <w:lang w:eastAsia="en-GB"/>
        </w:rPr>
        <w:t>. The assessment can be done face to face a referral to Community Resource Team (CRT),</w:t>
      </w:r>
      <w:r w:rsidR="00C846C7">
        <w:rPr>
          <w:rFonts w:cstheme="minorHAnsi"/>
          <w:sz w:val="24"/>
          <w:szCs w:val="24"/>
          <w:lang w:eastAsia="en-GB"/>
        </w:rPr>
        <w:t xml:space="preserve"> (The Kings Fund, 2018).  </w:t>
      </w:r>
    </w:p>
    <w:p w:rsidR="006C0DDB" w:rsidRPr="00C903AC" w:rsidRDefault="00AD7B3A" w:rsidP="00C903AC">
      <w:pPr>
        <w:spacing w:line="360" w:lineRule="auto"/>
        <w:jc w:val="both"/>
        <w:rPr>
          <w:b/>
          <w:sz w:val="24"/>
          <w:szCs w:val="24"/>
        </w:rPr>
      </w:pPr>
      <w:r>
        <w:rPr>
          <w:sz w:val="24"/>
          <w:szCs w:val="24"/>
        </w:rPr>
        <w:t>Cloninger (2011) states that “</w:t>
      </w:r>
      <w:r w:rsidRPr="00AD7B3A">
        <w:rPr>
          <w:sz w:val="24"/>
          <w:szCs w:val="24"/>
        </w:rPr>
        <w:t>Person-centred care is a way of thinking and doing things that sees the people using health and social services as equal partners in planning, developing and monitoring care to make sure it meets their needs. This means putting people and their families at the centre of decisions and seeing them as experts, working alongside professionals to get the best outcome.</w:t>
      </w:r>
      <w:r>
        <w:rPr>
          <w:sz w:val="24"/>
          <w:szCs w:val="24"/>
        </w:rPr>
        <w:t>” Individuals who lives in their own homes are more centred to their care due to the fact that all care will be done in their own</w:t>
      </w:r>
      <w:r w:rsidR="00DF499B">
        <w:rPr>
          <w:sz w:val="24"/>
          <w:szCs w:val="24"/>
        </w:rPr>
        <w:t xml:space="preserve"> home, and they will be in their comfort zone compared to someone in a care home.</w:t>
      </w:r>
    </w:p>
    <w:p w:rsidR="005D626D" w:rsidRDefault="00B3191D" w:rsidP="005D626D">
      <w:pPr>
        <w:jc w:val="both"/>
        <w:rPr>
          <w:sz w:val="24"/>
          <w:szCs w:val="24"/>
        </w:rPr>
      </w:pPr>
      <w:r>
        <w:rPr>
          <w:sz w:val="24"/>
          <w:szCs w:val="24"/>
        </w:rPr>
        <w:t xml:space="preserve">Conclusion </w:t>
      </w:r>
    </w:p>
    <w:p w:rsidR="00C903AC" w:rsidRDefault="00C903AC" w:rsidP="00F211D3">
      <w:pPr>
        <w:spacing w:line="360" w:lineRule="auto"/>
        <w:jc w:val="both"/>
        <w:rPr>
          <w:sz w:val="24"/>
          <w:szCs w:val="24"/>
        </w:rPr>
      </w:pPr>
      <w:r>
        <w:rPr>
          <w:sz w:val="24"/>
          <w:szCs w:val="24"/>
        </w:rPr>
        <w:t>This case study critique examined the</w:t>
      </w:r>
      <w:r w:rsidRPr="00E85FA1">
        <w:rPr>
          <w:sz w:val="24"/>
          <w:szCs w:val="24"/>
        </w:rPr>
        <w:t xml:space="preserve"> Pembrokeshire model Community Resource Team (CRTs) and care closer to home.</w:t>
      </w:r>
      <w:r>
        <w:rPr>
          <w:sz w:val="24"/>
          <w:szCs w:val="24"/>
        </w:rPr>
        <w:t xml:space="preserve"> The assignment started by the background information about Pembrokeshire and why there is an increase in the population of 65 years and above elderly people, the reasons where explained, the assignment went to explore about the role of the NHS in the UK and the benefits of being cared in your own home, the advantages and disadvantages.</w:t>
      </w:r>
      <w:r w:rsidR="00F211D3">
        <w:rPr>
          <w:sz w:val="24"/>
          <w:szCs w:val="24"/>
        </w:rPr>
        <w:t xml:space="preserve"> Care closer to home, encourages individual to recover quickly as compared to someone in care home or hospital setting, as they will be in their comfort zone and also another point if they have pets they can stay with their pets in their own home rather care or residential home. </w:t>
      </w:r>
      <w:r w:rsidR="00A95B54" w:rsidRPr="00A95B54">
        <w:rPr>
          <w:sz w:val="24"/>
          <w:szCs w:val="24"/>
        </w:rPr>
        <w:t>CRTs main goals of the programme are to improve or restore the quality of life and confidence for people with complex health and social care needs, and to reduce avoidable admissions to hospital</w:t>
      </w:r>
      <w:r w:rsidR="00A95B54">
        <w:rPr>
          <w:sz w:val="24"/>
          <w:szCs w:val="24"/>
        </w:rPr>
        <w:t xml:space="preserve">. </w:t>
      </w:r>
      <w:r w:rsidR="00A95B54">
        <w:rPr>
          <w:rFonts w:cstheme="minorHAnsi"/>
          <w:sz w:val="24"/>
          <w:szCs w:val="24"/>
          <w:shd w:val="clear" w:color="auto" w:fill="FFFFFF"/>
        </w:rPr>
        <w:t xml:space="preserve"> The cost of receiving care at home is much cheaper than moving into a care home depending on the care required, and if the individual has a pet they can continue to live with it in their own home as compared to a care home settings.</w:t>
      </w:r>
      <w:r w:rsidR="00BB648B">
        <w:rPr>
          <w:rFonts w:cstheme="minorHAnsi"/>
          <w:sz w:val="24"/>
          <w:szCs w:val="24"/>
          <w:shd w:val="clear" w:color="auto" w:fill="FFFFFF"/>
        </w:rPr>
        <w:t xml:space="preserve"> </w:t>
      </w:r>
      <w:r w:rsidR="00BB648B" w:rsidRPr="006C0DDB">
        <w:rPr>
          <w:rFonts w:cstheme="minorHAnsi"/>
          <w:sz w:val="24"/>
          <w:szCs w:val="24"/>
          <w:shd w:val="clear" w:color="auto" w:fill="FFFFFF"/>
        </w:rPr>
        <w:t>The Equality Act includes conditions that protect older people against discrimination and harassment while buying goods or using services</w:t>
      </w:r>
      <w:r w:rsidR="00BB648B" w:rsidRPr="006C0DDB">
        <w:rPr>
          <w:rFonts w:cstheme="minorHAnsi"/>
          <w:sz w:val="24"/>
          <w:szCs w:val="24"/>
          <w:lang w:eastAsia="en-GB"/>
        </w:rPr>
        <w:t>.</w:t>
      </w:r>
      <w:r w:rsidR="00BB648B">
        <w:rPr>
          <w:rFonts w:cstheme="minorHAnsi"/>
          <w:sz w:val="24"/>
          <w:szCs w:val="24"/>
          <w:lang w:eastAsia="en-GB"/>
        </w:rPr>
        <w:t xml:space="preserve"> </w:t>
      </w:r>
      <w:r w:rsidR="00BB648B" w:rsidRPr="00267E49">
        <w:rPr>
          <w:sz w:val="24"/>
          <w:szCs w:val="24"/>
        </w:rPr>
        <w:t>The emphasis is to campaign for health and well-being, the focus is upon partnership working across areas to recognise developing urgencies and to rally the needs of a fast growing health and social care environment.</w:t>
      </w:r>
    </w:p>
    <w:p w:rsidR="00FE321D" w:rsidRDefault="00FE321D" w:rsidP="00F211D3">
      <w:pPr>
        <w:spacing w:line="360" w:lineRule="auto"/>
        <w:jc w:val="both"/>
        <w:rPr>
          <w:sz w:val="24"/>
          <w:szCs w:val="24"/>
        </w:rPr>
      </w:pPr>
    </w:p>
    <w:p w:rsidR="00BB648B" w:rsidRDefault="00BB648B" w:rsidP="00F211D3">
      <w:pPr>
        <w:spacing w:line="360" w:lineRule="auto"/>
        <w:jc w:val="both"/>
        <w:rPr>
          <w:sz w:val="24"/>
          <w:szCs w:val="24"/>
        </w:rPr>
      </w:pPr>
      <w:r>
        <w:rPr>
          <w:sz w:val="24"/>
          <w:szCs w:val="24"/>
        </w:rPr>
        <w:lastRenderedPageBreak/>
        <w:t>Recommendations</w:t>
      </w:r>
    </w:p>
    <w:p w:rsidR="005D626D" w:rsidRPr="005D626D" w:rsidRDefault="00BB648B" w:rsidP="00F211D3">
      <w:pPr>
        <w:jc w:val="both"/>
        <w:rPr>
          <w:sz w:val="24"/>
          <w:szCs w:val="24"/>
        </w:rPr>
      </w:pPr>
      <w:r>
        <w:rPr>
          <w:sz w:val="24"/>
          <w:szCs w:val="24"/>
        </w:rPr>
        <w:t xml:space="preserve">Safeguarding </w:t>
      </w:r>
      <w:r w:rsidR="005D626D" w:rsidRPr="005D626D">
        <w:rPr>
          <w:sz w:val="24"/>
          <w:szCs w:val="24"/>
        </w:rPr>
        <w:t xml:space="preserve">people using home care services and their </w:t>
      </w:r>
      <w:r w:rsidR="005D626D">
        <w:rPr>
          <w:sz w:val="24"/>
          <w:szCs w:val="24"/>
        </w:rPr>
        <w:t>carers</w:t>
      </w:r>
      <w:r w:rsidR="005D626D" w:rsidRPr="005D626D">
        <w:rPr>
          <w:sz w:val="24"/>
          <w:szCs w:val="24"/>
        </w:rPr>
        <w:t xml:space="preserve"> are treated with empathy, courtesy, respect and in a dignified way by:</w:t>
      </w:r>
    </w:p>
    <w:p w:rsidR="005D626D" w:rsidRPr="005D626D" w:rsidRDefault="00BB648B" w:rsidP="00F211D3">
      <w:pPr>
        <w:pStyle w:val="ListParagraph"/>
        <w:numPr>
          <w:ilvl w:val="0"/>
          <w:numId w:val="2"/>
        </w:numPr>
        <w:jc w:val="both"/>
        <w:rPr>
          <w:sz w:val="24"/>
          <w:szCs w:val="24"/>
        </w:rPr>
      </w:pPr>
      <w:r>
        <w:rPr>
          <w:sz w:val="24"/>
          <w:szCs w:val="24"/>
        </w:rPr>
        <w:t>Engaging</w:t>
      </w:r>
      <w:r w:rsidRPr="005D626D">
        <w:rPr>
          <w:sz w:val="24"/>
          <w:szCs w:val="24"/>
        </w:rPr>
        <w:t xml:space="preserve"> </w:t>
      </w:r>
      <w:r w:rsidR="005D626D" w:rsidRPr="005D626D">
        <w:rPr>
          <w:sz w:val="24"/>
          <w:szCs w:val="24"/>
        </w:rPr>
        <w:t xml:space="preserve">people and their carers in </w:t>
      </w:r>
      <w:r>
        <w:rPr>
          <w:sz w:val="24"/>
          <w:szCs w:val="24"/>
        </w:rPr>
        <w:t>dialogue</w:t>
      </w:r>
      <w:r w:rsidR="005D626D" w:rsidRPr="005D626D">
        <w:rPr>
          <w:sz w:val="24"/>
          <w:szCs w:val="24"/>
        </w:rPr>
        <w:t xml:space="preserve">s and </w:t>
      </w:r>
      <w:r>
        <w:rPr>
          <w:sz w:val="24"/>
          <w:szCs w:val="24"/>
        </w:rPr>
        <w:t>choices</w:t>
      </w:r>
      <w:r w:rsidRPr="005D626D">
        <w:rPr>
          <w:sz w:val="24"/>
          <w:szCs w:val="24"/>
        </w:rPr>
        <w:t xml:space="preserve"> </w:t>
      </w:r>
      <w:r w:rsidR="005D626D" w:rsidRPr="005D626D">
        <w:rPr>
          <w:sz w:val="24"/>
          <w:szCs w:val="24"/>
        </w:rPr>
        <w:t>about their care and support</w:t>
      </w:r>
      <w:r w:rsidR="005D626D">
        <w:rPr>
          <w:sz w:val="24"/>
          <w:szCs w:val="24"/>
        </w:rPr>
        <w:t>.</w:t>
      </w:r>
    </w:p>
    <w:p w:rsidR="005D626D" w:rsidRPr="005D626D" w:rsidRDefault="00BB648B" w:rsidP="005D626D">
      <w:pPr>
        <w:pStyle w:val="ListParagraph"/>
        <w:numPr>
          <w:ilvl w:val="0"/>
          <w:numId w:val="2"/>
        </w:numPr>
        <w:rPr>
          <w:sz w:val="24"/>
          <w:szCs w:val="24"/>
        </w:rPr>
      </w:pPr>
      <w:r>
        <w:rPr>
          <w:sz w:val="24"/>
          <w:szCs w:val="24"/>
        </w:rPr>
        <w:t>Supportive</w:t>
      </w:r>
      <w:r w:rsidRPr="005D626D">
        <w:rPr>
          <w:sz w:val="24"/>
          <w:szCs w:val="24"/>
        </w:rPr>
        <w:t xml:space="preserve"> </w:t>
      </w:r>
      <w:r>
        <w:rPr>
          <w:sz w:val="24"/>
          <w:szCs w:val="24"/>
        </w:rPr>
        <w:t>shared</w:t>
      </w:r>
      <w:r w:rsidRPr="00BB648B">
        <w:rPr>
          <w:sz w:val="24"/>
          <w:szCs w:val="24"/>
        </w:rPr>
        <w:t xml:space="preserve"> </w:t>
      </w:r>
      <w:r>
        <w:rPr>
          <w:sz w:val="24"/>
          <w:szCs w:val="24"/>
        </w:rPr>
        <w:t>opportunities</w:t>
      </w:r>
      <w:r w:rsidR="005D626D">
        <w:rPr>
          <w:sz w:val="24"/>
          <w:szCs w:val="24"/>
        </w:rPr>
        <w:t>.</w:t>
      </w:r>
    </w:p>
    <w:p w:rsidR="005D626D" w:rsidRPr="005D626D" w:rsidRDefault="00BB648B" w:rsidP="005D626D">
      <w:pPr>
        <w:pStyle w:val="ListParagraph"/>
        <w:numPr>
          <w:ilvl w:val="0"/>
          <w:numId w:val="2"/>
        </w:numPr>
        <w:rPr>
          <w:sz w:val="24"/>
          <w:szCs w:val="24"/>
        </w:rPr>
      </w:pPr>
      <w:r>
        <w:rPr>
          <w:sz w:val="24"/>
          <w:szCs w:val="24"/>
        </w:rPr>
        <w:t>Constantly</w:t>
      </w:r>
      <w:r w:rsidRPr="005D626D">
        <w:rPr>
          <w:sz w:val="24"/>
          <w:szCs w:val="24"/>
        </w:rPr>
        <w:t xml:space="preserve"> </w:t>
      </w:r>
      <w:r w:rsidR="005D626D" w:rsidRPr="005D626D">
        <w:rPr>
          <w:sz w:val="24"/>
          <w:szCs w:val="24"/>
        </w:rPr>
        <w:t>respecting confidentiality and privacy</w:t>
      </w:r>
      <w:r w:rsidR="005D626D">
        <w:rPr>
          <w:sz w:val="24"/>
          <w:szCs w:val="24"/>
        </w:rPr>
        <w:t>.</w:t>
      </w:r>
    </w:p>
    <w:p w:rsidR="005D626D" w:rsidRPr="005D626D" w:rsidRDefault="00BB648B" w:rsidP="005D626D">
      <w:pPr>
        <w:pStyle w:val="ListParagraph"/>
        <w:numPr>
          <w:ilvl w:val="0"/>
          <w:numId w:val="2"/>
        </w:numPr>
        <w:rPr>
          <w:sz w:val="24"/>
          <w:szCs w:val="24"/>
        </w:rPr>
      </w:pPr>
      <w:r>
        <w:rPr>
          <w:sz w:val="24"/>
          <w:szCs w:val="24"/>
        </w:rPr>
        <w:t>Delivering</w:t>
      </w:r>
      <w:r w:rsidRPr="005D626D">
        <w:rPr>
          <w:sz w:val="24"/>
          <w:szCs w:val="24"/>
        </w:rPr>
        <w:t xml:space="preserve"> </w:t>
      </w:r>
      <w:r w:rsidR="005D626D" w:rsidRPr="005D626D">
        <w:rPr>
          <w:sz w:val="24"/>
          <w:szCs w:val="24"/>
        </w:rPr>
        <w:t>a</w:t>
      </w:r>
      <w:r w:rsidRPr="00BB648B">
        <w:rPr>
          <w:sz w:val="24"/>
          <w:szCs w:val="24"/>
        </w:rPr>
        <w:t xml:space="preserve"> </w:t>
      </w:r>
      <w:r>
        <w:rPr>
          <w:sz w:val="24"/>
          <w:szCs w:val="24"/>
        </w:rPr>
        <w:t>consistent</w:t>
      </w:r>
      <w:r w:rsidR="005D626D" w:rsidRPr="005D626D">
        <w:rPr>
          <w:sz w:val="24"/>
          <w:szCs w:val="24"/>
        </w:rPr>
        <w:t xml:space="preserve"> service that people and their carers can trust</w:t>
      </w:r>
      <w:r w:rsidR="005D626D">
        <w:rPr>
          <w:sz w:val="24"/>
          <w:szCs w:val="24"/>
        </w:rPr>
        <w:t>.</w:t>
      </w:r>
    </w:p>
    <w:p w:rsidR="005D626D" w:rsidRPr="005D626D" w:rsidRDefault="00BB648B" w:rsidP="005D626D">
      <w:pPr>
        <w:pStyle w:val="ListParagraph"/>
        <w:numPr>
          <w:ilvl w:val="0"/>
          <w:numId w:val="2"/>
        </w:numPr>
        <w:rPr>
          <w:sz w:val="24"/>
          <w:szCs w:val="24"/>
        </w:rPr>
      </w:pPr>
      <w:r>
        <w:rPr>
          <w:sz w:val="24"/>
          <w:szCs w:val="24"/>
        </w:rPr>
        <w:t>Frequently</w:t>
      </w:r>
      <w:r w:rsidRPr="005D626D">
        <w:rPr>
          <w:sz w:val="24"/>
          <w:szCs w:val="24"/>
        </w:rPr>
        <w:t xml:space="preserve"> </w:t>
      </w:r>
      <w:r>
        <w:rPr>
          <w:sz w:val="24"/>
          <w:szCs w:val="24"/>
        </w:rPr>
        <w:t>getting</w:t>
      </w:r>
      <w:r w:rsidRPr="005D626D">
        <w:rPr>
          <w:sz w:val="24"/>
          <w:szCs w:val="24"/>
        </w:rPr>
        <w:t xml:space="preserve"> </w:t>
      </w:r>
      <w:r w:rsidR="005D626D" w:rsidRPr="005D626D">
        <w:rPr>
          <w:sz w:val="24"/>
          <w:szCs w:val="24"/>
        </w:rPr>
        <w:t xml:space="preserve">feedback (both positive and negative) about the quality and </w:t>
      </w:r>
      <w:r w:rsidR="00B3191D">
        <w:rPr>
          <w:sz w:val="24"/>
          <w:szCs w:val="24"/>
        </w:rPr>
        <w:t xml:space="preserve">appropriate </w:t>
      </w:r>
      <w:r w:rsidR="005D626D" w:rsidRPr="005D626D">
        <w:rPr>
          <w:sz w:val="24"/>
          <w:szCs w:val="24"/>
        </w:rPr>
        <w:t>of care from people using the service, including those who do not have a carer or advocate.</w:t>
      </w:r>
    </w:p>
    <w:p w:rsidR="005D626D" w:rsidRPr="005D626D" w:rsidRDefault="005D626D" w:rsidP="005D626D">
      <w:pPr>
        <w:rPr>
          <w:sz w:val="24"/>
          <w:szCs w:val="24"/>
        </w:rPr>
      </w:pPr>
    </w:p>
    <w:p w:rsidR="00A521C5" w:rsidRDefault="00A521C5" w:rsidP="005D626D">
      <w:pPr>
        <w:rPr>
          <w:sz w:val="24"/>
          <w:szCs w:val="24"/>
        </w:rPr>
      </w:pPr>
    </w:p>
    <w:p w:rsidR="009810BF" w:rsidRDefault="009810BF" w:rsidP="005D626D">
      <w:pPr>
        <w:jc w:val="center"/>
        <w:rPr>
          <w:b/>
          <w:sz w:val="32"/>
          <w:szCs w:val="32"/>
          <w:u w:val="single"/>
        </w:rPr>
      </w:pPr>
    </w:p>
    <w:p w:rsidR="009810BF" w:rsidRDefault="009810BF" w:rsidP="005D626D">
      <w:pPr>
        <w:jc w:val="center"/>
        <w:rPr>
          <w:b/>
          <w:sz w:val="32"/>
          <w:szCs w:val="32"/>
          <w:u w:val="single"/>
        </w:rPr>
      </w:pPr>
    </w:p>
    <w:p w:rsidR="00267E49" w:rsidRDefault="00267E49"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A95B54" w:rsidRDefault="00A95B54" w:rsidP="005D626D">
      <w:pPr>
        <w:jc w:val="center"/>
        <w:rPr>
          <w:b/>
          <w:sz w:val="32"/>
          <w:szCs w:val="32"/>
          <w:u w:val="single"/>
        </w:rPr>
      </w:pPr>
    </w:p>
    <w:p w:rsidR="005D626D" w:rsidRDefault="005D626D" w:rsidP="005D626D">
      <w:pPr>
        <w:jc w:val="center"/>
        <w:rPr>
          <w:b/>
          <w:sz w:val="32"/>
          <w:szCs w:val="32"/>
          <w:u w:val="single"/>
        </w:rPr>
      </w:pPr>
      <w:r w:rsidRPr="005D626D">
        <w:rPr>
          <w:b/>
          <w:sz w:val="32"/>
          <w:szCs w:val="32"/>
          <w:u w:val="single"/>
        </w:rPr>
        <w:t>REFERENCES</w:t>
      </w:r>
    </w:p>
    <w:p w:rsidR="005D626D" w:rsidRPr="00534089" w:rsidRDefault="005D626D" w:rsidP="005D626D">
      <w:pPr>
        <w:jc w:val="center"/>
        <w:rPr>
          <w:b/>
          <w:sz w:val="24"/>
          <w:szCs w:val="24"/>
          <w:u w:val="single"/>
        </w:rPr>
      </w:pPr>
    </w:p>
    <w:p w:rsidR="00AD7B3A" w:rsidRDefault="00AD7B3A" w:rsidP="00AD7B3A">
      <w:pPr>
        <w:pStyle w:val="NoSpacing"/>
        <w:rPr>
          <w:sz w:val="24"/>
          <w:szCs w:val="24"/>
        </w:rPr>
      </w:pPr>
      <w:r>
        <w:rPr>
          <w:sz w:val="24"/>
          <w:szCs w:val="24"/>
        </w:rPr>
        <w:t>Cloninger C</w:t>
      </w:r>
      <w:r w:rsidR="002176D2">
        <w:rPr>
          <w:sz w:val="24"/>
          <w:szCs w:val="24"/>
        </w:rPr>
        <w:t xml:space="preserve"> </w:t>
      </w:r>
      <w:r>
        <w:rPr>
          <w:sz w:val="24"/>
          <w:szCs w:val="24"/>
        </w:rPr>
        <w:t>R (2011)</w:t>
      </w:r>
      <w:r w:rsidRPr="00AD7B3A">
        <w:rPr>
          <w:sz w:val="24"/>
          <w:szCs w:val="24"/>
        </w:rPr>
        <w:t xml:space="preserve"> Person-centred integrative care. J Eval Clin Pract 2011; 17(2):371-372.</w:t>
      </w:r>
    </w:p>
    <w:p w:rsidR="002176D2" w:rsidRDefault="002176D2" w:rsidP="00AD7B3A">
      <w:pPr>
        <w:pStyle w:val="NoSpacing"/>
        <w:rPr>
          <w:sz w:val="24"/>
          <w:szCs w:val="24"/>
        </w:rPr>
      </w:pPr>
    </w:p>
    <w:p w:rsidR="002176D2" w:rsidRPr="002176D2" w:rsidRDefault="002176D2" w:rsidP="002176D2">
      <w:pPr>
        <w:pStyle w:val="NoSpacing"/>
        <w:rPr>
          <w:rFonts w:cstheme="minorHAnsi"/>
          <w:b/>
          <w:bCs/>
          <w:color w:val="000000"/>
          <w:sz w:val="24"/>
          <w:szCs w:val="24"/>
          <w:shd w:val="clear" w:color="auto" w:fill="FFFFFF"/>
        </w:rPr>
      </w:pPr>
      <w:r w:rsidRPr="002176D2">
        <w:rPr>
          <w:rFonts w:cstheme="minorHAnsi"/>
          <w:color w:val="000000"/>
          <w:sz w:val="24"/>
          <w:szCs w:val="24"/>
          <w:shd w:val="clear" w:color="auto" w:fill="FFFFFF"/>
        </w:rPr>
        <w:t xml:space="preserve">Cummings J </w:t>
      </w:r>
      <w:r>
        <w:rPr>
          <w:rFonts w:cstheme="minorHAnsi"/>
          <w:color w:val="000000"/>
          <w:sz w:val="24"/>
          <w:szCs w:val="24"/>
          <w:shd w:val="clear" w:color="auto" w:fill="FFFFFF"/>
        </w:rPr>
        <w:t>(</w:t>
      </w:r>
      <w:r w:rsidRPr="002176D2">
        <w:rPr>
          <w:rFonts w:cstheme="minorHAnsi"/>
          <w:color w:val="000000"/>
          <w:sz w:val="24"/>
          <w:szCs w:val="24"/>
          <w:shd w:val="clear" w:color="auto" w:fill="FFFFFF"/>
        </w:rPr>
        <w:t>2017</w:t>
      </w:r>
      <w:r>
        <w:rPr>
          <w:rFonts w:cstheme="minorHAnsi"/>
          <w:color w:val="000000"/>
          <w:sz w:val="24"/>
          <w:szCs w:val="24"/>
          <w:shd w:val="clear" w:color="auto" w:fill="FFFFFF"/>
        </w:rPr>
        <w:t xml:space="preserve">) </w:t>
      </w:r>
      <w:r w:rsidRPr="002176D2">
        <w:rPr>
          <w:rFonts w:cstheme="minorHAnsi"/>
          <w:bCs/>
          <w:color w:val="000000"/>
          <w:sz w:val="24"/>
          <w:szCs w:val="24"/>
          <w:shd w:val="clear" w:color="auto" w:fill="FFFFFF"/>
        </w:rPr>
        <w:t>Providing care closer to home</w:t>
      </w:r>
      <w:r>
        <w:rPr>
          <w:rFonts w:cstheme="minorHAnsi"/>
          <w:bCs/>
          <w:color w:val="000000"/>
          <w:sz w:val="24"/>
          <w:szCs w:val="24"/>
          <w:shd w:val="clear" w:color="auto" w:fill="FFFFFF"/>
        </w:rPr>
        <w:t>. New care model. Nursing Midwifery and Care.</w:t>
      </w:r>
    </w:p>
    <w:p w:rsidR="00AD7B3A" w:rsidRPr="00AD7B3A" w:rsidRDefault="00AD7B3A" w:rsidP="00534089">
      <w:pPr>
        <w:pStyle w:val="NoSpacing"/>
        <w:rPr>
          <w:sz w:val="24"/>
          <w:szCs w:val="24"/>
        </w:rPr>
      </w:pPr>
    </w:p>
    <w:p w:rsidR="002E2A51" w:rsidRPr="00534089" w:rsidRDefault="00534089" w:rsidP="00534089">
      <w:pPr>
        <w:pStyle w:val="NoSpacing"/>
        <w:rPr>
          <w:sz w:val="24"/>
          <w:szCs w:val="24"/>
        </w:rPr>
      </w:pPr>
      <w:r w:rsidRPr="00534089">
        <w:rPr>
          <w:sz w:val="24"/>
          <w:szCs w:val="24"/>
        </w:rPr>
        <w:t xml:space="preserve">Department of Health (2003) The Essence of Care: Patient-focused Benchmarks for Clinical Governance, available online: </w:t>
      </w:r>
      <w:hyperlink r:id="rId11" w:history="1">
        <w:r w:rsidRPr="00534089">
          <w:rPr>
            <w:rStyle w:val="Hyperlink"/>
            <w:color w:val="auto"/>
            <w:sz w:val="24"/>
            <w:szCs w:val="24"/>
            <w:u w:val="none"/>
          </w:rPr>
          <w:t>http://www.dh.gov.uk/prod_consum_dh/groups/dh_digitalassets/@dh/@en/documents/digitalasset/dh_4127915.pdf</w:t>
        </w:r>
      </w:hyperlink>
      <w:r w:rsidRPr="00534089">
        <w:rPr>
          <w:sz w:val="24"/>
          <w:szCs w:val="24"/>
        </w:rPr>
        <w:t>. [Accessed 20 April 2018].</w:t>
      </w:r>
    </w:p>
    <w:p w:rsidR="00534089" w:rsidRPr="00534089" w:rsidRDefault="00534089" w:rsidP="00534089">
      <w:pPr>
        <w:pStyle w:val="NoSpacing"/>
        <w:rPr>
          <w:sz w:val="24"/>
          <w:szCs w:val="24"/>
        </w:rPr>
      </w:pPr>
    </w:p>
    <w:p w:rsidR="002E2A51" w:rsidRDefault="002E2A51" w:rsidP="00534089">
      <w:pPr>
        <w:pStyle w:val="NoSpacing"/>
        <w:rPr>
          <w:rFonts w:eastAsia="Times New Roman" w:cstheme="minorHAnsi"/>
          <w:kern w:val="36"/>
          <w:sz w:val="24"/>
          <w:szCs w:val="24"/>
          <w:lang w:eastAsia="en-GB"/>
        </w:rPr>
      </w:pPr>
      <w:r w:rsidRPr="00534089">
        <w:rPr>
          <w:rFonts w:cstheme="minorHAnsi"/>
          <w:sz w:val="24"/>
          <w:szCs w:val="24"/>
          <w:shd w:val="clear" w:color="auto" w:fill="FFFFFF"/>
        </w:rPr>
        <w:t xml:space="preserve">Elderly Care (2016) </w:t>
      </w:r>
      <w:r w:rsidRPr="00534089">
        <w:rPr>
          <w:rFonts w:eastAsia="Times New Roman" w:cstheme="minorHAnsi"/>
          <w:kern w:val="36"/>
          <w:sz w:val="24"/>
          <w:szCs w:val="24"/>
          <w:lang w:eastAsia="en-GB"/>
        </w:rPr>
        <w:t>The benefits and drawbacks of home care services. Domiciliary care</w:t>
      </w:r>
      <w:r w:rsidR="00534089" w:rsidRPr="00534089">
        <w:rPr>
          <w:rFonts w:eastAsia="Times New Roman" w:cstheme="minorHAnsi"/>
          <w:kern w:val="36"/>
          <w:sz w:val="24"/>
          <w:szCs w:val="24"/>
          <w:lang w:eastAsia="en-GB"/>
        </w:rPr>
        <w:t>.</w:t>
      </w:r>
      <w:r w:rsidR="00284CA2">
        <w:rPr>
          <w:rFonts w:eastAsia="Times New Roman" w:cstheme="minorHAnsi"/>
          <w:kern w:val="36"/>
          <w:sz w:val="24"/>
          <w:szCs w:val="24"/>
          <w:lang w:eastAsia="en-GB"/>
        </w:rPr>
        <w:t xml:space="preserve"> Available online</w:t>
      </w:r>
      <w:r w:rsidR="00284CA2" w:rsidRPr="00284CA2">
        <w:rPr>
          <w:rFonts w:eastAsia="Times New Roman" w:cstheme="minorHAnsi"/>
          <w:kern w:val="36"/>
          <w:sz w:val="24"/>
          <w:szCs w:val="24"/>
          <w:lang w:eastAsia="en-GB"/>
        </w:rPr>
        <w:t xml:space="preserve">: </w:t>
      </w:r>
      <w:hyperlink r:id="rId12" w:history="1">
        <w:r w:rsidR="00284CA2" w:rsidRPr="00284CA2">
          <w:rPr>
            <w:rStyle w:val="Hyperlink"/>
            <w:rFonts w:eastAsia="Times New Roman" w:cstheme="minorHAnsi"/>
            <w:color w:val="auto"/>
            <w:kern w:val="36"/>
            <w:sz w:val="24"/>
            <w:szCs w:val="24"/>
            <w:u w:val="none"/>
            <w:lang w:eastAsia="en-GB"/>
          </w:rPr>
          <w:t>https://www.which.co.uk/elderly-care/housing-options/domiciliary-care/342899-the-benefits-and-drawbacks-of-home-care-services</w:t>
        </w:r>
      </w:hyperlink>
      <w:r w:rsidR="00284CA2">
        <w:rPr>
          <w:rFonts w:eastAsia="Times New Roman" w:cstheme="minorHAnsi"/>
          <w:kern w:val="36"/>
          <w:sz w:val="24"/>
          <w:szCs w:val="24"/>
          <w:lang w:eastAsia="en-GB"/>
        </w:rPr>
        <w:t>. [Accessed 01 April 2018].</w:t>
      </w:r>
    </w:p>
    <w:p w:rsidR="00753B6E" w:rsidRDefault="00753B6E" w:rsidP="00534089">
      <w:pPr>
        <w:pStyle w:val="NoSpacing"/>
        <w:rPr>
          <w:rFonts w:eastAsia="Times New Roman" w:cstheme="minorHAnsi"/>
          <w:kern w:val="36"/>
          <w:sz w:val="24"/>
          <w:szCs w:val="24"/>
          <w:lang w:eastAsia="en-GB"/>
        </w:rPr>
      </w:pPr>
    </w:p>
    <w:p w:rsidR="00753B6E" w:rsidRDefault="00753B6E" w:rsidP="00534089">
      <w:pPr>
        <w:pStyle w:val="NoSpacing"/>
        <w:rPr>
          <w:rFonts w:cstheme="minorHAnsi"/>
          <w:sz w:val="24"/>
          <w:szCs w:val="24"/>
          <w:shd w:val="clear" w:color="auto" w:fill="FFFFFF"/>
        </w:rPr>
      </w:pPr>
      <w:r w:rsidRPr="00753B6E">
        <w:rPr>
          <w:rStyle w:val="Emphasis"/>
          <w:rFonts w:cstheme="minorHAnsi"/>
          <w:bCs/>
          <w:i w:val="0"/>
          <w:iCs w:val="0"/>
          <w:sz w:val="24"/>
          <w:szCs w:val="24"/>
          <w:shd w:val="clear" w:color="auto" w:fill="FFFFFF"/>
        </w:rPr>
        <w:t>Equality Act 2010</w:t>
      </w:r>
      <w:r w:rsidRPr="00753B6E">
        <w:rPr>
          <w:rFonts w:cstheme="minorHAnsi"/>
          <w:sz w:val="24"/>
          <w:szCs w:val="24"/>
          <w:shd w:val="clear" w:color="auto" w:fill="FFFFFF"/>
        </w:rPr>
        <w:t>. [Online] Available at: http://www.legislation.gov.uk/ukpga/2010/15</w:t>
      </w:r>
      <w:r>
        <w:rPr>
          <w:rFonts w:cstheme="minorHAnsi"/>
          <w:sz w:val="24"/>
          <w:szCs w:val="24"/>
          <w:shd w:val="clear" w:color="auto" w:fill="FFFFFF"/>
        </w:rPr>
        <w:t>/contents [Accessed 11 April. 2018</w:t>
      </w:r>
      <w:r w:rsidRPr="00753B6E">
        <w:rPr>
          <w:rFonts w:cstheme="minorHAnsi"/>
          <w:sz w:val="24"/>
          <w:szCs w:val="24"/>
          <w:shd w:val="clear" w:color="auto" w:fill="FFFFFF"/>
        </w:rPr>
        <w:t>]</w:t>
      </w:r>
      <w:r>
        <w:rPr>
          <w:rFonts w:cstheme="minorHAnsi"/>
          <w:sz w:val="24"/>
          <w:szCs w:val="24"/>
          <w:shd w:val="clear" w:color="auto" w:fill="FFFFFF"/>
        </w:rPr>
        <w:t>.</w:t>
      </w:r>
    </w:p>
    <w:p w:rsidR="00A95B54" w:rsidRDefault="00A95B54" w:rsidP="00534089">
      <w:pPr>
        <w:pStyle w:val="NoSpacing"/>
        <w:rPr>
          <w:rFonts w:cstheme="minorHAnsi"/>
          <w:sz w:val="24"/>
          <w:szCs w:val="24"/>
          <w:shd w:val="clear" w:color="auto" w:fill="FFFFFF"/>
        </w:rPr>
      </w:pPr>
    </w:p>
    <w:p w:rsidR="00A95B54" w:rsidRDefault="00A95B54" w:rsidP="00534089">
      <w:pPr>
        <w:pStyle w:val="NoSpacing"/>
        <w:rPr>
          <w:rFonts w:cstheme="minorHAnsi"/>
          <w:sz w:val="24"/>
          <w:szCs w:val="24"/>
          <w:shd w:val="clear" w:color="auto" w:fill="FFFFFF"/>
        </w:rPr>
      </w:pPr>
      <w:r>
        <w:rPr>
          <w:rFonts w:cstheme="minorHAnsi"/>
          <w:sz w:val="24"/>
          <w:szCs w:val="24"/>
          <w:shd w:val="clear" w:color="auto" w:fill="FFFFFF"/>
        </w:rPr>
        <w:t>Glaser, B.,  Strauss, A</w:t>
      </w:r>
      <w:r w:rsidRPr="00A95B54">
        <w:rPr>
          <w:rFonts w:cstheme="minorHAnsi"/>
          <w:sz w:val="24"/>
          <w:szCs w:val="24"/>
          <w:shd w:val="clear" w:color="auto" w:fill="FFFFFF"/>
        </w:rPr>
        <w:t xml:space="preserve"> (1967). The Discovery of grounded Theory: Strategies for qualitative research. Chicago: Aldine.</w:t>
      </w:r>
    </w:p>
    <w:p w:rsidR="00E73E9C" w:rsidRDefault="00E73E9C" w:rsidP="00534089">
      <w:pPr>
        <w:pStyle w:val="NoSpacing"/>
        <w:rPr>
          <w:rFonts w:cstheme="minorHAnsi"/>
          <w:sz w:val="24"/>
          <w:szCs w:val="24"/>
          <w:shd w:val="clear" w:color="auto" w:fill="FFFFFF"/>
        </w:rPr>
      </w:pPr>
    </w:p>
    <w:p w:rsidR="00E73E9C" w:rsidRPr="00E73E9C" w:rsidRDefault="00E73E9C" w:rsidP="00534089">
      <w:pPr>
        <w:pStyle w:val="NoSpacing"/>
        <w:rPr>
          <w:rFonts w:eastAsia="Times New Roman" w:cstheme="minorHAnsi"/>
          <w:kern w:val="36"/>
          <w:sz w:val="24"/>
          <w:szCs w:val="24"/>
          <w:lang w:eastAsia="en-GB"/>
        </w:rPr>
      </w:pPr>
      <w:r w:rsidRPr="00E73E9C">
        <w:rPr>
          <w:rFonts w:cstheme="minorHAnsi"/>
          <w:sz w:val="24"/>
          <w:szCs w:val="24"/>
          <w:shd w:val="clear" w:color="auto" w:fill="FFFFFF"/>
        </w:rPr>
        <w:t xml:space="preserve">Griffiths, J (2005) </w:t>
      </w:r>
      <w:r w:rsidRPr="00E73E9C">
        <w:rPr>
          <w:sz w:val="24"/>
          <w:szCs w:val="24"/>
        </w:rPr>
        <w:t xml:space="preserve">Healthy ageing action plan for Wales launched. [Online]. Available from: </w:t>
      </w:r>
      <w:hyperlink r:id="rId13" w:history="1">
        <w:r w:rsidRPr="00E73E9C">
          <w:rPr>
            <w:rStyle w:val="Hyperlink"/>
            <w:color w:val="auto"/>
            <w:sz w:val="24"/>
            <w:szCs w:val="24"/>
            <w:u w:val="none"/>
          </w:rPr>
          <w:t>http://www.wales.nhs.uk/documents/36039.pdf</w:t>
        </w:r>
      </w:hyperlink>
      <w:r w:rsidRPr="00E73E9C">
        <w:rPr>
          <w:sz w:val="24"/>
          <w:szCs w:val="24"/>
        </w:rPr>
        <w:t>. [Accessed 10 March 2018].</w:t>
      </w:r>
    </w:p>
    <w:p w:rsidR="00534089" w:rsidRPr="00E73E9C" w:rsidRDefault="00534089" w:rsidP="00534089">
      <w:pPr>
        <w:pStyle w:val="NoSpacing"/>
        <w:rPr>
          <w:sz w:val="24"/>
          <w:szCs w:val="24"/>
          <w:lang w:eastAsia="en-GB"/>
        </w:rPr>
      </w:pPr>
    </w:p>
    <w:p w:rsidR="00E85FA1" w:rsidRDefault="00E85FA1" w:rsidP="00534089">
      <w:pPr>
        <w:pStyle w:val="NoSpacing"/>
        <w:rPr>
          <w:sz w:val="24"/>
          <w:szCs w:val="24"/>
        </w:rPr>
      </w:pPr>
      <w:r w:rsidRPr="00534089">
        <w:rPr>
          <w:sz w:val="24"/>
          <w:szCs w:val="24"/>
        </w:rPr>
        <w:t>Ham C, Heenan D, Longley M, Steel D (2013). Integrated Care in Northern Ireland, Scotland and Wales: Lessons for England. London: The King’s Fund.</w:t>
      </w:r>
    </w:p>
    <w:p w:rsidR="004F6466" w:rsidRDefault="004F6466" w:rsidP="00534089">
      <w:pPr>
        <w:pStyle w:val="NoSpacing"/>
        <w:rPr>
          <w:sz w:val="24"/>
          <w:szCs w:val="24"/>
        </w:rPr>
      </w:pPr>
    </w:p>
    <w:p w:rsidR="004F6466" w:rsidRDefault="004F6466" w:rsidP="00534089">
      <w:pPr>
        <w:pStyle w:val="NoSpacing"/>
        <w:rPr>
          <w:sz w:val="24"/>
          <w:szCs w:val="24"/>
        </w:rPr>
      </w:pPr>
      <w:r w:rsidRPr="004F6466">
        <w:rPr>
          <w:sz w:val="24"/>
          <w:szCs w:val="24"/>
        </w:rPr>
        <w:t>Healthcare Commission (2007) Caring for Dignity: A National Report on Dignity of Care for Older People While in Hospital, London: Healthcare Commission</w:t>
      </w:r>
      <w:r>
        <w:rPr>
          <w:sz w:val="24"/>
          <w:szCs w:val="24"/>
        </w:rPr>
        <w:t>.</w:t>
      </w:r>
    </w:p>
    <w:p w:rsidR="00A95B54" w:rsidRDefault="00A95B54" w:rsidP="00534089">
      <w:pPr>
        <w:pStyle w:val="NoSpacing"/>
        <w:rPr>
          <w:sz w:val="24"/>
          <w:szCs w:val="24"/>
        </w:rPr>
      </w:pPr>
    </w:p>
    <w:p w:rsidR="00A95B54" w:rsidRPr="004F6466" w:rsidRDefault="00A95B54" w:rsidP="00534089">
      <w:pPr>
        <w:pStyle w:val="NoSpacing"/>
        <w:rPr>
          <w:sz w:val="24"/>
          <w:szCs w:val="24"/>
        </w:rPr>
      </w:pPr>
      <w:r>
        <w:rPr>
          <w:sz w:val="24"/>
          <w:szCs w:val="24"/>
        </w:rPr>
        <w:t>Miles, M B, Huberman, A M</w:t>
      </w:r>
      <w:r w:rsidRPr="00A95B54">
        <w:rPr>
          <w:sz w:val="24"/>
          <w:szCs w:val="24"/>
        </w:rPr>
        <w:t xml:space="preserve"> (1994). Qualitative Data Analysis. Thousand Oaks: Sage.</w:t>
      </w:r>
    </w:p>
    <w:p w:rsidR="00534089" w:rsidRPr="00534089" w:rsidRDefault="00534089" w:rsidP="00534089">
      <w:pPr>
        <w:pStyle w:val="NoSpacing"/>
        <w:rPr>
          <w:sz w:val="24"/>
          <w:szCs w:val="24"/>
        </w:rPr>
      </w:pPr>
    </w:p>
    <w:p w:rsidR="00D66CF7" w:rsidRDefault="005D626D" w:rsidP="00534089">
      <w:pPr>
        <w:pStyle w:val="NoSpacing"/>
        <w:rPr>
          <w:sz w:val="24"/>
          <w:szCs w:val="24"/>
        </w:rPr>
      </w:pPr>
      <w:r w:rsidRPr="00534089">
        <w:rPr>
          <w:color w:val="000000" w:themeColor="text1"/>
          <w:sz w:val="24"/>
          <w:szCs w:val="24"/>
        </w:rPr>
        <w:t xml:space="preserve">National Institute for Health and Care Excellence (NICE, 2015) </w:t>
      </w:r>
      <w:r w:rsidR="00F748E6" w:rsidRPr="00534089">
        <w:rPr>
          <w:color w:val="000000" w:themeColor="text1"/>
          <w:sz w:val="24"/>
          <w:szCs w:val="24"/>
        </w:rPr>
        <w:t xml:space="preserve">Home care: delivering personal care and practical support to older people living in their own homes. [Online]. Available from: </w:t>
      </w:r>
      <w:hyperlink r:id="rId14" w:anchor="ensuring-care-is-person-centred" w:history="1">
        <w:r w:rsidR="00F748E6" w:rsidRPr="00534089">
          <w:rPr>
            <w:rStyle w:val="Hyperlink"/>
            <w:color w:val="000000" w:themeColor="text1"/>
            <w:sz w:val="24"/>
            <w:szCs w:val="24"/>
            <w:u w:val="none"/>
          </w:rPr>
          <w:t>https://www.nice.org.uk/guidance/ng21/chapter/Recommendations#ensuring-care-is-person-centred</w:t>
        </w:r>
      </w:hyperlink>
      <w:r w:rsidR="00F748E6" w:rsidRPr="00534089">
        <w:rPr>
          <w:color w:val="000000" w:themeColor="text1"/>
          <w:sz w:val="24"/>
          <w:szCs w:val="24"/>
        </w:rPr>
        <w:t>. [Accessed on 14 April 2018].</w:t>
      </w:r>
      <w:r w:rsidR="00D66CF7" w:rsidRPr="00534089">
        <w:rPr>
          <w:sz w:val="24"/>
          <w:szCs w:val="24"/>
        </w:rPr>
        <w:t xml:space="preserve"> </w:t>
      </w:r>
    </w:p>
    <w:p w:rsidR="009810BF" w:rsidRDefault="009810BF" w:rsidP="00534089">
      <w:pPr>
        <w:pStyle w:val="NoSpacing"/>
        <w:rPr>
          <w:sz w:val="24"/>
          <w:szCs w:val="24"/>
        </w:rPr>
      </w:pPr>
    </w:p>
    <w:p w:rsidR="00A95B54" w:rsidRDefault="009810BF" w:rsidP="00534089">
      <w:pPr>
        <w:pStyle w:val="NoSpacing"/>
        <w:rPr>
          <w:sz w:val="24"/>
          <w:szCs w:val="24"/>
        </w:rPr>
      </w:pPr>
      <w:r w:rsidRPr="009810BF">
        <w:rPr>
          <w:bCs/>
          <w:sz w:val="24"/>
          <w:szCs w:val="24"/>
        </w:rPr>
        <w:t>Pembrokeshire</w:t>
      </w:r>
      <w:r w:rsidRPr="009810BF">
        <w:rPr>
          <w:sz w:val="24"/>
          <w:szCs w:val="24"/>
        </w:rPr>
        <w:t xml:space="preserve"> County Plan (2015)</w:t>
      </w:r>
      <w:r>
        <w:rPr>
          <w:sz w:val="24"/>
          <w:szCs w:val="24"/>
        </w:rPr>
        <w:t xml:space="preserve"> </w:t>
      </w:r>
      <w:r w:rsidRPr="009810BF">
        <w:rPr>
          <w:sz w:val="24"/>
          <w:szCs w:val="24"/>
        </w:rPr>
        <w:t>Hywel Dda University Health Board Draft 3 Year Integrated Medium Term Plan 2015/16 – 2017/18</w:t>
      </w:r>
      <w:r>
        <w:rPr>
          <w:sz w:val="24"/>
          <w:szCs w:val="24"/>
        </w:rPr>
        <w:t xml:space="preserve">. </w:t>
      </w:r>
      <w:r w:rsidRPr="009810BF">
        <w:rPr>
          <w:sz w:val="24"/>
          <w:szCs w:val="24"/>
        </w:rPr>
        <w:t>DRAFT Operational Delivery Plan 2015-16 Pembrokeshire County</w:t>
      </w:r>
      <w:r>
        <w:rPr>
          <w:sz w:val="24"/>
          <w:szCs w:val="24"/>
        </w:rPr>
        <w:t>.</w:t>
      </w:r>
    </w:p>
    <w:p w:rsidR="00A95B54" w:rsidRDefault="00A95B54" w:rsidP="00534089">
      <w:pPr>
        <w:pStyle w:val="NoSpacing"/>
        <w:rPr>
          <w:sz w:val="24"/>
          <w:szCs w:val="24"/>
        </w:rPr>
      </w:pPr>
    </w:p>
    <w:p w:rsidR="009810BF" w:rsidRPr="00534089" w:rsidRDefault="00A95B54" w:rsidP="00534089">
      <w:pPr>
        <w:pStyle w:val="NoSpacing"/>
        <w:rPr>
          <w:sz w:val="24"/>
          <w:szCs w:val="24"/>
        </w:rPr>
      </w:pPr>
      <w:r>
        <w:rPr>
          <w:sz w:val="24"/>
          <w:szCs w:val="24"/>
        </w:rPr>
        <w:t>Stake, R (1995)</w:t>
      </w:r>
      <w:r w:rsidRPr="00A95B54">
        <w:rPr>
          <w:sz w:val="24"/>
          <w:szCs w:val="24"/>
        </w:rPr>
        <w:t xml:space="preserve"> The Art of case study Research. Thousand Oaks, London, New Delhi: Sage</w:t>
      </w:r>
      <w:r w:rsidR="009810BF">
        <w:rPr>
          <w:sz w:val="24"/>
          <w:szCs w:val="24"/>
        </w:rPr>
        <w:t xml:space="preserve"> </w:t>
      </w:r>
    </w:p>
    <w:p w:rsidR="00534089" w:rsidRPr="00534089" w:rsidRDefault="00534089" w:rsidP="00534089">
      <w:pPr>
        <w:pStyle w:val="NoSpacing"/>
        <w:rPr>
          <w:sz w:val="24"/>
          <w:szCs w:val="24"/>
        </w:rPr>
      </w:pPr>
    </w:p>
    <w:p w:rsidR="00F748E6" w:rsidRDefault="00D66CF7" w:rsidP="00534089">
      <w:pPr>
        <w:pStyle w:val="NoSpacing"/>
        <w:rPr>
          <w:sz w:val="24"/>
          <w:szCs w:val="24"/>
        </w:rPr>
      </w:pPr>
      <w:r w:rsidRPr="00534089">
        <w:rPr>
          <w:sz w:val="24"/>
          <w:szCs w:val="24"/>
        </w:rPr>
        <w:t>Yin, R.K., (1984). Case Study Research: Design and Methods. Beverly Hills, Calif: Sage Publications</w:t>
      </w:r>
      <w:r w:rsidR="0087675B" w:rsidRPr="00534089">
        <w:rPr>
          <w:sz w:val="24"/>
          <w:szCs w:val="24"/>
        </w:rPr>
        <w:t>.</w:t>
      </w:r>
    </w:p>
    <w:p w:rsidR="002176D2" w:rsidRDefault="002176D2" w:rsidP="00534089">
      <w:pPr>
        <w:pStyle w:val="NoSpacing"/>
        <w:rPr>
          <w:sz w:val="24"/>
          <w:szCs w:val="24"/>
        </w:rPr>
      </w:pPr>
    </w:p>
    <w:p w:rsidR="002176D2" w:rsidRDefault="002176D2" w:rsidP="00534089">
      <w:pPr>
        <w:pStyle w:val="NoSpacing"/>
        <w:rPr>
          <w:sz w:val="24"/>
          <w:szCs w:val="24"/>
        </w:rPr>
      </w:pPr>
      <w:r>
        <w:rPr>
          <w:sz w:val="24"/>
          <w:szCs w:val="24"/>
        </w:rPr>
        <w:t>Yin, R K</w:t>
      </w:r>
      <w:r w:rsidRPr="002176D2">
        <w:rPr>
          <w:sz w:val="24"/>
          <w:szCs w:val="24"/>
        </w:rPr>
        <w:t xml:space="preserve"> (1984/1994). Case Study Research: Design and Methods. Thousand Oaks, London, New Delhi: Sage</w:t>
      </w:r>
      <w:r>
        <w:rPr>
          <w:sz w:val="24"/>
          <w:szCs w:val="24"/>
        </w:rPr>
        <w:t>.</w:t>
      </w:r>
    </w:p>
    <w:p w:rsidR="00C846C7" w:rsidRDefault="00C846C7" w:rsidP="00534089">
      <w:pPr>
        <w:pStyle w:val="NoSpacing"/>
        <w:rPr>
          <w:sz w:val="24"/>
          <w:szCs w:val="24"/>
        </w:rPr>
      </w:pPr>
    </w:p>
    <w:p w:rsidR="00C846C7" w:rsidRPr="00C846C7" w:rsidRDefault="00C846C7" w:rsidP="00C846C7">
      <w:pPr>
        <w:pStyle w:val="NoSpacing"/>
        <w:rPr>
          <w:rFonts w:cstheme="minorHAnsi"/>
          <w:sz w:val="24"/>
          <w:szCs w:val="24"/>
          <w:lang w:eastAsia="en-GB"/>
        </w:rPr>
      </w:pPr>
      <w:r w:rsidRPr="00C846C7">
        <w:rPr>
          <w:rFonts w:cstheme="minorHAnsi"/>
          <w:sz w:val="24"/>
          <w:szCs w:val="24"/>
          <w:lang w:eastAsia="en-GB"/>
        </w:rPr>
        <w:t>The Kings Fund, (2018) Pembrokeshire community resource team care planning/co-ordination process</w:t>
      </w:r>
      <w:r>
        <w:rPr>
          <w:rFonts w:cstheme="minorHAnsi"/>
          <w:sz w:val="24"/>
          <w:szCs w:val="24"/>
          <w:lang w:eastAsia="en-GB"/>
        </w:rPr>
        <w:t xml:space="preserve">. [Online]. Available at: </w:t>
      </w:r>
      <w:hyperlink r:id="rId15" w:history="1">
        <w:r w:rsidRPr="006C0DDB">
          <w:rPr>
            <w:rStyle w:val="Hyperlink"/>
            <w:rFonts w:cstheme="minorHAnsi"/>
            <w:color w:val="auto"/>
            <w:sz w:val="24"/>
            <w:szCs w:val="24"/>
            <w:u w:val="none"/>
            <w:lang w:eastAsia="en-GB"/>
          </w:rPr>
          <w:t>https://www.kingsfund.org.uk/publications/developing-community-resource-teams-pembrokeshire-wales/care-planning-process</w:t>
        </w:r>
      </w:hyperlink>
      <w:r>
        <w:rPr>
          <w:rFonts w:cstheme="minorHAnsi"/>
          <w:sz w:val="24"/>
          <w:szCs w:val="24"/>
          <w:lang w:eastAsia="en-GB"/>
        </w:rPr>
        <w:t xml:space="preserve">. [Accessed </w:t>
      </w:r>
      <w:r w:rsidR="006C0DDB">
        <w:rPr>
          <w:rFonts w:cstheme="minorHAnsi"/>
          <w:sz w:val="24"/>
          <w:szCs w:val="24"/>
          <w:lang w:eastAsia="en-GB"/>
        </w:rPr>
        <w:t>20 March 2018].</w:t>
      </w:r>
    </w:p>
    <w:p w:rsidR="00FF6AA3" w:rsidRDefault="00FF6AA3" w:rsidP="00534089">
      <w:pPr>
        <w:pStyle w:val="NoSpacing"/>
        <w:rPr>
          <w:sz w:val="24"/>
          <w:szCs w:val="24"/>
        </w:rPr>
      </w:pPr>
    </w:p>
    <w:p w:rsidR="00FF6AA3" w:rsidRPr="006C0DDB" w:rsidRDefault="00FF6AA3" w:rsidP="006C0DDB">
      <w:pPr>
        <w:pStyle w:val="Heading2"/>
        <w:spacing w:before="0" w:after="225"/>
        <w:rPr>
          <w:rFonts w:asciiTheme="minorHAnsi" w:eastAsia="Times New Roman" w:hAnsiTheme="minorHAnsi" w:cstheme="minorHAnsi"/>
          <w:color w:val="auto"/>
          <w:sz w:val="24"/>
          <w:szCs w:val="24"/>
          <w:lang w:eastAsia="en-GB"/>
        </w:rPr>
      </w:pPr>
      <w:r w:rsidRPr="00BA433E">
        <w:rPr>
          <w:rFonts w:asciiTheme="minorHAnsi" w:hAnsiTheme="minorHAnsi" w:cstheme="minorHAnsi"/>
          <w:color w:val="auto"/>
          <w:sz w:val="24"/>
          <w:szCs w:val="24"/>
        </w:rPr>
        <w:t>The Safeguarding Vulnerable Groups Act (SVGA</w:t>
      </w:r>
      <w:r w:rsidRPr="00BA433E">
        <w:rPr>
          <w:rFonts w:cstheme="minorHAnsi"/>
          <w:color w:val="auto"/>
          <w:sz w:val="24"/>
          <w:szCs w:val="24"/>
        </w:rPr>
        <w:t>,</w:t>
      </w:r>
      <w:r w:rsidRPr="00BA433E">
        <w:rPr>
          <w:rFonts w:asciiTheme="minorHAnsi" w:hAnsiTheme="minorHAnsi" w:cstheme="minorHAnsi"/>
          <w:color w:val="auto"/>
          <w:sz w:val="24"/>
          <w:szCs w:val="24"/>
        </w:rPr>
        <w:t xml:space="preserve"> 2006</w:t>
      </w:r>
      <w:r w:rsidRPr="00BA433E">
        <w:rPr>
          <w:color w:val="auto"/>
          <w:sz w:val="24"/>
          <w:szCs w:val="24"/>
        </w:rPr>
        <w:t xml:space="preserve">) </w:t>
      </w:r>
      <w:r w:rsidRPr="00FF6AA3">
        <w:rPr>
          <w:rFonts w:asciiTheme="minorHAnsi" w:eastAsia="Times New Roman" w:hAnsiTheme="minorHAnsi" w:cstheme="minorHAnsi"/>
          <w:color w:val="auto"/>
          <w:sz w:val="24"/>
          <w:szCs w:val="24"/>
          <w:lang w:eastAsia="en-GB"/>
        </w:rPr>
        <w:t>Key legislation - Legislation protecting vulnerable people from abuse</w:t>
      </w:r>
      <w:r>
        <w:rPr>
          <w:rFonts w:asciiTheme="minorHAnsi" w:eastAsia="Times New Roman" w:hAnsiTheme="minorHAnsi" w:cstheme="minorHAnsi"/>
          <w:color w:val="auto"/>
          <w:sz w:val="24"/>
          <w:szCs w:val="24"/>
          <w:lang w:eastAsia="en-GB"/>
        </w:rPr>
        <w:t xml:space="preserve"> </w:t>
      </w:r>
      <w:r w:rsidRPr="00FF6AA3">
        <w:rPr>
          <w:rFonts w:asciiTheme="minorHAnsi" w:hAnsiTheme="minorHAnsi" w:cstheme="minorHAnsi"/>
          <w:color w:val="auto"/>
          <w:sz w:val="24"/>
          <w:szCs w:val="24"/>
          <w:shd w:val="clear" w:color="auto" w:fill="FFFFFF"/>
        </w:rPr>
        <w:t>[online] Available at: http://www.scie.org.uk/care-</w:t>
      </w:r>
      <w:r w:rsidRPr="00FF6AA3">
        <w:rPr>
          <w:rStyle w:val="Emphasis"/>
          <w:rFonts w:asciiTheme="minorHAnsi" w:hAnsiTheme="minorHAnsi" w:cstheme="minorHAnsi"/>
          <w:bCs/>
          <w:i w:val="0"/>
          <w:iCs w:val="0"/>
          <w:color w:val="auto"/>
          <w:sz w:val="24"/>
          <w:szCs w:val="24"/>
          <w:shd w:val="clear" w:color="auto" w:fill="FFFFFF"/>
        </w:rPr>
        <w:t>act</w:t>
      </w:r>
      <w:r w:rsidRPr="00FF6AA3">
        <w:rPr>
          <w:rFonts w:asciiTheme="minorHAnsi" w:hAnsiTheme="minorHAnsi" w:cstheme="minorHAnsi"/>
          <w:color w:val="auto"/>
          <w:sz w:val="24"/>
          <w:szCs w:val="24"/>
          <w:shd w:val="clear" w:color="auto" w:fill="FFFFFF"/>
        </w:rPr>
        <w:t>-2014/</w:t>
      </w:r>
      <w:r w:rsidRPr="00FF6AA3">
        <w:rPr>
          <w:rStyle w:val="Emphasis"/>
          <w:rFonts w:asciiTheme="minorHAnsi" w:hAnsiTheme="minorHAnsi" w:cstheme="minorHAnsi"/>
          <w:bCs/>
          <w:i w:val="0"/>
          <w:iCs w:val="0"/>
          <w:color w:val="auto"/>
          <w:sz w:val="24"/>
          <w:szCs w:val="24"/>
          <w:shd w:val="clear" w:color="auto" w:fill="FFFFFF"/>
        </w:rPr>
        <w:t>safeguarding</w:t>
      </w:r>
      <w:r w:rsidRPr="00FF6AA3">
        <w:rPr>
          <w:rFonts w:asciiTheme="minorHAnsi" w:hAnsiTheme="minorHAnsi" w:cstheme="minorHAnsi"/>
          <w:color w:val="auto"/>
          <w:sz w:val="24"/>
          <w:szCs w:val="24"/>
          <w:shd w:val="clear" w:color="auto" w:fill="FFFFFF"/>
        </w:rPr>
        <w:t>-</w:t>
      </w:r>
      <w:r w:rsidRPr="00FF6AA3">
        <w:rPr>
          <w:rStyle w:val="Emphasis"/>
          <w:rFonts w:asciiTheme="minorHAnsi" w:hAnsiTheme="minorHAnsi" w:cstheme="minorHAnsi"/>
          <w:bCs/>
          <w:i w:val="0"/>
          <w:iCs w:val="0"/>
          <w:color w:val="auto"/>
          <w:sz w:val="24"/>
          <w:szCs w:val="24"/>
          <w:shd w:val="clear" w:color="auto" w:fill="FFFFFF"/>
        </w:rPr>
        <w:t>adults</w:t>
      </w:r>
      <w:r w:rsidR="00BA433E">
        <w:rPr>
          <w:rFonts w:asciiTheme="minorHAnsi" w:hAnsiTheme="minorHAnsi" w:cstheme="minorHAnsi"/>
          <w:color w:val="auto"/>
          <w:sz w:val="24"/>
          <w:szCs w:val="24"/>
          <w:shd w:val="clear" w:color="auto" w:fill="FFFFFF"/>
        </w:rPr>
        <w:t>/ [Accessed 27 March 2018</w:t>
      </w:r>
      <w:r w:rsidRPr="00FF6AA3">
        <w:rPr>
          <w:rFonts w:asciiTheme="minorHAnsi" w:hAnsiTheme="minorHAnsi" w:cstheme="minorHAnsi"/>
          <w:color w:val="auto"/>
          <w:sz w:val="24"/>
          <w:szCs w:val="24"/>
          <w:shd w:val="clear" w:color="auto" w:fill="FFFFFF"/>
        </w:rPr>
        <w:t>].</w:t>
      </w:r>
    </w:p>
    <w:p w:rsidR="00D66CF7" w:rsidRPr="00534089" w:rsidRDefault="0087675B" w:rsidP="00534089">
      <w:pPr>
        <w:pStyle w:val="NoSpacing"/>
        <w:rPr>
          <w:color w:val="000000" w:themeColor="text1"/>
          <w:sz w:val="24"/>
          <w:szCs w:val="24"/>
        </w:rPr>
      </w:pPr>
      <w:r w:rsidRPr="00534089">
        <w:rPr>
          <w:color w:val="000000" w:themeColor="text1"/>
          <w:sz w:val="24"/>
          <w:szCs w:val="24"/>
        </w:rPr>
        <w:t xml:space="preserve">Thiel, V., Sonola, L., </w:t>
      </w:r>
      <w:r w:rsidR="00E76231" w:rsidRPr="00534089">
        <w:rPr>
          <w:color w:val="000000" w:themeColor="text1"/>
          <w:sz w:val="24"/>
          <w:szCs w:val="24"/>
        </w:rPr>
        <w:t>Goodwin,</w:t>
      </w:r>
      <w:r w:rsidRPr="00534089">
        <w:rPr>
          <w:color w:val="000000" w:themeColor="text1"/>
          <w:sz w:val="24"/>
          <w:szCs w:val="24"/>
        </w:rPr>
        <w:t xml:space="preserve"> N., </w:t>
      </w:r>
      <w:r w:rsidR="00CF3C17" w:rsidRPr="00534089">
        <w:rPr>
          <w:color w:val="000000" w:themeColor="text1"/>
          <w:sz w:val="24"/>
          <w:szCs w:val="24"/>
        </w:rPr>
        <w:t>Kodner,</w:t>
      </w:r>
      <w:r w:rsidRPr="00534089">
        <w:rPr>
          <w:color w:val="000000" w:themeColor="text1"/>
          <w:sz w:val="24"/>
          <w:szCs w:val="24"/>
        </w:rPr>
        <w:t xml:space="preserve"> DL (2013) </w:t>
      </w:r>
      <w:r w:rsidRPr="00534089">
        <w:rPr>
          <w:sz w:val="24"/>
          <w:szCs w:val="24"/>
        </w:rPr>
        <w:t>Developing community resource teams in Pembrokeshire, Wales Integration of health and social care in progress. Co-ordinated care for people with complex chronic conditions. The Kings Fund.</w:t>
      </w:r>
    </w:p>
    <w:p w:rsidR="005D626D" w:rsidRPr="005D626D" w:rsidRDefault="005D626D" w:rsidP="00534089">
      <w:pPr>
        <w:pStyle w:val="NoSpacing"/>
      </w:pPr>
    </w:p>
    <w:sectPr w:rsidR="005D626D" w:rsidRPr="005D626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23BB" w:rsidRDefault="000423BB" w:rsidP="00963C50">
      <w:pPr>
        <w:spacing w:after="0" w:line="240" w:lineRule="auto"/>
      </w:pPr>
      <w:r>
        <w:separator/>
      </w:r>
    </w:p>
  </w:endnote>
  <w:endnote w:type="continuationSeparator" w:id="0">
    <w:p w:rsidR="000423BB" w:rsidRDefault="000423BB" w:rsidP="00963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altName w:val="Sylfaen"/>
    <w:panose1 w:val="020B05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8757982"/>
      <w:docPartObj>
        <w:docPartGallery w:val="Page Numbers (Bottom of Page)"/>
        <w:docPartUnique/>
      </w:docPartObj>
    </w:sdtPr>
    <w:sdtEndPr>
      <w:rPr>
        <w:color w:val="7F7F7F" w:themeColor="background1" w:themeShade="7F"/>
        <w:spacing w:val="60"/>
      </w:rPr>
    </w:sdtEndPr>
    <w:sdtContent>
      <w:p w:rsidR="00963C50" w:rsidRDefault="00963C50">
        <w:pPr>
          <w:pStyle w:val="Footer"/>
          <w:pBdr>
            <w:top w:val="single" w:sz="4" w:space="1" w:color="D9D9D9" w:themeColor="background1" w:themeShade="D9"/>
          </w:pBdr>
          <w:jc w:val="right"/>
        </w:pPr>
        <w:r>
          <w:fldChar w:fldCharType="begin"/>
        </w:r>
        <w:r>
          <w:instrText xml:space="preserve"> PAGE   \* MERGEFORMAT </w:instrText>
        </w:r>
        <w:r>
          <w:fldChar w:fldCharType="separate"/>
        </w:r>
        <w:r w:rsidR="002A151E">
          <w:rPr>
            <w:noProof/>
          </w:rPr>
          <w:t>2</w:t>
        </w:r>
        <w:r>
          <w:rPr>
            <w:noProof/>
          </w:rPr>
          <w:fldChar w:fldCharType="end"/>
        </w:r>
        <w:r>
          <w:t xml:space="preserve"> | </w:t>
        </w:r>
        <w:r>
          <w:rPr>
            <w:color w:val="7F7F7F" w:themeColor="background1" w:themeShade="7F"/>
            <w:spacing w:val="60"/>
          </w:rPr>
          <w:t>Page</w:t>
        </w:r>
      </w:p>
    </w:sdtContent>
  </w:sdt>
  <w:p w:rsidR="00963C50" w:rsidRDefault="00963C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23BB" w:rsidRDefault="000423BB" w:rsidP="00963C50">
      <w:pPr>
        <w:spacing w:after="0" w:line="240" w:lineRule="auto"/>
      </w:pPr>
      <w:r>
        <w:separator/>
      </w:r>
    </w:p>
  </w:footnote>
  <w:footnote w:type="continuationSeparator" w:id="0">
    <w:p w:rsidR="000423BB" w:rsidRDefault="000423BB" w:rsidP="00963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C9308D"/>
    <w:multiLevelType w:val="multilevel"/>
    <w:tmpl w:val="93C2E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EB290A"/>
    <w:multiLevelType w:val="hybridMultilevel"/>
    <w:tmpl w:val="B57C0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053F2"/>
    <w:multiLevelType w:val="multilevel"/>
    <w:tmpl w:val="87FE9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488"/>
    <w:rsid w:val="000423BB"/>
    <w:rsid w:val="000D4A50"/>
    <w:rsid w:val="00126488"/>
    <w:rsid w:val="00182142"/>
    <w:rsid w:val="001E0BDA"/>
    <w:rsid w:val="001F635F"/>
    <w:rsid w:val="002176D2"/>
    <w:rsid w:val="002375E4"/>
    <w:rsid w:val="00267E49"/>
    <w:rsid w:val="0027140B"/>
    <w:rsid w:val="00284CA2"/>
    <w:rsid w:val="00293DC0"/>
    <w:rsid w:val="002A151E"/>
    <w:rsid w:val="002E2A51"/>
    <w:rsid w:val="0034362F"/>
    <w:rsid w:val="003B0CE9"/>
    <w:rsid w:val="003B625F"/>
    <w:rsid w:val="003F4856"/>
    <w:rsid w:val="004A0D47"/>
    <w:rsid w:val="004B0688"/>
    <w:rsid w:val="004F2C18"/>
    <w:rsid w:val="004F6466"/>
    <w:rsid w:val="00534089"/>
    <w:rsid w:val="00570BF2"/>
    <w:rsid w:val="005D626D"/>
    <w:rsid w:val="0065644B"/>
    <w:rsid w:val="00696CAF"/>
    <w:rsid w:val="006C0DDB"/>
    <w:rsid w:val="007371A5"/>
    <w:rsid w:val="00753B6E"/>
    <w:rsid w:val="0087675B"/>
    <w:rsid w:val="008D6BDA"/>
    <w:rsid w:val="00963C50"/>
    <w:rsid w:val="009810BF"/>
    <w:rsid w:val="009A199A"/>
    <w:rsid w:val="00A521C5"/>
    <w:rsid w:val="00A67B01"/>
    <w:rsid w:val="00A95B54"/>
    <w:rsid w:val="00AB543E"/>
    <w:rsid w:val="00AD7B3A"/>
    <w:rsid w:val="00AF3161"/>
    <w:rsid w:val="00B27DC2"/>
    <w:rsid w:val="00B3191D"/>
    <w:rsid w:val="00BA433E"/>
    <w:rsid w:val="00BB3479"/>
    <w:rsid w:val="00BB648B"/>
    <w:rsid w:val="00BE7447"/>
    <w:rsid w:val="00C06150"/>
    <w:rsid w:val="00C846C7"/>
    <w:rsid w:val="00C903AC"/>
    <w:rsid w:val="00CF3C17"/>
    <w:rsid w:val="00D23B24"/>
    <w:rsid w:val="00D66CF7"/>
    <w:rsid w:val="00DE5379"/>
    <w:rsid w:val="00DF499B"/>
    <w:rsid w:val="00E50B53"/>
    <w:rsid w:val="00E52848"/>
    <w:rsid w:val="00E73E9C"/>
    <w:rsid w:val="00E76231"/>
    <w:rsid w:val="00E817F3"/>
    <w:rsid w:val="00E85FA1"/>
    <w:rsid w:val="00F211D3"/>
    <w:rsid w:val="00F627FB"/>
    <w:rsid w:val="00F748E6"/>
    <w:rsid w:val="00F80D5C"/>
    <w:rsid w:val="00FE321D"/>
    <w:rsid w:val="00FF6AA3"/>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984D7F1-F1C2-47C8-9E58-6B4106671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8E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F6A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26488"/>
    <w:pPr>
      <w:autoSpaceDE w:val="0"/>
      <w:autoSpaceDN w:val="0"/>
      <w:adjustRightInd w:val="0"/>
      <w:spacing w:after="0" w:line="240" w:lineRule="auto"/>
    </w:pPr>
    <w:rPr>
      <w:rFonts w:ascii="Arial" w:eastAsia="Times New Roman" w:hAnsi="Arial" w:cs="Arial"/>
      <w:color w:val="000000"/>
      <w:sz w:val="24"/>
      <w:szCs w:val="24"/>
      <w:lang w:val="en-US"/>
    </w:rPr>
  </w:style>
  <w:style w:type="paragraph" w:customStyle="1" w:styleId="numbered-paragraph">
    <w:name w:val="numbered-paragraph"/>
    <w:basedOn w:val="Normal"/>
    <w:rsid w:val="005D62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5D626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626D"/>
    <w:pPr>
      <w:ind w:left="720"/>
      <w:contextualSpacing/>
    </w:pPr>
  </w:style>
  <w:style w:type="character" w:customStyle="1" w:styleId="Heading1Char">
    <w:name w:val="Heading 1 Char"/>
    <w:basedOn w:val="DefaultParagraphFont"/>
    <w:link w:val="Heading1"/>
    <w:uiPriority w:val="9"/>
    <w:rsid w:val="00F748E6"/>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F748E6"/>
    <w:rPr>
      <w:color w:val="0563C1" w:themeColor="hyperlink"/>
      <w:u w:val="single"/>
    </w:rPr>
  </w:style>
  <w:style w:type="paragraph" w:styleId="Header">
    <w:name w:val="header"/>
    <w:basedOn w:val="Normal"/>
    <w:link w:val="HeaderChar"/>
    <w:uiPriority w:val="99"/>
    <w:unhideWhenUsed/>
    <w:rsid w:val="00963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C50"/>
  </w:style>
  <w:style w:type="paragraph" w:styleId="Footer">
    <w:name w:val="footer"/>
    <w:basedOn w:val="Normal"/>
    <w:link w:val="FooterChar"/>
    <w:uiPriority w:val="99"/>
    <w:unhideWhenUsed/>
    <w:rsid w:val="00963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C50"/>
  </w:style>
  <w:style w:type="paragraph" w:styleId="NoSpacing">
    <w:name w:val="No Spacing"/>
    <w:uiPriority w:val="1"/>
    <w:qFormat/>
    <w:rsid w:val="00534089"/>
    <w:pPr>
      <w:spacing w:after="0" w:line="240" w:lineRule="auto"/>
    </w:pPr>
  </w:style>
  <w:style w:type="character" w:styleId="Emphasis">
    <w:name w:val="Emphasis"/>
    <w:basedOn w:val="DefaultParagraphFont"/>
    <w:uiPriority w:val="20"/>
    <w:qFormat/>
    <w:rsid w:val="00753B6E"/>
    <w:rPr>
      <w:i/>
      <w:iCs/>
    </w:rPr>
  </w:style>
  <w:style w:type="character" w:customStyle="1" w:styleId="Heading2Char">
    <w:name w:val="Heading 2 Char"/>
    <w:basedOn w:val="DefaultParagraphFont"/>
    <w:link w:val="Heading2"/>
    <w:uiPriority w:val="9"/>
    <w:rsid w:val="00FF6AA3"/>
    <w:rPr>
      <w:rFonts w:asciiTheme="majorHAnsi" w:eastAsiaTheme="majorEastAsia" w:hAnsiTheme="majorHAnsi" w:cstheme="majorBidi"/>
      <w:color w:val="2E74B5" w:themeColor="accent1" w:themeShade="BF"/>
      <w:sz w:val="26"/>
      <w:szCs w:val="26"/>
    </w:rPr>
  </w:style>
  <w:style w:type="character" w:customStyle="1" w:styleId="UnresolvedMention1">
    <w:name w:val="Unresolved Mention1"/>
    <w:basedOn w:val="DefaultParagraphFont"/>
    <w:uiPriority w:val="99"/>
    <w:semiHidden/>
    <w:unhideWhenUsed/>
    <w:rsid w:val="00284CA2"/>
    <w:rPr>
      <w:color w:val="808080"/>
      <w:shd w:val="clear" w:color="auto" w:fill="E6E6E6"/>
    </w:rPr>
  </w:style>
  <w:style w:type="character" w:styleId="CommentReference">
    <w:name w:val="annotation reference"/>
    <w:basedOn w:val="DefaultParagraphFont"/>
    <w:uiPriority w:val="99"/>
    <w:semiHidden/>
    <w:unhideWhenUsed/>
    <w:rsid w:val="00FE321D"/>
    <w:rPr>
      <w:sz w:val="16"/>
      <w:szCs w:val="16"/>
    </w:rPr>
  </w:style>
  <w:style w:type="paragraph" w:styleId="CommentText">
    <w:name w:val="annotation text"/>
    <w:basedOn w:val="Normal"/>
    <w:link w:val="CommentTextChar"/>
    <w:uiPriority w:val="99"/>
    <w:semiHidden/>
    <w:unhideWhenUsed/>
    <w:rsid w:val="00FE321D"/>
    <w:pPr>
      <w:spacing w:line="240" w:lineRule="auto"/>
    </w:pPr>
    <w:rPr>
      <w:sz w:val="20"/>
      <w:szCs w:val="20"/>
    </w:rPr>
  </w:style>
  <w:style w:type="character" w:customStyle="1" w:styleId="CommentTextChar">
    <w:name w:val="Comment Text Char"/>
    <w:basedOn w:val="DefaultParagraphFont"/>
    <w:link w:val="CommentText"/>
    <w:uiPriority w:val="99"/>
    <w:semiHidden/>
    <w:rsid w:val="00FE321D"/>
    <w:rPr>
      <w:sz w:val="20"/>
      <w:szCs w:val="20"/>
    </w:rPr>
  </w:style>
  <w:style w:type="paragraph" w:styleId="CommentSubject">
    <w:name w:val="annotation subject"/>
    <w:basedOn w:val="CommentText"/>
    <w:next w:val="CommentText"/>
    <w:link w:val="CommentSubjectChar"/>
    <w:uiPriority w:val="99"/>
    <w:semiHidden/>
    <w:unhideWhenUsed/>
    <w:rsid w:val="00FE321D"/>
    <w:rPr>
      <w:b/>
      <w:bCs/>
    </w:rPr>
  </w:style>
  <w:style w:type="character" w:customStyle="1" w:styleId="CommentSubjectChar">
    <w:name w:val="Comment Subject Char"/>
    <w:basedOn w:val="CommentTextChar"/>
    <w:link w:val="CommentSubject"/>
    <w:uiPriority w:val="99"/>
    <w:semiHidden/>
    <w:rsid w:val="00FE321D"/>
    <w:rPr>
      <w:b/>
      <w:bCs/>
      <w:sz w:val="20"/>
      <w:szCs w:val="20"/>
    </w:rPr>
  </w:style>
  <w:style w:type="paragraph" w:styleId="BalloonText">
    <w:name w:val="Balloon Text"/>
    <w:basedOn w:val="Normal"/>
    <w:link w:val="BalloonTextChar"/>
    <w:uiPriority w:val="99"/>
    <w:semiHidden/>
    <w:unhideWhenUsed/>
    <w:rsid w:val="00FE32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321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294396">
      <w:bodyDiv w:val="1"/>
      <w:marLeft w:val="0"/>
      <w:marRight w:val="0"/>
      <w:marTop w:val="0"/>
      <w:marBottom w:val="0"/>
      <w:divBdr>
        <w:top w:val="none" w:sz="0" w:space="0" w:color="auto"/>
        <w:left w:val="none" w:sz="0" w:space="0" w:color="auto"/>
        <w:bottom w:val="none" w:sz="0" w:space="0" w:color="auto"/>
        <w:right w:val="none" w:sz="0" w:space="0" w:color="auto"/>
      </w:divBdr>
    </w:div>
    <w:div w:id="236061883">
      <w:bodyDiv w:val="1"/>
      <w:marLeft w:val="0"/>
      <w:marRight w:val="0"/>
      <w:marTop w:val="0"/>
      <w:marBottom w:val="0"/>
      <w:divBdr>
        <w:top w:val="none" w:sz="0" w:space="0" w:color="auto"/>
        <w:left w:val="none" w:sz="0" w:space="0" w:color="auto"/>
        <w:bottom w:val="none" w:sz="0" w:space="0" w:color="auto"/>
        <w:right w:val="none" w:sz="0" w:space="0" w:color="auto"/>
      </w:divBdr>
    </w:div>
    <w:div w:id="473723197">
      <w:bodyDiv w:val="1"/>
      <w:marLeft w:val="0"/>
      <w:marRight w:val="0"/>
      <w:marTop w:val="0"/>
      <w:marBottom w:val="0"/>
      <w:divBdr>
        <w:top w:val="none" w:sz="0" w:space="0" w:color="auto"/>
        <w:left w:val="none" w:sz="0" w:space="0" w:color="auto"/>
        <w:bottom w:val="none" w:sz="0" w:space="0" w:color="auto"/>
        <w:right w:val="none" w:sz="0" w:space="0" w:color="auto"/>
      </w:divBdr>
    </w:div>
    <w:div w:id="777259827">
      <w:bodyDiv w:val="1"/>
      <w:marLeft w:val="0"/>
      <w:marRight w:val="0"/>
      <w:marTop w:val="0"/>
      <w:marBottom w:val="0"/>
      <w:divBdr>
        <w:top w:val="none" w:sz="0" w:space="0" w:color="auto"/>
        <w:left w:val="none" w:sz="0" w:space="0" w:color="auto"/>
        <w:bottom w:val="none" w:sz="0" w:space="0" w:color="auto"/>
        <w:right w:val="none" w:sz="0" w:space="0" w:color="auto"/>
      </w:divBdr>
    </w:div>
    <w:div w:id="1115903990">
      <w:bodyDiv w:val="1"/>
      <w:marLeft w:val="0"/>
      <w:marRight w:val="0"/>
      <w:marTop w:val="0"/>
      <w:marBottom w:val="0"/>
      <w:divBdr>
        <w:top w:val="none" w:sz="0" w:space="0" w:color="auto"/>
        <w:left w:val="none" w:sz="0" w:space="0" w:color="auto"/>
        <w:bottom w:val="none" w:sz="0" w:space="0" w:color="auto"/>
        <w:right w:val="none" w:sz="0" w:space="0" w:color="auto"/>
      </w:divBdr>
    </w:div>
    <w:div w:id="1158572873">
      <w:bodyDiv w:val="1"/>
      <w:marLeft w:val="0"/>
      <w:marRight w:val="0"/>
      <w:marTop w:val="0"/>
      <w:marBottom w:val="0"/>
      <w:divBdr>
        <w:top w:val="none" w:sz="0" w:space="0" w:color="auto"/>
        <w:left w:val="none" w:sz="0" w:space="0" w:color="auto"/>
        <w:bottom w:val="none" w:sz="0" w:space="0" w:color="auto"/>
        <w:right w:val="none" w:sz="0" w:space="0" w:color="auto"/>
      </w:divBdr>
    </w:div>
    <w:div w:id="1227493203">
      <w:bodyDiv w:val="1"/>
      <w:marLeft w:val="0"/>
      <w:marRight w:val="0"/>
      <w:marTop w:val="0"/>
      <w:marBottom w:val="0"/>
      <w:divBdr>
        <w:top w:val="none" w:sz="0" w:space="0" w:color="auto"/>
        <w:left w:val="none" w:sz="0" w:space="0" w:color="auto"/>
        <w:bottom w:val="none" w:sz="0" w:space="0" w:color="auto"/>
        <w:right w:val="none" w:sz="0" w:space="0" w:color="auto"/>
      </w:divBdr>
      <w:divsChild>
        <w:div w:id="946086910">
          <w:marLeft w:val="960"/>
          <w:marRight w:val="0"/>
          <w:marTop w:val="0"/>
          <w:marBottom w:val="0"/>
          <w:divBdr>
            <w:top w:val="none" w:sz="0" w:space="0" w:color="auto"/>
            <w:left w:val="none" w:sz="0" w:space="0" w:color="auto"/>
            <w:bottom w:val="none" w:sz="0" w:space="0" w:color="auto"/>
            <w:right w:val="none" w:sz="0" w:space="0" w:color="auto"/>
          </w:divBdr>
        </w:div>
      </w:divsChild>
    </w:div>
    <w:div w:id="1322007013">
      <w:bodyDiv w:val="1"/>
      <w:marLeft w:val="0"/>
      <w:marRight w:val="0"/>
      <w:marTop w:val="0"/>
      <w:marBottom w:val="0"/>
      <w:divBdr>
        <w:top w:val="none" w:sz="0" w:space="0" w:color="auto"/>
        <w:left w:val="none" w:sz="0" w:space="0" w:color="auto"/>
        <w:bottom w:val="none" w:sz="0" w:space="0" w:color="auto"/>
        <w:right w:val="none" w:sz="0" w:space="0" w:color="auto"/>
      </w:divBdr>
    </w:div>
    <w:div w:id="1547568305">
      <w:bodyDiv w:val="1"/>
      <w:marLeft w:val="0"/>
      <w:marRight w:val="0"/>
      <w:marTop w:val="0"/>
      <w:marBottom w:val="0"/>
      <w:divBdr>
        <w:top w:val="none" w:sz="0" w:space="0" w:color="auto"/>
        <w:left w:val="none" w:sz="0" w:space="0" w:color="auto"/>
        <w:bottom w:val="none" w:sz="0" w:space="0" w:color="auto"/>
        <w:right w:val="none" w:sz="0" w:space="0" w:color="auto"/>
      </w:divBdr>
    </w:div>
    <w:div w:id="1939604381">
      <w:bodyDiv w:val="1"/>
      <w:marLeft w:val="0"/>
      <w:marRight w:val="0"/>
      <w:marTop w:val="0"/>
      <w:marBottom w:val="0"/>
      <w:divBdr>
        <w:top w:val="none" w:sz="0" w:space="0" w:color="auto"/>
        <w:left w:val="none" w:sz="0" w:space="0" w:color="auto"/>
        <w:bottom w:val="none" w:sz="0" w:space="0" w:color="auto"/>
        <w:right w:val="none" w:sz="0" w:space="0" w:color="auto"/>
      </w:divBdr>
    </w:div>
    <w:div w:id="2012679930">
      <w:bodyDiv w:val="1"/>
      <w:marLeft w:val="0"/>
      <w:marRight w:val="0"/>
      <w:marTop w:val="0"/>
      <w:marBottom w:val="0"/>
      <w:divBdr>
        <w:top w:val="none" w:sz="0" w:space="0" w:color="auto"/>
        <w:left w:val="none" w:sz="0" w:space="0" w:color="auto"/>
        <w:bottom w:val="none" w:sz="0" w:space="0" w:color="auto"/>
        <w:right w:val="none" w:sz="0" w:space="0" w:color="auto"/>
      </w:divBdr>
      <w:divsChild>
        <w:div w:id="2044477384">
          <w:marLeft w:val="960"/>
          <w:marRight w:val="0"/>
          <w:marTop w:val="0"/>
          <w:marBottom w:val="0"/>
          <w:divBdr>
            <w:top w:val="none" w:sz="0" w:space="0" w:color="auto"/>
            <w:left w:val="none" w:sz="0" w:space="0" w:color="auto"/>
            <w:bottom w:val="none" w:sz="0" w:space="0" w:color="auto"/>
            <w:right w:val="none" w:sz="0" w:space="0" w:color="auto"/>
          </w:divBdr>
        </w:div>
      </w:divsChild>
    </w:div>
    <w:div w:id="2039350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node/4025" TargetMode="External"/><Relationship Id="rId13" Type="http://schemas.openxmlformats.org/officeDocument/2006/relationships/hyperlink" Target="http://www.wales.nhs.uk/documents/36039.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ich.co.uk/elderly-care/housing-options/domiciliary-care/342899-the-benefits-and-drawbacks-of-home-care-servic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h.gov.uk/prod_consum_dh/groups/dh_digitalassets/@dh/@en/documents/digitalasset/dh_4127915.pdf" TargetMode="External"/><Relationship Id="rId5" Type="http://schemas.openxmlformats.org/officeDocument/2006/relationships/webSettings" Target="webSettings.xml"/><Relationship Id="rId15" Type="http://schemas.openxmlformats.org/officeDocument/2006/relationships/hyperlink" Target="https://www.kingsfund.org.uk/publications/developing-community-resource-teams-pembrokeshire-wales/care-planning-process" TargetMode="Externa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gov.uk/equality-act-2010-guidance" TargetMode="External"/><Relationship Id="rId14" Type="http://schemas.openxmlformats.org/officeDocument/2006/relationships/hyperlink" Target="https://www.nice.org.uk/guidance/ng21/chapter/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72A5B-D31C-46B8-BFF2-BD67AE1DA7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2473</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Keresia Chihota (P150924)</dc:creator>
  <cp:keywords/>
  <dc:description/>
  <cp:lastModifiedBy>Ben Duxbury</cp:lastModifiedBy>
  <cp:revision>2</cp:revision>
  <dcterms:created xsi:type="dcterms:W3CDTF">2018-06-06T11:27:00Z</dcterms:created>
  <dcterms:modified xsi:type="dcterms:W3CDTF">2018-06-06T11:27:00Z</dcterms:modified>
</cp:coreProperties>
</file>