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50117" w14:textId="77777777" w:rsidR="001E0357" w:rsidRDefault="001E0357" w:rsidP="001E0357">
      <w:pPr>
        <w:pStyle w:val="NormalWeb"/>
        <w:spacing w:before="0" w:beforeAutospacing="0" w:after="0" w:afterAutospacing="0" w:line="324" w:lineRule="atLeast"/>
        <w:rPr>
          <w:color w:val="000000"/>
          <w:sz w:val="27"/>
          <w:szCs w:val="27"/>
        </w:rPr>
      </w:pPr>
      <w:r>
        <w:rPr>
          <w:rStyle w:val="s2"/>
          <w:rFonts w:ascii="Times New Roman" w:hAnsi="Times New Roman" w:cs="Times New Roman"/>
          <w:b/>
          <w:bCs/>
          <w:color w:val="212529"/>
          <w:sz w:val="27"/>
          <w:szCs w:val="27"/>
          <w:shd w:val="clear" w:color="auto" w:fill="FFFFFF"/>
        </w:rPr>
        <w:t>How effective are cognitive interviews as a means of obtaining initial accounts from victims and witnesses? Your answer must be based on academic research.</w:t>
      </w:r>
    </w:p>
    <w:p w14:paraId="59B7999C" w14:textId="77777777"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 </w:t>
      </w:r>
    </w:p>
    <w:p w14:paraId="738CCFBC" w14:textId="77777777"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 xml:space="preserve">The cognitive interview (CI) was developed by Fisher and </w:t>
      </w:r>
      <w:proofErr w:type="spellStart"/>
      <w:r>
        <w:rPr>
          <w:rStyle w:val="s3"/>
          <w:rFonts w:ascii="Times New Roman" w:hAnsi="Times New Roman" w:cs="Times New Roman"/>
          <w:color w:val="000000"/>
          <w:sz w:val="27"/>
          <w:szCs w:val="27"/>
          <w:shd w:val="clear" w:color="auto" w:fill="FFFFFF"/>
        </w:rPr>
        <w:t>Geiselman</w:t>
      </w:r>
      <w:proofErr w:type="spellEnd"/>
      <w:r>
        <w:rPr>
          <w:rStyle w:val="s3"/>
          <w:rFonts w:ascii="Times New Roman" w:hAnsi="Times New Roman" w:cs="Times New Roman"/>
          <w:color w:val="000000"/>
          <w:sz w:val="27"/>
          <w:szCs w:val="27"/>
          <w:shd w:val="clear" w:color="auto" w:fill="FFFFFF"/>
        </w:rPr>
        <w:t xml:space="preserve"> (1992) as a way of enhancing the completeness of recalls. It is a non-suggestive interview that is centred on the witness with specific communication rules designed to enhance the responsiveness. The aim of the CI is to make the witnesses and victims aware of the events of the crime </w:t>
      </w:r>
      <w:proofErr w:type="gramStart"/>
      <w:r>
        <w:rPr>
          <w:rStyle w:val="s3"/>
          <w:rFonts w:ascii="Times New Roman" w:hAnsi="Times New Roman" w:cs="Times New Roman"/>
          <w:color w:val="000000"/>
          <w:sz w:val="27"/>
          <w:szCs w:val="27"/>
          <w:shd w:val="clear" w:color="auto" w:fill="FFFFFF"/>
        </w:rPr>
        <w:t>scene, and</w:t>
      </w:r>
      <w:proofErr w:type="gramEnd"/>
      <w:r>
        <w:rPr>
          <w:rStyle w:val="s3"/>
          <w:rFonts w:ascii="Times New Roman" w:hAnsi="Times New Roman" w:cs="Times New Roman"/>
          <w:color w:val="000000"/>
          <w:sz w:val="27"/>
          <w:szCs w:val="27"/>
          <w:shd w:val="clear" w:color="auto" w:fill="FFFFFF"/>
        </w:rPr>
        <w:t xml:space="preserve"> aims to reduce the level of misinterpretation while helping elicit memory retrieval (Fisher and </w:t>
      </w:r>
      <w:proofErr w:type="spellStart"/>
      <w:r>
        <w:rPr>
          <w:rStyle w:val="s3"/>
          <w:rFonts w:ascii="Times New Roman" w:hAnsi="Times New Roman" w:cs="Times New Roman"/>
          <w:color w:val="000000"/>
          <w:sz w:val="27"/>
          <w:szCs w:val="27"/>
          <w:shd w:val="clear" w:color="auto" w:fill="FFFFFF"/>
        </w:rPr>
        <w:t>Geiselman</w:t>
      </w:r>
      <w:proofErr w:type="spellEnd"/>
      <w:r>
        <w:rPr>
          <w:rStyle w:val="s3"/>
          <w:rFonts w:ascii="Times New Roman" w:hAnsi="Times New Roman" w:cs="Times New Roman"/>
          <w:color w:val="000000"/>
          <w:sz w:val="27"/>
          <w:szCs w:val="27"/>
          <w:shd w:val="clear" w:color="auto" w:fill="FFFFFF"/>
        </w:rPr>
        <w:t>, 1992). It has been frequently deployed in police interviewing, but there have been some challenges that can undermine its usefulness in some contexts (Ashkenazi and Fisher, 2022). In this essay, the effectiveness of the CI in situations of duress and high stress will be considered. Secondly, it will consider the effectiveness of the CI in situations in which witnesses were intoxicated. Thirdly, its effectiveness in terms of its treatment for victims will be considered. </w:t>
      </w:r>
    </w:p>
    <w:p w14:paraId="7C0A45DF"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31276F7A" w14:textId="77777777"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Studies examine the effectiveness of cognitive interviews under duress have shown that situations of emotional stress enhance the extent to which individuals retrieve the central details of the event but may also impair the extent to which peripheral details are retrieved. Stress that is experienced during encoding can affect the process of retrieval (Shields et al. 2017). </w:t>
      </w:r>
      <w:proofErr w:type="spellStart"/>
      <w:r>
        <w:rPr>
          <w:rStyle w:val="s3"/>
          <w:rFonts w:ascii="Times New Roman" w:hAnsi="Times New Roman" w:cs="Times New Roman"/>
          <w:color w:val="000000"/>
          <w:sz w:val="27"/>
          <w:szCs w:val="27"/>
          <w:shd w:val="clear" w:color="auto" w:fill="FFFFFF"/>
        </w:rPr>
        <w:t>Dodier</w:t>
      </w:r>
      <w:proofErr w:type="spellEnd"/>
      <w:r>
        <w:rPr>
          <w:rStyle w:val="s3"/>
          <w:rFonts w:ascii="Times New Roman" w:hAnsi="Times New Roman" w:cs="Times New Roman"/>
          <w:color w:val="000000"/>
          <w:sz w:val="27"/>
          <w:szCs w:val="27"/>
          <w:shd w:val="clear" w:color="auto" w:fill="FFFFFF"/>
        </w:rPr>
        <w:t xml:space="preserve"> et al. (2021) examine the effect of high stress on the victims of road traffic accidents, and it was found that even when high stress and low stress participants recalled more details when interviewed using a CI approach. However, although this study was effective in comparing the use of a CI approach, relatively few participants were applied, with only 56 participants in total (</w:t>
      </w:r>
      <w:proofErr w:type="spellStart"/>
      <w:r>
        <w:rPr>
          <w:rStyle w:val="s3"/>
          <w:rFonts w:ascii="Times New Roman" w:hAnsi="Times New Roman" w:cs="Times New Roman"/>
          <w:color w:val="000000"/>
          <w:sz w:val="27"/>
          <w:szCs w:val="27"/>
          <w:shd w:val="clear" w:color="auto" w:fill="FFFFFF"/>
        </w:rPr>
        <w:t>Dodier</w:t>
      </w:r>
      <w:proofErr w:type="spellEnd"/>
      <w:r>
        <w:rPr>
          <w:rStyle w:val="s3"/>
          <w:rFonts w:ascii="Times New Roman" w:hAnsi="Times New Roman" w:cs="Times New Roman"/>
          <w:color w:val="000000"/>
          <w:sz w:val="27"/>
          <w:szCs w:val="27"/>
          <w:shd w:val="clear" w:color="auto" w:fill="FFFFFF"/>
        </w:rPr>
        <w:t xml:space="preserve"> et al. 2021). Furthermore, the applicability of the CI approach to a traffic accident does not necessarily reflect its usefulness for a wider set of approaches. Nevertheless, it illustrates that the application of the CI is useful for improving retrieval in these contexts. </w:t>
      </w:r>
    </w:p>
    <w:p w14:paraId="50EC71B6"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19D33D85" w14:textId="66D15762"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Crossland et al. (2020) identify that the use of the CI can be enhanced to improve witness recall in situations in which they were intoxicated. These involved participants being instructed to watch a video while either intoxicated or sober, and then interviewed on their recall of detail. This process indicated that the CI approach could be enhanced for an effective recall (Crossland et al. 2020). A limitation of this approach is that this was a laboratory study, which may limit its applicability to real-world contexts. </w:t>
      </w:r>
    </w:p>
    <w:p w14:paraId="57EBC818"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76CC8243" w14:textId="122B0139"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There are some concerns that the application of the CI approach may mislead those relying on the evidence and thus present a disservice to victims. </w:t>
      </w:r>
      <w:proofErr w:type="spellStart"/>
      <w:r>
        <w:rPr>
          <w:rStyle w:val="s3"/>
          <w:rFonts w:ascii="Times New Roman" w:hAnsi="Times New Roman" w:cs="Times New Roman"/>
          <w:color w:val="000000"/>
          <w:sz w:val="27"/>
          <w:szCs w:val="27"/>
          <w:shd w:val="clear" w:color="auto" w:fill="FFFFFF"/>
        </w:rPr>
        <w:t>Westera</w:t>
      </w:r>
      <w:proofErr w:type="spellEnd"/>
      <w:r>
        <w:rPr>
          <w:rStyle w:val="s3"/>
          <w:rFonts w:ascii="Times New Roman" w:hAnsi="Times New Roman" w:cs="Times New Roman"/>
          <w:color w:val="000000"/>
          <w:sz w:val="27"/>
          <w:szCs w:val="27"/>
          <w:shd w:val="clear" w:color="auto" w:fill="FFFFFF"/>
        </w:rPr>
        <w:t> et al. (2017) state that Prosecutors in New Zealand have </w:t>
      </w:r>
      <w:proofErr w:type="gramStart"/>
      <w:r>
        <w:rPr>
          <w:rStyle w:val="s3"/>
          <w:rFonts w:ascii="Times New Roman" w:hAnsi="Times New Roman" w:cs="Times New Roman"/>
          <w:color w:val="000000"/>
          <w:sz w:val="27"/>
          <w:szCs w:val="27"/>
          <w:shd w:val="clear" w:color="auto" w:fill="FFFFFF"/>
        </w:rPr>
        <w:t>a number of</w:t>
      </w:r>
      <w:proofErr w:type="gramEnd"/>
      <w:r>
        <w:rPr>
          <w:rStyle w:val="s3"/>
          <w:rFonts w:ascii="Times New Roman" w:hAnsi="Times New Roman" w:cs="Times New Roman"/>
          <w:color w:val="000000"/>
          <w:sz w:val="27"/>
          <w:szCs w:val="27"/>
          <w:shd w:val="clear" w:color="auto" w:fill="FFFFFF"/>
        </w:rPr>
        <w:t xml:space="preserve"> concerns of how CI is used to obtain information from victims of rape, in that the use of CI involved a pursuit of unnecessary detail and provides evidence that is far removed from usual human </w:t>
      </w:r>
      <w:r>
        <w:rPr>
          <w:rStyle w:val="s3"/>
          <w:rFonts w:ascii="Times New Roman" w:hAnsi="Times New Roman" w:cs="Times New Roman"/>
          <w:color w:val="000000"/>
          <w:sz w:val="27"/>
          <w:szCs w:val="27"/>
          <w:shd w:val="clear" w:color="auto" w:fill="FFFFFF"/>
        </w:rPr>
        <w:lastRenderedPageBreak/>
        <w:t>interaction. </w:t>
      </w:r>
      <w:proofErr w:type="gramStart"/>
      <w:r>
        <w:rPr>
          <w:rStyle w:val="s3"/>
          <w:rFonts w:ascii="Times New Roman" w:hAnsi="Times New Roman" w:cs="Times New Roman"/>
          <w:color w:val="000000"/>
          <w:sz w:val="27"/>
          <w:szCs w:val="27"/>
          <w:shd w:val="clear" w:color="auto" w:fill="FFFFFF"/>
        </w:rPr>
        <w:t>In particular, where</w:t>
      </w:r>
      <w:proofErr w:type="gramEnd"/>
      <w:r>
        <w:rPr>
          <w:rStyle w:val="s3"/>
          <w:rFonts w:ascii="Times New Roman" w:hAnsi="Times New Roman" w:cs="Times New Roman"/>
          <w:color w:val="000000"/>
          <w:sz w:val="27"/>
          <w:szCs w:val="27"/>
          <w:shd w:val="clear" w:color="auto" w:fill="FFFFFF"/>
        </w:rPr>
        <w:t> jurors watch videos of interviews using CI, the processes involved in CI can undermine the credibility of witnesses in cases where the police give long instructions to the complainant, a lack of chronological structure, and a focus upon detail that is not necessary (</w:t>
      </w:r>
      <w:proofErr w:type="spellStart"/>
      <w:r>
        <w:rPr>
          <w:rStyle w:val="s3"/>
          <w:rFonts w:ascii="Times New Roman" w:hAnsi="Times New Roman" w:cs="Times New Roman"/>
          <w:color w:val="000000"/>
          <w:sz w:val="27"/>
          <w:szCs w:val="27"/>
          <w:shd w:val="clear" w:color="auto" w:fill="FFFFFF"/>
        </w:rPr>
        <w:t>Westera</w:t>
      </w:r>
      <w:proofErr w:type="spellEnd"/>
      <w:r>
        <w:rPr>
          <w:rStyle w:val="s3"/>
          <w:rFonts w:ascii="Times New Roman" w:hAnsi="Times New Roman" w:cs="Times New Roman"/>
          <w:color w:val="000000"/>
          <w:sz w:val="27"/>
          <w:szCs w:val="27"/>
          <w:shd w:val="clear" w:color="auto" w:fill="FFFFFF"/>
        </w:rPr>
        <w:t> et al. 2017). However, this does not deny the effectiveness of the CI approach </w:t>
      </w:r>
      <w:proofErr w:type="gramStart"/>
      <w:r>
        <w:rPr>
          <w:rStyle w:val="s3"/>
          <w:rFonts w:ascii="Times New Roman" w:hAnsi="Times New Roman" w:cs="Times New Roman"/>
          <w:color w:val="000000"/>
          <w:sz w:val="27"/>
          <w:szCs w:val="27"/>
          <w:shd w:val="clear" w:color="auto" w:fill="FFFFFF"/>
        </w:rPr>
        <w:t>as a whole but</w:t>
      </w:r>
      <w:proofErr w:type="gramEnd"/>
      <w:r>
        <w:rPr>
          <w:rStyle w:val="s3"/>
          <w:rFonts w:ascii="Times New Roman" w:hAnsi="Times New Roman" w:cs="Times New Roman"/>
          <w:color w:val="000000"/>
          <w:sz w:val="27"/>
          <w:szCs w:val="27"/>
          <w:shd w:val="clear" w:color="auto" w:fill="FFFFFF"/>
        </w:rPr>
        <w:t> suggests that it can be used to provide details that might be subject to misinterpretation. It can also be argued that the use of CI in such cases is due to the use of the interviews to provide substantive amounts of detail, rather than to do with the interviews themselves. </w:t>
      </w:r>
    </w:p>
    <w:p w14:paraId="1EAE4226"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1E2C5E62" w14:textId="705713E9"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There is also some potential that CI can contribute to the implantation of false memories in witnesses, which would undermine the usefulness of the process. Sharman et al. (2013) examine the extent to which CI instructions affected the development of false memories in </w:t>
      </w:r>
      <w:r w:rsidR="008F1CEA">
        <w:rPr>
          <w:rStyle w:val="s3"/>
          <w:rFonts w:ascii="Times New Roman" w:hAnsi="Times New Roman" w:cs="Times New Roman"/>
          <w:color w:val="000000"/>
          <w:sz w:val="27"/>
          <w:szCs w:val="27"/>
          <w:shd w:val="clear" w:color="auto" w:fill="FFFFFF"/>
        </w:rPr>
        <w:t>witnesses and</w:t>
      </w:r>
      <w:r>
        <w:rPr>
          <w:rStyle w:val="s3"/>
          <w:rFonts w:ascii="Times New Roman" w:hAnsi="Times New Roman" w:cs="Times New Roman"/>
          <w:color w:val="000000"/>
          <w:sz w:val="27"/>
          <w:szCs w:val="27"/>
          <w:shd w:val="clear" w:color="auto" w:fill="FFFFFF"/>
        </w:rPr>
        <w:t> found that there was little or no effect. However, Shaw and Porter (2015) identify that suggestive interviewing techniques can reduce the likelihood of incorrect information, and the cognitive interview is able to provide greater accuracy without increasing the false statements that might be made by a witness. Nevertheless, further research is required for an understanding of the effectiveness of CI when compared to other police interviews such as the PEACE method (Paulo et al. 2017). </w:t>
      </w:r>
    </w:p>
    <w:p w14:paraId="272DA062"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1C6E8DB8" w14:textId="77777777"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The effectiveness of CI as a technique for obtaining initial accounts from victims and witnesses may also be judged by how effective it is for the treatment of victims. Limitations of the CI approach is discussed by Houston-</w:t>
      </w:r>
      <w:proofErr w:type="spellStart"/>
      <w:r>
        <w:rPr>
          <w:rStyle w:val="s3"/>
          <w:rFonts w:ascii="Times New Roman" w:hAnsi="Times New Roman" w:cs="Times New Roman"/>
          <w:color w:val="000000"/>
          <w:sz w:val="27"/>
          <w:szCs w:val="27"/>
          <w:shd w:val="clear" w:color="auto" w:fill="FFFFFF"/>
        </w:rPr>
        <w:t>Kolnik</w:t>
      </w:r>
      <w:proofErr w:type="spellEnd"/>
      <w:r>
        <w:rPr>
          <w:rStyle w:val="s3"/>
          <w:rFonts w:ascii="Times New Roman" w:hAnsi="Times New Roman" w:cs="Times New Roman"/>
          <w:color w:val="000000"/>
          <w:sz w:val="27"/>
          <w:szCs w:val="27"/>
          <w:shd w:val="clear" w:color="auto" w:fill="FFFFFF"/>
        </w:rPr>
        <w:t xml:space="preserve"> and Vasquez (2022), who identify that this approach can be effective by normalising survivor experiences, empowering survivors and ensuring that trauma is not increased. However, Webster et al. (2020) state that an analysis of interviews with adult rape victims indicate that it is possible for CI approaches to result in useful data, even where there is a range of appropriate or inappropriate responses to questions. Through an analysis of interviews with rape victims, Webster et al. (2020) believe that guidance can offer ways in which empathy may be effectively communicated, and to ensure that attentive or inattentive questions are expressed. The challenge that this issue illustrates is that the CI approach may be applied differently and may need refining, but such criticisms did not negate the effectiveness of the CI as an appropriate approach to support the needs of victims. </w:t>
      </w:r>
    </w:p>
    <w:p w14:paraId="583F9592"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1A59F80E" w14:textId="422C49C9"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In conclusion, CI can be seen as an effective approach to </w:t>
      </w:r>
      <w:r w:rsidR="008F1CEA">
        <w:rPr>
          <w:rStyle w:val="s3"/>
          <w:rFonts w:ascii="Times New Roman" w:hAnsi="Times New Roman" w:cs="Times New Roman"/>
          <w:color w:val="000000"/>
          <w:sz w:val="27"/>
          <w:szCs w:val="27"/>
          <w:shd w:val="clear" w:color="auto" w:fill="FFFFFF"/>
        </w:rPr>
        <w:t>interviewing but</w:t>
      </w:r>
      <w:r>
        <w:rPr>
          <w:rStyle w:val="s3"/>
          <w:rFonts w:ascii="Times New Roman" w:hAnsi="Times New Roman" w:cs="Times New Roman"/>
          <w:color w:val="000000"/>
          <w:sz w:val="27"/>
          <w:szCs w:val="27"/>
          <w:shd w:val="clear" w:color="auto" w:fill="FFFFFF"/>
        </w:rPr>
        <w:t xml:space="preserve"> may require some degree of refinement. CI has been found to be effective in improving the accuracy of memory retrieval while not imputing false memories in witnesses. The usefulness of the information drawn from the CI can be questioned in some cases because in one study, it was found that prosecutors and juries found there to be too much unnecessary detail in their accounts. It may also be argued that CI approach does not necessarily reflect empathy for the victims of some crimes. Such </w:t>
      </w:r>
      <w:r>
        <w:rPr>
          <w:rStyle w:val="s3"/>
          <w:rFonts w:ascii="Times New Roman" w:hAnsi="Times New Roman" w:cs="Times New Roman"/>
          <w:color w:val="000000"/>
          <w:sz w:val="27"/>
          <w:szCs w:val="27"/>
          <w:shd w:val="clear" w:color="auto" w:fill="FFFFFF"/>
        </w:rPr>
        <w:lastRenderedPageBreak/>
        <w:t>criticisms may, however, indicate that greater attention may be made to how the CI is used and the nature of its application, and not a criticism of the CI itself. </w:t>
      </w:r>
    </w:p>
    <w:p w14:paraId="088DE7CA"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1135E5DC" w14:textId="258290D2"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Word Count – 1015</w:t>
      </w:r>
    </w:p>
    <w:p w14:paraId="52CC4475" w14:textId="77777777" w:rsidR="001E0357" w:rsidRDefault="001E0357" w:rsidP="001E0357">
      <w:pPr>
        <w:pStyle w:val="NormalWeb"/>
        <w:spacing w:before="0" w:beforeAutospacing="0" w:after="0" w:afterAutospacing="0" w:line="324" w:lineRule="atLeast"/>
        <w:rPr>
          <w:color w:val="000000"/>
          <w:sz w:val="27"/>
          <w:szCs w:val="27"/>
        </w:rPr>
      </w:pPr>
    </w:p>
    <w:p w14:paraId="5BBFF14D" w14:textId="77777777" w:rsidR="001E0357" w:rsidRDefault="001E0357" w:rsidP="001E0357">
      <w:pPr>
        <w:pStyle w:val="NormalWeb"/>
        <w:spacing w:before="0" w:beforeAutospacing="0" w:after="0" w:afterAutospacing="0" w:line="324" w:lineRule="atLeast"/>
        <w:rPr>
          <w:color w:val="000000"/>
          <w:sz w:val="27"/>
          <w:szCs w:val="27"/>
        </w:rPr>
      </w:pPr>
      <w:r>
        <w:rPr>
          <w:rStyle w:val="s8"/>
          <w:rFonts w:ascii="Times New Roman" w:hAnsi="Times New Roman" w:cs="Times New Roman"/>
          <w:b/>
          <w:bCs/>
          <w:color w:val="000000"/>
          <w:sz w:val="27"/>
          <w:szCs w:val="27"/>
        </w:rPr>
        <w:t>Examine the various socio-economic and psychological characteristics which can make people vulnerable to exploitation by criminal gangs. Your answer must be based on academic rather than personal experience.</w:t>
      </w:r>
    </w:p>
    <w:p w14:paraId="6D9902A4" w14:textId="77777777"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 </w:t>
      </w:r>
    </w:p>
    <w:p w14:paraId="22074E75" w14:textId="2DC6AF34" w:rsidR="001E0357" w:rsidRDefault="001E0357" w:rsidP="001E0357">
      <w:pPr>
        <w:pStyle w:val="s4"/>
        <w:spacing w:before="0" w:beforeAutospacing="0" w:after="0" w:afterAutospacing="0"/>
        <w:jc w:val="both"/>
        <w:rPr>
          <w:color w:val="000000"/>
          <w:sz w:val="27"/>
          <w:szCs w:val="27"/>
        </w:rPr>
      </w:pPr>
      <w:r>
        <w:rPr>
          <w:rStyle w:val="s9"/>
          <w:rFonts w:ascii="Times New Roman" w:hAnsi="Times New Roman" w:cs="Times New Roman"/>
          <w:color w:val="000000"/>
          <w:sz w:val="27"/>
          <w:szCs w:val="27"/>
        </w:rPr>
        <w:t xml:space="preserve">Criminal gangs frequently exploit vulnerable people in society, such as young, economically marginalised </w:t>
      </w:r>
      <w:r w:rsidR="008F1CEA">
        <w:rPr>
          <w:rStyle w:val="s9"/>
          <w:rFonts w:ascii="Times New Roman" w:hAnsi="Times New Roman" w:cs="Times New Roman"/>
          <w:color w:val="000000"/>
          <w:sz w:val="27"/>
          <w:szCs w:val="27"/>
        </w:rPr>
        <w:t>individuals (</w:t>
      </w:r>
      <w:r>
        <w:rPr>
          <w:rStyle w:val="s9"/>
          <w:rFonts w:ascii="Times New Roman" w:hAnsi="Times New Roman" w:cs="Times New Roman"/>
          <w:color w:val="000000"/>
          <w:sz w:val="27"/>
          <w:szCs w:val="27"/>
        </w:rPr>
        <w:t>Reid, 2023). These individuals have various socio-economic and psychological characteristics that can increase their risk of being exploited by criminal gangs (</w:t>
      </w:r>
      <w:proofErr w:type="spellStart"/>
      <w:r>
        <w:rPr>
          <w:rStyle w:val="s9"/>
          <w:rFonts w:ascii="Times New Roman" w:hAnsi="Times New Roman" w:cs="Times New Roman"/>
          <w:color w:val="000000"/>
          <w:sz w:val="27"/>
          <w:szCs w:val="27"/>
        </w:rPr>
        <w:t>Havard</w:t>
      </w:r>
      <w:proofErr w:type="spellEnd"/>
      <w:r>
        <w:rPr>
          <w:rStyle w:val="s9"/>
          <w:rFonts w:ascii="Times New Roman" w:hAnsi="Times New Roman" w:cs="Times New Roman"/>
          <w:color w:val="000000"/>
          <w:sz w:val="27"/>
          <w:szCs w:val="27"/>
        </w:rPr>
        <w:t xml:space="preserve"> et al. 2023). These can make criminal gangs a more attractive prospect for such individuals than legitimate employment or social </w:t>
      </w:r>
      <w:r w:rsidR="008F1CEA">
        <w:rPr>
          <w:rStyle w:val="s9"/>
          <w:rFonts w:ascii="Times New Roman" w:hAnsi="Times New Roman" w:cs="Times New Roman"/>
          <w:color w:val="000000"/>
          <w:sz w:val="27"/>
          <w:szCs w:val="27"/>
        </w:rPr>
        <w:t>pathways (</w:t>
      </w:r>
      <w:r>
        <w:rPr>
          <w:rStyle w:val="s9"/>
          <w:rFonts w:ascii="Times New Roman" w:hAnsi="Times New Roman" w:cs="Times New Roman"/>
          <w:color w:val="000000"/>
          <w:sz w:val="27"/>
          <w:szCs w:val="27"/>
        </w:rPr>
        <w:t>Alleyne and Pritchard, 2016). In this essay, the effect of criminal gangs upon vulnerable individuals will first be examined by considering the socio-economic characteristics that make people vulnerable to exploitation and secondly, the psychological characteristics will also be considered. </w:t>
      </w:r>
    </w:p>
    <w:p w14:paraId="0D59A22B"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42AEFFEC" w14:textId="1685B45A" w:rsidR="001E0357" w:rsidRDefault="001E0357" w:rsidP="001E0357">
      <w:pPr>
        <w:pStyle w:val="s4"/>
        <w:spacing w:before="0" w:beforeAutospacing="0" w:after="0" w:afterAutospacing="0"/>
        <w:jc w:val="both"/>
        <w:rPr>
          <w:color w:val="000000"/>
          <w:sz w:val="27"/>
          <w:szCs w:val="27"/>
        </w:rPr>
      </w:pPr>
      <w:r>
        <w:rPr>
          <w:rStyle w:val="s9"/>
          <w:rFonts w:ascii="Times New Roman" w:hAnsi="Times New Roman" w:cs="Times New Roman"/>
          <w:color w:val="000000"/>
          <w:sz w:val="27"/>
          <w:szCs w:val="27"/>
        </w:rPr>
        <w:t xml:space="preserve">Using the evidence of qualitative interviewing, </w:t>
      </w:r>
      <w:proofErr w:type="spellStart"/>
      <w:r>
        <w:rPr>
          <w:rStyle w:val="s9"/>
          <w:rFonts w:ascii="Times New Roman" w:hAnsi="Times New Roman" w:cs="Times New Roman"/>
          <w:color w:val="000000"/>
          <w:sz w:val="27"/>
          <w:szCs w:val="27"/>
        </w:rPr>
        <w:t>Havard</w:t>
      </w:r>
      <w:proofErr w:type="spellEnd"/>
      <w:r>
        <w:rPr>
          <w:rStyle w:val="s9"/>
          <w:rFonts w:ascii="Times New Roman" w:hAnsi="Times New Roman" w:cs="Times New Roman"/>
          <w:color w:val="000000"/>
          <w:sz w:val="27"/>
          <w:szCs w:val="27"/>
        </w:rPr>
        <w:t xml:space="preserve"> et al. (2023) examine the exploitation of young women and girls in ‘county lines’ gangs in the UK. County lines gangs transport drugs from one police jurisdiction to another, usually by people who are vulnerable to exploitation by criminal gangs. According to </w:t>
      </w:r>
      <w:proofErr w:type="spellStart"/>
      <w:r>
        <w:rPr>
          <w:rStyle w:val="s9"/>
          <w:rFonts w:ascii="Times New Roman" w:hAnsi="Times New Roman" w:cs="Times New Roman"/>
          <w:color w:val="000000"/>
          <w:sz w:val="27"/>
          <w:szCs w:val="27"/>
        </w:rPr>
        <w:t>Havard</w:t>
      </w:r>
      <w:proofErr w:type="spellEnd"/>
      <w:r>
        <w:rPr>
          <w:rStyle w:val="s9"/>
          <w:rFonts w:ascii="Times New Roman" w:hAnsi="Times New Roman" w:cs="Times New Roman"/>
          <w:color w:val="000000"/>
          <w:sz w:val="27"/>
          <w:szCs w:val="27"/>
        </w:rPr>
        <w:t xml:space="preserve"> et al. (2023), such gangs will capitalise upon the apparent invisibility of young women and girls to advance their own economic interests and exploit them. Control is maintained over these individuals through a combination of threatened and actual sexual violence, and through economic tactics that include debt bondage, in which women are essentially tied to the gangs </w:t>
      </w:r>
      <w:proofErr w:type="gramStart"/>
      <w:r>
        <w:rPr>
          <w:rStyle w:val="s9"/>
          <w:rFonts w:ascii="Times New Roman" w:hAnsi="Times New Roman" w:cs="Times New Roman"/>
          <w:color w:val="000000"/>
          <w:sz w:val="27"/>
          <w:szCs w:val="27"/>
        </w:rPr>
        <w:t>in order to</w:t>
      </w:r>
      <w:proofErr w:type="gramEnd"/>
      <w:r>
        <w:rPr>
          <w:rStyle w:val="s9"/>
          <w:rFonts w:ascii="Times New Roman" w:hAnsi="Times New Roman" w:cs="Times New Roman"/>
          <w:color w:val="000000"/>
          <w:sz w:val="27"/>
          <w:szCs w:val="27"/>
        </w:rPr>
        <w:t xml:space="preserve"> advance their interests. This process would seem to </w:t>
      </w:r>
      <w:r w:rsidR="00F7401A">
        <w:rPr>
          <w:rStyle w:val="s9"/>
          <w:rFonts w:ascii="Times New Roman" w:hAnsi="Times New Roman" w:cs="Times New Roman"/>
          <w:color w:val="000000"/>
          <w:sz w:val="27"/>
          <w:szCs w:val="27"/>
        </w:rPr>
        <w:t>take advantage of</w:t>
      </w:r>
      <w:r>
        <w:rPr>
          <w:rStyle w:val="s9"/>
          <w:rFonts w:ascii="Times New Roman" w:hAnsi="Times New Roman" w:cs="Times New Roman"/>
          <w:color w:val="000000"/>
          <w:sz w:val="27"/>
          <w:szCs w:val="27"/>
        </w:rPr>
        <w:t xml:space="preserve"> th</w:t>
      </w:r>
      <w:r w:rsidR="001B4622">
        <w:rPr>
          <w:rStyle w:val="s9"/>
          <w:rFonts w:ascii="Times New Roman" w:hAnsi="Times New Roman" w:cs="Times New Roman"/>
          <w:color w:val="000000"/>
          <w:sz w:val="27"/>
          <w:szCs w:val="27"/>
        </w:rPr>
        <w:t>e</w:t>
      </w:r>
      <w:r>
        <w:rPr>
          <w:rStyle w:val="s9"/>
          <w:rFonts w:ascii="Times New Roman" w:hAnsi="Times New Roman" w:cs="Times New Roman"/>
          <w:color w:val="000000"/>
          <w:sz w:val="27"/>
          <w:szCs w:val="27"/>
        </w:rPr>
        <w:t xml:space="preserve"> economic position of these groups </w:t>
      </w:r>
      <w:proofErr w:type="gramStart"/>
      <w:r>
        <w:rPr>
          <w:rStyle w:val="s9"/>
          <w:rFonts w:ascii="Times New Roman" w:hAnsi="Times New Roman" w:cs="Times New Roman"/>
          <w:color w:val="000000"/>
          <w:sz w:val="27"/>
          <w:szCs w:val="27"/>
        </w:rPr>
        <w:t>in order to</w:t>
      </w:r>
      <w:proofErr w:type="gramEnd"/>
      <w:r>
        <w:rPr>
          <w:rStyle w:val="s9"/>
          <w:rFonts w:ascii="Times New Roman" w:hAnsi="Times New Roman" w:cs="Times New Roman"/>
          <w:color w:val="000000"/>
          <w:sz w:val="27"/>
          <w:szCs w:val="27"/>
        </w:rPr>
        <w:t> exploit them, using a range of gendered tactics that can help secure their participation (</w:t>
      </w:r>
      <w:proofErr w:type="spellStart"/>
      <w:r>
        <w:rPr>
          <w:rStyle w:val="s9"/>
          <w:rFonts w:ascii="Times New Roman" w:hAnsi="Times New Roman" w:cs="Times New Roman"/>
          <w:color w:val="000000"/>
          <w:sz w:val="27"/>
          <w:szCs w:val="27"/>
        </w:rPr>
        <w:t>Havard</w:t>
      </w:r>
      <w:proofErr w:type="spellEnd"/>
      <w:r>
        <w:rPr>
          <w:rStyle w:val="s9"/>
          <w:rFonts w:ascii="Times New Roman" w:hAnsi="Times New Roman" w:cs="Times New Roman"/>
          <w:color w:val="000000"/>
          <w:sz w:val="27"/>
          <w:szCs w:val="27"/>
        </w:rPr>
        <w:t xml:space="preserve"> et al. 2023). A limitation of this study is that it is focused upon gender, which does not necessarily </w:t>
      </w:r>
      <w:proofErr w:type="gramStart"/>
      <w:r>
        <w:rPr>
          <w:rStyle w:val="s9"/>
          <w:rFonts w:ascii="Times New Roman" w:hAnsi="Times New Roman" w:cs="Times New Roman"/>
          <w:color w:val="000000"/>
          <w:sz w:val="27"/>
          <w:szCs w:val="27"/>
        </w:rPr>
        <w:t>take into account</w:t>
      </w:r>
      <w:proofErr w:type="gramEnd"/>
      <w:r>
        <w:rPr>
          <w:rStyle w:val="s9"/>
          <w:rFonts w:ascii="Times New Roman" w:hAnsi="Times New Roman" w:cs="Times New Roman"/>
          <w:color w:val="000000"/>
          <w:sz w:val="27"/>
          <w:szCs w:val="27"/>
        </w:rPr>
        <w:t> the intersection of class or race in the exploitation of these groups, and so could appear to limit the results. Nevertheless, it illustrates how existing socio-economic inequalities can be exploited and how tactics of gang members can be shaped to increase the exploitation of these groups. </w:t>
      </w:r>
    </w:p>
    <w:p w14:paraId="4E9CD255"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713DD94C" w14:textId="77777777" w:rsidR="001E0357" w:rsidRDefault="001E0357" w:rsidP="001E0357">
      <w:pPr>
        <w:pStyle w:val="s4"/>
        <w:spacing w:before="0" w:beforeAutospacing="0" w:after="0" w:afterAutospacing="0"/>
        <w:jc w:val="both"/>
        <w:rPr>
          <w:color w:val="000000"/>
          <w:sz w:val="27"/>
          <w:szCs w:val="27"/>
        </w:rPr>
      </w:pPr>
      <w:r>
        <w:rPr>
          <w:rStyle w:val="s9"/>
          <w:rFonts w:ascii="Times New Roman" w:hAnsi="Times New Roman" w:cs="Times New Roman"/>
          <w:color w:val="000000"/>
          <w:sz w:val="27"/>
          <w:szCs w:val="27"/>
        </w:rPr>
        <w:t>Reid (2023) examines the psychosocial underpinnings of street crime in inner-city London, identifying that for some young men, once they become involved in the drug economy, they can then become ‘trapped.’ Reid (2023) states that for young men, being part of a gang prevents them from making the transition to mainstream life. This is supported by Ashton and </w:t>
      </w:r>
      <w:proofErr w:type="spellStart"/>
      <w:r>
        <w:rPr>
          <w:rStyle w:val="s9"/>
          <w:rFonts w:ascii="Times New Roman" w:hAnsi="Times New Roman" w:cs="Times New Roman"/>
          <w:color w:val="000000"/>
          <w:sz w:val="27"/>
          <w:szCs w:val="27"/>
        </w:rPr>
        <w:t>Bussu</w:t>
      </w:r>
      <w:proofErr w:type="spellEnd"/>
      <w:r>
        <w:rPr>
          <w:rStyle w:val="s9"/>
          <w:rFonts w:ascii="Times New Roman" w:hAnsi="Times New Roman" w:cs="Times New Roman"/>
          <w:color w:val="000000"/>
          <w:sz w:val="27"/>
          <w:szCs w:val="27"/>
        </w:rPr>
        <w:t xml:space="preserve"> (2020) who identify that young people can offend and thereafter become labelled as being delinquent. Gangs thus take advantage of the labelling of these groups as delinquents, contributing to the sense </w:t>
      </w:r>
      <w:r>
        <w:rPr>
          <w:rStyle w:val="s9"/>
          <w:rFonts w:ascii="Times New Roman" w:hAnsi="Times New Roman" w:cs="Times New Roman"/>
          <w:color w:val="000000"/>
          <w:sz w:val="27"/>
          <w:szCs w:val="27"/>
        </w:rPr>
        <w:lastRenderedPageBreak/>
        <w:t>in which they see gangs as offering the only outlet (Reid, 2023). By offering a positive alternative to such identity, gangs </w:t>
      </w:r>
      <w:proofErr w:type="gramStart"/>
      <w:r>
        <w:rPr>
          <w:rStyle w:val="s9"/>
          <w:rFonts w:ascii="Times New Roman" w:hAnsi="Times New Roman" w:cs="Times New Roman"/>
          <w:color w:val="000000"/>
          <w:sz w:val="27"/>
          <w:szCs w:val="27"/>
        </w:rPr>
        <w:t>are able to</w:t>
      </w:r>
      <w:proofErr w:type="gramEnd"/>
      <w:r>
        <w:rPr>
          <w:rStyle w:val="s9"/>
          <w:rFonts w:ascii="Times New Roman" w:hAnsi="Times New Roman" w:cs="Times New Roman"/>
          <w:color w:val="000000"/>
          <w:sz w:val="27"/>
          <w:szCs w:val="27"/>
        </w:rPr>
        <w:t> capitalise upon the marginalisation of these groups by society (Reid, 2023). However, both these studies use a qualitative approach that can appear to offer an exploration of the experiences of specific individuals. It is less clear that this explains the factors that contribute to young people becoming part of </w:t>
      </w:r>
      <w:proofErr w:type="gramStart"/>
      <w:r>
        <w:rPr>
          <w:rStyle w:val="s9"/>
          <w:rFonts w:ascii="Times New Roman" w:hAnsi="Times New Roman" w:cs="Times New Roman"/>
          <w:color w:val="000000"/>
          <w:sz w:val="27"/>
          <w:szCs w:val="27"/>
        </w:rPr>
        <w:t>gangs as a whole</w:t>
      </w:r>
      <w:proofErr w:type="gramEnd"/>
      <w:r>
        <w:rPr>
          <w:rStyle w:val="s9"/>
          <w:rFonts w:ascii="Times New Roman" w:hAnsi="Times New Roman" w:cs="Times New Roman"/>
          <w:color w:val="000000"/>
          <w:sz w:val="27"/>
          <w:szCs w:val="27"/>
        </w:rPr>
        <w:t>. </w:t>
      </w:r>
    </w:p>
    <w:p w14:paraId="6CC63151"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0A5EE23F" w14:textId="77777777" w:rsidR="001E0357" w:rsidRDefault="001E0357" w:rsidP="001E0357">
      <w:pPr>
        <w:pStyle w:val="s4"/>
        <w:spacing w:before="0" w:beforeAutospacing="0" w:after="0" w:afterAutospacing="0"/>
        <w:jc w:val="both"/>
        <w:rPr>
          <w:color w:val="000000"/>
          <w:sz w:val="27"/>
          <w:szCs w:val="27"/>
        </w:rPr>
      </w:pPr>
      <w:proofErr w:type="spellStart"/>
      <w:r>
        <w:rPr>
          <w:rStyle w:val="s9"/>
          <w:rFonts w:ascii="Times New Roman" w:hAnsi="Times New Roman" w:cs="Times New Roman"/>
          <w:color w:val="000000"/>
          <w:sz w:val="27"/>
          <w:szCs w:val="27"/>
        </w:rPr>
        <w:t>Swaner</w:t>
      </w:r>
      <w:proofErr w:type="spellEnd"/>
      <w:r>
        <w:rPr>
          <w:rStyle w:val="s9"/>
          <w:rFonts w:ascii="Times New Roman" w:hAnsi="Times New Roman" w:cs="Times New Roman"/>
          <w:color w:val="000000"/>
          <w:sz w:val="27"/>
          <w:szCs w:val="27"/>
        </w:rPr>
        <w:t xml:space="preserve"> (2022) offers an insight into how gang membership affects individuals as a response to their socio-economic position in New York. Gang membership is a response to the structural inequality and inequity that groups face from the police, with unemployment and poverty making gang membership more appealing. This can be seen as making the people vulnerable to exploitation to gangs, but it can also be argued that for some individuals, gang membership represents a rational choice to the issues they are faced with. Rather than gangs necessarily exploiting their position, they provide an alternative set of opportunities that are more attractive, and individuals exercise their agency to take advantage of these opportunities (Reid, 2023). Therefore, it may be problematic to consider individuals as necessarily acting irrationally to be part of gangs; individuals may see gangs as offering a more attractive alternative to the opportunities they are typically offered in their everyday life. </w:t>
      </w:r>
    </w:p>
    <w:p w14:paraId="751A3B10"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0A58CD27" w14:textId="77777777" w:rsidR="001E0357" w:rsidRDefault="001E0357" w:rsidP="001E0357">
      <w:pPr>
        <w:pStyle w:val="s4"/>
        <w:spacing w:before="0" w:beforeAutospacing="0" w:after="0" w:afterAutospacing="0"/>
        <w:jc w:val="both"/>
        <w:rPr>
          <w:color w:val="000000"/>
          <w:sz w:val="27"/>
          <w:szCs w:val="27"/>
        </w:rPr>
      </w:pPr>
      <w:r>
        <w:rPr>
          <w:rStyle w:val="s9"/>
          <w:rFonts w:ascii="Times New Roman" w:hAnsi="Times New Roman" w:cs="Times New Roman"/>
          <w:color w:val="000000"/>
          <w:sz w:val="27"/>
          <w:szCs w:val="27"/>
        </w:rPr>
        <w:t>Psychological characteristics that make individuals vulnerable to exploitation by criminal gangs are examined in Alleyne and Pritchard’s (2016) comparison of gang and non-gang girls in the UK. It was found that gang members had greater anti-authority attitudes, were more likely to undertake criminal activity and engage in sexual activity. However, this study did not provide evidence of psychological differences between gang and non-gang members according to personality tests or other factors. MacFarlane (2019) finds that poor self-esteem, hostility towards society, and a desire to find a way out of the problems that they are experiencing. It has also been found that gangs provide individuals with social status and an identity to adolescents at a stage in their life when they lack sources of these statuses. </w:t>
      </w:r>
    </w:p>
    <w:p w14:paraId="0BC2F9DC"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51F8123C" w14:textId="77777777" w:rsidR="001E0357" w:rsidRDefault="001E0357" w:rsidP="001E0357">
      <w:pPr>
        <w:pStyle w:val="s4"/>
        <w:spacing w:before="0" w:beforeAutospacing="0" w:after="0" w:afterAutospacing="0"/>
        <w:jc w:val="both"/>
        <w:rPr>
          <w:color w:val="000000"/>
          <w:sz w:val="27"/>
          <w:szCs w:val="27"/>
        </w:rPr>
      </w:pPr>
      <w:proofErr w:type="spellStart"/>
      <w:r>
        <w:rPr>
          <w:rStyle w:val="s9"/>
          <w:rFonts w:ascii="Times New Roman" w:hAnsi="Times New Roman" w:cs="Times New Roman"/>
          <w:color w:val="000000"/>
          <w:sz w:val="27"/>
          <w:szCs w:val="27"/>
        </w:rPr>
        <w:t>Coid</w:t>
      </w:r>
      <w:proofErr w:type="spellEnd"/>
      <w:r>
        <w:rPr>
          <w:rStyle w:val="s9"/>
          <w:rFonts w:ascii="Times New Roman" w:hAnsi="Times New Roman" w:cs="Times New Roman"/>
          <w:color w:val="000000"/>
          <w:sz w:val="27"/>
          <w:szCs w:val="27"/>
        </w:rPr>
        <w:t> et al. (2020) identify psychological characteristics associated with gang members, finding that male gang members are more likely to engage in </w:t>
      </w:r>
      <w:proofErr w:type="gramStart"/>
      <w:r>
        <w:rPr>
          <w:rStyle w:val="s9"/>
          <w:rFonts w:ascii="Times New Roman" w:hAnsi="Times New Roman" w:cs="Times New Roman"/>
          <w:color w:val="000000"/>
          <w:sz w:val="27"/>
          <w:szCs w:val="27"/>
        </w:rPr>
        <w:t>high risk</w:t>
      </w:r>
      <w:proofErr w:type="gramEnd"/>
      <w:r>
        <w:rPr>
          <w:rStyle w:val="s9"/>
          <w:rFonts w:ascii="Times New Roman" w:hAnsi="Times New Roman" w:cs="Times New Roman"/>
          <w:color w:val="000000"/>
          <w:sz w:val="27"/>
          <w:szCs w:val="27"/>
        </w:rPr>
        <w:t> sexual behaviours, which itself can be associated with the effects of higher childhood trauma and sexual violence. This indicates that the socio-economic characteristics that increase the likelihood of exploitation by gangs can combine, with there being a greater preponderance of trauma and violence in young people in marginalised </w:t>
      </w:r>
      <w:proofErr w:type="gramStart"/>
      <w:r>
        <w:rPr>
          <w:rStyle w:val="s9"/>
          <w:rFonts w:ascii="Times New Roman" w:hAnsi="Times New Roman" w:cs="Times New Roman"/>
          <w:color w:val="000000"/>
          <w:sz w:val="27"/>
          <w:szCs w:val="27"/>
        </w:rPr>
        <w:t>communities;</w:t>
      </w:r>
      <w:proofErr w:type="gramEnd"/>
      <w:r>
        <w:rPr>
          <w:rStyle w:val="s9"/>
          <w:rFonts w:ascii="Times New Roman" w:hAnsi="Times New Roman" w:cs="Times New Roman"/>
          <w:color w:val="000000"/>
          <w:sz w:val="27"/>
          <w:szCs w:val="27"/>
        </w:rPr>
        <w:t> although such violence might take place at all levels of society. Therefore, it is more complicated to assume that psychological vulnerabilities and socio-economic factors are independent of each other. </w:t>
      </w:r>
    </w:p>
    <w:p w14:paraId="34E0732C"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5D856929" w14:textId="73E4BC90" w:rsidR="001E0357" w:rsidRDefault="001E0357" w:rsidP="001E0357">
      <w:pPr>
        <w:pStyle w:val="s4"/>
        <w:spacing w:before="0" w:beforeAutospacing="0" w:after="0" w:afterAutospacing="0"/>
        <w:jc w:val="both"/>
        <w:rPr>
          <w:rStyle w:val="s9"/>
          <w:rFonts w:ascii="Times New Roman" w:hAnsi="Times New Roman" w:cs="Times New Roman"/>
          <w:color w:val="000000"/>
          <w:sz w:val="27"/>
          <w:szCs w:val="27"/>
        </w:rPr>
      </w:pPr>
      <w:r>
        <w:rPr>
          <w:rStyle w:val="s9"/>
          <w:rFonts w:ascii="Times New Roman" w:hAnsi="Times New Roman" w:cs="Times New Roman"/>
          <w:color w:val="000000"/>
          <w:sz w:val="27"/>
          <w:szCs w:val="27"/>
        </w:rPr>
        <w:t xml:space="preserve">In conclusion, both socio-economic and psychological factors can work together to increase the vulnerability of young people to exploitation by gangs. These can </w:t>
      </w:r>
      <w:r>
        <w:rPr>
          <w:rStyle w:val="s9"/>
          <w:rFonts w:ascii="Times New Roman" w:hAnsi="Times New Roman" w:cs="Times New Roman"/>
          <w:color w:val="000000"/>
          <w:sz w:val="27"/>
          <w:szCs w:val="27"/>
        </w:rPr>
        <w:lastRenderedPageBreak/>
        <w:t>account not only how some individuals and groups are vulnerable to exploitation by gangs but by their continuing exploitation by these groups. Psychological factors such as trauma, increased risky behaviour, and a desire for an identity can also make gangs more attractive to such individuals. A limitation of this approach is that the increased vulnerability to exploitation does not simply mean people lack agency; in many cases, gang involvement is a coherent action by individuals that reflects the attractiveness of gangs compared to alternatives. Furthermore, an awareness of the factors contributing to an increased vulnerability to gang membership does not necessarily offer simple solutions, given that many of these factors are built into the socio-economic inequalities of the social context within which gangs operate. Nevertheless, an awareness of these factors can offer greater understanding of how gang members are often both victims and </w:t>
      </w:r>
      <w:r w:rsidR="00B70C10">
        <w:rPr>
          <w:rStyle w:val="s9"/>
          <w:rFonts w:ascii="Times New Roman" w:hAnsi="Times New Roman" w:cs="Times New Roman"/>
          <w:color w:val="000000"/>
          <w:sz w:val="27"/>
          <w:szCs w:val="27"/>
        </w:rPr>
        <w:t>perpetrators and</w:t>
      </w:r>
      <w:r>
        <w:rPr>
          <w:rStyle w:val="s9"/>
          <w:rFonts w:ascii="Times New Roman" w:hAnsi="Times New Roman" w:cs="Times New Roman"/>
          <w:color w:val="000000"/>
          <w:sz w:val="27"/>
          <w:szCs w:val="27"/>
        </w:rPr>
        <w:t> preclude a simplistic response to these issues. </w:t>
      </w:r>
    </w:p>
    <w:p w14:paraId="05585CDD" w14:textId="77777777" w:rsidR="001E0357" w:rsidRDefault="001E0357" w:rsidP="001E0357">
      <w:pPr>
        <w:pStyle w:val="s4"/>
        <w:spacing w:before="0" w:beforeAutospacing="0" w:after="0" w:afterAutospacing="0"/>
        <w:jc w:val="both"/>
        <w:rPr>
          <w:rStyle w:val="s9"/>
          <w:rFonts w:ascii="Times New Roman" w:hAnsi="Times New Roman" w:cs="Times New Roman"/>
          <w:color w:val="000000"/>
          <w:sz w:val="27"/>
          <w:szCs w:val="27"/>
        </w:rPr>
      </w:pPr>
    </w:p>
    <w:p w14:paraId="56105745" w14:textId="62201F29" w:rsidR="001E0357" w:rsidRDefault="001E0357" w:rsidP="001E0357">
      <w:pPr>
        <w:pStyle w:val="s4"/>
        <w:spacing w:before="0" w:beforeAutospacing="0" w:after="0" w:afterAutospacing="0"/>
        <w:jc w:val="both"/>
        <w:rPr>
          <w:color w:val="000000"/>
          <w:sz w:val="27"/>
          <w:szCs w:val="27"/>
        </w:rPr>
      </w:pPr>
      <w:r>
        <w:rPr>
          <w:color w:val="000000"/>
          <w:sz w:val="27"/>
          <w:szCs w:val="27"/>
        </w:rPr>
        <w:t xml:space="preserve">Word Count – 1026 </w:t>
      </w:r>
    </w:p>
    <w:p w14:paraId="577DB1E7" w14:textId="77777777" w:rsidR="001E0357" w:rsidRDefault="001E0357" w:rsidP="001E0357">
      <w:pPr>
        <w:pStyle w:val="NormalWeb"/>
        <w:spacing w:before="0" w:beforeAutospacing="0" w:after="0" w:afterAutospacing="0" w:line="324" w:lineRule="atLeast"/>
        <w:rPr>
          <w:rStyle w:val="s10"/>
          <w:rFonts w:ascii="Times New Roman" w:hAnsi="Times New Roman" w:cs="Times New Roman"/>
          <w:i/>
          <w:iCs/>
          <w:color w:val="000000"/>
          <w:sz w:val="27"/>
          <w:szCs w:val="27"/>
        </w:rPr>
      </w:pPr>
    </w:p>
    <w:p w14:paraId="26D32B96" w14:textId="77777777"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 </w:t>
      </w:r>
    </w:p>
    <w:p w14:paraId="0E3BE22D" w14:textId="77777777" w:rsidR="001E0357" w:rsidRDefault="001E0357" w:rsidP="001E0357">
      <w:pPr>
        <w:pStyle w:val="s13"/>
        <w:spacing w:before="0" w:beforeAutospacing="0" w:after="0" w:afterAutospacing="0" w:line="324" w:lineRule="atLeast"/>
        <w:jc w:val="both"/>
        <w:rPr>
          <w:color w:val="000000"/>
          <w:sz w:val="27"/>
          <w:szCs w:val="27"/>
        </w:rPr>
      </w:pPr>
      <w:r>
        <w:rPr>
          <w:rStyle w:val="s2"/>
          <w:rFonts w:ascii="Times New Roman" w:hAnsi="Times New Roman" w:cs="Times New Roman"/>
          <w:b/>
          <w:bCs/>
          <w:color w:val="212529"/>
          <w:sz w:val="27"/>
          <w:szCs w:val="27"/>
          <w:shd w:val="clear" w:color="auto" w:fill="FFFFFF"/>
        </w:rPr>
        <w:t>Critically assess the effectiveness of options available to reduce re-offending. You may choose a specific type of offence for this answer. </w:t>
      </w:r>
      <w:proofErr w:type="spellStart"/>
      <w:r>
        <w:rPr>
          <w:rStyle w:val="s2"/>
          <w:rFonts w:ascii="Times New Roman" w:hAnsi="Times New Roman" w:cs="Times New Roman"/>
          <w:b/>
          <w:bCs/>
          <w:color w:val="212529"/>
          <w:sz w:val="27"/>
          <w:szCs w:val="27"/>
          <w:shd w:val="clear" w:color="auto" w:fill="FFFFFF"/>
        </w:rPr>
        <w:t>Eg.</w:t>
      </w:r>
      <w:proofErr w:type="spellEnd"/>
      <w:r>
        <w:rPr>
          <w:rStyle w:val="s2"/>
          <w:rFonts w:ascii="Times New Roman" w:hAnsi="Times New Roman" w:cs="Times New Roman"/>
          <w:b/>
          <w:bCs/>
          <w:color w:val="212529"/>
          <w:sz w:val="27"/>
          <w:szCs w:val="27"/>
          <w:shd w:val="clear" w:color="auto" w:fill="FFFFFF"/>
        </w:rPr>
        <w:t> Domestic violence, anti-social behaviour, knife crime. Your answer must be based on academic research, but you may </w:t>
      </w:r>
      <w:proofErr w:type="gramStart"/>
      <w:r>
        <w:rPr>
          <w:rStyle w:val="s2"/>
          <w:rFonts w:ascii="Times New Roman" w:hAnsi="Times New Roman" w:cs="Times New Roman"/>
          <w:b/>
          <w:bCs/>
          <w:color w:val="212529"/>
          <w:sz w:val="27"/>
          <w:szCs w:val="27"/>
          <w:shd w:val="clear" w:color="auto" w:fill="FFFFFF"/>
        </w:rPr>
        <w:t>make reference</w:t>
      </w:r>
      <w:proofErr w:type="gramEnd"/>
      <w:r>
        <w:rPr>
          <w:rStyle w:val="s2"/>
          <w:rFonts w:ascii="Times New Roman" w:hAnsi="Times New Roman" w:cs="Times New Roman"/>
          <w:b/>
          <w:bCs/>
          <w:color w:val="212529"/>
          <w:sz w:val="27"/>
          <w:szCs w:val="27"/>
          <w:shd w:val="clear" w:color="auto" w:fill="FFFFFF"/>
        </w:rPr>
        <w:t> to relevant case studies.</w:t>
      </w:r>
    </w:p>
    <w:p w14:paraId="2A60932B" w14:textId="77777777" w:rsidR="001E0357" w:rsidRDefault="001E0357" w:rsidP="001E0357">
      <w:pPr>
        <w:pStyle w:val="s13"/>
        <w:spacing w:before="0" w:beforeAutospacing="0" w:after="0" w:afterAutospacing="0" w:line="324" w:lineRule="atLeast"/>
        <w:jc w:val="both"/>
        <w:rPr>
          <w:color w:val="000000"/>
          <w:sz w:val="27"/>
          <w:szCs w:val="27"/>
        </w:rPr>
      </w:pPr>
      <w:r>
        <w:rPr>
          <w:color w:val="000000"/>
          <w:sz w:val="27"/>
          <w:szCs w:val="27"/>
        </w:rPr>
        <w:t> </w:t>
      </w:r>
    </w:p>
    <w:p w14:paraId="55FAA2A6" w14:textId="5F6B2758" w:rsidR="001E0357" w:rsidRDefault="001E0357" w:rsidP="001E0357">
      <w:pPr>
        <w:pStyle w:val="s4"/>
        <w:spacing w:before="0" w:beforeAutospacing="0" w:after="0" w:afterAutospacing="0"/>
        <w:jc w:val="both"/>
        <w:rPr>
          <w:color w:val="000000"/>
          <w:sz w:val="27"/>
          <w:szCs w:val="27"/>
        </w:rPr>
      </w:pPr>
      <w:r>
        <w:rPr>
          <w:rStyle w:val="s14"/>
          <w:rFonts w:ascii="Times New Roman" w:hAnsi="Times New Roman" w:cs="Times New Roman"/>
          <w:color w:val="212529"/>
          <w:sz w:val="27"/>
          <w:szCs w:val="27"/>
          <w:shd w:val="clear" w:color="auto" w:fill="FFFFFF"/>
        </w:rPr>
        <w:t>Reducing recidivism is a critical issue in policing (</w:t>
      </w:r>
      <w:proofErr w:type="spellStart"/>
      <w:r>
        <w:rPr>
          <w:rStyle w:val="s14"/>
          <w:rFonts w:ascii="Times New Roman" w:hAnsi="Times New Roman" w:cs="Times New Roman"/>
          <w:color w:val="212529"/>
          <w:sz w:val="27"/>
          <w:szCs w:val="27"/>
          <w:shd w:val="clear" w:color="auto" w:fill="FFFFFF"/>
        </w:rPr>
        <w:t>Latessa</w:t>
      </w:r>
      <w:proofErr w:type="spellEnd"/>
      <w:r>
        <w:rPr>
          <w:rStyle w:val="s14"/>
          <w:rFonts w:ascii="Times New Roman" w:hAnsi="Times New Roman" w:cs="Times New Roman"/>
          <w:color w:val="212529"/>
          <w:sz w:val="27"/>
          <w:szCs w:val="27"/>
          <w:shd w:val="clear" w:color="auto" w:fill="FFFFFF"/>
        </w:rPr>
        <w:t xml:space="preserve"> et al. 2020). The benefits of reducing recidivism include reduced costs of tackling crime, reduced risk to future victims, and benefits to the offender by allowing for pathways other than crime to be developed (</w:t>
      </w:r>
      <w:proofErr w:type="spellStart"/>
      <w:r>
        <w:rPr>
          <w:rStyle w:val="s14"/>
          <w:rFonts w:ascii="Times New Roman" w:hAnsi="Times New Roman" w:cs="Times New Roman"/>
          <w:color w:val="212529"/>
          <w:sz w:val="27"/>
          <w:szCs w:val="27"/>
          <w:shd w:val="clear" w:color="auto" w:fill="FFFFFF"/>
        </w:rPr>
        <w:t>Burorac</w:t>
      </w:r>
      <w:proofErr w:type="spellEnd"/>
      <w:r>
        <w:rPr>
          <w:rStyle w:val="s14"/>
          <w:rFonts w:ascii="Times New Roman" w:hAnsi="Times New Roman" w:cs="Times New Roman"/>
          <w:color w:val="212529"/>
          <w:sz w:val="27"/>
          <w:szCs w:val="27"/>
          <w:shd w:val="clear" w:color="auto" w:fill="FFFFFF"/>
        </w:rPr>
        <w:t> et al. 2017). However, recidivism can pose </w:t>
      </w:r>
      <w:proofErr w:type="gramStart"/>
      <w:r>
        <w:rPr>
          <w:rStyle w:val="s14"/>
          <w:rFonts w:ascii="Times New Roman" w:hAnsi="Times New Roman" w:cs="Times New Roman"/>
          <w:color w:val="212529"/>
          <w:sz w:val="27"/>
          <w:szCs w:val="27"/>
          <w:shd w:val="clear" w:color="auto" w:fill="FFFFFF"/>
        </w:rPr>
        <w:t>a number of</w:t>
      </w:r>
      <w:proofErr w:type="gramEnd"/>
      <w:r>
        <w:rPr>
          <w:rStyle w:val="s14"/>
          <w:rFonts w:ascii="Times New Roman" w:hAnsi="Times New Roman" w:cs="Times New Roman"/>
          <w:color w:val="212529"/>
          <w:sz w:val="27"/>
          <w:szCs w:val="27"/>
          <w:shd w:val="clear" w:color="auto" w:fill="FFFFFF"/>
        </w:rPr>
        <w:t> challenges for the criminal justice system, and in many cases the characteristics of offenders of different crimes are often disparate, making a focus upon a specific type of crime appropriate for this discussion (</w:t>
      </w:r>
      <w:proofErr w:type="spellStart"/>
      <w:r>
        <w:rPr>
          <w:rStyle w:val="s14"/>
          <w:rFonts w:ascii="Times New Roman" w:hAnsi="Times New Roman" w:cs="Times New Roman"/>
          <w:color w:val="212529"/>
          <w:sz w:val="27"/>
          <w:szCs w:val="27"/>
          <w:shd w:val="clear" w:color="auto" w:fill="FFFFFF"/>
        </w:rPr>
        <w:t>Latessa</w:t>
      </w:r>
      <w:proofErr w:type="spellEnd"/>
      <w:r>
        <w:rPr>
          <w:rStyle w:val="s14"/>
          <w:rFonts w:ascii="Times New Roman" w:hAnsi="Times New Roman" w:cs="Times New Roman"/>
          <w:color w:val="212529"/>
          <w:sz w:val="27"/>
          <w:szCs w:val="27"/>
          <w:shd w:val="clear" w:color="auto" w:fill="FFFFFF"/>
        </w:rPr>
        <w:t xml:space="preserve"> et al. 2020). </w:t>
      </w:r>
      <w:r w:rsidR="00F642B5">
        <w:rPr>
          <w:rStyle w:val="s14"/>
          <w:rFonts w:ascii="Times New Roman" w:hAnsi="Times New Roman" w:cs="Times New Roman"/>
          <w:color w:val="212529"/>
          <w:sz w:val="27"/>
          <w:szCs w:val="27"/>
          <w:shd w:val="clear" w:color="auto" w:fill="FFFFFF"/>
        </w:rPr>
        <w:t xml:space="preserve"> </w:t>
      </w:r>
      <w:r>
        <w:rPr>
          <w:rStyle w:val="s14"/>
          <w:rFonts w:ascii="Times New Roman" w:hAnsi="Times New Roman" w:cs="Times New Roman"/>
          <w:color w:val="212529"/>
          <w:sz w:val="27"/>
          <w:szCs w:val="27"/>
          <w:shd w:val="clear" w:color="auto" w:fill="FFFFFF"/>
        </w:rPr>
        <w:t>Domestic violence can cause significant harm to victims and their families, and so reducing recidivism can be an important priority (Travers et al. 2020). In this essay, the effectiveness of risk assessment approaches and community-based approaches will be considered. </w:t>
      </w:r>
    </w:p>
    <w:p w14:paraId="0B3EA5D5"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7D6C8297" w14:textId="2CEBAB13" w:rsidR="001E0357" w:rsidRDefault="001E0357" w:rsidP="001E0357">
      <w:pPr>
        <w:pStyle w:val="s4"/>
        <w:spacing w:before="0" w:beforeAutospacing="0" w:after="0" w:afterAutospacing="0"/>
        <w:jc w:val="both"/>
        <w:rPr>
          <w:color w:val="000000"/>
          <w:sz w:val="27"/>
          <w:szCs w:val="27"/>
        </w:rPr>
      </w:pPr>
      <w:r>
        <w:rPr>
          <w:rStyle w:val="s14"/>
          <w:rFonts w:ascii="Times New Roman" w:hAnsi="Times New Roman" w:cs="Times New Roman"/>
          <w:color w:val="212529"/>
          <w:sz w:val="27"/>
          <w:szCs w:val="27"/>
          <w:shd w:val="clear" w:color="auto" w:fill="FFFFFF"/>
        </w:rPr>
        <w:t>One response to reducing reoffending in domestic violence and other crimes has been to use risk assessment tools, which can be used to consider how likely it is that a specific offender will commit the same crime again (</w:t>
      </w:r>
      <w:proofErr w:type="spellStart"/>
      <w:r>
        <w:rPr>
          <w:rStyle w:val="s14"/>
          <w:rFonts w:ascii="Times New Roman" w:hAnsi="Times New Roman" w:cs="Times New Roman"/>
          <w:color w:val="212529"/>
          <w:sz w:val="27"/>
          <w:szCs w:val="27"/>
          <w:shd w:val="clear" w:color="auto" w:fill="FFFFFF"/>
        </w:rPr>
        <w:t>Millsteed</w:t>
      </w:r>
      <w:proofErr w:type="spellEnd"/>
      <w:r>
        <w:rPr>
          <w:rStyle w:val="s14"/>
          <w:rFonts w:ascii="Times New Roman" w:hAnsi="Times New Roman" w:cs="Times New Roman"/>
          <w:color w:val="212529"/>
          <w:sz w:val="27"/>
          <w:szCs w:val="27"/>
          <w:shd w:val="clear" w:color="auto" w:fill="FFFFFF"/>
        </w:rPr>
        <w:t xml:space="preserve"> and Coghlan, 2016). Such tools can be used to allow the police to make swift decisions concerning how to respond to the needs of victims and to protect their safety (Stone et al. 2021). Such instruments may be considered reliable in contexts in which they offer a higher likelihood that offenders who then go onto commit a further offence when compared with those offenders that do not (Stone et al. 2021). A limitation of these approaches is that they </w:t>
      </w:r>
      <w:r w:rsidR="00C96863">
        <w:rPr>
          <w:rStyle w:val="s14"/>
          <w:rFonts w:ascii="Times New Roman" w:hAnsi="Times New Roman" w:cs="Times New Roman"/>
          <w:color w:val="212529"/>
          <w:sz w:val="27"/>
          <w:szCs w:val="27"/>
          <w:shd w:val="clear" w:color="auto" w:fill="FFFFFF"/>
        </w:rPr>
        <w:t>rely</w:t>
      </w:r>
      <w:r>
        <w:rPr>
          <w:rStyle w:val="s14"/>
          <w:rFonts w:ascii="Times New Roman" w:hAnsi="Times New Roman" w:cs="Times New Roman"/>
          <w:color w:val="212529"/>
          <w:sz w:val="27"/>
          <w:szCs w:val="27"/>
          <w:shd w:val="clear" w:color="auto" w:fill="FFFFFF"/>
        </w:rPr>
        <w:t xml:space="preserve"> upon an assumption of acceptable risk; in the sense that such instruments will result in some individuals being assessed as being of a </w:t>
      </w:r>
      <w:r>
        <w:rPr>
          <w:rStyle w:val="s14"/>
          <w:rFonts w:ascii="Times New Roman" w:hAnsi="Times New Roman" w:cs="Times New Roman"/>
          <w:color w:val="212529"/>
          <w:sz w:val="27"/>
          <w:szCs w:val="27"/>
          <w:shd w:val="clear" w:color="auto" w:fill="FFFFFF"/>
        </w:rPr>
        <w:lastRenderedPageBreak/>
        <w:t>higher risk than is </w:t>
      </w:r>
      <w:proofErr w:type="gramStart"/>
      <w:r>
        <w:rPr>
          <w:rStyle w:val="s14"/>
          <w:rFonts w:ascii="Times New Roman" w:hAnsi="Times New Roman" w:cs="Times New Roman"/>
          <w:color w:val="212529"/>
          <w:sz w:val="27"/>
          <w:szCs w:val="27"/>
          <w:shd w:val="clear" w:color="auto" w:fill="FFFFFF"/>
        </w:rPr>
        <w:t>actually the</w:t>
      </w:r>
      <w:proofErr w:type="gramEnd"/>
      <w:r>
        <w:rPr>
          <w:rStyle w:val="s14"/>
          <w:rFonts w:ascii="Times New Roman" w:hAnsi="Times New Roman" w:cs="Times New Roman"/>
          <w:color w:val="212529"/>
          <w:sz w:val="27"/>
          <w:szCs w:val="27"/>
          <w:shd w:val="clear" w:color="auto" w:fill="FFFFFF"/>
        </w:rPr>
        <w:t> case, and, in doing so, harm</w:t>
      </w:r>
      <w:r w:rsidR="00407B35">
        <w:rPr>
          <w:rStyle w:val="s14"/>
          <w:rFonts w:ascii="Times New Roman" w:hAnsi="Times New Roman" w:cs="Times New Roman"/>
          <w:color w:val="212529"/>
          <w:sz w:val="27"/>
          <w:szCs w:val="27"/>
          <w:shd w:val="clear" w:color="auto" w:fill="FFFFFF"/>
        </w:rPr>
        <w:t xml:space="preserve"> </w:t>
      </w:r>
      <w:r>
        <w:rPr>
          <w:rStyle w:val="s14"/>
          <w:rFonts w:ascii="Times New Roman" w:hAnsi="Times New Roman" w:cs="Times New Roman"/>
          <w:color w:val="212529"/>
          <w:sz w:val="27"/>
          <w:szCs w:val="27"/>
          <w:shd w:val="clear" w:color="auto" w:fill="FFFFFF"/>
        </w:rPr>
        <w:t>their chances. Given that it is difficult to make straightforward predictions of how likely an offender is to repeat the offence, such tools only offer a probabilistic approach rather than the certainty that might be desired. </w:t>
      </w:r>
    </w:p>
    <w:p w14:paraId="46DACD1F"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52FBF840" w14:textId="23A68094" w:rsidR="001E0357" w:rsidRDefault="001E0357" w:rsidP="001E0357">
      <w:pPr>
        <w:pStyle w:val="s4"/>
        <w:spacing w:before="0" w:beforeAutospacing="0" w:after="0" w:afterAutospacing="0"/>
        <w:jc w:val="both"/>
        <w:rPr>
          <w:color w:val="000000"/>
          <w:sz w:val="27"/>
          <w:szCs w:val="27"/>
        </w:rPr>
      </w:pPr>
      <w:proofErr w:type="spellStart"/>
      <w:r>
        <w:rPr>
          <w:rStyle w:val="s14"/>
          <w:rFonts w:ascii="Times New Roman" w:hAnsi="Times New Roman" w:cs="Times New Roman"/>
          <w:color w:val="212529"/>
          <w:sz w:val="27"/>
          <w:szCs w:val="27"/>
          <w:shd w:val="clear" w:color="auto" w:fill="FFFFFF"/>
        </w:rPr>
        <w:t>Millsteed</w:t>
      </w:r>
      <w:proofErr w:type="spellEnd"/>
      <w:r>
        <w:rPr>
          <w:rStyle w:val="s14"/>
          <w:rFonts w:ascii="Times New Roman" w:hAnsi="Times New Roman" w:cs="Times New Roman"/>
          <w:color w:val="212529"/>
          <w:sz w:val="27"/>
          <w:szCs w:val="27"/>
          <w:shd w:val="clear" w:color="auto" w:fill="FFFFFF"/>
        </w:rPr>
        <w:t> and Coghlan (2016) conduct</w:t>
      </w:r>
      <w:r w:rsidR="001A5F2B">
        <w:rPr>
          <w:rStyle w:val="s14"/>
          <w:rFonts w:ascii="Times New Roman" w:hAnsi="Times New Roman" w:cs="Times New Roman"/>
          <w:color w:val="212529"/>
          <w:sz w:val="27"/>
          <w:szCs w:val="27"/>
          <w:shd w:val="clear" w:color="auto" w:fill="FFFFFF"/>
        </w:rPr>
        <w:t>ed</w:t>
      </w:r>
      <w:r>
        <w:rPr>
          <w:rStyle w:val="s14"/>
          <w:rFonts w:ascii="Times New Roman" w:hAnsi="Times New Roman" w:cs="Times New Roman"/>
          <w:color w:val="212529"/>
          <w:sz w:val="27"/>
          <w:szCs w:val="27"/>
          <w:shd w:val="clear" w:color="auto" w:fill="FFFFFF"/>
        </w:rPr>
        <w:t> a review of these instruments that are specifically used for reducing reoffending crime more generally and identify that although they offer a better-than-chance likelihood of reoffending, they do not show an acceptable framework, in that the risk of false positives exist. This requires an assessment between the acceptable risk and specificity, in the sense that those offenders who go onto offend again are incorrectly assessed as being of low risk, whereas others that do not reoffend are assessed as being of a high risk. In a review of the British Domestic Abuse, Stalking and Harassment risk assessment protocol, </w:t>
      </w:r>
      <w:proofErr w:type="spellStart"/>
      <w:r>
        <w:rPr>
          <w:rStyle w:val="s14"/>
          <w:rFonts w:ascii="Times New Roman" w:hAnsi="Times New Roman" w:cs="Times New Roman"/>
          <w:color w:val="212529"/>
          <w:sz w:val="27"/>
          <w:szCs w:val="27"/>
          <w:shd w:val="clear" w:color="auto" w:fill="FFFFFF"/>
        </w:rPr>
        <w:t>Chalkey</w:t>
      </w:r>
      <w:proofErr w:type="spellEnd"/>
      <w:r>
        <w:rPr>
          <w:rStyle w:val="s14"/>
          <w:rFonts w:ascii="Times New Roman" w:hAnsi="Times New Roman" w:cs="Times New Roman"/>
          <w:color w:val="212529"/>
          <w:sz w:val="27"/>
          <w:szCs w:val="27"/>
          <w:shd w:val="clear" w:color="auto" w:fill="FFFFFF"/>
        </w:rPr>
        <w:t xml:space="preserve"> and Strang (2017) identify that two-thirds of homicides were incorrectly assessed as being of low risk, and 99 percent of the high-risk assessments were for cases that resulted in no further harm. A further limitation of </w:t>
      </w:r>
      <w:r w:rsidR="00BB1159">
        <w:rPr>
          <w:rStyle w:val="s14"/>
          <w:rFonts w:ascii="Times New Roman" w:hAnsi="Times New Roman" w:cs="Times New Roman"/>
          <w:color w:val="212529"/>
          <w:sz w:val="27"/>
          <w:szCs w:val="27"/>
          <w:shd w:val="clear" w:color="auto" w:fill="FFFFFF"/>
        </w:rPr>
        <w:t xml:space="preserve">a </w:t>
      </w:r>
      <w:r>
        <w:rPr>
          <w:rStyle w:val="s14"/>
          <w:rFonts w:ascii="Times New Roman" w:hAnsi="Times New Roman" w:cs="Times New Roman"/>
          <w:color w:val="212529"/>
          <w:sz w:val="27"/>
          <w:szCs w:val="27"/>
          <w:shd w:val="clear" w:color="auto" w:fill="FFFFFF"/>
        </w:rPr>
        <w:t>risk assessment tools is that they require the police to obtain much more information than is required for other offences </w:t>
      </w:r>
      <w:proofErr w:type="gramStart"/>
      <w:r>
        <w:rPr>
          <w:rStyle w:val="s14"/>
          <w:rFonts w:ascii="Times New Roman" w:hAnsi="Times New Roman" w:cs="Times New Roman"/>
          <w:color w:val="212529"/>
          <w:sz w:val="27"/>
          <w:szCs w:val="27"/>
          <w:shd w:val="clear" w:color="auto" w:fill="FFFFFF"/>
        </w:rPr>
        <w:t>in order to</w:t>
      </w:r>
      <w:proofErr w:type="gramEnd"/>
      <w:r>
        <w:rPr>
          <w:rStyle w:val="s14"/>
          <w:rFonts w:ascii="Times New Roman" w:hAnsi="Times New Roman" w:cs="Times New Roman"/>
          <w:color w:val="212529"/>
          <w:sz w:val="27"/>
          <w:szCs w:val="27"/>
          <w:shd w:val="clear" w:color="auto" w:fill="FFFFFF"/>
        </w:rPr>
        <w:t> make assessments, and this can mean that collecting data for risk assessment can involve a significant amount of police resources. Fitzgerald and Graham (2016) suggest that the increased resources used for obtaining such information does not typically result in more predictive accuracy. This suggests an ambivalent conclusion concerning whether risk assessment may offer an effective way to reduce reoffending in domestic violence cases. </w:t>
      </w:r>
    </w:p>
    <w:p w14:paraId="276F8EDC"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7DC85F11" w14:textId="3D083CE8" w:rsidR="001E0357" w:rsidRDefault="001E0357" w:rsidP="001E0357">
      <w:pPr>
        <w:pStyle w:val="s4"/>
        <w:spacing w:before="0" w:beforeAutospacing="0" w:after="0" w:afterAutospacing="0"/>
        <w:jc w:val="both"/>
        <w:rPr>
          <w:color w:val="000000"/>
          <w:sz w:val="27"/>
          <w:szCs w:val="27"/>
        </w:rPr>
      </w:pPr>
      <w:r>
        <w:rPr>
          <w:rStyle w:val="s14"/>
          <w:rFonts w:ascii="Times New Roman" w:hAnsi="Times New Roman" w:cs="Times New Roman"/>
          <w:color w:val="212529"/>
          <w:sz w:val="27"/>
          <w:szCs w:val="27"/>
          <w:shd w:val="clear" w:color="auto" w:fill="FFFFFF"/>
        </w:rPr>
        <w:t>Studies</w:t>
      </w:r>
      <w:r w:rsidR="00F230E6">
        <w:rPr>
          <w:rStyle w:val="s14"/>
          <w:rFonts w:ascii="Times New Roman" w:hAnsi="Times New Roman" w:cs="Times New Roman"/>
          <w:color w:val="212529"/>
          <w:sz w:val="27"/>
          <w:szCs w:val="27"/>
          <w:shd w:val="clear" w:color="auto" w:fill="FFFFFF"/>
        </w:rPr>
        <w:t xml:space="preserve"> a</w:t>
      </w:r>
      <w:r>
        <w:rPr>
          <w:rStyle w:val="s14"/>
          <w:rFonts w:ascii="Times New Roman" w:hAnsi="Times New Roman" w:cs="Times New Roman"/>
          <w:color w:val="212529"/>
          <w:sz w:val="27"/>
          <w:szCs w:val="27"/>
          <w:shd w:val="clear" w:color="auto" w:fill="FFFFFF"/>
        </w:rPr>
        <w:t xml:space="preserve">ssessing the specific impact of reducing domestic violence reoffending through community-based rehabilitative approaches has been examined by Bowen et al. (2005) who examined the impact of a specific programme upon offending. This found that the programme did not result in a significant reduction in reoffending, but this may be limited to a specific approach. In a review of community responses to domestic violence, </w:t>
      </w:r>
      <w:proofErr w:type="gramStart"/>
      <w:r>
        <w:rPr>
          <w:rStyle w:val="s14"/>
          <w:rFonts w:ascii="Times New Roman" w:hAnsi="Times New Roman" w:cs="Times New Roman"/>
          <w:color w:val="212529"/>
          <w:sz w:val="27"/>
          <w:szCs w:val="27"/>
          <w:shd w:val="clear" w:color="auto" w:fill="FFFFFF"/>
        </w:rPr>
        <w:t>Johnson</w:t>
      </w:r>
      <w:proofErr w:type="gramEnd"/>
      <w:r>
        <w:rPr>
          <w:rStyle w:val="s14"/>
          <w:rFonts w:ascii="Times New Roman" w:hAnsi="Times New Roman" w:cs="Times New Roman"/>
          <w:color w:val="212529"/>
          <w:sz w:val="27"/>
          <w:szCs w:val="27"/>
          <w:shd w:val="clear" w:color="auto" w:fill="FFFFFF"/>
        </w:rPr>
        <w:t xml:space="preserve"> and </w:t>
      </w:r>
      <w:proofErr w:type="spellStart"/>
      <w:r>
        <w:rPr>
          <w:rStyle w:val="s14"/>
          <w:rFonts w:ascii="Times New Roman" w:hAnsi="Times New Roman" w:cs="Times New Roman"/>
          <w:color w:val="212529"/>
          <w:sz w:val="27"/>
          <w:szCs w:val="27"/>
          <w:shd w:val="clear" w:color="auto" w:fill="FFFFFF"/>
        </w:rPr>
        <w:t>Stylianou</w:t>
      </w:r>
      <w:proofErr w:type="spellEnd"/>
      <w:r>
        <w:rPr>
          <w:rStyle w:val="s14"/>
          <w:rFonts w:ascii="Times New Roman" w:hAnsi="Times New Roman" w:cs="Times New Roman"/>
          <w:color w:val="212529"/>
          <w:sz w:val="27"/>
          <w:szCs w:val="27"/>
          <w:shd w:val="clear" w:color="auto" w:fill="FFFFFF"/>
        </w:rPr>
        <w:t xml:space="preserve"> (2022) found that when examining the use of community-based responses, there are challenges in comparing different programmes in order to</w:t>
      </w:r>
      <w:r w:rsidR="0048192F">
        <w:rPr>
          <w:rStyle w:val="s14"/>
          <w:rFonts w:ascii="Times New Roman" w:hAnsi="Times New Roman" w:cs="Times New Roman"/>
          <w:color w:val="212529"/>
          <w:sz w:val="27"/>
          <w:szCs w:val="27"/>
          <w:shd w:val="clear" w:color="auto" w:fill="FFFFFF"/>
        </w:rPr>
        <w:t xml:space="preserve"> o</w:t>
      </w:r>
      <w:r>
        <w:rPr>
          <w:rStyle w:val="s14"/>
          <w:rFonts w:ascii="Times New Roman" w:hAnsi="Times New Roman" w:cs="Times New Roman"/>
          <w:color w:val="212529"/>
          <w:sz w:val="27"/>
          <w:szCs w:val="27"/>
          <w:shd w:val="clear" w:color="auto" w:fill="FFFFFF"/>
        </w:rPr>
        <w:t>btain a coherent picture of their effect. This does not indicate that such community-based approaches are not effective, or that they do not hold the potential to be effective, but that comparisons are challenging, and there may be </w:t>
      </w:r>
      <w:proofErr w:type="gramStart"/>
      <w:r>
        <w:rPr>
          <w:rStyle w:val="s14"/>
          <w:rFonts w:ascii="Times New Roman" w:hAnsi="Times New Roman" w:cs="Times New Roman"/>
          <w:color w:val="212529"/>
          <w:sz w:val="27"/>
          <w:szCs w:val="27"/>
          <w:shd w:val="clear" w:color="auto" w:fill="FFFFFF"/>
        </w:rPr>
        <w:t>a number of</w:t>
      </w:r>
      <w:proofErr w:type="gramEnd"/>
      <w:r w:rsidR="0004121E">
        <w:rPr>
          <w:rStyle w:val="s14"/>
          <w:rFonts w:ascii="Times New Roman" w:hAnsi="Times New Roman" w:cs="Times New Roman"/>
          <w:color w:val="212529"/>
          <w:sz w:val="27"/>
          <w:szCs w:val="27"/>
          <w:shd w:val="clear" w:color="auto" w:fill="FFFFFF"/>
        </w:rPr>
        <w:t xml:space="preserve"> </w:t>
      </w:r>
      <w:r>
        <w:rPr>
          <w:rStyle w:val="s14"/>
          <w:rFonts w:ascii="Times New Roman" w:hAnsi="Times New Roman" w:cs="Times New Roman"/>
          <w:color w:val="212529"/>
          <w:sz w:val="27"/>
          <w:szCs w:val="27"/>
          <w:shd w:val="clear" w:color="auto" w:fill="FFFFFF"/>
        </w:rPr>
        <w:t>different factors such as the type of domestic violence effect and the characteristics of the offenders that preclude clear comparisons between different programmes. </w:t>
      </w:r>
    </w:p>
    <w:p w14:paraId="0AF40484"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4E5E00D0" w14:textId="31742E82" w:rsidR="001E0357" w:rsidRDefault="001E0357" w:rsidP="001E0357">
      <w:pPr>
        <w:pStyle w:val="s4"/>
        <w:spacing w:before="0" w:beforeAutospacing="0" w:after="0" w:afterAutospacing="0"/>
        <w:jc w:val="both"/>
        <w:rPr>
          <w:rStyle w:val="s14"/>
          <w:rFonts w:ascii="Times New Roman" w:hAnsi="Times New Roman" w:cs="Times New Roman"/>
          <w:color w:val="212529"/>
          <w:sz w:val="27"/>
          <w:szCs w:val="27"/>
          <w:shd w:val="clear" w:color="auto" w:fill="FFFFFF"/>
        </w:rPr>
      </w:pPr>
      <w:r>
        <w:rPr>
          <w:rStyle w:val="s14"/>
          <w:rFonts w:ascii="Times New Roman" w:hAnsi="Times New Roman" w:cs="Times New Roman"/>
          <w:color w:val="212529"/>
          <w:sz w:val="27"/>
          <w:szCs w:val="27"/>
          <w:shd w:val="clear" w:color="auto" w:fill="FFFFFF"/>
        </w:rPr>
        <w:t>Cordier et al. (2021) examine</w:t>
      </w:r>
      <w:r w:rsidR="00200CBF">
        <w:rPr>
          <w:rStyle w:val="s14"/>
          <w:rFonts w:ascii="Times New Roman" w:hAnsi="Times New Roman" w:cs="Times New Roman"/>
          <w:color w:val="212529"/>
          <w:sz w:val="27"/>
          <w:szCs w:val="27"/>
          <w:shd w:val="clear" w:color="auto" w:fill="FFFFFF"/>
        </w:rPr>
        <w:t>s</w:t>
      </w:r>
      <w:r>
        <w:rPr>
          <w:rStyle w:val="s14"/>
          <w:rFonts w:ascii="Times New Roman" w:hAnsi="Times New Roman" w:cs="Times New Roman"/>
          <w:color w:val="212529"/>
          <w:sz w:val="27"/>
          <w:szCs w:val="27"/>
          <w:shd w:val="clear" w:color="auto" w:fill="FFFFFF"/>
        </w:rPr>
        <w:t xml:space="preserve"> the use of protection orders to reduce domestic violence, finding that when protection orders were used in combination with arrests, violation rates were lower. This was particularly the case for perpetrators who had no previous history of arrest for committing violence or for perpetrators with no previous history of stalking. Protection orders were also effective in situations where </w:t>
      </w:r>
      <w:r>
        <w:rPr>
          <w:rStyle w:val="s14"/>
          <w:rFonts w:ascii="Times New Roman" w:hAnsi="Times New Roman" w:cs="Times New Roman"/>
          <w:color w:val="212529"/>
          <w:sz w:val="27"/>
          <w:szCs w:val="27"/>
          <w:shd w:val="clear" w:color="auto" w:fill="FFFFFF"/>
        </w:rPr>
        <w:lastRenderedPageBreak/>
        <w:t>the couple had higher incomes. Cordier et al. (2021) thus shows that the impact of protection orders is potentially effective, but this depends upon the risk posed by the offender and the potential factors influencing the impact of the protection order, such as whether it is combined with other factors. Whereas protection orders would seem to be likely to be effective in protecting victims, Cordier et al. (2021) show that this is not always the case in domestic violence contexts. </w:t>
      </w:r>
    </w:p>
    <w:p w14:paraId="41CBCF8A" w14:textId="77777777" w:rsidR="00166596" w:rsidRDefault="00166596" w:rsidP="001E0357">
      <w:pPr>
        <w:pStyle w:val="s4"/>
        <w:spacing w:before="0" w:beforeAutospacing="0" w:after="0" w:afterAutospacing="0"/>
        <w:jc w:val="both"/>
        <w:rPr>
          <w:rStyle w:val="s14"/>
          <w:rFonts w:ascii="Times New Roman" w:hAnsi="Times New Roman" w:cs="Times New Roman"/>
          <w:color w:val="212529"/>
          <w:sz w:val="27"/>
          <w:szCs w:val="27"/>
          <w:shd w:val="clear" w:color="auto" w:fill="FFFFFF"/>
        </w:rPr>
      </w:pPr>
    </w:p>
    <w:p w14:paraId="01EF57E2" w14:textId="1E34770F" w:rsidR="00166596" w:rsidRDefault="0054231F" w:rsidP="001E0357">
      <w:pPr>
        <w:pStyle w:val="s4"/>
        <w:spacing w:before="0" w:beforeAutospacing="0" w:after="0" w:afterAutospacing="0"/>
        <w:jc w:val="both"/>
        <w:rPr>
          <w:color w:val="000000"/>
          <w:sz w:val="27"/>
          <w:szCs w:val="27"/>
        </w:rPr>
      </w:pPr>
      <w:r>
        <w:rPr>
          <w:rStyle w:val="s14"/>
          <w:rFonts w:ascii="Times New Roman" w:hAnsi="Times New Roman" w:cs="Times New Roman"/>
          <w:color w:val="212529"/>
          <w:sz w:val="27"/>
          <w:szCs w:val="27"/>
          <w:shd w:val="clear" w:color="auto" w:fill="FFFFFF"/>
        </w:rPr>
        <w:t>A further</w:t>
      </w:r>
      <w:r w:rsidR="00E52EE1">
        <w:rPr>
          <w:rStyle w:val="s14"/>
          <w:rFonts w:ascii="Times New Roman" w:hAnsi="Times New Roman" w:cs="Times New Roman"/>
          <w:color w:val="212529"/>
          <w:sz w:val="27"/>
          <w:szCs w:val="27"/>
          <w:shd w:val="clear" w:color="auto" w:fill="FFFFFF"/>
        </w:rPr>
        <w:t xml:space="preserve"> response to reduce reoffending in domestic violence cases is </w:t>
      </w:r>
      <w:proofErr w:type="gramStart"/>
      <w:r w:rsidR="00387EF8">
        <w:rPr>
          <w:rStyle w:val="s14"/>
          <w:rFonts w:ascii="Times New Roman" w:hAnsi="Times New Roman" w:cs="Times New Roman"/>
          <w:color w:val="212529"/>
          <w:sz w:val="27"/>
          <w:szCs w:val="27"/>
          <w:shd w:val="clear" w:color="auto" w:fill="FFFFFF"/>
        </w:rPr>
        <w:t xml:space="preserve">through </w:t>
      </w:r>
      <w:r w:rsidR="00E52EE1">
        <w:rPr>
          <w:rStyle w:val="s14"/>
          <w:rFonts w:ascii="Times New Roman" w:hAnsi="Times New Roman" w:cs="Times New Roman"/>
          <w:color w:val="212529"/>
          <w:sz w:val="27"/>
          <w:szCs w:val="27"/>
          <w:shd w:val="clear" w:color="auto" w:fill="FFFFFF"/>
        </w:rPr>
        <w:t>the use of</w:t>
      </w:r>
      <w:proofErr w:type="gramEnd"/>
      <w:r w:rsidR="00E52EE1">
        <w:rPr>
          <w:rStyle w:val="s14"/>
          <w:rFonts w:ascii="Times New Roman" w:hAnsi="Times New Roman" w:cs="Times New Roman"/>
          <w:color w:val="212529"/>
          <w:sz w:val="27"/>
          <w:szCs w:val="27"/>
          <w:shd w:val="clear" w:color="auto" w:fill="FFFFFF"/>
        </w:rPr>
        <w:t xml:space="preserve"> domestic violence courses. These course</w:t>
      </w:r>
      <w:r w:rsidR="007920F6">
        <w:rPr>
          <w:rStyle w:val="s14"/>
          <w:rFonts w:ascii="Times New Roman" w:hAnsi="Times New Roman" w:cs="Times New Roman"/>
          <w:color w:val="212529"/>
          <w:sz w:val="27"/>
          <w:szCs w:val="27"/>
          <w:shd w:val="clear" w:color="auto" w:fill="FFFFFF"/>
        </w:rPr>
        <w:t>s</w:t>
      </w:r>
      <w:r w:rsidR="00E52EE1">
        <w:rPr>
          <w:rStyle w:val="s14"/>
          <w:rFonts w:ascii="Times New Roman" w:hAnsi="Times New Roman" w:cs="Times New Roman"/>
          <w:color w:val="212529"/>
          <w:sz w:val="27"/>
          <w:szCs w:val="27"/>
          <w:shd w:val="clear" w:color="auto" w:fill="FFFFFF"/>
        </w:rPr>
        <w:t xml:space="preserve"> aim to deliver an education to domestic violence perpetrators in an attempt </w:t>
      </w:r>
      <w:r w:rsidR="00967AD4">
        <w:rPr>
          <w:rStyle w:val="s14"/>
          <w:rFonts w:ascii="Times New Roman" w:hAnsi="Times New Roman" w:cs="Times New Roman"/>
          <w:color w:val="212529"/>
          <w:sz w:val="27"/>
          <w:szCs w:val="27"/>
          <w:shd w:val="clear" w:color="auto" w:fill="FFFFFF"/>
        </w:rPr>
        <w:t>develop a self-awareness and recognise the impact they are having upon their victims</w:t>
      </w:r>
      <w:r w:rsidR="00AE6B3F">
        <w:rPr>
          <w:rStyle w:val="s14"/>
          <w:rFonts w:ascii="Times New Roman" w:hAnsi="Times New Roman" w:cs="Times New Roman"/>
          <w:color w:val="212529"/>
          <w:sz w:val="27"/>
          <w:szCs w:val="27"/>
          <w:shd w:val="clear" w:color="auto" w:fill="FFFFFF"/>
        </w:rPr>
        <w:t>,</w:t>
      </w:r>
      <w:r w:rsidR="007E0F5B">
        <w:rPr>
          <w:rStyle w:val="s14"/>
          <w:rFonts w:ascii="Times New Roman" w:hAnsi="Times New Roman" w:cs="Times New Roman"/>
          <w:color w:val="212529"/>
          <w:sz w:val="27"/>
          <w:szCs w:val="27"/>
          <w:shd w:val="clear" w:color="auto" w:fill="FFFFFF"/>
        </w:rPr>
        <w:t xml:space="preserve"> and </w:t>
      </w:r>
      <w:r w:rsidR="00F10EA9">
        <w:rPr>
          <w:rStyle w:val="s14"/>
          <w:rFonts w:ascii="Times New Roman" w:hAnsi="Times New Roman" w:cs="Times New Roman"/>
          <w:color w:val="212529"/>
          <w:sz w:val="27"/>
          <w:szCs w:val="27"/>
          <w:shd w:val="clear" w:color="auto" w:fill="FFFFFF"/>
        </w:rPr>
        <w:t xml:space="preserve">as well </w:t>
      </w:r>
      <w:r w:rsidR="00122DCB">
        <w:rPr>
          <w:rStyle w:val="s14"/>
          <w:rFonts w:ascii="Times New Roman" w:hAnsi="Times New Roman" w:cs="Times New Roman"/>
          <w:color w:val="212529"/>
          <w:sz w:val="27"/>
          <w:szCs w:val="27"/>
          <w:shd w:val="clear" w:color="auto" w:fill="FFFFFF"/>
        </w:rPr>
        <w:t xml:space="preserve">modify their ideas of masculinity </w:t>
      </w:r>
      <w:r w:rsidR="00AE6B3F">
        <w:rPr>
          <w:rStyle w:val="s14"/>
          <w:rFonts w:ascii="Times New Roman" w:hAnsi="Times New Roman" w:cs="Times New Roman"/>
          <w:color w:val="212529"/>
          <w:sz w:val="27"/>
          <w:szCs w:val="27"/>
          <w:shd w:val="clear" w:color="auto" w:fill="FFFFFF"/>
        </w:rPr>
        <w:t>and the roles of genders within the household</w:t>
      </w:r>
      <w:r w:rsidR="0055522A">
        <w:rPr>
          <w:rStyle w:val="s14"/>
          <w:rFonts w:ascii="Times New Roman" w:hAnsi="Times New Roman" w:cs="Times New Roman"/>
          <w:color w:val="212529"/>
          <w:sz w:val="27"/>
          <w:szCs w:val="27"/>
          <w:shd w:val="clear" w:color="auto" w:fill="FFFFFF"/>
        </w:rPr>
        <w:t xml:space="preserve"> (</w:t>
      </w:r>
      <w:r w:rsidR="0055522A" w:rsidRPr="0055522A">
        <w:rPr>
          <w:rStyle w:val="s14"/>
          <w:rFonts w:ascii="Times New Roman" w:hAnsi="Times New Roman" w:cs="Times New Roman"/>
          <w:color w:val="212529"/>
          <w:sz w:val="27"/>
          <w:szCs w:val="27"/>
          <w:shd w:val="clear" w:color="auto" w:fill="FFFFFF"/>
        </w:rPr>
        <w:t xml:space="preserve">Pence &amp; </w:t>
      </w:r>
      <w:proofErr w:type="spellStart"/>
      <w:r w:rsidR="0055522A" w:rsidRPr="0055522A">
        <w:rPr>
          <w:rStyle w:val="s14"/>
          <w:rFonts w:ascii="Times New Roman" w:hAnsi="Times New Roman" w:cs="Times New Roman"/>
          <w:color w:val="212529"/>
          <w:sz w:val="27"/>
          <w:szCs w:val="27"/>
          <w:shd w:val="clear" w:color="auto" w:fill="FFFFFF"/>
        </w:rPr>
        <w:t>Paymar</w:t>
      </w:r>
      <w:proofErr w:type="spellEnd"/>
      <w:r w:rsidR="0055522A" w:rsidRPr="0055522A">
        <w:rPr>
          <w:rStyle w:val="s14"/>
          <w:rFonts w:ascii="Times New Roman" w:hAnsi="Times New Roman" w:cs="Times New Roman"/>
          <w:color w:val="212529"/>
          <w:sz w:val="27"/>
          <w:szCs w:val="27"/>
          <w:shd w:val="clear" w:color="auto" w:fill="FFFFFF"/>
        </w:rPr>
        <w:t xml:space="preserve">, 1993). </w:t>
      </w:r>
      <w:r w:rsidR="00967AD4">
        <w:rPr>
          <w:rStyle w:val="s14"/>
          <w:rFonts w:ascii="Times New Roman" w:hAnsi="Times New Roman" w:cs="Times New Roman"/>
          <w:color w:val="212529"/>
          <w:sz w:val="27"/>
          <w:szCs w:val="27"/>
          <w:shd w:val="clear" w:color="auto" w:fill="FFFFFF"/>
        </w:rPr>
        <w:t xml:space="preserve"> </w:t>
      </w:r>
    </w:p>
    <w:p w14:paraId="075202A2"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703BB6DF" w14:textId="77777777" w:rsidR="001E0357" w:rsidRDefault="001E0357" w:rsidP="001E0357">
      <w:pPr>
        <w:pStyle w:val="s4"/>
        <w:spacing w:before="0" w:beforeAutospacing="0" w:after="0" w:afterAutospacing="0"/>
        <w:jc w:val="both"/>
        <w:rPr>
          <w:color w:val="000000"/>
          <w:sz w:val="27"/>
          <w:szCs w:val="27"/>
        </w:rPr>
      </w:pPr>
      <w:r>
        <w:rPr>
          <w:rStyle w:val="s14"/>
          <w:rFonts w:ascii="Times New Roman" w:hAnsi="Times New Roman" w:cs="Times New Roman"/>
          <w:color w:val="212529"/>
          <w:sz w:val="27"/>
          <w:szCs w:val="27"/>
          <w:shd w:val="clear" w:color="auto" w:fill="FFFFFF"/>
        </w:rPr>
        <w:t>In conclusion, domestic violence reoffending appears to be difficult to reduce according to these techniques, with risk assessment, community-based rehabilitation and protection orders all offering limited evidence of their effectiveness. One response could be for domestic violence offenders to attend counselling or other forms of treatment, but such offenders would need to be willing to engage with the process, and this may mean that they are inclined to avoid reoffending in the first place. The effect of the process is also limited by the fact that domestic violence involves a substantive range of crimes, which may mean there is substantial heterogeneity in the offenders, which can then preclude the effect of any reoffending approaches. Nevertheless, this does not deny the importance of attempting to find factors that can help reduce reoffending in this area, given the relative prevalence of domestic violence and the substantial impact that experience of this crime has upon victims. </w:t>
      </w:r>
    </w:p>
    <w:p w14:paraId="3DE387CA" w14:textId="0A3DBEB3"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 xml:space="preserve">Word Count – </w:t>
      </w:r>
      <w:r w:rsidR="00FE7BDD">
        <w:rPr>
          <w:color w:val="000000"/>
          <w:sz w:val="27"/>
          <w:szCs w:val="27"/>
        </w:rPr>
        <w:t>1059</w:t>
      </w:r>
    </w:p>
    <w:p w14:paraId="067F6EC9" w14:textId="77777777" w:rsidR="001E0357" w:rsidRDefault="001E0357" w:rsidP="001E0357">
      <w:pPr>
        <w:pStyle w:val="NormalWeb"/>
        <w:spacing w:before="0" w:beforeAutospacing="0" w:after="0" w:afterAutospacing="0" w:line="324" w:lineRule="atLeast"/>
        <w:rPr>
          <w:color w:val="000000"/>
          <w:sz w:val="27"/>
          <w:szCs w:val="27"/>
        </w:rPr>
      </w:pPr>
    </w:p>
    <w:p w14:paraId="79703B28" w14:textId="77777777"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 </w:t>
      </w:r>
    </w:p>
    <w:p w14:paraId="619A638B" w14:textId="77777777" w:rsidR="001E0357" w:rsidRDefault="001E0357" w:rsidP="001E0357">
      <w:pPr>
        <w:pStyle w:val="NormalWeb"/>
        <w:spacing w:before="0" w:beforeAutospacing="0" w:after="0" w:afterAutospacing="0" w:line="324" w:lineRule="atLeast"/>
        <w:rPr>
          <w:color w:val="000000"/>
          <w:sz w:val="27"/>
          <w:szCs w:val="27"/>
        </w:rPr>
      </w:pPr>
      <w:r>
        <w:rPr>
          <w:rStyle w:val="s2"/>
          <w:rFonts w:ascii="Times New Roman" w:hAnsi="Times New Roman" w:cs="Times New Roman"/>
          <w:b/>
          <w:bCs/>
          <w:color w:val="212529"/>
          <w:sz w:val="27"/>
          <w:szCs w:val="27"/>
          <w:shd w:val="clear" w:color="auto" w:fill="FFFFFF"/>
        </w:rPr>
        <w:t>Assess the extent of response officers’ role in dealing with critical and major incidents. </w:t>
      </w:r>
    </w:p>
    <w:p w14:paraId="7AE9A8A1" w14:textId="77777777"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 </w:t>
      </w:r>
    </w:p>
    <w:p w14:paraId="70F72039" w14:textId="6923438E"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A response officer is on the front line of </w:t>
      </w:r>
      <w:proofErr w:type="gramStart"/>
      <w:r>
        <w:rPr>
          <w:rStyle w:val="s3"/>
          <w:rFonts w:ascii="Times New Roman" w:hAnsi="Times New Roman" w:cs="Times New Roman"/>
          <w:color w:val="000000"/>
          <w:sz w:val="27"/>
          <w:szCs w:val="27"/>
          <w:shd w:val="clear" w:color="auto" w:fill="FFFFFF"/>
        </w:rPr>
        <w:t>policing, and</w:t>
      </w:r>
      <w:proofErr w:type="gramEnd"/>
      <w:r>
        <w:rPr>
          <w:rStyle w:val="s3"/>
          <w:rFonts w:ascii="Times New Roman" w:hAnsi="Times New Roman" w:cs="Times New Roman"/>
          <w:color w:val="000000"/>
          <w:sz w:val="27"/>
          <w:szCs w:val="27"/>
          <w:shd w:val="clear" w:color="auto" w:fill="FFFFFF"/>
        </w:rPr>
        <w:t xml:space="preserve"> is often the first emergency service to arrive at any incident (Seo et al. 2021). This involves the police often quickly taking control, assessing threats, and liais</w:t>
      </w:r>
      <w:r w:rsidR="002473B5">
        <w:rPr>
          <w:rStyle w:val="s3"/>
          <w:rFonts w:ascii="Times New Roman" w:hAnsi="Times New Roman" w:cs="Times New Roman"/>
          <w:color w:val="000000"/>
          <w:sz w:val="27"/>
          <w:szCs w:val="27"/>
          <w:shd w:val="clear" w:color="auto" w:fill="FFFFFF"/>
        </w:rPr>
        <w:t>ing</w:t>
      </w:r>
      <w:r>
        <w:rPr>
          <w:rStyle w:val="s3"/>
          <w:rFonts w:ascii="Times New Roman" w:hAnsi="Times New Roman" w:cs="Times New Roman"/>
          <w:color w:val="000000"/>
          <w:sz w:val="27"/>
          <w:szCs w:val="27"/>
          <w:shd w:val="clear" w:color="auto" w:fill="FFFFFF"/>
        </w:rPr>
        <w:t xml:space="preserve"> with other officers and agencies</w:t>
      </w:r>
      <w:r w:rsidR="002473B5">
        <w:rPr>
          <w:rStyle w:val="s3"/>
          <w:rFonts w:ascii="Times New Roman" w:hAnsi="Times New Roman" w:cs="Times New Roman"/>
          <w:color w:val="000000"/>
          <w:sz w:val="27"/>
          <w:szCs w:val="27"/>
          <w:shd w:val="clear" w:color="auto" w:fill="FFFFFF"/>
        </w:rPr>
        <w:t xml:space="preserve"> </w:t>
      </w:r>
      <w:r>
        <w:rPr>
          <w:rStyle w:val="s3"/>
          <w:rFonts w:ascii="Times New Roman" w:hAnsi="Times New Roman" w:cs="Times New Roman"/>
          <w:color w:val="000000"/>
          <w:sz w:val="27"/>
          <w:szCs w:val="27"/>
          <w:shd w:val="clear" w:color="auto" w:fill="FFFFFF"/>
        </w:rPr>
        <w:t>(Lum et al. 2022). Critical incidents are those in which the effectiveness of the police response is likely to have a significant impact upon the confidence and perspective of the victim and others (</w:t>
      </w:r>
      <w:proofErr w:type="spellStart"/>
      <w:r>
        <w:rPr>
          <w:rStyle w:val="s3"/>
          <w:rFonts w:ascii="Times New Roman" w:hAnsi="Times New Roman" w:cs="Times New Roman"/>
          <w:color w:val="000000"/>
          <w:sz w:val="27"/>
          <w:szCs w:val="27"/>
          <w:shd w:val="clear" w:color="auto" w:fill="FFFFFF"/>
        </w:rPr>
        <w:t>Huhta</w:t>
      </w:r>
      <w:proofErr w:type="spellEnd"/>
      <w:r>
        <w:rPr>
          <w:rStyle w:val="s3"/>
          <w:rFonts w:ascii="Times New Roman" w:hAnsi="Times New Roman" w:cs="Times New Roman"/>
          <w:color w:val="000000"/>
          <w:sz w:val="27"/>
          <w:szCs w:val="27"/>
          <w:shd w:val="clear" w:color="auto" w:fill="FFFFFF"/>
        </w:rPr>
        <w:t xml:space="preserve"> et al. 2021). A major incident is one that is likely to involve serious harm, risk to human life, </w:t>
      </w:r>
      <w:proofErr w:type="gramStart"/>
      <w:r>
        <w:rPr>
          <w:rStyle w:val="s3"/>
          <w:rFonts w:ascii="Times New Roman" w:hAnsi="Times New Roman" w:cs="Times New Roman"/>
          <w:color w:val="000000"/>
          <w:sz w:val="27"/>
          <w:szCs w:val="27"/>
          <w:shd w:val="clear" w:color="auto" w:fill="FFFFFF"/>
        </w:rPr>
        <w:t>damage</w:t>
      </w:r>
      <w:proofErr w:type="gramEnd"/>
      <w:r>
        <w:rPr>
          <w:rStyle w:val="s3"/>
          <w:rFonts w:ascii="Times New Roman" w:hAnsi="Times New Roman" w:cs="Times New Roman"/>
          <w:color w:val="000000"/>
          <w:sz w:val="27"/>
          <w:szCs w:val="27"/>
          <w:shd w:val="clear" w:color="auto" w:fill="FFFFFF"/>
        </w:rPr>
        <w:t xml:space="preserve"> or disruption; this does not necessarily involve a major number of individuals, but can pose significant risk to others (</w:t>
      </w:r>
      <w:proofErr w:type="spellStart"/>
      <w:r>
        <w:rPr>
          <w:rStyle w:val="s3"/>
          <w:rFonts w:ascii="Times New Roman" w:hAnsi="Times New Roman" w:cs="Times New Roman"/>
          <w:color w:val="000000"/>
          <w:sz w:val="27"/>
          <w:szCs w:val="27"/>
          <w:shd w:val="clear" w:color="auto" w:fill="FFFFFF"/>
        </w:rPr>
        <w:t>Hasell</w:t>
      </w:r>
      <w:proofErr w:type="spellEnd"/>
      <w:r>
        <w:rPr>
          <w:rStyle w:val="s3"/>
          <w:rFonts w:ascii="Times New Roman" w:hAnsi="Times New Roman" w:cs="Times New Roman"/>
          <w:color w:val="000000"/>
          <w:sz w:val="27"/>
          <w:szCs w:val="27"/>
          <w:shd w:val="clear" w:color="auto" w:fill="FFFFFF"/>
        </w:rPr>
        <w:t xml:space="preserve">, 2020). In this essay, first examples of major incidents will be discussed in the form of terrorism attacks on London Bridge and in the </w:t>
      </w:r>
      <w:proofErr w:type="spellStart"/>
      <w:r>
        <w:rPr>
          <w:rStyle w:val="s3"/>
          <w:rFonts w:ascii="Times New Roman" w:hAnsi="Times New Roman" w:cs="Times New Roman"/>
          <w:color w:val="000000"/>
          <w:sz w:val="27"/>
          <w:szCs w:val="27"/>
          <w:shd w:val="clear" w:color="auto" w:fill="FFFFFF"/>
        </w:rPr>
        <w:t>Macnhester</w:t>
      </w:r>
      <w:proofErr w:type="spellEnd"/>
      <w:r>
        <w:rPr>
          <w:rStyle w:val="s3"/>
          <w:rFonts w:ascii="Times New Roman" w:hAnsi="Times New Roman" w:cs="Times New Roman"/>
          <w:color w:val="000000"/>
          <w:sz w:val="27"/>
          <w:szCs w:val="27"/>
          <w:shd w:val="clear" w:color="auto" w:fill="FFFFFF"/>
        </w:rPr>
        <w:t xml:space="preserve"> </w:t>
      </w:r>
      <w:proofErr w:type="spellStart"/>
      <w:r>
        <w:rPr>
          <w:rStyle w:val="s3"/>
          <w:rFonts w:ascii="Times New Roman" w:hAnsi="Times New Roman" w:cs="Times New Roman"/>
          <w:color w:val="000000"/>
          <w:sz w:val="27"/>
          <w:szCs w:val="27"/>
          <w:shd w:val="clear" w:color="auto" w:fill="FFFFFF"/>
        </w:rPr>
        <w:t>Arean</w:t>
      </w:r>
      <w:proofErr w:type="spellEnd"/>
      <w:r>
        <w:rPr>
          <w:rStyle w:val="s3"/>
          <w:rFonts w:ascii="Times New Roman" w:hAnsi="Times New Roman" w:cs="Times New Roman"/>
          <w:color w:val="000000"/>
          <w:sz w:val="27"/>
          <w:szCs w:val="27"/>
          <w:shd w:val="clear" w:color="auto" w:fill="FFFFFF"/>
        </w:rPr>
        <w:t xml:space="preserve">, and the police involvement in the Grenfell fire, all of which took place </w:t>
      </w:r>
      <w:r>
        <w:rPr>
          <w:rStyle w:val="s3"/>
          <w:rFonts w:ascii="Times New Roman" w:hAnsi="Times New Roman" w:cs="Times New Roman"/>
          <w:color w:val="000000"/>
          <w:sz w:val="27"/>
          <w:szCs w:val="27"/>
          <w:shd w:val="clear" w:color="auto" w:fill="FFFFFF"/>
        </w:rPr>
        <w:lastRenderedPageBreak/>
        <w:t>in 2017. Secondly, the police role in a critical incident will be discussed with reference to their response to a vigil for Sarah Everard in 2021. </w:t>
      </w:r>
      <w:r>
        <w:rPr>
          <w:color w:val="000000"/>
          <w:sz w:val="27"/>
          <w:szCs w:val="27"/>
        </w:rPr>
        <w:t> </w:t>
      </w:r>
    </w:p>
    <w:p w14:paraId="539C0EBC"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24EE2F05" w14:textId="3A9BA7E4"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 xml:space="preserve">In 2017, 48 people were injured and 8 people were killed on an attack in London Bridge in June. Within minutes of the attack taking place, the police responded, and the attackers </w:t>
      </w:r>
      <w:r w:rsidR="00DE409E">
        <w:rPr>
          <w:rStyle w:val="s3"/>
          <w:rFonts w:ascii="Times New Roman" w:hAnsi="Times New Roman" w:cs="Times New Roman"/>
          <w:color w:val="000000"/>
          <w:sz w:val="27"/>
          <w:szCs w:val="27"/>
          <w:shd w:val="clear" w:color="auto" w:fill="FFFFFF"/>
        </w:rPr>
        <w:t>charged</w:t>
      </w:r>
      <w:r>
        <w:rPr>
          <w:rStyle w:val="s3"/>
          <w:rFonts w:ascii="Times New Roman" w:hAnsi="Times New Roman" w:cs="Times New Roman"/>
          <w:color w:val="000000"/>
          <w:sz w:val="27"/>
          <w:szCs w:val="27"/>
          <w:shd w:val="clear" w:color="auto" w:fill="FFFFFF"/>
        </w:rPr>
        <w:t xml:space="preserve"> them with knives (</w:t>
      </w:r>
      <w:proofErr w:type="spellStart"/>
      <w:r>
        <w:rPr>
          <w:rStyle w:val="s3"/>
          <w:rFonts w:ascii="Times New Roman" w:hAnsi="Times New Roman" w:cs="Times New Roman"/>
          <w:color w:val="000000"/>
          <w:sz w:val="27"/>
          <w:szCs w:val="27"/>
          <w:shd w:val="clear" w:color="auto" w:fill="FFFFFF"/>
        </w:rPr>
        <w:t>Skyrabina</w:t>
      </w:r>
      <w:proofErr w:type="spellEnd"/>
      <w:r>
        <w:rPr>
          <w:rStyle w:val="s3"/>
          <w:rFonts w:ascii="Times New Roman" w:hAnsi="Times New Roman" w:cs="Times New Roman"/>
          <w:color w:val="000000"/>
          <w:sz w:val="27"/>
          <w:szCs w:val="27"/>
          <w:shd w:val="clear" w:color="auto" w:fill="FFFFFF"/>
        </w:rPr>
        <w:t xml:space="preserve"> et al. 2020). The police responded by firing upon </w:t>
      </w:r>
      <w:proofErr w:type="gramStart"/>
      <w:r>
        <w:rPr>
          <w:rStyle w:val="s3"/>
          <w:rFonts w:ascii="Times New Roman" w:hAnsi="Times New Roman" w:cs="Times New Roman"/>
          <w:color w:val="000000"/>
          <w:sz w:val="27"/>
          <w:szCs w:val="27"/>
          <w:shd w:val="clear" w:color="auto" w:fill="FFFFFF"/>
        </w:rPr>
        <w:t>them, and</w:t>
      </w:r>
      <w:proofErr w:type="gramEnd"/>
      <w:r>
        <w:rPr>
          <w:rStyle w:val="s3"/>
          <w:rFonts w:ascii="Times New Roman" w:hAnsi="Times New Roman" w:cs="Times New Roman"/>
          <w:color w:val="000000"/>
          <w:sz w:val="27"/>
          <w:szCs w:val="27"/>
          <w:shd w:val="clear" w:color="auto" w:fill="FFFFFF"/>
        </w:rPr>
        <w:t xml:space="preserve"> kept them covered because they were concerned that the attackers might be wearing explosive vests (De </w:t>
      </w:r>
      <w:proofErr w:type="spellStart"/>
      <w:r>
        <w:rPr>
          <w:rStyle w:val="s3"/>
          <w:rFonts w:ascii="Times New Roman" w:hAnsi="Times New Roman" w:cs="Times New Roman"/>
          <w:color w:val="000000"/>
          <w:sz w:val="27"/>
          <w:szCs w:val="27"/>
          <w:shd w:val="clear" w:color="auto" w:fill="FFFFFF"/>
        </w:rPr>
        <w:t>Cauwer</w:t>
      </w:r>
      <w:proofErr w:type="spellEnd"/>
      <w:r>
        <w:rPr>
          <w:rStyle w:val="s3"/>
          <w:rFonts w:ascii="Times New Roman" w:hAnsi="Times New Roman" w:cs="Times New Roman"/>
          <w:color w:val="000000"/>
          <w:sz w:val="27"/>
          <w:szCs w:val="27"/>
          <w:shd w:val="clear" w:color="auto" w:fill="FFFFFF"/>
        </w:rPr>
        <w:t xml:space="preserve"> et al. 2023). One challenge in this case is that the response officers used the emergency button on the police radio, which overrides other radio traffic. In a major incident, several </w:t>
      </w:r>
      <w:r w:rsidR="00DE409E">
        <w:rPr>
          <w:rStyle w:val="s3"/>
          <w:rFonts w:ascii="Times New Roman" w:hAnsi="Times New Roman" w:cs="Times New Roman"/>
          <w:color w:val="000000"/>
          <w:sz w:val="27"/>
          <w:szCs w:val="27"/>
          <w:shd w:val="clear" w:color="auto" w:fill="FFFFFF"/>
        </w:rPr>
        <w:t>officers</w:t>
      </w:r>
      <w:r>
        <w:rPr>
          <w:rStyle w:val="s3"/>
          <w:rFonts w:ascii="Times New Roman" w:hAnsi="Times New Roman" w:cs="Times New Roman"/>
          <w:color w:val="000000"/>
          <w:sz w:val="27"/>
          <w:szCs w:val="27"/>
          <w:shd w:val="clear" w:color="auto" w:fill="FFFFFF"/>
        </w:rPr>
        <w:t xml:space="preserve"> may press the button, meaning that none of their responses can be heard</w:t>
      </w:r>
      <w:r w:rsidR="00DE409E">
        <w:rPr>
          <w:rStyle w:val="s3"/>
          <w:rFonts w:ascii="Times New Roman" w:hAnsi="Times New Roman" w:cs="Times New Roman"/>
          <w:color w:val="000000"/>
          <w:sz w:val="27"/>
          <w:szCs w:val="27"/>
          <w:shd w:val="clear" w:color="auto" w:fill="FFFFFF"/>
        </w:rPr>
        <w:t xml:space="preserve"> </w:t>
      </w:r>
      <w:r>
        <w:rPr>
          <w:rStyle w:val="s3"/>
          <w:rFonts w:ascii="Times New Roman" w:hAnsi="Times New Roman" w:cs="Times New Roman"/>
          <w:color w:val="000000"/>
          <w:sz w:val="27"/>
          <w:szCs w:val="27"/>
          <w:shd w:val="clear" w:color="auto" w:fill="FFFFFF"/>
        </w:rPr>
        <w:t xml:space="preserve">(De </w:t>
      </w:r>
      <w:proofErr w:type="spellStart"/>
      <w:r>
        <w:rPr>
          <w:rStyle w:val="s3"/>
          <w:rFonts w:ascii="Times New Roman" w:hAnsi="Times New Roman" w:cs="Times New Roman"/>
          <w:color w:val="000000"/>
          <w:sz w:val="27"/>
          <w:szCs w:val="27"/>
          <w:shd w:val="clear" w:color="auto" w:fill="FFFFFF"/>
        </w:rPr>
        <w:t>Cauwer</w:t>
      </w:r>
      <w:proofErr w:type="spellEnd"/>
      <w:r>
        <w:rPr>
          <w:rStyle w:val="s3"/>
          <w:rFonts w:ascii="Times New Roman" w:hAnsi="Times New Roman" w:cs="Times New Roman"/>
          <w:color w:val="000000"/>
          <w:sz w:val="27"/>
          <w:szCs w:val="27"/>
          <w:shd w:val="clear" w:color="auto" w:fill="FFFFFF"/>
        </w:rPr>
        <w:t xml:space="preserve"> et al. 2023). This illustrates that while the </w:t>
      </w:r>
      <w:r w:rsidR="00DE409E">
        <w:rPr>
          <w:rStyle w:val="s3"/>
          <w:rFonts w:ascii="Times New Roman" w:hAnsi="Times New Roman" w:cs="Times New Roman"/>
          <w:color w:val="000000"/>
          <w:sz w:val="27"/>
          <w:szCs w:val="27"/>
          <w:shd w:val="clear" w:color="auto" w:fill="FFFFFF"/>
        </w:rPr>
        <w:t>response</w:t>
      </w:r>
      <w:r>
        <w:rPr>
          <w:rStyle w:val="s3"/>
          <w:rFonts w:ascii="Times New Roman" w:hAnsi="Times New Roman" w:cs="Times New Roman"/>
          <w:color w:val="000000"/>
          <w:sz w:val="27"/>
          <w:szCs w:val="27"/>
          <w:shd w:val="clear" w:color="auto" w:fill="FFFFFF"/>
        </w:rPr>
        <w:t xml:space="preserve"> officers performed effectively, the overall response was undermined by a single factor that was unsuited to major incidents when there is a need for substantial communicative space by numerous officers. </w:t>
      </w:r>
    </w:p>
    <w:p w14:paraId="608E9BCB"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59FBB7CD" w14:textId="351E2B9D"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 xml:space="preserve">The Manchester Arena attacks were when Salman Abedi detonated a bomb he was carrying in a rucksack, killing 22 and injuring 139 (Atkins, 2023). An important indication of this case is that initially it was considered likely that there was a marauding attacking in which terrorists move through a location and kill as many civilians as possible. This meant that the Inspector who was in command of the initial response to </w:t>
      </w:r>
      <w:r w:rsidR="00F230E6">
        <w:rPr>
          <w:rStyle w:val="s3"/>
          <w:rFonts w:ascii="Times New Roman" w:hAnsi="Times New Roman" w:cs="Times New Roman"/>
          <w:color w:val="000000"/>
          <w:sz w:val="27"/>
          <w:szCs w:val="27"/>
          <w:shd w:val="clear" w:color="auto" w:fill="FFFFFF"/>
        </w:rPr>
        <w:t>announce</w:t>
      </w:r>
      <w:r>
        <w:rPr>
          <w:rStyle w:val="s3"/>
          <w:rFonts w:ascii="Times New Roman" w:hAnsi="Times New Roman" w:cs="Times New Roman"/>
          <w:color w:val="000000"/>
          <w:sz w:val="27"/>
          <w:szCs w:val="27"/>
          <w:shd w:val="clear" w:color="auto" w:fill="FFFFFF"/>
        </w:rPr>
        <w:t xml:space="preserve"> the deployment of Operation PLATO (Atkins, 2023). However, it was later established in a review that the Northwest Ambulance Service and the Greater Manchester Fire and Rescue Service were not informed of the decision to deploy Operation PLATO, and this could reflect a problem with the police responders’ coordination with other emergency services that is an essential part of the process (Atkins, 2023). This illustrates the importance of response officers to engage effectively with other individuals. </w:t>
      </w:r>
    </w:p>
    <w:p w14:paraId="28C71362"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783F5D41" w14:textId="14BE1F07" w:rsidR="001E0357" w:rsidRDefault="001E0357" w:rsidP="001E0357">
      <w:pPr>
        <w:pStyle w:val="s4"/>
        <w:spacing w:before="0" w:beforeAutospacing="0" w:after="0" w:afterAutospacing="0"/>
        <w:jc w:val="both"/>
        <w:rPr>
          <w:color w:val="000000"/>
          <w:sz w:val="27"/>
          <w:szCs w:val="27"/>
        </w:rPr>
      </w:pPr>
      <w:r>
        <w:rPr>
          <w:rStyle w:val="s16"/>
          <w:rFonts w:ascii="Times New Roman" w:hAnsi="Times New Roman" w:cs="Times New Roman"/>
          <w:color w:val="000000"/>
          <w:sz w:val="27"/>
          <w:szCs w:val="27"/>
        </w:rPr>
        <w:t>An important major and critical incident can be seen in the police response to the Grenfell Tower fire in London in 2017, which killed 72 people (Bulley &amp; Brasset, 2021). The fact that this was a fire meant that the key organisation was the fire department; nevertheless, the police was involved. From one perspective, the police responders played an important versatile approach to supporting other emergency services and protecting the public. (Bulley &amp; Brasset, 2021). At one point, falling debris meant that rescued residents and firefighters were protected by plastic shields that were held horizontally</w:t>
      </w:r>
      <w:r w:rsidR="001F6E6C">
        <w:rPr>
          <w:rStyle w:val="s16"/>
          <w:rFonts w:ascii="Times New Roman" w:hAnsi="Times New Roman" w:cs="Times New Roman"/>
          <w:color w:val="000000"/>
          <w:sz w:val="27"/>
          <w:szCs w:val="27"/>
        </w:rPr>
        <w:t xml:space="preserve"> </w:t>
      </w:r>
      <w:r>
        <w:rPr>
          <w:rStyle w:val="s16"/>
          <w:rFonts w:ascii="Times New Roman" w:hAnsi="Times New Roman" w:cs="Times New Roman"/>
          <w:color w:val="000000"/>
          <w:sz w:val="27"/>
          <w:szCs w:val="27"/>
        </w:rPr>
        <w:t>(</w:t>
      </w:r>
      <w:proofErr w:type="spellStart"/>
      <w:r>
        <w:rPr>
          <w:rStyle w:val="s16"/>
          <w:rFonts w:ascii="Times New Roman" w:hAnsi="Times New Roman" w:cs="Times New Roman"/>
          <w:color w:val="000000"/>
          <w:sz w:val="27"/>
          <w:szCs w:val="27"/>
        </w:rPr>
        <w:t>Shildrick</w:t>
      </w:r>
      <w:proofErr w:type="spellEnd"/>
      <w:r>
        <w:rPr>
          <w:rStyle w:val="s16"/>
          <w:rFonts w:ascii="Times New Roman" w:hAnsi="Times New Roman" w:cs="Times New Roman"/>
          <w:color w:val="000000"/>
          <w:sz w:val="27"/>
          <w:szCs w:val="27"/>
        </w:rPr>
        <w:t>, 2018). However, the police involvement in the Grenfell fire may have also been affected by the problem that the official policy was for residents to stay in their flats, which was advice that later was shown to be incorrect and resulted in more residents dying (Bulley &amp; Brasset, 2021). In such cases, the challenge may be that the lead for encouraging the residents to stay in their flats was primarily organised by the fire service rather than the police (</w:t>
      </w:r>
      <w:proofErr w:type="spellStart"/>
      <w:r>
        <w:rPr>
          <w:rStyle w:val="s16"/>
          <w:rFonts w:ascii="Times New Roman" w:hAnsi="Times New Roman" w:cs="Times New Roman"/>
          <w:color w:val="000000"/>
          <w:sz w:val="27"/>
          <w:szCs w:val="27"/>
        </w:rPr>
        <w:t>Shildrick</w:t>
      </w:r>
      <w:proofErr w:type="spellEnd"/>
      <w:r>
        <w:rPr>
          <w:rStyle w:val="s16"/>
          <w:rFonts w:ascii="Times New Roman" w:hAnsi="Times New Roman" w:cs="Times New Roman"/>
          <w:color w:val="000000"/>
          <w:sz w:val="27"/>
          <w:szCs w:val="27"/>
        </w:rPr>
        <w:t xml:space="preserve">, 2018). In such cases, the effectiveness of the police responders may have been </w:t>
      </w:r>
      <w:r>
        <w:rPr>
          <w:rStyle w:val="s16"/>
          <w:rFonts w:ascii="Times New Roman" w:hAnsi="Times New Roman" w:cs="Times New Roman"/>
          <w:color w:val="000000"/>
          <w:sz w:val="27"/>
          <w:szCs w:val="27"/>
        </w:rPr>
        <w:lastRenderedPageBreak/>
        <w:t>undermined by the official advice in this case, which enforced by the police but not a policy that was supported by others. </w:t>
      </w:r>
    </w:p>
    <w:p w14:paraId="31E991D5"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688C5EBC" w14:textId="7D9C90D5"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In terms of critical incidents, one negative response can be seen in the policing of a vigil held for Sarah Everard, a victim of a murder by a police officer when she was walking home. After his arrest, a vigil was held near to the site of her murder, which was seen as being treated in a heavy-handed manner by the police (</w:t>
      </w:r>
      <w:proofErr w:type="spellStart"/>
      <w:r>
        <w:rPr>
          <w:rStyle w:val="s3"/>
          <w:rFonts w:ascii="Times New Roman" w:hAnsi="Times New Roman" w:cs="Times New Roman"/>
          <w:color w:val="000000"/>
          <w:sz w:val="27"/>
          <w:szCs w:val="27"/>
          <w:shd w:val="clear" w:color="auto" w:fill="FFFFFF"/>
        </w:rPr>
        <w:t>Lowerson</w:t>
      </w:r>
      <w:proofErr w:type="spellEnd"/>
      <w:r>
        <w:rPr>
          <w:rStyle w:val="s3"/>
          <w:rFonts w:ascii="Times New Roman" w:hAnsi="Times New Roman" w:cs="Times New Roman"/>
          <w:color w:val="000000"/>
          <w:sz w:val="27"/>
          <w:szCs w:val="27"/>
          <w:shd w:val="clear" w:color="auto" w:fill="FFFFFF"/>
        </w:rPr>
        <w:t xml:space="preserve">, 2021). During this period, the gathering of more than 30 people in public was restricted due to the COVID-19 pandemic. It was considered by Metropolitan Police Officers that the vigil would be unlawful, </w:t>
      </w:r>
      <w:proofErr w:type="gramStart"/>
      <w:r>
        <w:rPr>
          <w:rStyle w:val="s3"/>
          <w:rFonts w:ascii="Times New Roman" w:hAnsi="Times New Roman" w:cs="Times New Roman"/>
          <w:color w:val="000000"/>
          <w:sz w:val="27"/>
          <w:szCs w:val="27"/>
          <w:shd w:val="clear" w:color="auto" w:fill="FFFFFF"/>
        </w:rPr>
        <w:t>despite the fact that</w:t>
      </w:r>
      <w:proofErr w:type="gramEnd"/>
      <w:r>
        <w:rPr>
          <w:rStyle w:val="s3"/>
          <w:rFonts w:ascii="Times New Roman" w:hAnsi="Times New Roman" w:cs="Times New Roman"/>
          <w:color w:val="000000"/>
          <w:sz w:val="27"/>
          <w:szCs w:val="27"/>
          <w:shd w:val="clear" w:color="auto" w:fill="FFFFFF"/>
        </w:rPr>
        <w:t xml:space="preserve"> the vigil was no</w:t>
      </w:r>
      <w:r w:rsidR="005D2C50">
        <w:rPr>
          <w:rStyle w:val="s3"/>
          <w:rFonts w:ascii="Times New Roman" w:hAnsi="Times New Roman" w:cs="Times New Roman"/>
          <w:color w:val="000000"/>
          <w:sz w:val="27"/>
          <w:szCs w:val="27"/>
          <w:shd w:val="clear" w:color="auto" w:fill="FFFFFF"/>
        </w:rPr>
        <w:t>t</w:t>
      </w:r>
      <w:r>
        <w:rPr>
          <w:rStyle w:val="s3"/>
          <w:rFonts w:ascii="Times New Roman" w:hAnsi="Times New Roman" w:cs="Times New Roman"/>
          <w:color w:val="000000"/>
          <w:sz w:val="27"/>
          <w:szCs w:val="27"/>
          <w:shd w:val="clear" w:color="auto" w:fill="FFFFFF"/>
        </w:rPr>
        <w:t xml:space="preserve"> organised as a protest and those attending the vigil were urged to take part in a </w:t>
      </w:r>
      <w:r w:rsidR="005D2C50">
        <w:rPr>
          <w:rStyle w:val="s3"/>
          <w:rFonts w:ascii="Times New Roman" w:hAnsi="Times New Roman" w:cs="Times New Roman"/>
          <w:color w:val="000000"/>
          <w:sz w:val="27"/>
          <w:szCs w:val="27"/>
          <w:shd w:val="clear" w:color="auto" w:fill="FFFFFF"/>
        </w:rPr>
        <w:t>socially distanced</w:t>
      </w:r>
      <w:r>
        <w:rPr>
          <w:rStyle w:val="s3"/>
          <w:rFonts w:ascii="Times New Roman" w:hAnsi="Times New Roman" w:cs="Times New Roman"/>
          <w:color w:val="000000"/>
          <w:sz w:val="27"/>
          <w:szCs w:val="27"/>
          <w:shd w:val="clear" w:color="auto" w:fill="FFFFFF"/>
        </w:rPr>
        <w:t xml:space="preserve"> manner (</w:t>
      </w:r>
      <w:proofErr w:type="spellStart"/>
      <w:r>
        <w:rPr>
          <w:rStyle w:val="s3"/>
          <w:rFonts w:ascii="Times New Roman" w:hAnsi="Times New Roman" w:cs="Times New Roman"/>
          <w:color w:val="000000"/>
          <w:sz w:val="27"/>
          <w:szCs w:val="27"/>
          <w:shd w:val="clear" w:color="auto" w:fill="FFFFFF"/>
        </w:rPr>
        <w:t>Lowerson</w:t>
      </w:r>
      <w:proofErr w:type="spellEnd"/>
      <w:r>
        <w:rPr>
          <w:rStyle w:val="s3"/>
          <w:rFonts w:ascii="Times New Roman" w:hAnsi="Times New Roman" w:cs="Times New Roman"/>
          <w:color w:val="000000"/>
          <w:sz w:val="27"/>
          <w:szCs w:val="27"/>
          <w:shd w:val="clear" w:color="auto" w:fill="FFFFFF"/>
        </w:rPr>
        <w:t>, 2021). However, as the murder was conducted by a police officer, this treatment of the individuals at the vigil was perceived by the public to reflect a defensiveness on the part of the police. </w:t>
      </w:r>
    </w:p>
    <w:p w14:paraId="6C1B41A3"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6CB20745" w14:textId="77777777"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In a review of the Metropolitan Police’s response to this event, it was argued that a more effective engagement with organisers to allow the event to take place within the regulations might have been more appropriate (</w:t>
      </w:r>
      <w:proofErr w:type="spellStart"/>
      <w:r>
        <w:rPr>
          <w:rStyle w:val="s3"/>
          <w:rFonts w:ascii="Times New Roman" w:hAnsi="Times New Roman" w:cs="Times New Roman"/>
          <w:color w:val="000000"/>
          <w:sz w:val="27"/>
          <w:szCs w:val="27"/>
          <w:shd w:val="clear" w:color="auto" w:fill="FFFFFF"/>
        </w:rPr>
        <w:t>Lowerson</w:t>
      </w:r>
      <w:proofErr w:type="spellEnd"/>
      <w:r>
        <w:rPr>
          <w:rStyle w:val="s3"/>
          <w:rFonts w:ascii="Times New Roman" w:hAnsi="Times New Roman" w:cs="Times New Roman"/>
          <w:color w:val="000000"/>
          <w:sz w:val="27"/>
          <w:szCs w:val="27"/>
          <w:shd w:val="clear" w:color="auto" w:fill="FFFFFF"/>
        </w:rPr>
        <w:t>, 2021). However, a report on the police that were involved in the vigil found that the police response had not been oppressive, although they could have used a more conciliatory approach when the events unfolded (HMICFRS, 2021). A challenge in this case is that response officers’ role in dealing with a critical incident was overshadowed by more substantive challenges in the relationship of the police to those taking part in the vigil; the fact that policing of the vigil became a critical incident was not the result of the response officers’ approach specifically. Therefore, this illustrates the limitations of the role of the response officers to such critical incidents. </w:t>
      </w:r>
    </w:p>
    <w:p w14:paraId="04CDC20E" w14:textId="77777777" w:rsidR="001E0357" w:rsidRDefault="001E0357" w:rsidP="001E0357">
      <w:pPr>
        <w:pStyle w:val="s4"/>
        <w:spacing w:before="0" w:beforeAutospacing="0" w:after="0" w:afterAutospacing="0"/>
        <w:jc w:val="both"/>
        <w:rPr>
          <w:color w:val="000000"/>
          <w:sz w:val="27"/>
          <w:szCs w:val="27"/>
        </w:rPr>
      </w:pPr>
      <w:r>
        <w:rPr>
          <w:color w:val="000000"/>
          <w:sz w:val="27"/>
          <w:szCs w:val="27"/>
        </w:rPr>
        <w:t> </w:t>
      </w:r>
    </w:p>
    <w:p w14:paraId="649A3A6C" w14:textId="77777777" w:rsidR="001E0357" w:rsidRDefault="001E0357" w:rsidP="001E0357">
      <w:pPr>
        <w:pStyle w:val="s4"/>
        <w:spacing w:before="0" w:beforeAutospacing="0" w:after="0" w:afterAutospacing="0"/>
        <w:jc w:val="both"/>
        <w:rPr>
          <w:color w:val="000000"/>
          <w:sz w:val="27"/>
          <w:szCs w:val="27"/>
        </w:rPr>
      </w:pPr>
      <w:r>
        <w:rPr>
          <w:rStyle w:val="s3"/>
          <w:rFonts w:ascii="Times New Roman" w:hAnsi="Times New Roman" w:cs="Times New Roman"/>
          <w:color w:val="000000"/>
          <w:sz w:val="27"/>
          <w:szCs w:val="27"/>
          <w:shd w:val="clear" w:color="auto" w:fill="FFFFFF"/>
        </w:rPr>
        <w:t xml:space="preserve">In conclusion, the police response to such incidences can be seen as largely </w:t>
      </w:r>
      <w:proofErr w:type="gramStart"/>
      <w:r>
        <w:rPr>
          <w:rStyle w:val="s3"/>
          <w:rFonts w:ascii="Times New Roman" w:hAnsi="Times New Roman" w:cs="Times New Roman"/>
          <w:color w:val="000000"/>
          <w:sz w:val="27"/>
          <w:szCs w:val="27"/>
          <w:shd w:val="clear" w:color="auto" w:fill="FFFFFF"/>
        </w:rPr>
        <w:t>positive, but</w:t>
      </w:r>
      <w:proofErr w:type="gramEnd"/>
      <w:r>
        <w:rPr>
          <w:rStyle w:val="s3"/>
          <w:rFonts w:ascii="Times New Roman" w:hAnsi="Times New Roman" w:cs="Times New Roman"/>
          <w:color w:val="000000"/>
          <w:sz w:val="27"/>
          <w:szCs w:val="27"/>
          <w:shd w:val="clear" w:color="auto" w:fill="FFFFFF"/>
        </w:rPr>
        <w:t xml:space="preserve"> undermined by some key factors. A common feature of these accounts is that the communication of the police with the public and with other emergency services can often undermine the effectiveness of such responses. Communication is a factor in each of these </w:t>
      </w:r>
      <w:proofErr w:type="gramStart"/>
      <w:r>
        <w:rPr>
          <w:rStyle w:val="s3"/>
          <w:rFonts w:ascii="Times New Roman" w:hAnsi="Times New Roman" w:cs="Times New Roman"/>
          <w:color w:val="000000"/>
          <w:sz w:val="27"/>
          <w:szCs w:val="27"/>
          <w:shd w:val="clear" w:color="auto" w:fill="FFFFFF"/>
        </w:rPr>
        <w:t>cases, and</w:t>
      </w:r>
      <w:proofErr w:type="gramEnd"/>
      <w:r>
        <w:rPr>
          <w:rStyle w:val="s3"/>
          <w:rFonts w:ascii="Times New Roman" w:hAnsi="Times New Roman" w:cs="Times New Roman"/>
          <w:color w:val="000000"/>
          <w:sz w:val="27"/>
          <w:szCs w:val="27"/>
          <w:shd w:val="clear" w:color="auto" w:fill="FFFFFF"/>
        </w:rPr>
        <w:t xml:space="preserve"> reflect that although the police responses are often exceptional, the ability to communicate clearly and effectively is an important factor for this to be recognised. </w:t>
      </w:r>
    </w:p>
    <w:p w14:paraId="49EEE14B" w14:textId="6C45E3AB"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 </w:t>
      </w:r>
    </w:p>
    <w:p w14:paraId="29DC598F" w14:textId="0BCC3441" w:rsidR="001E0357" w:rsidRDefault="001E0357" w:rsidP="001E0357">
      <w:pPr>
        <w:pStyle w:val="NormalWeb"/>
        <w:spacing w:before="0" w:beforeAutospacing="0" w:after="0" w:afterAutospacing="0" w:line="324" w:lineRule="atLeast"/>
        <w:rPr>
          <w:color w:val="000000"/>
          <w:sz w:val="27"/>
          <w:szCs w:val="27"/>
        </w:rPr>
      </w:pPr>
      <w:r>
        <w:rPr>
          <w:color w:val="000000"/>
          <w:sz w:val="27"/>
          <w:szCs w:val="27"/>
        </w:rPr>
        <w:t xml:space="preserve">Word Count – 1078 </w:t>
      </w:r>
    </w:p>
    <w:p w14:paraId="17C1D006" w14:textId="77777777" w:rsidR="001E0357" w:rsidRDefault="001E0357" w:rsidP="001E0357">
      <w:pPr>
        <w:pStyle w:val="NormalWeb"/>
        <w:spacing w:before="0" w:beforeAutospacing="0" w:after="0" w:afterAutospacing="0" w:line="324" w:lineRule="atLeast"/>
        <w:rPr>
          <w:rStyle w:val="s5"/>
          <w:rFonts w:ascii="Times New Roman" w:hAnsi="Times New Roman" w:cs="Times New Roman"/>
          <w:i/>
          <w:iCs/>
          <w:color w:val="212529"/>
          <w:sz w:val="27"/>
          <w:szCs w:val="27"/>
          <w:shd w:val="clear" w:color="auto" w:fill="FFFFFF"/>
        </w:rPr>
      </w:pPr>
    </w:p>
    <w:p w14:paraId="65EF41A6" w14:textId="33FD4EB9" w:rsidR="001E0357" w:rsidRPr="00350882" w:rsidRDefault="001E0357" w:rsidP="001E0357">
      <w:pPr>
        <w:pStyle w:val="NormalWeb"/>
        <w:spacing w:before="0" w:beforeAutospacing="0" w:after="0" w:afterAutospacing="0" w:line="324" w:lineRule="atLeast"/>
        <w:rPr>
          <w:b/>
          <w:bCs/>
          <w:color w:val="000000"/>
          <w:sz w:val="27"/>
          <w:szCs w:val="27"/>
          <w:u w:val="single"/>
        </w:rPr>
      </w:pPr>
      <w:r w:rsidRPr="00350882">
        <w:rPr>
          <w:rStyle w:val="s5"/>
          <w:rFonts w:ascii="Times New Roman" w:hAnsi="Times New Roman" w:cs="Times New Roman"/>
          <w:b/>
          <w:bCs/>
          <w:color w:val="212529"/>
          <w:sz w:val="27"/>
          <w:szCs w:val="27"/>
          <w:u w:val="single"/>
          <w:shd w:val="clear" w:color="auto" w:fill="FFFFFF"/>
        </w:rPr>
        <w:t>References </w:t>
      </w:r>
    </w:p>
    <w:p w14:paraId="019C394E" w14:textId="78BD2A5D" w:rsidR="001E0357" w:rsidRPr="00350882" w:rsidRDefault="001E0357" w:rsidP="001E0357">
      <w:pPr>
        <w:pStyle w:val="s7"/>
        <w:spacing w:before="0" w:beforeAutospacing="0" w:after="180" w:afterAutospacing="0" w:line="324" w:lineRule="atLeast"/>
        <w:rPr>
          <w:b/>
          <w:bCs/>
          <w:color w:val="000000"/>
          <w:sz w:val="27"/>
          <w:szCs w:val="27"/>
          <w:u w:val="single"/>
        </w:rPr>
      </w:pPr>
      <w:r w:rsidRPr="00350882">
        <w:rPr>
          <w:b/>
          <w:bCs/>
          <w:color w:val="000000"/>
          <w:sz w:val="27"/>
          <w:szCs w:val="27"/>
          <w:u w:val="single"/>
        </w:rPr>
        <w:t> </w:t>
      </w:r>
    </w:p>
    <w:p w14:paraId="614F23C0"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Alleyne, E., &amp; Pritchard, E. (2016). Psychological and </w:t>
      </w:r>
      <w:proofErr w:type="spellStart"/>
      <w:r>
        <w:rPr>
          <w:rStyle w:val="s11"/>
          <w:rFonts w:ascii="Times New Roman" w:hAnsi="Times New Roman" w:cs="Times New Roman"/>
          <w:color w:val="222222"/>
          <w:sz w:val="27"/>
          <w:szCs w:val="27"/>
          <w:shd w:val="clear" w:color="auto" w:fill="FFFFFF"/>
        </w:rPr>
        <w:t>behavioral</w:t>
      </w:r>
      <w:proofErr w:type="spellEnd"/>
      <w:r>
        <w:rPr>
          <w:rStyle w:val="s11"/>
          <w:rFonts w:ascii="Times New Roman" w:hAnsi="Times New Roman" w:cs="Times New Roman"/>
          <w:color w:val="222222"/>
          <w:sz w:val="27"/>
          <w:szCs w:val="27"/>
          <w:shd w:val="clear" w:color="auto" w:fill="FFFFFF"/>
        </w:rPr>
        <w:t> characteristics differentiating gang and non-gang girls in the UK. </w:t>
      </w:r>
      <w:r>
        <w:rPr>
          <w:rStyle w:val="s12"/>
          <w:rFonts w:ascii="Times New Roman" w:hAnsi="Times New Roman" w:cs="Times New Roman"/>
          <w:i/>
          <w:iCs/>
          <w:color w:val="222222"/>
          <w:sz w:val="27"/>
          <w:szCs w:val="27"/>
          <w:shd w:val="clear" w:color="auto" w:fill="FFFFFF"/>
        </w:rPr>
        <w:t xml:space="preserve">Journal of Criminological Research, </w:t>
      </w:r>
      <w:proofErr w:type="gramStart"/>
      <w:r>
        <w:rPr>
          <w:rStyle w:val="s12"/>
          <w:rFonts w:ascii="Times New Roman" w:hAnsi="Times New Roman" w:cs="Times New Roman"/>
          <w:i/>
          <w:iCs/>
          <w:color w:val="222222"/>
          <w:sz w:val="27"/>
          <w:szCs w:val="27"/>
          <w:shd w:val="clear" w:color="auto" w:fill="FFFFFF"/>
        </w:rPr>
        <w:t>Policy</w:t>
      </w:r>
      <w:proofErr w:type="gramEnd"/>
      <w:r>
        <w:rPr>
          <w:rStyle w:val="s12"/>
          <w:rFonts w:ascii="Times New Roman" w:hAnsi="Times New Roman" w:cs="Times New Roman"/>
          <w:i/>
          <w:iCs/>
          <w:color w:val="222222"/>
          <w:sz w:val="27"/>
          <w:szCs w:val="27"/>
          <w:shd w:val="clear" w:color="auto" w:fill="FFFFFF"/>
        </w:rPr>
        <w:t xml:space="preserve"> and Practice</w:t>
      </w:r>
      <w:r>
        <w:rPr>
          <w:rStyle w:val="s11"/>
          <w:rFonts w:ascii="Times New Roman" w:hAnsi="Times New Roman" w:cs="Times New Roman"/>
          <w:color w:val="222222"/>
          <w:sz w:val="27"/>
          <w:szCs w:val="27"/>
          <w:shd w:val="clear" w:color="auto" w:fill="FFFFFF"/>
        </w:rPr>
        <w:t>, 2(2), pp.122-133.</w:t>
      </w:r>
    </w:p>
    <w:p w14:paraId="341B625B" w14:textId="77777777" w:rsidR="001E0357" w:rsidRDefault="001E0357" w:rsidP="001E0357">
      <w:pPr>
        <w:pStyle w:val="s7"/>
        <w:spacing w:before="0" w:beforeAutospacing="0" w:after="180" w:afterAutospacing="0" w:line="324" w:lineRule="atLeast"/>
        <w:rPr>
          <w:color w:val="000000"/>
          <w:sz w:val="27"/>
          <w:szCs w:val="27"/>
        </w:rPr>
      </w:pPr>
      <w:r>
        <w:rPr>
          <w:rStyle w:val="s3"/>
          <w:rFonts w:ascii="Times New Roman" w:hAnsi="Times New Roman" w:cs="Times New Roman"/>
          <w:color w:val="000000"/>
          <w:sz w:val="27"/>
          <w:szCs w:val="27"/>
          <w:shd w:val="clear" w:color="auto" w:fill="FFFFFF"/>
        </w:rPr>
        <w:lastRenderedPageBreak/>
        <w:t>Ashkenazi, T., &amp; Fisher, R. P. (2022). Field test of the cognitive interview to enhance eyewitness and victim memory, in intelligence investigations of terrorist attacks. </w:t>
      </w:r>
      <w:r>
        <w:rPr>
          <w:rStyle w:val="s6"/>
          <w:rFonts w:ascii="Times New Roman" w:hAnsi="Times New Roman" w:cs="Times New Roman"/>
          <w:i/>
          <w:iCs/>
          <w:color w:val="000000"/>
          <w:sz w:val="27"/>
          <w:szCs w:val="27"/>
          <w:shd w:val="clear" w:color="auto" w:fill="FFFFFF"/>
        </w:rPr>
        <w:t>Journal of Applied Research in Memory and Cognition</w:t>
      </w:r>
      <w:r>
        <w:rPr>
          <w:rStyle w:val="s3"/>
          <w:rFonts w:ascii="Times New Roman" w:hAnsi="Times New Roman" w:cs="Times New Roman"/>
          <w:color w:val="000000"/>
          <w:sz w:val="27"/>
          <w:szCs w:val="27"/>
          <w:shd w:val="clear" w:color="auto" w:fill="FFFFFF"/>
        </w:rPr>
        <w:t>, 11(2), pp.200-221. </w:t>
      </w:r>
    </w:p>
    <w:p w14:paraId="199907B1"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Ashton, S. A., &amp; </w:t>
      </w:r>
      <w:proofErr w:type="spellStart"/>
      <w:r>
        <w:rPr>
          <w:rStyle w:val="s11"/>
          <w:rFonts w:ascii="Times New Roman" w:hAnsi="Times New Roman" w:cs="Times New Roman"/>
          <w:color w:val="222222"/>
          <w:sz w:val="27"/>
          <w:szCs w:val="27"/>
          <w:shd w:val="clear" w:color="auto" w:fill="FFFFFF"/>
        </w:rPr>
        <w:t>Bussu</w:t>
      </w:r>
      <w:proofErr w:type="spellEnd"/>
      <w:r>
        <w:rPr>
          <w:rStyle w:val="s11"/>
          <w:rFonts w:ascii="Times New Roman" w:hAnsi="Times New Roman" w:cs="Times New Roman"/>
          <w:color w:val="222222"/>
          <w:sz w:val="27"/>
          <w:szCs w:val="27"/>
          <w:shd w:val="clear" w:color="auto" w:fill="FFFFFF"/>
        </w:rPr>
        <w:t>, A. (2020). Peer groups, street gangs and organised crime in the narratives of adolescent male offenders. </w:t>
      </w:r>
      <w:r>
        <w:rPr>
          <w:rStyle w:val="s12"/>
          <w:rFonts w:ascii="Times New Roman" w:hAnsi="Times New Roman" w:cs="Times New Roman"/>
          <w:i/>
          <w:iCs/>
          <w:color w:val="222222"/>
          <w:sz w:val="27"/>
          <w:szCs w:val="27"/>
          <w:shd w:val="clear" w:color="auto" w:fill="FFFFFF"/>
        </w:rPr>
        <w:t>Journal of criminal psychology</w:t>
      </w:r>
      <w:r>
        <w:rPr>
          <w:rStyle w:val="s11"/>
          <w:rFonts w:ascii="Times New Roman" w:hAnsi="Times New Roman" w:cs="Times New Roman"/>
          <w:color w:val="222222"/>
          <w:sz w:val="27"/>
          <w:szCs w:val="27"/>
          <w:shd w:val="clear" w:color="auto" w:fill="FFFFFF"/>
        </w:rPr>
        <w:t>, 10(4), pp.277-292.</w:t>
      </w:r>
    </w:p>
    <w:p w14:paraId="1EC8C17B"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Atkins, T. (2023). The impact of the Manchester Arena terror attack: next steps for public safety and policy. </w:t>
      </w:r>
      <w:r>
        <w:rPr>
          <w:rStyle w:val="s12"/>
          <w:rFonts w:ascii="Times New Roman" w:hAnsi="Times New Roman" w:cs="Times New Roman"/>
          <w:i/>
          <w:iCs/>
          <w:color w:val="222222"/>
          <w:sz w:val="27"/>
          <w:szCs w:val="27"/>
          <w:shd w:val="clear" w:color="auto" w:fill="FFFFFF"/>
        </w:rPr>
        <w:t>Journal of Policing, Intelligence and Counter Terrorism</w:t>
      </w:r>
      <w:r>
        <w:rPr>
          <w:rStyle w:val="s11"/>
          <w:rFonts w:ascii="Times New Roman" w:hAnsi="Times New Roman" w:cs="Times New Roman"/>
          <w:color w:val="222222"/>
          <w:sz w:val="27"/>
          <w:szCs w:val="27"/>
          <w:shd w:val="clear" w:color="auto" w:fill="FFFFFF"/>
        </w:rPr>
        <w:t>, 18(1), pp.112-121.</w:t>
      </w:r>
    </w:p>
    <w:p w14:paraId="16B35DA8"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Bowen, E., Gilchrist, E. A., &amp; Beech, A. R. (2005). An examination of the impact of community‐based rehabilitation on the offending behaviour of male domestic violence offenders and the characteristics associated with recidivism. </w:t>
      </w:r>
      <w:r>
        <w:rPr>
          <w:rStyle w:val="s12"/>
          <w:rFonts w:ascii="Times New Roman" w:hAnsi="Times New Roman" w:cs="Times New Roman"/>
          <w:i/>
          <w:iCs/>
          <w:color w:val="222222"/>
          <w:sz w:val="27"/>
          <w:szCs w:val="27"/>
          <w:shd w:val="clear" w:color="auto" w:fill="FFFFFF"/>
        </w:rPr>
        <w:t>Legal and Criminological Psychology</w:t>
      </w:r>
      <w:r>
        <w:rPr>
          <w:rStyle w:val="s11"/>
          <w:rFonts w:ascii="Times New Roman" w:hAnsi="Times New Roman" w:cs="Times New Roman"/>
          <w:color w:val="222222"/>
          <w:sz w:val="27"/>
          <w:szCs w:val="27"/>
          <w:shd w:val="clear" w:color="auto" w:fill="FFFFFF"/>
        </w:rPr>
        <w:t>, 10(2), pp.189-209.</w:t>
      </w:r>
    </w:p>
    <w:p w14:paraId="7A1CC4ED" w14:textId="77777777" w:rsidR="001E0357" w:rsidRDefault="001E0357" w:rsidP="001E0357">
      <w:pPr>
        <w:pStyle w:val="s7"/>
        <w:spacing w:before="0" w:beforeAutospacing="0" w:after="180" w:afterAutospacing="0" w:line="324" w:lineRule="atLeast"/>
        <w:rPr>
          <w:color w:val="000000"/>
          <w:sz w:val="27"/>
          <w:szCs w:val="27"/>
        </w:rPr>
      </w:pPr>
      <w:r>
        <w:rPr>
          <w:rStyle w:val="s9"/>
          <w:rFonts w:ascii="Times New Roman" w:hAnsi="Times New Roman" w:cs="Times New Roman"/>
          <w:color w:val="000000"/>
          <w:sz w:val="27"/>
          <w:szCs w:val="27"/>
        </w:rPr>
        <w:t>Bulley, D., &amp; </w:t>
      </w:r>
      <w:proofErr w:type="spellStart"/>
      <w:r>
        <w:rPr>
          <w:rStyle w:val="s9"/>
          <w:rFonts w:ascii="Times New Roman" w:hAnsi="Times New Roman" w:cs="Times New Roman"/>
          <w:color w:val="000000"/>
          <w:sz w:val="27"/>
          <w:szCs w:val="27"/>
        </w:rPr>
        <w:t>Brassett</w:t>
      </w:r>
      <w:proofErr w:type="spellEnd"/>
      <w:r>
        <w:rPr>
          <w:rStyle w:val="s9"/>
          <w:rFonts w:ascii="Times New Roman" w:hAnsi="Times New Roman" w:cs="Times New Roman"/>
          <w:color w:val="000000"/>
          <w:sz w:val="27"/>
          <w:szCs w:val="27"/>
        </w:rPr>
        <w:t>, J. (2021). Everyday ethics of the global event: Grenfell Tower and the politics of responsibility. </w:t>
      </w:r>
      <w:r>
        <w:rPr>
          <w:rStyle w:val="s10"/>
          <w:rFonts w:ascii="Times New Roman" w:hAnsi="Times New Roman" w:cs="Times New Roman"/>
          <w:i/>
          <w:iCs/>
          <w:color w:val="000000"/>
          <w:sz w:val="27"/>
          <w:szCs w:val="27"/>
        </w:rPr>
        <w:t>Globalizations,</w:t>
      </w:r>
      <w:r>
        <w:rPr>
          <w:rStyle w:val="s9"/>
          <w:rFonts w:ascii="Times New Roman" w:hAnsi="Times New Roman" w:cs="Times New Roman"/>
          <w:color w:val="000000"/>
          <w:sz w:val="27"/>
          <w:szCs w:val="27"/>
        </w:rPr>
        <w:t> 18(4), pp.551–567.</w:t>
      </w:r>
    </w:p>
    <w:p w14:paraId="3CBBC291" w14:textId="77777777" w:rsidR="001E0357" w:rsidRDefault="001E0357" w:rsidP="001E0357">
      <w:pPr>
        <w:pStyle w:val="s15"/>
        <w:spacing w:before="0" w:beforeAutospacing="0" w:after="180" w:afterAutospacing="0" w:line="324" w:lineRule="atLeast"/>
        <w:jc w:val="both"/>
        <w:rPr>
          <w:color w:val="000000"/>
          <w:sz w:val="27"/>
          <w:szCs w:val="27"/>
        </w:rPr>
      </w:pPr>
      <w:proofErr w:type="spellStart"/>
      <w:r>
        <w:rPr>
          <w:rStyle w:val="s11"/>
          <w:rFonts w:ascii="Times New Roman" w:hAnsi="Times New Roman" w:cs="Times New Roman"/>
          <w:color w:val="222222"/>
          <w:sz w:val="27"/>
          <w:szCs w:val="27"/>
          <w:shd w:val="clear" w:color="auto" w:fill="FFFFFF"/>
        </w:rPr>
        <w:t>Butorac</w:t>
      </w:r>
      <w:proofErr w:type="spellEnd"/>
      <w:r>
        <w:rPr>
          <w:rStyle w:val="s11"/>
          <w:rFonts w:ascii="Times New Roman" w:hAnsi="Times New Roman" w:cs="Times New Roman"/>
          <w:color w:val="222222"/>
          <w:sz w:val="27"/>
          <w:szCs w:val="27"/>
          <w:shd w:val="clear" w:color="auto" w:fill="FFFFFF"/>
        </w:rPr>
        <w:t xml:space="preserve">, K., Gracin, D., &amp; </w:t>
      </w:r>
      <w:proofErr w:type="spellStart"/>
      <w:r>
        <w:rPr>
          <w:rStyle w:val="s11"/>
          <w:rFonts w:ascii="Times New Roman" w:hAnsi="Times New Roman" w:cs="Times New Roman"/>
          <w:color w:val="222222"/>
          <w:sz w:val="27"/>
          <w:szCs w:val="27"/>
          <w:shd w:val="clear" w:color="auto" w:fill="FFFFFF"/>
        </w:rPr>
        <w:t>Stanić</w:t>
      </w:r>
      <w:proofErr w:type="spellEnd"/>
      <w:r>
        <w:rPr>
          <w:rStyle w:val="s11"/>
          <w:rFonts w:ascii="Times New Roman" w:hAnsi="Times New Roman" w:cs="Times New Roman"/>
          <w:color w:val="222222"/>
          <w:sz w:val="27"/>
          <w:szCs w:val="27"/>
          <w:shd w:val="clear" w:color="auto" w:fill="FFFFFF"/>
        </w:rPr>
        <w:t>, N. (2017). The challenges in reducing criminal recidivism. </w:t>
      </w:r>
      <w:r>
        <w:rPr>
          <w:rStyle w:val="s12"/>
          <w:rFonts w:ascii="Times New Roman" w:hAnsi="Times New Roman" w:cs="Times New Roman"/>
          <w:i/>
          <w:iCs/>
          <w:color w:val="222222"/>
          <w:sz w:val="27"/>
          <w:szCs w:val="27"/>
          <w:shd w:val="clear" w:color="auto" w:fill="FFFFFF"/>
        </w:rPr>
        <w:t>Public Security and Public Order</w:t>
      </w:r>
      <w:r>
        <w:rPr>
          <w:rStyle w:val="s11"/>
          <w:rFonts w:ascii="Times New Roman" w:hAnsi="Times New Roman" w:cs="Times New Roman"/>
          <w:color w:val="222222"/>
          <w:sz w:val="27"/>
          <w:szCs w:val="27"/>
          <w:shd w:val="clear" w:color="auto" w:fill="FFFFFF"/>
        </w:rPr>
        <w:t>, (18), pp.1-21. </w:t>
      </w:r>
    </w:p>
    <w:p w14:paraId="0A2401EE" w14:textId="77777777" w:rsidR="001E0357" w:rsidRDefault="001E0357" w:rsidP="001E0357">
      <w:pPr>
        <w:pStyle w:val="s7"/>
        <w:spacing w:before="0" w:beforeAutospacing="0" w:after="180" w:afterAutospacing="0" w:line="324" w:lineRule="atLeast"/>
        <w:rPr>
          <w:color w:val="000000"/>
          <w:sz w:val="27"/>
          <w:szCs w:val="27"/>
        </w:rPr>
      </w:pPr>
      <w:proofErr w:type="spellStart"/>
      <w:r>
        <w:rPr>
          <w:rStyle w:val="s11"/>
          <w:rFonts w:ascii="Times New Roman" w:hAnsi="Times New Roman" w:cs="Times New Roman"/>
          <w:color w:val="222222"/>
          <w:sz w:val="27"/>
          <w:szCs w:val="27"/>
          <w:shd w:val="clear" w:color="auto" w:fill="FFFFFF"/>
        </w:rPr>
        <w:t>Coid</w:t>
      </w:r>
      <w:proofErr w:type="spellEnd"/>
      <w:r>
        <w:rPr>
          <w:rStyle w:val="s11"/>
          <w:rFonts w:ascii="Times New Roman" w:hAnsi="Times New Roman" w:cs="Times New Roman"/>
          <w:color w:val="222222"/>
          <w:sz w:val="27"/>
          <w:szCs w:val="27"/>
          <w:shd w:val="clear" w:color="auto" w:fill="FFFFFF"/>
        </w:rPr>
        <w:t>, J., González, R. A., Kallis, C., Zhang, Y., Liu, Y., Wood, J., ... &amp; Ullrich, S. (2020). Gang membership and sexual violence: associations with childhood maltreatment and psychiatric morbidity. </w:t>
      </w:r>
      <w:r>
        <w:rPr>
          <w:rStyle w:val="s12"/>
          <w:rFonts w:ascii="Times New Roman" w:hAnsi="Times New Roman" w:cs="Times New Roman"/>
          <w:i/>
          <w:iCs/>
          <w:color w:val="222222"/>
          <w:sz w:val="27"/>
          <w:szCs w:val="27"/>
          <w:shd w:val="clear" w:color="auto" w:fill="FFFFFF"/>
        </w:rPr>
        <w:t>The British journal of psychiatry</w:t>
      </w:r>
      <w:r>
        <w:rPr>
          <w:rStyle w:val="s11"/>
          <w:rFonts w:ascii="Times New Roman" w:hAnsi="Times New Roman" w:cs="Times New Roman"/>
          <w:color w:val="222222"/>
          <w:sz w:val="27"/>
          <w:szCs w:val="27"/>
          <w:shd w:val="clear" w:color="auto" w:fill="FFFFFF"/>
        </w:rPr>
        <w:t>, 217(4), pp.583-590.</w:t>
      </w:r>
    </w:p>
    <w:p w14:paraId="226AC55B"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Cordier, R., Chung, D., Wilkes-Gillan, S., &amp; Speyer, R. (2021). The effectiveness of protection orders in reducing recidivism in domestic violence: A systematic review and meta-analysis. </w:t>
      </w:r>
      <w:r>
        <w:rPr>
          <w:rStyle w:val="s12"/>
          <w:rFonts w:ascii="Times New Roman" w:hAnsi="Times New Roman" w:cs="Times New Roman"/>
          <w:i/>
          <w:iCs/>
          <w:color w:val="222222"/>
          <w:sz w:val="27"/>
          <w:szCs w:val="27"/>
          <w:shd w:val="clear" w:color="auto" w:fill="FFFFFF"/>
        </w:rPr>
        <w:t>Trauma, Violence, &amp; Abuse</w:t>
      </w:r>
      <w:r>
        <w:rPr>
          <w:rStyle w:val="s11"/>
          <w:rFonts w:ascii="Times New Roman" w:hAnsi="Times New Roman" w:cs="Times New Roman"/>
          <w:color w:val="222222"/>
          <w:sz w:val="27"/>
          <w:szCs w:val="27"/>
          <w:shd w:val="clear" w:color="auto" w:fill="FFFFFF"/>
        </w:rPr>
        <w:t>, 22(4), pp.804-828.</w:t>
      </w:r>
    </w:p>
    <w:p w14:paraId="7521E8E1" w14:textId="77777777" w:rsidR="001E0357" w:rsidRDefault="001E0357" w:rsidP="001E0357">
      <w:pPr>
        <w:pStyle w:val="s7"/>
        <w:spacing w:before="0" w:beforeAutospacing="0" w:after="180" w:afterAutospacing="0" w:line="324" w:lineRule="atLeast"/>
        <w:rPr>
          <w:color w:val="000000"/>
          <w:sz w:val="27"/>
          <w:szCs w:val="27"/>
        </w:rPr>
      </w:pPr>
      <w:r>
        <w:rPr>
          <w:rStyle w:val="s3"/>
          <w:rFonts w:ascii="Times New Roman" w:hAnsi="Times New Roman" w:cs="Times New Roman"/>
          <w:color w:val="000000"/>
          <w:sz w:val="27"/>
          <w:szCs w:val="27"/>
          <w:shd w:val="clear" w:color="auto" w:fill="FFFFFF"/>
        </w:rPr>
        <w:t>Crossland, D., Kneller, W., &amp; Wilcock, R. (2020). Improving intoxicated witness recall with the Enhanced Cognitive Interview. </w:t>
      </w:r>
      <w:r>
        <w:rPr>
          <w:rStyle w:val="s6"/>
          <w:rFonts w:ascii="Times New Roman" w:hAnsi="Times New Roman" w:cs="Times New Roman"/>
          <w:i/>
          <w:iCs/>
          <w:color w:val="000000"/>
          <w:sz w:val="27"/>
          <w:szCs w:val="27"/>
          <w:shd w:val="clear" w:color="auto" w:fill="FFFFFF"/>
        </w:rPr>
        <w:t>Psychopharmacology</w:t>
      </w:r>
      <w:r>
        <w:rPr>
          <w:rStyle w:val="s3"/>
          <w:rFonts w:ascii="Times New Roman" w:hAnsi="Times New Roman" w:cs="Times New Roman"/>
          <w:color w:val="000000"/>
          <w:sz w:val="27"/>
          <w:szCs w:val="27"/>
          <w:shd w:val="clear" w:color="auto" w:fill="FFFFFF"/>
        </w:rPr>
        <w:t>, 237, pp.2213-2230.</w:t>
      </w:r>
    </w:p>
    <w:p w14:paraId="30F0021D"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De </w:t>
      </w:r>
      <w:proofErr w:type="spellStart"/>
      <w:r>
        <w:rPr>
          <w:rStyle w:val="s11"/>
          <w:rFonts w:ascii="Times New Roman" w:hAnsi="Times New Roman" w:cs="Times New Roman"/>
          <w:color w:val="222222"/>
          <w:sz w:val="27"/>
          <w:szCs w:val="27"/>
          <w:shd w:val="clear" w:color="auto" w:fill="FFFFFF"/>
        </w:rPr>
        <w:t>Cauwer</w:t>
      </w:r>
      <w:proofErr w:type="spellEnd"/>
      <w:r>
        <w:rPr>
          <w:rStyle w:val="s11"/>
          <w:rFonts w:ascii="Times New Roman" w:hAnsi="Times New Roman" w:cs="Times New Roman"/>
          <w:color w:val="222222"/>
          <w:sz w:val="27"/>
          <w:szCs w:val="27"/>
          <w:shd w:val="clear" w:color="auto" w:fill="FFFFFF"/>
        </w:rPr>
        <w:t xml:space="preserve">, H., </w:t>
      </w:r>
      <w:proofErr w:type="spellStart"/>
      <w:r>
        <w:rPr>
          <w:rStyle w:val="s11"/>
          <w:rFonts w:ascii="Times New Roman" w:hAnsi="Times New Roman" w:cs="Times New Roman"/>
          <w:color w:val="222222"/>
          <w:sz w:val="27"/>
          <w:szCs w:val="27"/>
          <w:shd w:val="clear" w:color="auto" w:fill="FFFFFF"/>
        </w:rPr>
        <w:t>Barten</w:t>
      </w:r>
      <w:proofErr w:type="spellEnd"/>
      <w:r>
        <w:rPr>
          <w:rStyle w:val="s11"/>
          <w:rFonts w:ascii="Times New Roman" w:hAnsi="Times New Roman" w:cs="Times New Roman"/>
          <w:color w:val="222222"/>
          <w:sz w:val="27"/>
          <w:szCs w:val="27"/>
          <w:shd w:val="clear" w:color="auto" w:fill="FFFFFF"/>
        </w:rPr>
        <w:t>, D., Willems, M., Van der </w:t>
      </w:r>
      <w:proofErr w:type="spellStart"/>
      <w:r>
        <w:rPr>
          <w:rStyle w:val="s11"/>
          <w:rFonts w:ascii="Times New Roman" w:hAnsi="Times New Roman" w:cs="Times New Roman"/>
          <w:color w:val="222222"/>
          <w:sz w:val="27"/>
          <w:szCs w:val="27"/>
          <w:shd w:val="clear" w:color="auto" w:fill="FFFFFF"/>
        </w:rPr>
        <w:t>Mieren</w:t>
      </w:r>
      <w:proofErr w:type="spellEnd"/>
      <w:r>
        <w:rPr>
          <w:rStyle w:val="s11"/>
          <w:rFonts w:ascii="Times New Roman" w:hAnsi="Times New Roman" w:cs="Times New Roman"/>
          <w:color w:val="222222"/>
          <w:sz w:val="27"/>
          <w:szCs w:val="27"/>
          <w:shd w:val="clear" w:color="auto" w:fill="FFFFFF"/>
        </w:rPr>
        <w:t>, G., &amp; </w:t>
      </w:r>
      <w:proofErr w:type="spellStart"/>
      <w:r>
        <w:rPr>
          <w:rStyle w:val="s11"/>
          <w:rFonts w:ascii="Times New Roman" w:hAnsi="Times New Roman" w:cs="Times New Roman"/>
          <w:color w:val="222222"/>
          <w:sz w:val="27"/>
          <w:szCs w:val="27"/>
          <w:shd w:val="clear" w:color="auto" w:fill="FFFFFF"/>
        </w:rPr>
        <w:t>Somville</w:t>
      </w:r>
      <w:proofErr w:type="spellEnd"/>
      <w:r>
        <w:rPr>
          <w:rStyle w:val="s11"/>
          <w:rFonts w:ascii="Times New Roman" w:hAnsi="Times New Roman" w:cs="Times New Roman"/>
          <w:color w:val="222222"/>
          <w:sz w:val="27"/>
          <w:szCs w:val="27"/>
          <w:shd w:val="clear" w:color="auto" w:fill="FFFFFF"/>
        </w:rPr>
        <w:t>, F. (2023). Communication failure in the prehospital response to major terrorist attacks: lessons learned and future directions. </w:t>
      </w:r>
      <w:r>
        <w:rPr>
          <w:rStyle w:val="s12"/>
          <w:rFonts w:ascii="Times New Roman" w:hAnsi="Times New Roman" w:cs="Times New Roman"/>
          <w:i/>
          <w:iCs/>
          <w:color w:val="222222"/>
          <w:sz w:val="27"/>
          <w:szCs w:val="27"/>
          <w:shd w:val="clear" w:color="auto" w:fill="FFFFFF"/>
        </w:rPr>
        <w:t>European journal of trauma and emergency surgery</w:t>
      </w:r>
      <w:r>
        <w:rPr>
          <w:rStyle w:val="s11"/>
          <w:rFonts w:ascii="Times New Roman" w:hAnsi="Times New Roman" w:cs="Times New Roman"/>
          <w:color w:val="222222"/>
          <w:sz w:val="27"/>
          <w:szCs w:val="27"/>
          <w:shd w:val="clear" w:color="auto" w:fill="FFFFFF"/>
        </w:rPr>
        <w:t>, 49(4), pp.1741-1750.</w:t>
      </w:r>
    </w:p>
    <w:p w14:paraId="028DEE7A" w14:textId="77777777" w:rsidR="001E0357" w:rsidRDefault="001E0357" w:rsidP="001E0357">
      <w:pPr>
        <w:pStyle w:val="s7"/>
        <w:spacing w:before="0" w:beforeAutospacing="0" w:after="180" w:afterAutospacing="0" w:line="324" w:lineRule="atLeast"/>
        <w:rPr>
          <w:color w:val="000000"/>
          <w:sz w:val="27"/>
          <w:szCs w:val="27"/>
        </w:rPr>
      </w:pPr>
      <w:proofErr w:type="spellStart"/>
      <w:r>
        <w:rPr>
          <w:rStyle w:val="s3"/>
          <w:rFonts w:ascii="Times New Roman" w:hAnsi="Times New Roman" w:cs="Times New Roman"/>
          <w:color w:val="000000"/>
          <w:sz w:val="27"/>
          <w:szCs w:val="27"/>
          <w:shd w:val="clear" w:color="auto" w:fill="FFFFFF"/>
        </w:rPr>
        <w:t>Dodier</w:t>
      </w:r>
      <w:proofErr w:type="spellEnd"/>
      <w:r>
        <w:rPr>
          <w:rStyle w:val="s3"/>
          <w:rFonts w:ascii="Times New Roman" w:hAnsi="Times New Roman" w:cs="Times New Roman"/>
          <w:color w:val="000000"/>
          <w:sz w:val="27"/>
          <w:szCs w:val="27"/>
          <w:shd w:val="clear" w:color="auto" w:fill="FFFFFF"/>
        </w:rPr>
        <w:t xml:space="preserve">, O., </w:t>
      </w:r>
      <w:proofErr w:type="spellStart"/>
      <w:r>
        <w:rPr>
          <w:rStyle w:val="s3"/>
          <w:rFonts w:ascii="Times New Roman" w:hAnsi="Times New Roman" w:cs="Times New Roman"/>
          <w:color w:val="000000"/>
          <w:sz w:val="27"/>
          <w:szCs w:val="27"/>
          <w:shd w:val="clear" w:color="auto" w:fill="FFFFFF"/>
        </w:rPr>
        <w:t>Ginet</w:t>
      </w:r>
      <w:proofErr w:type="spellEnd"/>
      <w:r>
        <w:rPr>
          <w:rStyle w:val="s3"/>
          <w:rFonts w:ascii="Times New Roman" w:hAnsi="Times New Roman" w:cs="Times New Roman"/>
          <w:color w:val="000000"/>
          <w:sz w:val="27"/>
          <w:szCs w:val="27"/>
          <w:shd w:val="clear" w:color="auto" w:fill="FFFFFF"/>
        </w:rPr>
        <w:t xml:space="preserve">, M., </w:t>
      </w:r>
      <w:proofErr w:type="spellStart"/>
      <w:r>
        <w:rPr>
          <w:rStyle w:val="s3"/>
          <w:rFonts w:ascii="Times New Roman" w:hAnsi="Times New Roman" w:cs="Times New Roman"/>
          <w:color w:val="000000"/>
          <w:sz w:val="27"/>
          <w:szCs w:val="27"/>
          <w:shd w:val="clear" w:color="auto" w:fill="FFFFFF"/>
        </w:rPr>
        <w:t>Teissedre</w:t>
      </w:r>
      <w:proofErr w:type="spellEnd"/>
      <w:r>
        <w:rPr>
          <w:rStyle w:val="s3"/>
          <w:rFonts w:ascii="Times New Roman" w:hAnsi="Times New Roman" w:cs="Times New Roman"/>
          <w:color w:val="000000"/>
          <w:sz w:val="27"/>
          <w:szCs w:val="27"/>
          <w:shd w:val="clear" w:color="auto" w:fill="FFFFFF"/>
        </w:rPr>
        <w:t>, F., </w:t>
      </w:r>
      <w:proofErr w:type="spellStart"/>
      <w:r>
        <w:rPr>
          <w:rStyle w:val="s3"/>
          <w:rFonts w:ascii="Times New Roman" w:hAnsi="Times New Roman" w:cs="Times New Roman"/>
          <w:color w:val="000000"/>
          <w:sz w:val="27"/>
          <w:szCs w:val="27"/>
          <w:shd w:val="clear" w:color="auto" w:fill="FFFFFF"/>
        </w:rPr>
        <w:t>Verkampt</w:t>
      </w:r>
      <w:proofErr w:type="spellEnd"/>
      <w:r>
        <w:rPr>
          <w:rStyle w:val="s3"/>
          <w:rFonts w:ascii="Times New Roman" w:hAnsi="Times New Roman" w:cs="Times New Roman"/>
          <w:color w:val="000000"/>
          <w:sz w:val="27"/>
          <w:szCs w:val="27"/>
          <w:shd w:val="clear" w:color="auto" w:fill="FFFFFF"/>
        </w:rPr>
        <w:t>, F., &amp; Fisher, R. P. (2021). Using the cognitive interview to recall real‐world emotionally stressful experiences: Road accidents. </w:t>
      </w:r>
      <w:r>
        <w:rPr>
          <w:rStyle w:val="s6"/>
          <w:rFonts w:ascii="Times New Roman" w:hAnsi="Times New Roman" w:cs="Times New Roman"/>
          <w:i/>
          <w:iCs/>
          <w:color w:val="000000"/>
          <w:sz w:val="27"/>
          <w:szCs w:val="27"/>
          <w:shd w:val="clear" w:color="auto" w:fill="FFFFFF"/>
        </w:rPr>
        <w:t>Applied Cognitive Psychology</w:t>
      </w:r>
      <w:r>
        <w:rPr>
          <w:rStyle w:val="s3"/>
          <w:rFonts w:ascii="Times New Roman" w:hAnsi="Times New Roman" w:cs="Times New Roman"/>
          <w:color w:val="000000"/>
          <w:sz w:val="27"/>
          <w:szCs w:val="27"/>
          <w:shd w:val="clear" w:color="auto" w:fill="FFFFFF"/>
        </w:rPr>
        <w:t>, 35(4), pp.1099-1105.</w:t>
      </w:r>
    </w:p>
    <w:p w14:paraId="1A026CEE" w14:textId="77777777" w:rsidR="001E0357" w:rsidRDefault="001E0357" w:rsidP="001E0357">
      <w:pPr>
        <w:pStyle w:val="s7"/>
        <w:spacing w:before="0" w:beforeAutospacing="0" w:after="180" w:afterAutospacing="0" w:line="324" w:lineRule="atLeast"/>
        <w:rPr>
          <w:color w:val="000000"/>
          <w:sz w:val="27"/>
          <w:szCs w:val="27"/>
        </w:rPr>
      </w:pPr>
      <w:r>
        <w:rPr>
          <w:rStyle w:val="s3"/>
          <w:rFonts w:ascii="Times New Roman" w:hAnsi="Times New Roman" w:cs="Times New Roman"/>
          <w:color w:val="000000"/>
          <w:sz w:val="27"/>
          <w:szCs w:val="27"/>
          <w:shd w:val="clear" w:color="auto" w:fill="FFFFFF"/>
        </w:rPr>
        <w:lastRenderedPageBreak/>
        <w:t xml:space="preserve">Fisher, R. P., &amp; </w:t>
      </w:r>
      <w:proofErr w:type="spellStart"/>
      <w:r>
        <w:rPr>
          <w:rStyle w:val="s3"/>
          <w:rFonts w:ascii="Times New Roman" w:hAnsi="Times New Roman" w:cs="Times New Roman"/>
          <w:color w:val="000000"/>
          <w:sz w:val="27"/>
          <w:szCs w:val="27"/>
          <w:shd w:val="clear" w:color="auto" w:fill="FFFFFF"/>
        </w:rPr>
        <w:t>Geiselman</w:t>
      </w:r>
      <w:proofErr w:type="spellEnd"/>
      <w:r>
        <w:rPr>
          <w:rStyle w:val="s3"/>
          <w:rFonts w:ascii="Times New Roman" w:hAnsi="Times New Roman" w:cs="Times New Roman"/>
          <w:color w:val="000000"/>
          <w:sz w:val="27"/>
          <w:szCs w:val="27"/>
          <w:shd w:val="clear" w:color="auto" w:fill="FFFFFF"/>
        </w:rPr>
        <w:t>, R. E. (1992). </w:t>
      </w:r>
      <w:r>
        <w:rPr>
          <w:rStyle w:val="s6"/>
          <w:rFonts w:ascii="Times New Roman" w:hAnsi="Times New Roman" w:cs="Times New Roman"/>
          <w:i/>
          <w:iCs/>
          <w:color w:val="000000"/>
          <w:sz w:val="27"/>
          <w:szCs w:val="27"/>
          <w:shd w:val="clear" w:color="auto" w:fill="FFFFFF"/>
        </w:rPr>
        <w:t>Memory enhancing techniques for investigative interviewing: The cognitive interview</w:t>
      </w:r>
      <w:r>
        <w:rPr>
          <w:rStyle w:val="s3"/>
          <w:rFonts w:ascii="Times New Roman" w:hAnsi="Times New Roman" w:cs="Times New Roman"/>
          <w:color w:val="000000"/>
          <w:sz w:val="27"/>
          <w:szCs w:val="27"/>
          <w:shd w:val="clear" w:color="auto" w:fill="FFFFFF"/>
        </w:rPr>
        <w:t>. London: Charles C Thomas Publisher.</w:t>
      </w:r>
    </w:p>
    <w:p w14:paraId="6A199930"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Fitzgerald, R., &amp; Graham, T. (2016). Assessing the risk of domestic violence recidivism. </w:t>
      </w:r>
      <w:r>
        <w:rPr>
          <w:rStyle w:val="s12"/>
          <w:rFonts w:ascii="Times New Roman" w:hAnsi="Times New Roman" w:cs="Times New Roman"/>
          <w:i/>
          <w:iCs/>
          <w:color w:val="222222"/>
          <w:sz w:val="27"/>
          <w:szCs w:val="27"/>
          <w:shd w:val="clear" w:color="auto" w:fill="FFFFFF"/>
        </w:rPr>
        <w:t>Crime and Justice Bulletin</w:t>
      </w:r>
      <w:r>
        <w:rPr>
          <w:rStyle w:val="s11"/>
          <w:rFonts w:ascii="Times New Roman" w:hAnsi="Times New Roman" w:cs="Times New Roman"/>
          <w:color w:val="222222"/>
          <w:sz w:val="27"/>
          <w:szCs w:val="27"/>
          <w:shd w:val="clear" w:color="auto" w:fill="FFFFFF"/>
        </w:rPr>
        <w:t>, 189, pp.1-12.</w:t>
      </w:r>
    </w:p>
    <w:p w14:paraId="7316B627"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Hassell, K. D. (2020). The impact of crisis intervention team training for police. </w:t>
      </w:r>
      <w:r>
        <w:rPr>
          <w:rStyle w:val="s12"/>
          <w:rFonts w:ascii="Times New Roman" w:hAnsi="Times New Roman" w:cs="Times New Roman"/>
          <w:i/>
          <w:iCs/>
          <w:color w:val="222222"/>
          <w:sz w:val="27"/>
          <w:szCs w:val="27"/>
          <w:shd w:val="clear" w:color="auto" w:fill="FFFFFF"/>
        </w:rPr>
        <w:t>International journal of police science &amp; management</w:t>
      </w:r>
      <w:r>
        <w:rPr>
          <w:rStyle w:val="s11"/>
          <w:rFonts w:ascii="Times New Roman" w:hAnsi="Times New Roman" w:cs="Times New Roman"/>
          <w:color w:val="222222"/>
          <w:sz w:val="27"/>
          <w:szCs w:val="27"/>
          <w:shd w:val="clear" w:color="auto" w:fill="FFFFFF"/>
        </w:rPr>
        <w:t>, 22(2), pp.159-170.</w:t>
      </w:r>
    </w:p>
    <w:p w14:paraId="4956EFB4" w14:textId="77777777" w:rsidR="001E0357" w:rsidRDefault="001E0357" w:rsidP="001E0357">
      <w:pPr>
        <w:pStyle w:val="s7"/>
        <w:spacing w:before="0" w:beforeAutospacing="0" w:after="180" w:afterAutospacing="0" w:line="324" w:lineRule="atLeast"/>
        <w:rPr>
          <w:color w:val="000000"/>
          <w:sz w:val="27"/>
          <w:szCs w:val="27"/>
        </w:rPr>
      </w:pPr>
      <w:proofErr w:type="spellStart"/>
      <w:r>
        <w:rPr>
          <w:rStyle w:val="s11"/>
          <w:rFonts w:ascii="Times New Roman" w:hAnsi="Times New Roman" w:cs="Times New Roman"/>
          <w:color w:val="222222"/>
          <w:sz w:val="27"/>
          <w:szCs w:val="27"/>
          <w:shd w:val="clear" w:color="auto" w:fill="FFFFFF"/>
        </w:rPr>
        <w:t>Havard</w:t>
      </w:r>
      <w:proofErr w:type="spellEnd"/>
      <w:r>
        <w:rPr>
          <w:rStyle w:val="s11"/>
          <w:rFonts w:ascii="Times New Roman" w:hAnsi="Times New Roman" w:cs="Times New Roman"/>
          <w:color w:val="222222"/>
          <w:sz w:val="27"/>
          <w:szCs w:val="27"/>
          <w:shd w:val="clear" w:color="auto" w:fill="FFFFFF"/>
        </w:rPr>
        <w:t xml:space="preserve">, T. E., </w:t>
      </w:r>
      <w:proofErr w:type="spellStart"/>
      <w:r>
        <w:rPr>
          <w:rStyle w:val="s11"/>
          <w:rFonts w:ascii="Times New Roman" w:hAnsi="Times New Roman" w:cs="Times New Roman"/>
          <w:color w:val="222222"/>
          <w:sz w:val="27"/>
          <w:szCs w:val="27"/>
          <w:shd w:val="clear" w:color="auto" w:fill="FFFFFF"/>
        </w:rPr>
        <w:t>Densley</w:t>
      </w:r>
      <w:proofErr w:type="spellEnd"/>
      <w:r>
        <w:rPr>
          <w:rStyle w:val="s11"/>
          <w:rFonts w:ascii="Times New Roman" w:hAnsi="Times New Roman" w:cs="Times New Roman"/>
          <w:color w:val="222222"/>
          <w:sz w:val="27"/>
          <w:szCs w:val="27"/>
          <w:shd w:val="clear" w:color="auto" w:fill="FFFFFF"/>
        </w:rPr>
        <w:t>, J. A., Whittaker, A., &amp; Wills, J. (2023). Street gangs and coercive control: The gendered exploitation of young women and girls in county lines. </w:t>
      </w:r>
      <w:r>
        <w:rPr>
          <w:rStyle w:val="s12"/>
          <w:rFonts w:ascii="Times New Roman" w:hAnsi="Times New Roman" w:cs="Times New Roman"/>
          <w:i/>
          <w:iCs/>
          <w:color w:val="222222"/>
          <w:sz w:val="27"/>
          <w:szCs w:val="27"/>
          <w:shd w:val="clear" w:color="auto" w:fill="FFFFFF"/>
        </w:rPr>
        <w:t>Criminology &amp; Criminal Justice</w:t>
      </w:r>
      <w:r>
        <w:rPr>
          <w:rStyle w:val="s11"/>
          <w:rFonts w:ascii="Times New Roman" w:hAnsi="Times New Roman" w:cs="Times New Roman"/>
          <w:color w:val="222222"/>
          <w:sz w:val="27"/>
          <w:szCs w:val="27"/>
          <w:shd w:val="clear" w:color="auto" w:fill="FFFFFF"/>
        </w:rPr>
        <w:t>, 23(3), pp.313-329.</w:t>
      </w:r>
    </w:p>
    <w:p w14:paraId="273697D8" w14:textId="77777777" w:rsidR="001E0357" w:rsidRDefault="001E0357" w:rsidP="001E0357">
      <w:pPr>
        <w:pStyle w:val="s7"/>
        <w:spacing w:before="0" w:beforeAutospacing="0" w:after="180" w:afterAutospacing="0" w:line="324" w:lineRule="atLeast"/>
        <w:rPr>
          <w:color w:val="000000"/>
          <w:sz w:val="27"/>
          <w:szCs w:val="27"/>
        </w:rPr>
      </w:pPr>
      <w:r>
        <w:rPr>
          <w:rStyle w:val="s9"/>
          <w:rFonts w:ascii="Times New Roman" w:hAnsi="Times New Roman" w:cs="Times New Roman"/>
          <w:color w:val="000000"/>
          <w:sz w:val="27"/>
          <w:szCs w:val="27"/>
        </w:rPr>
        <w:t>HMICFRS (2021). The Sarah Everard vigil – An inspection of the Metropolitan Police Service’s policing of a vigil held in </w:t>
      </w:r>
      <w:proofErr w:type="spellStart"/>
      <w:r>
        <w:rPr>
          <w:rStyle w:val="s9"/>
          <w:rFonts w:ascii="Times New Roman" w:hAnsi="Times New Roman" w:cs="Times New Roman"/>
          <w:color w:val="000000"/>
          <w:sz w:val="27"/>
          <w:szCs w:val="27"/>
        </w:rPr>
        <w:t>commemora</w:t>
      </w:r>
      <w:proofErr w:type="spellEnd"/>
      <w:r>
        <w:rPr>
          <w:rStyle w:val="s9"/>
          <w:rFonts w:ascii="Times New Roman" w:hAnsi="Times New Roman" w:cs="Times New Roman"/>
          <w:color w:val="000000"/>
          <w:sz w:val="27"/>
          <w:szCs w:val="27"/>
        </w:rPr>
        <w:t>- 47 </w:t>
      </w:r>
      <w:proofErr w:type="spellStart"/>
      <w:r>
        <w:rPr>
          <w:rStyle w:val="s9"/>
          <w:rFonts w:ascii="Times New Roman" w:hAnsi="Times New Roman" w:cs="Times New Roman"/>
          <w:color w:val="000000"/>
          <w:sz w:val="27"/>
          <w:szCs w:val="27"/>
        </w:rPr>
        <w:t>tion</w:t>
      </w:r>
      <w:proofErr w:type="spellEnd"/>
      <w:r>
        <w:rPr>
          <w:rStyle w:val="s9"/>
          <w:rFonts w:ascii="Times New Roman" w:hAnsi="Times New Roman" w:cs="Times New Roman"/>
          <w:color w:val="000000"/>
          <w:sz w:val="27"/>
          <w:szCs w:val="27"/>
        </w:rPr>
        <w:t xml:space="preserve"> of Sarah Everard on Clapham Common on Saturday 13 March 2021. [online]. Available at: </w:t>
      </w:r>
      <w:hyperlink r:id="rId4" w:history="1">
        <w:r>
          <w:rPr>
            <w:rStyle w:val="Hyperlink"/>
            <w:rFonts w:ascii="Times New Roman" w:hAnsi="Times New Roman" w:cs="Times New Roman"/>
            <w:sz w:val="27"/>
            <w:szCs w:val="27"/>
          </w:rPr>
          <w:t>https://www.justiceinspectorates.gov</w:t>
        </w:r>
      </w:hyperlink>
      <w:r>
        <w:rPr>
          <w:rStyle w:val="s9"/>
          <w:rFonts w:ascii="Times New Roman" w:hAnsi="Times New Roman" w:cs="Times New Roman"/>
          <w:color w:val="000000"/>
          <w:sz w:val="27"/>
          <w:szCs w:val="27"/>
        </w:rPr>
        <w:t>. uk/hmicfrs/publication-html/inspection-metropolitan-police-services-policing-of-vigil-commemorating-sarah-everard-clapham-common/pretrieved 21</w:t>
      </w:r>
      <w:r>
        <w:rPr>
          <w:rStyle w:val="s17"/>
          <w:rFonts w:ascii="Times New Roman" w:hAnsi="Times New Roman" w:cs="Times New Roman"/>
          <w:color w:val="000000"/>
          <w:sz w:val="11"/>
          <w:szCs w:val="11"/>
          <w:vertAlign w:val="superscript"/>
        </w:rPr>
        <w:t>st</w:t>
      </w:r>
      <w:r>
        <w:rPr>
          <w:rStyle w:val="s9"/>
          <w:rFonts w:ascii="Times New Roman" w:hAnsi="Times New Roman" w:cs="Times New Roman"/>
          <w:color w:val="000000"/>
          <w:sz w:val="27"/>
          <w:szCs w:val="27"/>
        </w:rPr>
        <w:t> June 2024]. </w:t>
      </w:r>
    </w:p>
    <w:p w14:paraId="746C0FEF" w14:textId="77777777" w:rsidR="001E0357" w:rsidRDefault="001E0357" w:rsidP="001E0357">
      <w:pPr>
        <w:pStyle w:val="s7"/>
        <w:spacing w:before="0" w:beforeAutospacing="0" w:after="180" w:afterAutospacing="0" w:line="324" w:lineRule="atLeast"/>
        <w:rPr>
          <w:color w:val="000000"/>
          <w:sz w:val="27"/>
          <w:szCs w:val="27"/>
        </w:rPr>
      </w:pPr>
      <w:r>
        <w:rPr>
          <w:rStyle w:val="s3"/>
          <w:rFonts w:ascii="Times New Roman" w:hAnsi="Times New Roman" w:cs="Times New Roman"/>
          <w:color w:val="000000"/>
          <w:sz w:val="27"/>
          <w:szCs w:val="27"/>
          <w:shd w:val="clear" w:color="auto" w:fill="FFFFFF"/>
        </w:rPr>
        <w:t>Houston-</w:t>
      </w:r>
      <w:proofErr w:type="spellStart"/>
      <w:r>
        <w:rPr>
          <w:rStyle w:val="s3"/>
          <w:rFonts w:ascii="Times New Roman" w:hAnsi="Times New Roman" w:cs="Times New Roman"/>
          <w:color w:val="000000"/>
          <w:sz w:val="27"/>
          <w:szCs w:val="27"/>
          <w:shd w:val="clear" w:color="auto" w:fill="FFFFFF"/>
        </w:rPr>
        <w:t>Kolnik</w:t>
      </w:r>
      <w:proofErr w:type="spellEnd"/>
      <w:r>
        <w:rPr>
          <w:rStyle w:val="s3"/>
          <w:rFonts w:ascii="Times New Roman" w:hAnsi="Times New Roman" w:cs="Times New Roman"/>
          <w:color w:val="000000"/>
          <w:sz w:val="27"/>
          <w:szCs w:val="27"/>
          <w:shd w:val="clear" w:color="auto" w:fill="FFFFFF"/>
        </w:rPr>
        <w:t>, J. D., &amp; Vasquez, A. L. (2022). Cognitive interviewing: lessons learned and recommendations for structured interviews with survivors of crime. </w:t>
      </w:r>
      <w:r>
        <w:rPr>
          <w:rStyle w:val="s6"/>
          <w:rFonts w:ascii="Times New Roman" w:hAnsi="Times New Roman" w:cs="Times New Roman"/>
          <w:i/>
          <w:iCs/>
          <w:color w:val="000000"/>
          <w:sz w:val="27"/>
          <w:szCs w:val="27"/>
          <w:shd w:val="clear" w:color="auto" w:fill="FFFFFF"/>
        </w:rPr>
        <w:t>Journal of family violence</w:t>
      </w:r>
      <w:r>
        <w:rPr>
          <w:rStyle w:val="s3"/>
          <w:rFonts w:ascii="Times New Roman" w:hAnsi="Times New Roman" w:cs="Times New Roman"/>
          <w:color w:val="000000"/>
          <w:sz w:val="27"/>
          <w:szCs w:val="27"/>
          <w:shd w:val="clear" w:color="auto" w:fill="FFFFFF"/>
        </w:rPr>
        <w:t>, 37(2), pp.325-335.</w:t>
      </w:r>
    </w:p>
    <w:p w14:paraId="70AC3530" w14:textId="77777777" w:rsidR="001E0357" w:rsidRDefault="001E0357" w:rsidP="001E0357">
      <w:pPr>
        <w:pStyle w:val="s7"/>
        <w:spacing w:before="0" w:beforeAutospacing="0" w:after="180" w:afterAutospacing="0" w:line="324" w:lineRule="atLeast"/>
        <w:rPr>
          <w:color w:val="000000"/>
          <w:sz w:val="27"/>
          <w:szCs w:val="27"/>
        </w:rPr>
      </w:pPr>
      <w:proofErr w:type="spellStart"/>
      <w:r>
        <w:rPr>
          <w:rStyle w:val="s11"/>
          <w:rFonts w:ascii="Times New Roman" w:hAnsi="Times New Roman" w:cs="Times New Roman"/>
          <w:color w:val="222222"/>
          <w:sz w:val="27"/>
          <w:szCs w:val="27"/>
          <w:shd w:val="clear" w:color="auto" w:fill="FFFFFF"/>
        </w:rPr>
        <w:t>Huhta</w:t>
      </w:r>
      <w:proofErr w:type="spellEnd"/>
      <w:r>
        <w:rPr>
          <w:rStyle w:val="s11"/>
          <w:rFonts w:ascii="Times New Roman" w:hAnsi="Times New Roman" w:cs="Times New Roman"/>
          <w:color w:val="222222"/>
          <w:sz w:val="27"/>
          <w:szCs w:val="27"/>
          <w:shd w:val="clear" w:color="auto" w:fill="FFFFFF"/>
        </w:rPr>
        <w:t xml:space="preserve">, J. M., Nota, P. M. D., Nyman, M., </w:t>
      </w:r>
      <w:proofErr w:type="spellStart"/>
      <w:r>
        <w:rPr>
          <w:rStyle w:val="s11"/>
          <w:rFonts w:ascii="Times New Roman" w:hAnsi="Times New Roman" w:cs="Times New Roman"/>
          <w:color w:val="222222"/>
          <w:sz w:val="27"/>
          <w:szCs w:val="27"/>
          <w:shd w:val="clear" w:color="auto" w:fill="FFFFFF"/>
        </w:rPr>
        <w:t>Pietilä</w:t>
      </w:r>
      <w:proofErr w:type="spellEnd"/>
      <w:r>
        <w:rPr>
          <w:rStyle w:val="s11"/>
          <w:rFonts w:ascii="Times New Roman" w:hAnsi="Times New Roman" w:cs="Times New Roman"/>
          <w:color w:val="222222"/>
          <w:sz w:val="27"/>
          <w:szCs w:val="27"/>
          <w:shd w:val="clear" w:color="auto" w:fill="FFFFFF"/>
        </w:rPr>
        <w:t xml:space="preserve">, E., &amp; </w:t>
      </w:r>
      <w:proofErr w:type="spellStart"/>
      <w:r>
        <w:rPr>
          <w:rStyle w:val="s11"/>
          <w:rFonts w:ascii="Times New Roman" w:hAnsi="Times New Roman" w:cs="Times New Roman"/>
          <w:color w:val="222222"/>
          <w:sz w:val="27"/>
          <w:szCs w:val="27"/>
          <w:shd w:val="clear" w:color="auto" w:fill="FFFFFF"/>
        </w:rPr>
        <w:t>Ropo</w:t>
      </w:r>
      <w:proofErr w:type="spellEnd"/>
      <w:r>
        <w:rPr>
          <w:rStyle w:val="s11"/>
          <w:rFonts w:ascii="Times New Roman" w:hAnsi="Times New Roman" w:cs="Times New Roman"/>
          <w:color w:val="222222"/>
          <w:sz w:val="27"/>
          <w:szCs w:val="27"/>
          <w:shd w:val="clear" w:color="auto" w:fill="FFFFFF"/>
        </w:rPr>
        <w:t>, E. (2021). Universal police behaviours during critical incidents and their connection to personality: A preliminary study. </w:t>
      </w:r>
      <w:r>
        <w:rPr>
          <w:rStyle w:val="s12"/>
          <w:rFonts w:ascii="Times New Roman" w:hAnsi="Times New Roman" w:cs="Times New Roman"/>
          <w:i/>
          <w:iCs/>
          <w:color w:val="222222"/>
          <w:sz w:val="27"/>
          <w:szCs w:val="27"/>
          <w:shd w:val="clear" w:color="auto" w:fill="FFFFFF"/>
        </w:rPr>
        <w:t>Nordic journal of studies in policing</w:t>
      </w:r>
      <w:r>
        <w:rPr>
          <w:rStyle w:val="s11"/>
          <w:rFonts w:ascii="Times New Roman" w:hAnsi="Times New Roman" w:cs="Times New Roman"/>
          <w:color w:val="222222"/>
          <w:sz w:val="27"/>
          <w:szCs w:val="27"/>
          <w:shd w:val="clear" w:color="auto" w:fill="FFFFFF"/>
        </w:rPr>
        <w:t>, 8(1), pp.1-18.</w:t>
      </w:r>
    </w:p>
    <w:p w14:paraId="19816BE6"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 xml:space="preserve">Johnson, L., &amp; </w:t>
      </w:r>
      <w:proofErr w:type="spellStart"/>
      <w:r>
        <w:rPr>
          <w:rStyle w:val="s11"/>
          <w:rFonts w:ascii="Times New Roman" w:hAnsi="Times New Roman" w:cs="Times New Roman"/>
          <w:color w:val="222222"/>
          <w:sz w:val="27"/>
          <w:szCs w:val="27"/>
          <w:shd w:val="clear" w:color="auto" w:fill="FFFFFF"/>
        </w:rPr>
        <w:t>Stylianou</w:t>
      </w:r>
      <w:proofErr w:type="spellEnd"/>
      <w:r>
        <w:rPr>
          <w:rStyle w:val="s11"/>
          <w:rFonts w:ascii="Times New Roman" w:hAnsi="Times New Roman" w:cs="Times New Roman"/>
          <w:color w:val="222222"/>
          <w:sz w:val="27"/>
          <w:szCs w:val="27"/>
          <w:shd w:val="clear" w:color="auto" w:fill="FFFFFF"/>
        </w:rPr>
        <w:t>, A. M. (2022). Coordinated community responses to domestic violence: A systematic review of the literature. </w:t>
      </w:r>
      <w:r>
        <w:rPr>
          <w:rStyle w:val="s12"/>
          <w:rFonts w:ascii="Times New Roman" w:hAnsi="Times New Roman" w:cs="Times New Roman"/>
          <w:i/>
          <w:iCs/>
          <w:color w:val="222222"/>
          <w:sz w:val="27"/>
          <w:szCs w:val="27"/>
          <w:shd w:val="clear" w:color="auto" w:fill="FFFFFF"/>
        </w:rPr>
        <w:t>Trauma, Violence, &amp; Abuse</w:t>
      </w:r>
      <w:r>
        <w:rPr>
          <w:rStyle w:val="s11"/>
          <w:rFonts w:ascii="Times New Roman" w:hAnsi="Times New Roman" w:cs="Times New Roman"/>
          <w:color w:val="222222"/>
          <w:sz w:val="27"/>
          <w:szCs w:val="27"/>
          <w:shd w:val="clear" w:color="auto" w:fill="FFFFFF"/>
        </w:rPr>
        <w:t>, 23(2), pp.506-522.</w:t>
      </w:r>
    </w:p>
    <w:p w14:paraId="15151AF8" w14:textId="77777777" w:rsidR="001E0357" w:rsidRDefault="001E0357" w:rsidP="001E0357">
      <w:pPr>
        <w:pStyle w:val="s15"/>
        <w:spacing w:before="0" w:beforeAutospacing="0" w:after="180" w:afterAutospacing="0" w:line="324" w:lineRule="atLeast"/>
        <w:jc w:val="both"/>
        <w:rPr>
          <w:color w:val="000000"/>
          <w:sz w:val="27"/>
          <w:szCs w:val="27"/>
        </w:rPr>
      </w:pPr>
      <w:proofErr w:type="spellStart"/>
      <w:r>
        <w:rPr>
          <w:rStyle w:val="s11"/>
          <w:rFonts w:ascii="Times New Roman" w:hAnsi="Times New Roman" w:cs="Times New Roman"/>
          <w:color w:val="222222"/>
          <w:sz w:val="27"/>
          <w:szCs w:val="27"/>
          <w:shd w:val="clear" w:color="auto" w:fill="FFFFFF"/>
        </w:rPr>
        <w:t>Latessa</w:t>
      </w:r>
      <w:proofErr w:type="spellEnd"/>
      <w:r>
        <w:rPr>
          <w:rStyle w:val="s11"/>
          <w:rFonts w:ascii="Times New Roman" w:hAnsi="Times New Roman" w:cs="Times New Roman"/>
          <w:color w:val="222222"/>
          <w:sz w:val="27"/>
          <w:szCs w:val="27"/>
          <w:shd w:val="clear" w:color="auto" w:fill="FFFFFF"/>
        </w:rPr>
        <w:t xml:space="preserve">, E. J., Johnson, S. L., &amp; </w:t>
      </w:r>
      <w:proofErr w:type="spellStart"/>
      <w:r>
        <w:rPr>
          <w:rStyle w:val="s11"/>
          <w:rFonts w:ascii="Times New Roman" w:hAnsi="Times New Roman" w:cs="Times New Roman"/>
          <w:color w:val="222222"/>
          <w:sz w:val="27"/>
          <w:szCs w:val="27"/>
          <w:shd w:val="clear" w:color="auto" w:fill="FFFFFF"/>
        </w:rPr>
        <w:t>Koetzle</w:t>
      </w:r>
      <w:proofErr w:type="spellEnd"/>
      <w:r>
        <w:rPr>
          <w:rStyle w:val="s11"/>
          <w:rFonts w:ascii="Times New Roman" w:hAnsi="Times New Roman" w:cs="Times New Roman"/>
          <w:color w:val="222222"/>
          <w:sz w:val="27"/>
          <w:szCs w:val="27"/>
          <w:shd w:val="clear" w:color="auto" w:fill="FFFFFF"/>
        </w:rPr>
        <w:t>, D. (2020). </w:t>
      </w:r>
      <w:r>
        <w:rPr>
          <w:rStyle w:val="s12"/>
          <w:rFonts w:ascii="Times New Roman" w:hAnsi="Times New Roman" w:cs="Times New Roman"/>
          <w:i/>
          <w:iCs/>
          <w:color w:val="222222"/>
          <w:sz w:val="27"/>
          <w:szCs w:val="27"/>
          <w:shd w:val="clear" w:color="auto" w:fill="FFFFFF"/>
        </w:rPr>
        <w:t>What works (and doesn't) in reducing recidivism</w:t>
      </w:r>
      <w:r>
        <w:rPr>
          <w:rStyle w:val="s11"/>
          <w:rFonts w:ascii="Times New Roman" w:hAnsi="Times New Roman" w:cs="Times New Roman"/>
          <w:color w:val="222222"/>
          <w:sz w:val="27"/>
          <w:szCs w:val="27"/>
          <w:shd w:val="clear" w:color="auto" w:fill="FFFFFF"/>
        </w:rPr>
        <w:t>. London: Routledge.</w:t>
      </w:r>
    </w:p>
    <w:p w14:paraId="65B84959" w14:textId="77777777" w:rsidR="001E0357" w:rsidRDefault="001E0357" w:rsidP="001E0357">
      <w:pPr>
        <w:pStyle w:val="s7"/>
        <w:spacing w:before="0" w:beforeAutospacing="0" w:after="180" w:afterAutospacing="0" w:line="324" w:lineRule="atLeast"/>
        <w:rPr>
          <w:color w:val="000000"/>
          <w:sz w:val="27"/>
          <w:szCs w:val="27"/>
        </w:rPr>
      </w:pPr>
      <w:proofErr w:type="spellStart"/>
      <w:r>
        <w:rPr>
          <w:rStyle w:val="s11"/>
          <w:rFonts w:ascii="Times New Roman" w:hAnsi="Times New Roman" w:cs="Times New Roman"/>
          <w:color w:val="222222"/>
          <w:sz w:val="27"/>
          <w:szCs w:val="27"/>
          <w:shd w:val="clear" w:color="auto" w:fill="FFFFFF"/>
        </w:rPr>
        <w:t>Lowerson</w:t>
      </w:r>
      <w:proofErr w:type="spellEnd"/>
      <w:r>
        <w:rPr>
          <w:rStyle w:val="s11"/>
          <w:rFonts w:ascii="Times New Roman" w:hAnsi="Times New Roman" w:cs="Times New Roman"/>
          <w:color w:val="222222"/>
          <w:sz w:val="27"/>
          <w:szCs w:val="27"/>
          <w:shd w:val="clear" w:color="auto" w:fill="FFFFFF"/>
        </w:rPr>
        <w:t>, A. J. (2022). Proportionate? The Metropolitan Police Service Response to the Sarah Everard Vigil: Leigh v Commissioner of Police of the Metropolis [2022] EWHC 527 (Admin). </w:t>
      </w:r>
      <w:r>
        <w:rPr>
          <w:rStyle w:val="s12"/>
          <w:rFonts w:ascii="Times New Roman" w:hAnsi="Times New Roman" w:cs="Times New Roman"/>
          <w:i/>
          <w:iCs/>
          <w:color w:val="222222"/>
          <w:sz w:val="27"/>
          <w:szCs w:val="27"/>
          <w:shd w:val="clear" w:color="auto" w:fill="FFFFFF"/>
        </w:rPr>
        <w:t>The Journal of Criminal Law</w:t>
      </w:r>
      <w:r>
        <w:rPr>
          <w:rStyle w:val="s11"/>
          <w:rFonts w:ascii="Times New Roman" w:hAnsi="Times New Roman" w:cs="Times New Roman"/>
          <w:color w:val="222222"/>
          <w:sz w:val="27"/>
          <w:szCs w:val="27"/>
          <w:shd w:val="clear" w:color="auto" w:fill="FFFFFF"/>
        </w:rPr>
        <w:t>, 86(4), pp.287-291.</w:t>
      </w:r>
    </w:p>
    <w:p w14:paraId="69E2D071" w14:textId="77777777" w:rsidR="001E0357" w:rsidRDefault="001E0357" w:rsidP="001E0357">
      <w:pPr>
        <w:pStyle w:val="s7"/>
        <w:spacing w:before="0" w:beforeAutospacing="0" w:after="180" w:afterAutospacing="0" w:line="324" w:lineRule="atLeast"/>
        <w:rPr>
          <w:color w:val="000000"/>
          <w:sz w:val="27"/>
          <w:szCs w:val="27"/>
        </w:rPr>
      </w:pPr>
      <w:r>
        <w:rPr>
          <w:rStyle w:val="s18"/>
          <w:rFonts w:ascii="Times New Roman" w:hAnsi="Times New Roman" w:cs="Times New Roman"/>
          <w:color w:val="222222"/>
          <w:sz w:val="27"/>
          <w:szCs w:val="27"/>
        </w:rPr>
        <w:t>Lum, C., Koper, C. S., &amp; Wu, X. (2022). Can we really defund the police? A nine-agency study of police response to calls for service. </w:t>
      </w:r>
      <w:r>
        <w:rPr>
          <w:rStyle w:val="s19"/>
          <w:rFonts w:ascii="Times New Roman" w:hAnsi="Times New Roman" w:cs="Times New Roman"/>
          <w:i/>
          <w:iCs/>
          <w:color w:val="222222"/>
          <w:sz w:val="27"/>
          <w:szCs w:val="27"/>
        </w:rPr>
        <w:t>Police quarterly</w:t>
      </w:r>
      <w:r>
        <w:rPr>
          <w:rStyle w:val="s18"/>
          <w:rFonts w:ascii="Times New Roman" w:hAnsi="Times New Roman" w:cs="Times New Roman"/>
          <w:color w:val="222222"/>
          <w:sz w:val="27"/>
          <w:szCs w:val="27"/>
        </w:rPr>
        <w:t>, 25(3), pp.255-280.</w:t>
      </w:r>
    </w:p>
    <w:p w14:paraId="3D637B95"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Macfarlane, A. (2019). Gangs and adolescent mental health: A narrative review. </w:t>
      </w:r>
      <w:r>
        <w:rPr>
          <w:rStyle w:val="s12"/>
          <w:rFonts w:ascii="Times New Roman" w:hAnsi="Times New Roman" w:cs="Times New Roman"/>
          <w:i/>
          <w:iCs/>
          <w:color w:val="222222"/>
          <w:sz w:val="27"/>
          <w:szCs w:val="27"/>
          <w:shd w:val="clear" w:color="auto" w:fill="FFFFFF"/>
        </w:rPr>
        <w:t>Journal of child &amp; adolescent trauma</w:t>
      </w:r>
      <w:r>
        <w:rPr>
          <w:rStyle w:val="s11"/>
          <w:rFonts w:ascii="Times New Roman" w:hAnsi="Times New Roman" w:cs="Times New Roman"/>
          <w:color w:val="222222"/>
          <w:sz w:val="27"/>
          <w:szCs w:val="27"/>
          <w:shd w:val="clear" w:color="auto" w:fill="FFFFFF"/>
        </w:rPr>
        <w:t>, 12(3), pp.411-420.</w:t>
      </w:r>
    </w:p>
    <w:p w14:paraId="2C88D8A0"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lastRenderedPageBreak/>
        <w:t>Morgan, A., Boxall, H., &amp; Brown, R. (2018). Targeting repeat domestic violence: Assessing short-term risk of reoffending. </w:t>
      </w:r>
      <w:r>
        <w:rPr>
          <w:rStyle w:val="s12"/>
          <w:rFonts w:ascii="Times New Roman" w:hAnsi="Times New Roman" w:cs="Times New Roman"/>
          <w:i/>
          <w:iCs/>
          <w:color w:val="222222"/>
          <w:sz w:val="27"/>
          <w:szCs w:val="27"/>
          <w:shd w:val="clear" w:color="auto" w:fill="FFFFFF"/>
        </w:rPr>
        <w:t>Trends and issues in crime and criminal justice</w:t>
      </w:r>
      <w:r>
        <w:rPr>
          <w:rStyle w:val="s11"/>
          <w:rFonts w:ascii="Times New Roman" w:hAnsi="Times New Roman" w:cs="Times New Roman"/>
          <w:color w:val="222222"/>
          <w:sz w:val="27"/>
          <w:szCs w:val="27"/>
          <w:shd w:val="clear" w:color="auto" w:fill="FFFFFF"/>
        </w:rPr>
        <w:t>, 552, pp.1-16.</w:t>
      </w:r>
    </w:p>
    <w:p w14:paraId="18EB2F45" w14:textId="77777777" w:rsidR="001E0357" w:rsidRDefault="001E0357" w:rsidP="001E0357">
      <w:pPr>
        <w:pStyle w:val="s7"/>
        <w:spacing w:before="0" w:beforeAutospacing="0" w:after="180" w:afterAutospacing="0" w:line="324" w:lineRule="atLeast"/>
        <w:rPr>
          <w:rStyle w:val="s3"/>
          <w:rFonts w:ascii="Times New Roman" w:hAnsi="Times New Roman" w:cs="Times New Roman"/>
          <w:color w:val="000000"/>
          <w:sz w:val="27"/>
          <w:szCs w:val="27"/>
          <w:shd w:val="clear" w:color="auto" w:fill="FFFFFF"/>
        </w:rPr>
      </w:pPr>
      <w:r>
        <w:rPr>
          <w:rStyle w:val="s3"/>
          <w:rFonts w:ascii="Times New Roman" w:hAnsi="Times New Roman" w:cs="Times New Roman"/>
          <w:color w:val="000000"/>
          <w:sz w:val="27"/>
          <w:szCs w:val="27"/>
          <w:shd w:val="clear" w:color="auto" w:fill="FFFFFF"/>
        </w:rPr>
        <w:t>Paulo, R. M., Albuquerque, P. B., Vitorino, F., &amp; Bull, R. (2017). Enhancing the cognitive interview with an alternative procedure to witness-compatible questioning: Category clustering recall. </w:t>
      </w:r>
      <w:r>
        <w:rPr>
          <w:rStyle w:val="s6"/>
          <w:rFonts w:ascii="Times New Roman" w:hAnsi="Times New Roman" w:cs="Times New Roman"/>
          <w:i/>
          <w:iCs/>
          <w:color w:val="000000"/>
          <w:sz w:val="27"/>
          <w:szCs w:val="27"/>
          <w:shd w:val="clear" w:color="auto" w:fill="FFFFFF"/>
        </w:rPr>
        <w:t>Psychology, Crime &amp; Law</w:t>
      </w:r>
      <w:r>
        <w:rPr>
          <w:rStyle w:val="s3"/>
          <w:rFonts w:ascii="Times New Roman" w:hAnsi="Times New Roman" w:cs="Times New Roman"/>
          <w:color w:val="000000"/>
          <w:sz w:val="27"/>
          <w:szCs w:val="27"/>
          <w:shd w:val="clear" w:color="auto" w:fill="FFFFFF"/>
        </w:rPr>
        <w:t>, 23(10), pp.967-982.</w:t>
      </w:r>
    </w:p>
    <w:p w14:paraId="6A72849A" w14:textId="7C0A6484" w:rsidR="00E64187" w:rsidRPr="00E64187" w:rsidRDefault="00E64187" w:rsidP="001E0357">
      <w:pPr>
        <w:pStyle w:val="s7"/>
        <w:spacing w:before="0" w:beforeAutospacing="0" w:after="180" w:afterAutospacing="0" w:line="324" w:lineRule="atLeast"/>
        <w:rPr>
          <w:rFonts w:ascii="Times New Roman" w:hAnsi="Times New Roman" w:cs="Times New Roman"/>
          <w:color w:val="000000"/>
          <w:sz w:val="27"/>
          <w:szCs w:val="27"/>
        </w:rPr>
      </w:pPr>
      <w:r w:rsidRPr="00E64187">
        <w:rPr>
          <w:rFonts w:ascii="Times New Roman" w:hAnsi="Times New Roman" w:cs="Times New Roman"/>
          <w:color w:val="000000"/>
          <w:sz w:val="27"/>
          <w:szCs w:val="27"/>
        </w:rPr>
        <w:t xml:space="preserve">Pence, E. and </w:t>
      </w:r>
      <w:proofErr w:type="spellStart"/>
      <w:r w:rsidRPr="00E64187">
        <w:rPr>
          <w:rFonts w:ascii="Times New Roman" w:hAnsi="Times New Roman" w:cs="Times New Roman"/>
          <w:color w:val="000000"/>
          <w:sz w:val="27"/>
          <w:szCs w:val="27"/>
        </w:rPr>
        <w:t>Paymar</w:t>
      </w:r>
      <w:proofErr w:type="spellEnd"/>
      <w:r w:rsidRPr="00E64187">
        <w:rPr>
          <w:rFonts w:ascii="Times New Roman" w:hAnsi="Times New Roman" w:cs="Times New Roman"/>
          <w:color w:val="000000"/>
          <w:sz w:val="27"/>
          <w:szCs w:val="27"/>
        </w:rPr>
        <w:t xml:space="preserve">, M. (1993). Education groups for men who </w:t>
      </w:r>
      <w:proofErr w:type="gramStart"/>
      <w:r w:rsidRPr="00E64187">
        <w:rPr>
          <w:rFonts w:ascii="Times New Roman" w:hAnsi="Times New Roman" w:cs="Times New Roman"/>
          <w:color w:val="000000"/>
          <w:sz w:val="27"/>
          <w:szCs w:val="27"/>
        </w:rPr>
        <w:t>batter :</w:t>
      </w:r>
      <w:proofErr w:type="gramEnd"/>
      <w:r w:rsidRPr="00E64187">
        <w:rPr>
          <w:rFonts w:ascii="Times New Roman" w:hAnsi="Times New Roman" w:cs="Times New Roman"/>
          <w:color w:val="000000"/>
          <w:sz w:val="27"/>
          <w:szCs w:val="27"/>
        </w:rPr>
        <w:t xml:space="preserve"> The Duluth model. New York: Springer, Cop.</w:t>
      </w:r>
    </w:p>
    <w:p w14:paraId="118125F0"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Reid, E. (2023). ‘Trap Life’: The psychosocial underpinnings of street crime in inner-city London. </w:t>
      </w:r>
      <w:r>
        <w:rPr>
          <w:rStyle w:val="s12"/>
          <w:rFonts w:ascii="Times New Roman" w:hAnsi="Times New Roman" w:cs="Times New Roman"/>
          <w:i/>
          <w:iCs/>
          <w:color w:val="222222"/>
          <w:sz w:val="27"/>
          <w:szCs w:val="27"/>
          <w:shd w:val="clear" w:color="auto" w:fill="FFFFFF"/>
        </w:rPr>
        <w:t>The British Journal of Criminology</w:t>
      </w:r>
      <w:r>
        <w:rPr>
          <w:rStyle w:val="s11"/>
          <w:rFonts w:ascii="Times New Roman" w:hAnsi="Times New Roman" w:cs="Times New Roman"/>
          <w:color w:val="222222"/>
          <w:sz w:val="27"/>
          <w:szCs w:val="27"/>
          <w:shd w:val="clear" w:color="auto" w:fill="FFFFFF"/>
        </w:rPr>
        <w:t>, 63(1), pp.168-183.</w:t>
      </w:r>
    </w:p>
    <w:p w14:paraId="229920B0"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 xml:space="preserve">Seo, C., Kim, B., &amp; </w:t>
      </w:r>
      <w:proofErr w:type="spellStart"/>
      <w:r>
        <w:rPr>
          <w:rStyle w:val="s11"/>
          <w:rFonts w:ascii="Times New Roman" w:hAnsi="Times New Roman" w:cs="Times New Roman"/>
          <w:color w:val="222222"/>
          <w:sz w:val="27"/>
          <w:szCs w:val="27"/>
          <w:shd w:val="clear" w:color="auto" w:fill="FFFFFF"/>
        </w:rPr>
        <w:t>Kruis</w:t>
      </w:r>
      <w:proofErr w:type="spellEnd"/>
      <w:r>
        <w:rPr>
          <w:rStyle w:val="s11"/>
          <w:rFonts w:ascii="Times New Roman" w:hAnsi="Times New Roman" w:cs="Times New Roman"/>
          <w:color w:val="222222"/>
          <w:sz w:val="27"/>
          <w:szCs w:val="27"/>
          <w:shd w:val="clear" w:color="auto" w:fill="FFFFFF"/>
        </w:rPr>
        <w:t>, N. E. (2021). Variation across police response models for handling encounters with people with mental illnesses: A systematic review and meta-analysis. </w:t>
      </w:r>
      <w:r>
        <w:rPr>
          <w:rStyle w:val="s12"/>
          <w:rFonts w:ascii="Times New Roman" w:hAnsi="Times New Roman" w:cs="Times New Roman"/>
          <w:i/>
          <w:iCs/>
          <w:color w:val="222222"/>
          <w:sz w:val="27"/>
          <w:szCs w:val="27"/>
          <w:shd w:val="clear" w:color="auto" w:fill="FFFFFF"/>
        </w:rPr>
        <w:t>Journal of criminal justice</w:t>
      </w:r>
      <w:r>
        <w:rPr>
          <w:rStyle w:val="s11"/>
          <w:rFonts w:ascii="Times New Roman" w:hAnsi="Times New Roman" w:cs="Times New Roman"/>
          <w:color w:val="222222"/>
          <w:sz w:val="27"/>
          <w:szCs w:val="27"/>
          <w:shd w:val="clear" w:color="auto" w:fill="FFFFFF"/>
        </w:rPr>
        <w:t>, </w:t>
      </w:r>
      <w:r>
        <w:rPr>
          <w:rStyle w:val="s12"/>
          <w:rFonts w:ascii="Times New Roman" w:hAnsi="Times New Roman" w:cs="Times New Roman"/>
          <w:i/>
          <w:iCs/>
          <w:color w:val="222222"/>
          <w:sz w:val="27"/>
          <w:szCs w:val="27"/>
          <w:shd w:val="clear" w:color="auto" w:fill="FFFFFF"/>
        </w:rPr>
        <w:t>72</w:t>
      </w:r>
      <w:r>
        <w:rPr>
          <w:rStyle w:val="s11"/>
          <w:rFonts w:ascii="Times New Roman" w:hAnsi="Times New Roman" w:cs="Times New Roman"/>
          <w:color w:val="222222"/>
          <w:sz w:val="27"/>
          <w:szCs w:val="27"/>
          <w:shd w:val="clear" w:color="auto" w:fill="FFFFFF"/>
        </w:rPr>
        <w:t>, pp.101-131.</w:t>
      </w:r>
    </w:p>
    <w:p w14:paraId="6787B1C3" w14:textId="77777777" w:rsidR="001E0357" w:rsidRDefault="001E0357" w:rsidP="001E0357">
      <w:pPr>
        <w:pStyle w:val="s7"/>
        <w:spacing w:before="0" w:beforeAutospacing="0" w:after="180" w:afterAutospacing="0" w:line="324" w:lineRule="atLeast"/>
        <w:rPr>
          <w:color w:val="000000"/>
          <w:sz w:val="27"/>
          <w:szCs w:val="27"/>
        </w:rPr>
      </w:pPr>
      <w:r>
        <w:rPr>
          <w:rStyle w:val="s3"/>
          <w:rFonts w:ascii="Times New Roman" w:hAnsi="Times New Roman" w:cs="Times New Roman"/>
          <w:color w:val="000000"/>
          <w:sz w:val="27"/>
          <w:szCs w:val="27"/>
          <w:shd w:val="clear" w:color="auto" w:fill="FFFFFF"/>
        </w:rPr>
        <w:t>Sharman, S. J., &amp; Powell, M. B. (2013). Do cognitive interview instructions contribute to false beliefs and memories? </w:t>
      </w:r>
      <w:r>
        <w:rPr>
          <w:rStyle w:val="s6"/>
          <w:rFonts w:ascii="Times New Roman" w:hAnsi="Times New Roman" w:cs="Times New Roman"/>
          <w:i/>
          <w:iCs/>
          <w:color w:val="000000"/>
          <w:sz w:val="27"/>
          <w:szCs w:val="27"/>
          <w:shd w:val="clear" w:color="auto" w:fill="FFFFFF"/>
        </w:rPr>
        <w:t>Journal of Investigative Psychology and Offender Profiling</w:t>
      </w:r>
      <w:r>
        <w:rPr>
          <w:rStyle w:val="s3"/>
          <w:rFonts w:ascii="Times New Roman" w:hAnsi="Times New Roman" w:cs="Times New Roman"/>
          <w:color w:val="000000"/>
          <w:sz w:val="27"/>
          <w:szCs w:val="27"/>
          <w:shd w:val="clear" w:color="auto" w:fill="FFFFFF"/>
        </w:rPr>
        <w:t>, 10(1), pp.114-124.</w:t>
      </w:r>
    </w:p>
    <w:p w14:paraId="5BBB7E06" w14:textId="77777777" w:rsidR="001E0357" w:rsidRDefault="001E0357" w:rsidP="001E0357">
      <w:pPr>
        <w:pStyle w:val="s7"/>
        <w:spacing w:before="0" w:beforeAutospacing="0" w:after="180" w:afterAutospacing="0" w:line="324" w:lineRule="atLeast"/>
        <w:rPr>
          <w:rStyle w:val="s3"/>
          <w:rFonts w:ascii="Times New Roman" w:hAnsi="Times New Roman" w:cs="Times New Roman"/>
          <w:color w:val="000000"/>
          <w:sz w:val="27"/>
          <w:szCs w:val="27"/>
          <w:shd w:val="clear" w:color="auto" w:fill="FFFFFF"/>
        </w:rPr>
      </w:pPr>
      <w:r>
        <w:rPr>
          <w:rStyle w:val="s3"/>
          <w:rFonts w:ascii="Times New Roman" w:hAnsi="Times New Roman" w:cs="Times New Roman"/>
          <w:color w:val="000000"/>
          <w:sz w:val="27"/>
          <w:szCs w:val="27"/>
          <w:shd w:val="clear" w:color="auto" w:fill="FFFFFF"/>
        </w:rPr>
        <w:t>Shaw, J., &amp; Porter, S. (2015). Constructing rich false memories of committing crime. </w:t>
      </w:r>
      <w:r>
        <w:rPr>
          <w:rStyle w:val="s6"/>
          <w:rFonts w:ascii="Times New Roman" w:hAnsi="Times New Roman" w:cs="Times New Roman"/>
          <w:i/>
          <w:iCs/>
          <w:color w:val="000000"/>
          <w:sz w:val="27"/>
          <w:szCs w:val="27"/>
          <w:shd w:val="clear" w:color="auto" w:fill="FFFFFF"/>
        </w:rPr>
        <w:t>Psychological Science</w:t>
      </w:r>
      <w:r>
        <w:rPr>
          <w:rStyle w:val="s3"/>
          <w:rFonts w:ascii="Times New Roman" w:hAnsi="Times New Roman" w:cs="Times New Roman"/>
          <w:color w:val="000000"/>
          <w:sz w:val="27"/>
          <w:szCs w:val="27"/>
          <w:shd w:val="clear" w:color="auto" w:fill="FFFFFF"/>
        </w:rPr>
        <w:t>, 26(3), pp.291-301.</w:t>
      </w:r>
    </w:p>
    <w:p w14:paraId="3CBAB89C" w14:textId="3F724A3B" w:rsidR="009C6C5F" w:rsidRDefault="009C6C5F" w:rsidP="009C6C5F">
      <w:pPr>
        <w:pStyle w:val="s7"/>
        <w:spacing w:after="180" w:line="324" w:lineRule="atLeast"/>
        <w:rPr>
          <w:color w:val="000000"/>
          <w:sz w:val="27"/>
          <w:szCs w:val="27"/>
        </w:rPr>
      </w:pPr>
      <w:r w:rsidRPr="009C6C5F">
        <w:rPr>
          <w:color w:val="000000"/>
          <w:sz w:val="27"/>
          <w:szCs w:val="27"/>
        </w:rPr>
        <w:t>Sherman, Lawrence W., and Richard A. Berk. “</w:t>
      </w:r>
      <w:r w:rsidRPr="009C6C5F">
        <w:rPr>
          <w:i/>
          <w:iCs/>
          <w:color w:val="000000"/>
          <w:sz w:val="27"/>
          <w:szCs w:val="27"/>
        </w:rPr>
        <w:t>The Specific Deterrent Effects of Arrest for Domestic Assault</w:t>
      </w:r>
      <w:r w:rsidRPr="009C6C5F">
        <w:rPr>
          <w:color w:val="000000"/>
          <w:sz w:val="27"/>
          <w:szCs w:val="27"/>
        </w:rPr>
        <w:t>.” American Sociological Review, vol. 49, no. 2, 1984, pp. 261–72. JSTOR, https://doi.org/10.2307/2095575. Accessed 20 Feb. 2024.</w:t>
      </w:r>
    </w:p>
    <w:p w14:paraId="42DE9382" w14:textId="77777777" w:rsidR="001E0357" w:rsidRDefault="001E0357" w:rsidP="001E0357">
      <w:pPr>
        <w:pStyle w:val="s7"/>
        <w:spacing w:before="0" w:beforeAutospacing="0" w:after="180" w:afterAutospacing="0" w:line="324" w:lineRule="atLeast"/>
        <w:rPr>
          <w:color w:val="000000"/>
          <w:sz w:val="27"/>
          <w:szCs w:val="27"/>
        </w:rPr>
      </w:pPr>
      <w:r>
        <w:rPr>
          <w:rStyle w:val="s3"/>
          <w:rFonts w:ascii="Times New Roman" w:hAnsi="Times New Roman" w:cs="Times New Roman"/>
          <w:color w:val="000000"/>
          <w:sz w:val="27"/>
          <w:szCs w:val="27"/>
          <w:shd w:val="clear" w:color="auto" w:fill="FFFFFF"/>
        </w:rPr>
        <w:t>Shields, G. S., </w:t>
      </w:r>
      <w:proofErr w:type="spellStart"/>
      <w:r>
        <w:rPr>
          <w:rStyle w:val="s3"/>
          <w:rFonts w:ascii="Times New Roman" w:hAnsi="Times New Roman" w:cs="Times New Roman"/>
          <w:color w:val="000000"/>
          <w:sz w:val="27"/>
          <w:szCs w:val="27"/>
          <w:shd w:val="clear" w:color="auto" w:fill="FFFFFF"/>
        </w:rPr>
        <w:t>Sazma</w:t>
      </w:r>
      <w:proofErr w:type="spellEnd"/>
      <w:r>
        <w:rPr>
          <w:rStyle w:val="s3"/>
          <w:rFonts w:ascii="Times New Roman" w:hAnsi="Times New Roman" w:cs="Times New Roman"/>
          <w:color w:val="000000"/>
          <w:sz w:val="27"/>
          <w:szCs w:val="27"/>
          <w:shd w:val="clear" w:color="auto" w:fill="FFFFFF"/>
        </w:rPr>
        <w:t>, M. A., McCullough, A. M., &amp; </w:t>
      </w:r>
      <w:proofErr w:type="spellStart"/>
      <w:r>
        <w:rPr>
          <w:rStyle w:val="s3"/>
          <w:rFonts w:ascii="Times New Roman" w:hAnsi="Times New Roman" w:cs="Times New Roman"/>
          <w:color w:val="000000"/>
          <w:sz w:val="27"/>
          <w:szCs w:val="27"/>
          <w:shd w:val="clear" w:color="auto" w:fill="FFFFFF"/>
        </w:rPr>
        <w:t>Yonelinas</w:t>
      </w:r>
      <w:proofErr w:type="spellEnd"/>
      <w:r>
        <w:rPr>
          <w:rStyle w:val="s3"/>
          <w:rFonts w:ascii="Times New Roman" w:hAnsi="Times New Roman" w:cs="Times New Roman"/>
          <w:color w:val="000000"/>
          <w:sz w:val="27"/>
          <w:szCs w:val="27"/>
          <w:shd w:val="clear" w:color="auto" w:fill="FFFFFF"/>
        </w:rPr>
        <w:t>, A. P. (2017). The effects of acute stress on episodic memory: A meta-analysis and integrative review. </w:t>
      </w:r>
      <w:r>
        <w:rPr>
          <w:rStyle w:val="s6"/>
          <w:rFonts w:ascii="Times New Roman" w:hAnsi="Times New Roman" w:cs="Times New Roman"/>
          <w:i/>
          <w:iCs/>
          <w:color w:val="000000"/>
          <w:sz w:val="27"/>
          <w:szCs w:val="27"/>
          <w:shd w:val="clear" w:color="auto" w:fill="FFFFFF"/>
        </w:rPr>
        <w:t>Psychological bulletin</w:t>
      </w:r>
      <w:r>
        <w:rPr>
          <w:rStyle w:val="s3"/>
          <w:rFonts w:ascii="Times New Roman" w:hAnsi="Times New Roman" w:cs="Times New Roman"/>
          <w:color w:val="000000"/>
          <w:sz w:val="27"/>
          <w:szCs w:val="27"/>
          <w:shd w:val="clear" w:color="auto" w:fill="FFFFFF"/>
        </w:rPr>
        <w:t>, 143(6), pp.636-656. </w:t>
      </w:r>
    </w:p>
    <w:p w14:paraId="6FCDA835" w14:textId="77777777" w:rsidR="001E0357" w:rsidRDefault="001E0357" w:rsidP="001E0357">
      <w:pPr>
        <w:pStyle w:val="s7"/>
        <w:spacing w:before="0" w:beforeAutospacing="0" w:after="180" w:afterAutospacing="0" w:line="324" w:lineRule="atLeast"/>
        <w:rPr>
          <w:color w:val="000000"/>
          <w:sz w:val="27"/>
          <w:szCs w:val="27"/>
        </w:rPr>
      </w:pPr>
      <w:proofErr w:type="spellStart"/>
      <w:r>
        <w:rPr>
          <w:rStyle w:val="s11"/>
          <w:rFonts w:ascii="Times New Roman" w:hAnsi="Times New Roman" w:cs="Times New Roman"/>
          <w:color w:val="222222"/>
          <w:sz w:val="27"/>
          <w:szCs w:val="27"/>
          <w:shd w:val="clear" w:color="auto" w:fill="FFFFFF"/>
        </w:rPr>
        <w:t>Shildrick</w:t>
      </w:r>
      <w:proofErr w:type="spellEnd"/>
      <w:r>
        <w:rPr>
          <w:rStyle w:val="s11"/>
          <w:rFonts w:ascii="Times New Roman" w:hAnsi="Times New Roman" w:cs="Times New Roman"/>
          <w:color w:val="222222"/>
          <w:sz w:val="27"/>
          <w:szCs w:val="27"/>
          <w:shd w:val="clear" w:color="auto" w:fill="FFFFFF"/>
        </w:rPr>
        <w:t xml:space="preserve">, T. (2018). Lessons from Grenfell: Poverty propaganda, </w:t>
      </w:r>
      <w:proofErr w:type="gramStart"/>
      <w:r>
        <w:rPr>
          <w:rStyle w:val="s11"/>
          <w:rFonts w:ascii="Times New Roman" w:hAnsi="Times New Roman" w:cs="Times New Roman"/>
          <w:color w:val="222222"/>
          <w:sz w:val="27"/>
          <w:szCs w:val="27"/>
          <w:shd w:val="clear" w:color="auto" w:fill="FFFFFF"/>
        </w:rPr>
        <w:t>stigma</w:t>
      </w:r>
      <w:proofErr w:type="gramEnd"/>
      <w:r>
        <w:rPr>
          <w:rStyle w:val="s11"/>
          <w:rFonts w:ascii="Times New Roman" w:hAnsi="Times New Roman" w:cs="Times New Roman"/>
          <w:color w:val="222222"/>
          <w:sz w:val="27"/>
          <w:szCs w:val="27"/>
          <w:shd w:val="clear" w:color="auto" w:fill="FFFFFF"/>
        </w:rPr>
        <w:t xml:space="preserve"> and class power. </w:t>
      </w:r>
      <w:r>
        <w:rPr>
          <w:rStyle w:val="s12"/>
          <w:rFonts w:ascii="Times New Roman" w:hAnsi="Times New Roman" w:cs="Times New Roman"/>
          <w:i/>
          <w:iCs/>
          <w:color w:val="222222"/>
          <w:sz w:val="27"/>
          <w:szCs w:val="27"/>
          <w:shd w:val="clear" w:color="auto" w:fill="FFFFFF"/>
        </w:rPr>
        <w:t>The Sociological Review</w:t>
      </w:r>
      <w:r>
        <w:rPr>
          <w:rStyle w:val="s11"/>
          <w:rFonts w:ascii="Times New Roman" w:hAnsi="Times New Roman" w:cs="Times New Roman"/>
          <w:color w:val="222222"/>
          <w:sz w:val="27"/>
          <w:szCs w:val="27"/>
          <w:shd w:val="clear" w:color="auto" w:fill="FFFFFF"/>
        </w:rPr>
        <w:t>, 66(4), pp.783-798.</w:t>
      </w:r>
    </w:p>
    <w:p w14:paraId="3FBAEC1F" w14:textId="77777777" w:rsidR="001E0357" w:rsidRDefault="001E0357" w:rsidP="001E0357">
      <w:pPr>
        <w:pStyle w:val="s7"/>
        <w:spacing w:before="0" w:beforeAutospacing="0" w:after="180" w:afterAutospacing="0" w:line="324" w:lineRule="atLeast"/>
        <w:rPr>
          <w:color w:val="000000"/>
          <w:sz w:val="27"/>
          <w:szCs w:val="27"/>
        </w:rPr>
      </w:pPr>
      <w:proofErr w:type="spellStart"/>
      <w:r>
        <w:rPr>
          <w:rStyle w:val="s11"/>
          <w:rFonts w:ascii="Times New Roman" w:hAnsi="Times New Roman" w:cs="Times New Roman"/>
          <w:color w:val="222222"/>
          <w:sz w:val="27"/>
          <w:szCs w:val="27"/>
          <w:shd w:val="clear" w:color="auto" w:fill="FFFFFF"/>
        </w:rPr>
        <w:t>Skryabina</w:t>
      </w:r>
      <w:proofErr w:type="spellEnd"/>
      <w:r>
        <w:rPr>
          <w:rStyle w:val="s11"/>
          <w:rFonts w:ascii="Times New Roman" w:hAnsi="Times New Roman" w:cs="Times New Roman"/>
          <w:color w:val="222222"/>
          <w:sz w:val="27"/>
          <w:szCs w:val="27"/>
          <w:shd w:val="clear" w:color="auto" w:fill="FFFFFF"/>
        </w:rPr>
        <w:t>, E. A., Betts, N., Reedy, G., Riley, P., &amp; </w:t>
      </w:r>
      <w:proofErr w:type="spellStart"/>
      <w:r>
        <w:rPr>
          <w:rStyle w:val="s11"/>
          <w:rFonts w:ascii="Times New Roman" w:hAnsi="Times New Roman" w:cs="Times New Roman"/>
          <w:color w:val="222222"/>
          <w:sz w:val="27"/>
          <w:szCs w:val="27"/>
          <w:shd w:val="clear" w:color="auto" w:fill="FFFFFF"/>
        </w:rPr>
        <w:t>Amlôt</w:t>
      </w:r>
      <w:proofErr w:type="spellEnd"/>
      <w:r>
        <w:rPr>
          <w:rStyle w:val="s11"/>
          <w:rFonts w:ascii="Times New Roman" w:hAnsi="Times New Roman" w:cs="Times New Roman"/>
          <w:color w:val="222222"/>
          <w:sz w:val="27"/>
          <w:szCs w:val="27"/>
          <w:shd w:val="clear" w:color="auto" w:fill="FFFFFF"/>
        </w:rPr>
        <w:t>, R. (2020). The role of emergency preparedness exercises in the response to a mass casualty terrorist incident: a mixed methods study. </w:t>
      </w:r>
      <w:r>
        <w:rPr>
          <w:rStyle w:val="s12"/>
          <w:rFonts w:ascii="Times New Roman" w:hAnsi="Times New Roman" w:cs="Times New Roman"/>
          <w:i/>
          <w:iCs/>
          <w:color w:val="222222"/>
          <w:sz w:val="27"/>
          <w:szCs w:val="27"/>
          <w:shd w:val="clear" w:color="auto" w:fill="FFFFFF"/>
        </w:rPr>
        <w:t>International journal of disaster risk reduction</w:t>
      </w:r>
      <w:r>
        <w:rPr>
          <w:rStyle w:val="s11"/>
          <w:rFonts w:ascii="Times New Roman" w:hAnsi="Times New Roman" w:cs="Times New Roman"/>
          <w:color w:val="222222"/>
          <w:sz w:val="27"/>
          <w:szCs w:val="27"/>
          <w:shd w:val="clear" w:color="auto" w:fill="FFFFFF"/>
        </w:rPr>
        <w:t>, 46, pp.101-121.</w:t>
      </w:r>
    </w:p>
    <w:p w14:paraId="01012646"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Stone, A. G., Lloyd, C. D., &amp; Serin, R. C. (2021). Dynamic risk factors reassessed regularly after release from incarceration predict imminent violent recidivism. </w:t>
      </w:r>
      <w:r>
        <w:rPr>
          <w:rStyle w:val="s12"/>
          <w:rFonts w:ascii="Times New Roman" w:hAnsi="Times New Roman" w:cs="Times New Roman"/>
          <w:i/>
          <w:iCs/>
          <w:color w:val="222222"/>
          <w:sz w:val="27"/>
          <w:szCs w:val="27"/>
          <w:shd w:val="clear" w:color="auto" w:fill="FFFFFF"/>
        </w:rPr>
        <w:t>Law and human </w:t>
      </w:r>
      <w:proofErr w:type="spellStart"/>
      <w:r>
        <w:rPr>
          <w:rStyle w:val="s12"/>
          <w:rFonts w:ascii="Times New Roman" w:hAnsi="Times New Roman" w:cs="Times New Roman"/>
          <w:i/>
          <w:iCs/>
          <w:color w:val="222222"/>
          <w:sz w:val="27"/>
          <w:szCs w:val="27"/>
          <w:shd w:val="clear" w:color="auto" w:fill="FFFFFF"/>
        </w:rPr>
        <w:t>behavior</w:t>
      </w:r>
      <w:proofErr w:type="spellEnd"/>
      <w:r>
        <w:rPr>
          <w:rStyle w:val="s11"/>
          <w:rFonts w:ascii="Times New Roman" w:hAnsi="Times New Roman" w:cs="Times New Roman"/>
          <w:color w:val="222222"/>
          <w:sz w:val="27"/>
          <w:szCs w:val="27"/>
          <w:shd w:val="clear" w:color="auto" w:fill="FFFFFF"/>
        </w:rPr>
        <w:t>, 45(6), pp.512-522. </w:t>
      </w:r>
    </w:p>
    <w:p w14:paraId="24260A12" w14:textId="77777777" w:rsidR="001E0357" w:rsidRDefault="001E0357" w:rsidP="001E0357">
      <w:pPr>
        <w:pStyle w:val="s7"/>
        <w:spacing w:before="0" w:beforeAutospacing="0" w:after="180" w:afterAutospacing="0" w:line="324" w:lineRule="atLeast"/>
        <w:rPr>
          <w:rStyle w:val="s11"/>
          <w:rFonts w:ascii="Times New Roman" w:hAnsi="Times New Roman" w:cs="Times New Roman"/>
          <w:color w:val="222222"/>
          <w:sz w:val="27"/>
          <w:szCs w:val="27"/>
          <w:shd w:val="clear" w:color="auto" w:fill="FFFFFF"/>
        </w:rPr>
      </w:pPr>
      <w:proofErr w:type="spellStart"/>
      <w:r>
        <w:rPr>
          <w:rStyle w:val="s11"/>
          <w:rFonts w:ascii="Times New Roman" w:hAnsi="Times New Roman" w:cs="Times New Roman"/>
          <w:color w:val="222222"/>
          <w:sz w:val="27"/>
          <w:szCs w:val="27"/>
          <w:shd w:val="clear" w:color="auto" w:fill="FFFFFF"/>
        </w:rPr>
        <w:lastRenderedPageBreak/>
        <w:t>Swaner</w:t>
      </w:r>
      <w:proofErr w:type="spellEnd"/>
      <w:r>
        <w:rPr>
          <w:rStyle w:val="s11"/>
          <w:rFonts w:ascii="Times New Roman" w:hAnsi="Times New Roman" w:cs="Times New Roman"/>
          <w:color w:val="222222"/>
          <w:sz w:val="27"/>
          <w:szCs w:val="27"/>
          <w:shd w:val="clear" w:color="auto" w:fill="FFFFFF"/>
        </w:rPr>
        <w:t>, R. (2022). ‘We can’t get no nine-to-five’: New York City gang membership as a response to the structural violence of everyday life. </w:t>
      </w:r>
      <w:r>
        <w:rPr>
          <w:rStyle w:val="s12"/>
          <w:rFonts w:ascii="Times New Roman" w:hAnsi="Times New Roman" w:cs="Times New Roman"/>
          <w:i/>
          <w:iCs/>
          <w:color w:val="222222"/>
          <w:sz w:val="27"/>
          <w:szCs w:val="27"/>
          <w:shd w:val="clear" w:color="auto" w:fill="FFFFFF"/>
        </w:rPr>
        <w:t>Critical criminology</w:t>
      </w:r>
      <w:r>
        <w:rPr>
          <w:rStyle w:val="s11"/>
          <w:rFonts w:ascii="Times New Roman" w:hAnsi="Times New Roman" w:cs="Times New Roman"/>
          <w:color w:val="222222"/>
          <w:sz w:val="27"/>
          <w:szCs w:val="27"/>
          <w:shd w:val="clear" w:color="auto" w:fill="FFFFFF"/>
        </w:rPr>
        <w:t>, 30(1), pp.95-111.</w:t>
      </w:r>
    </w:p>
    <w:p w14:paraId="625D28AF" w14:textId="77777777" w:rsidR="001E0357" w:rsidRDefault="001E0357" w:rsidP="001E0357">
      <w:pPr>
        <w:pStyle w:val="s7"/>
        <w:spacing w:before="0" w:beforeAutospacing="0" w:after="180" w:afterAutospacing="0" w:line="324" w:lineRule="atLeast"/>
        <w:rPr>
          <w:color w:val="000000"/>
          <w:sz w:val="27"/>
          <w:szCs w:val="27"/>
        </w:rPr>
      </w:pPr>
      <w:r>
        <w:rPr>
          <w:rStyle w:val="s11"/>
          <w:rFonts w:ascii="Times New Roman" w:hAnsi="Times New Roman" w:cs="Times New Roman"/>
          <w:color w:val="222222"/>
          <w:sz w:val="27"/>
          <w:szCs w:val="27"/>
          <w:shd w:val="clear" w:color="auto" w:fill="FFFFFF"/>
        </w:rPr>
        <w:t>Travers, Á., McDonagh, T., Cunningham, T., Armour, C., &amp; Hansen, M. (2021). The effectiveness of interventions to prevent recidivism in perpetrators of intimate partner violence: A systematic review and meta-analysis. </w:t>
      </w:r>
      <w:r>
        <w:rPr>
          <w:rStyle w:val="s12"/>
          <w:rFonts w:ascii="Times New Roman" w:hAnsi="Times New Roman" w:cs="Times New Roman"/>
          <w:i/>
          <w:iCs/>
          <w:color w:val="222222"/>
          <w:sz w:val="27"/>
          <w:szCs w:val="27"/>
          <w:shd w:val="clear" w:color="auto" w:fill="FFFFFF"/>
        </w:rPr>
        <w:t>Clinical Psychology Review</w:t>
      </w:r>
      <w:r>
        <w:rPr>
          <w:rStyle w:val="s11"/>
          <w:rFonts w:ascii="Times New Roman" w:hAnsi="Times New Roman" w:cs="Times New Roman"/>
          <w:color w:val="222222"/>
          <w:sz w:val="27"/>
          <w:szCs w:val="27"/>
          <w:shd w:val="clear" w:color="auto" w:fill="FFFFFF"/>
        </w:rPr>
        <w:t>, 84, pp.101-119.</w:t>
      </w:r>
    </w:p>
    <w:p w14:paraId="2AEEA63E" w14:textId="77777777" w:rsidR="001E0357" w:rsidRDefault="001E0357" w:rsidP="001E0357">
      <w:pPr>
        <w:pStyle w:val="s7"/>
        <w:spacing w:before="0" w:beforeAutospacing="0" w:after="180" w:afterAutospacing="0" w:line="324" w:lineRule="atLeast"/>
        <w:rPr>
          <w:color w:val="000000"/>
          <w:sz w:val="27"/>
          <w:szCs w:val="27"/>
        </w:rPr>
      </w:pPr>
      <w:r>
        <w:rPr>
          <w:rStyle w:val="s3"/>
          <w:rFonts w:ascii="Times New Roman" w:hAnsi="Times New Roman" w:cs="Times New Roman"/>
          <w:color w:val="000000"/>
          <w:sz w:val="27"/>
          <w:szCs w:val="27"/>
          <w:shd w:val="clear" w:color="auto" w:fill="FFFFFF"/>
        </w:rPr>
        <w:t>Webster, W. S., </w:t>
      </w:r>
      <w:proofErr w:type="spellStart"/>
      <w:r>
        <w:rPr>
          <w:rStyle w:val="s3"/>
          <w:rFonts w:ascii="Times New Roman" w:hAnsi="Times New Roman" w:cs="Times New Roman"/>
          <w:color w:val="000000"/>
          <w:sz w:val="27"/>
          <w:szCs w:val="27"/>
          <w:shd w:val="clear" w:color="auto" w:fill="FFFFFF"/>
        </w:rPr>
        <w:t>Oxburgh</w:t>
      </w:r>
      <w:proofErr w:type="spellEnd"/>
      <w:r>
        <w:rPr>
          <w:rStyle w:val="s3"/>
          <w:rFonts w:ascii="Times New Roman" w:hAnsi="Times New Roman" w:cs="Times New Roman"/>
          <w:color w:val="000000"/>
          <w:sz w:val="27"/>
          <w:szCs w:val="27"/>
          <w:shd w:val="clear" w:color="auto" w:fill="FFFFFF"/>
        </w:rPr>
        <w:t>, G. E., &amp; Dando, C. J. (2021). The use and efficacy of question type and an attentive interviewing style in adult rape interviews. </w:t>
      </w:r>
      <w:r>
        <w:rPr>
          <w:rStyle w:val="s6"/>
          <w:rFonts w:ascii="Times New Roman" w:hAnsi="Times New Roman" w:cs="Times New Roman"/>
          <w:i/>
          <w:iCs/>
          <w:color w:val="000000"/>
          <w:sz w:val="27"/>
          <w:szCs w:val="27"/>
          <w:shd w:val="clear" w:color="auto" w:fill="FFFFFF"/>
        </w:rPr>
        <w:t>Psychology, Crime &amp; Law</w:t>
      </w:r>
      <w:r>
        <w:rPr>
          <w:rStyle w:val="s3"/>
          <w:rFonts w:ascii="Times New Roman" w:hAnsi="Times New Roman" w:cs="Times New Roman"/>
          <w:color w:val="000000"/>
          <w:sz w:val="27"/>
          <w:szCs w:val="27"/>
          <w:shd w:val="clear" w:color="auto" w:fill="FFFFFF"/>
        </w:rPr>
        <w:t>, 27(7), pp.656-677.</w:t>
      </w:r>
    </w:p>
    <w:p w14:paraId="206C6075" w14:textId="77777777" w:rsidR="001E0357" w:rsidRDefault="001E0357" w:rsidP="001E0357">
      <w:pPr>
        <w:pStyle w:val="s7"/>
        <w:spacing w:before="0" w:beforeAutospacing="0" w:after="180" w:afterAutospacing="0" w:line="324" w:lineRule="atLeast"/>
        <w:rPr>
          <w:color w:val="000000"/>
          <w:sz w:val="27"/>
          <w:szCs w:val="27"/>
        </w:rPr>
      </w:pPr>
      <w:proofErr w:type="spellStart"/>
      <w:r>
        <w:rPr>
          <w:rStyle w:val="s3"/>
          <w:rFonts w:ascii="Times New Roman" w:hAnsi="Times New Roman" w:cs="Times New Roman"/>
          <w:color w:val="000000"/>
          <w:sz w:val="27"/>
          <w:szCs w:val="27"/>
          <w:shd w:val="clear" w:color="auto" w:fill="FFFFFF"/>
        </w:rPr>
        <w:t>Westera</w:t>
      </w:r>
      <w:proofErr w:type="spellEnd"/>
      <w:r>
        <w:rPr>
          <w:rStyle w:val="s3"/>
          <w:rFonts w:ascii="Times New Roman" w:hAnsi="Times New Roman" w:cs="Times New Roman"/>
          <w:color w:val="000000"/>
          <w:sz w:val="27"/>
          <w:szCs w:val="27"/>
          <w:shd w:val="clear" w:color="auto" w:fill="FFFFFF"/>
        </w:rPr>
        <w:t>, N. J., Powell, M. B., &amp; Milne, B. (2017). Lost in the detail: Prosecutors' perceptions of the utility of video recorded police interviews as rape complainant evidence. </w:t>
      </w:r>
      <w:r>
        <w:rPr>
          <w:rStyle w:val="s6"/>
          <w:rFonts w:ascii="Times New Roman" w:hAnsi="Times New Roman" w:cs="Times New Roman"/>
          <w:i/>
          <w:iCs/>
          <w:color w:val="000000"/>
          <w:sz w:val="27"/>
          <w:szCs w:val="27"/>
          <w:shd w:val="clear" w:color="auto" w:fill="FFFFFF"/>
        </w:rPr>
        <w:t>Australian &amp; New Zealand Journal of Criminology</w:t>
      </w:r>
      <w:r>
        <w:rPr>
          <w:rStyle w:val="s3"/>
          <w:rFonts w:ascii="Times New Roman" w:hAnsi="Times New Roman" w:cs="Times New Roman"/>
          <w:color w:val="000000"/>
          <w:sz w:val="27"/>
          <w:szCs w:val="27"/>
          <w:shd w:val="clear" w:color="auto" w:fill="FFFFFF"/>
        </w:rPr>
        <w:t>, 50(2), pp.252-268.</w:t>
      </w:r>
    </w:p>
    <w:p w14:paraId="76FC9F59" w14:textId="77777777" w:rsidR="001E0357" w:rsidRDefault="001E0357"/>
    <w:sectPr w:rsidR="001E03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357"/>
    <w:rsid w:val="0004121E"/>
    <w:rsid w:val="00076B9C"/>
    <w:rsid w:val="00122DCB"/>
    <w:rsid w:val="00166596"/>
    <w:rsid w:val="001A5F2B"/>
    <w:rsid w:val="001B4622"/>
    <w:rsid w:val="001E0357"/>
    <w:rsid w:val="001F6E6C"/>
    <w:rsid w:val="00200CBF"/>
    <w:rsid w:val="002473B5"/>
    <w:rsid w:val="00350882"/>
    <w:rsid w:val="00387EF8"/>
    <w:rsid w:val="00407B35"/>
    <w:rsid w:val="0048192F"/>
    <w:rsid w:val="0054231F"/>
    <w:rsid w:val="0055522A"/>
    <w:rsid w:val="005D2C50"/>
    <w:rsid w:val="005F3D0E"/>
    <w:rsid w:val="005F71D7"/>
    <w:rsid w:val="007920F6"/>
    <w:rsid w:val="007E0F5B"/>
    <w:rsid w:val="008F1CEA"/>
    <w:rsid w:val="00967AD4"/>
    <w:rsid w:val="009C6C5F"/>
    <w:rsid w:val="00AE6B3F"/>
    <w:rsid w:val="00B70C10"/>
    <w:rsid w:val="00BB1159"/>
    <w:rsid w:val="00C56D2F"/>
    <w:rsid w:val="00C96863"/>
    <w:rsid w:val="00DE409E"/>
    <w:rsid w:val="00E52EE1"/>
    <w:rsid w:val="00E64187"/>
    <w:rsid w:val="00F10EA9"/>
    <w:rsid w:val="00F230E6"/>
    <w:rsid w:val="00F642B5"/>
    <w:rsid w:val="00F7401A"/>
    <w:rsid w:val="00FE7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95876"/>
  <w15:chartTrackingRefBased/>
  <w15:docId w15:val="{D6ACB7F4-76A9-4E41-A211-C006B014F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E0357"/>
    <w:rPr>
      <w:color w:val="0563C1" w:themeColor="hyperlink"/>
      <w:u w:val="single"/>
    </w:rPr>
  </w:style>
  <w:style w:type="paragraph" w:styleId="NormalWeb">
    <w:name w:val="Normal (Web)"/>
    <w:basedOn w:val="Normal"/>
    <w:uiPriority w:val="99"/>
    <w:semiHidden/>
    <w:unhideWhenUsed/>
    <w:rsid w:val="001E0357"/>
    <w:pPr>
      <w:spacing w:before="100" w:beforeAutospacing="1" w:after="100" w:afterAutospacing="1" w:line="240" w:lineRule="auto"/>
    </w:pPr>
    <w:rPr>
      <w:rFonts w:ascii="Calibri" w:hAnsi="Calibri" w:cs="Calibri"/>
      <w:lang w:eastAsia="en-GB"/>
    </w:rPr>
  </w:style>
  <w:style w:type="paragraph" w:customStyle="1" w:styleId="s4">
    <w:name w:val="s4"/>
    <w:basedOn w:val="Normal"/>
    <w:uiPriority w:val="99"/>
    <w:semiHidden/>
    <w:rsid w:val="001E0357"/>
    <w:pPr>
      <w:spacing w:before="100" w:beforeAutospacing="1" w:after="100" w:afterAutospacing="1" w:line="240" w:lineRule="auto"/>
    </w:pPr>
    <w:rPr>
      <w:rFonts w:ascii="Calibri" w:hAnsi="Calibri" w:cs="Calibri"/>
      <w:lang w:eastAsia="en-GB"/>
    </w:rPr>
  </w:style>
  <w:style w:type="paragraph" w:customStyle="1" w:styleId="s7">
    <w:name w:val="s7"/>
    <w:basedOn w:val="Normal"/>
    <w:uiPriority w:val="99"/>
    <w:semiHidden/>
    <w:rsid w:val="001E0357"/>
    <w:pPr>
      <w:spacing w:before="100" w:beforeAutospacing="1" w:after="100" w:afterAutospacing="1" w:line="240" w:lineRule="auto"/>
    </w:pPr>
    <w:rPr>
      <w:rFonts w:ascii="Calibri" w:hAnsi="Calibri" w:cs="Calibri"/>
      <w:lang w:eastAsia="en-GB"/>
    </w:rPr>
  </w:style>
  <w:style w:type="paragraph" w:customStyle="1" w:styleId="s13">
    <w:name w:val="s13"/>
    <w:basedOn w:val="Normal"/>
    <w:uiPriority w:val="99"/>
    <w:semiHidden/>
    <w:rsid w:val="001E0357"/>
    <w:pPr>
      <w:spacing w:before="100" w:beforeAutospacing="1" w:after="100" w:afterAutospacing="1" w:line="240" w:lineRule="auto"/>
    </w:pPr>
    <w:rPr>
      <w:rFonts w:ascii="Calibri" w:hAnsi="Calibri" w:cs="Calibri"/>
      <w:lang w:eastAsia="en-GB"/>
    </w:rPr>
  </w:style>
  <w:style w:type="paragraph" w:customStyle="1" w:styleId="s15">
    <w:name w:val="s15"/>
    <w:basedOn w:val="Normal"/>
    <w:uiPriority w:val="99"/>
    <w:semiHidden/>
    <w:rsid w:val="001E0357"/>
    <w:pPr>
      <w:spacing w:before="100" w:beforeAutospacing="1" w:after="100" w:afterAutospacing="1" w:line="240" w:lineRule="auto"/>
    </w:pPr>
    <w:rPr>
      <w:rFonts w:ascii="Calibri" w:hAnsi="Calibri" w:cs="Calibri"/>
      <w:lang w:eastAsia="en-GB"/>
    </w:rPr>
  </w:style>
  <w:style w:type="character" w:customStyle="1" w:styleId="s2">
    <w:name w:val="s2"/>
    <w:basedOn w:val="DefaultParagraphFont"/>
    <w:rsid w:val="001E0357"/>
  </w:style>
  <w:style w:type="character" w:customStyle="1" w:styleId="s3">
    <w:name w:val="s3"/>
    <w:basedOn w:val="DefaultParagraphFont"/>
    <w:rsid w:val="001E0357"/>
  </w:style>
  <w:style w:type="character" w:customStyle="1" w:styleId="s5">
    <w:name w:val="s5"/>
    <w:basedOn w:val="DefaultParagraphFont"/>
    <w:rsid w:val="001E0357"/>
  </w:style>
  <w:style w:type="character" w:customStyle="1" w:styleId="s6">
    <w:name w:val="s6"/>
    <w:basedOn w:val="DefaultParagraphFont"/>
    <w:rsid w:val="001E0357"/>
  </w:style>
  <w:style w:type="character" w:customStyle="1" w:styleId="s8">
    <w:name w:val="s8"/>
    <w:basedOn w:val="DefaultParagraphFont"/>
    <w:rsid w:val="001E0357"/>
  </w:style>
  <w:style w:type="character" w:customStyle="1" w:styleId="s9">
    <w:name w:val="s9"/>
    <w:basedOn w:val="DefaultParagraphFont"/>
    <w:rsid w:val="001E0357"/>
  </w:style>
  <w:style w:type="character" w:customStyle="1" w:styleId="s10">
    <w:name w:val="s10"/>
    <w:basedOn w:val="DefaultParagraphFont"/>
    <w:rsid w:val="001E0357"/>
  </w:style>
  <w:style w:type="character" w:customStyle="1" w:styleId="s11">
    <w:name w:val="s11"/>
    <w:basedOn w:val="DefaultParagraphFont"/>
    <w:rsid w:val="001E0357"/>
  </w:style>
  <w:style w:type="character" w:customStyle="1" w:styleId="s12">
    <w:name w:val="s12"/>
    <w:basedOn w:val="DefaultParagraphFont"/>
    <w:rsid w:val="001E0357"/>
  </w:style>
  <w:style w:type="character" w:customStyle="1" w:styleId="s14">
    <w:name w:val="s14"/>
    <w:basedOn w:val="DefaultParagraphFont"/>
    <w:rsid w:val="001E0357"/>
  </w:style>
  <w:style w:type="character" w:customStyle="1" w:styleId="s16">
    <w:name w:val="s16"/>
    <w:basedOn w:val="DefaultParagraphFont"/>
    <w:rsid w:val="001E0357"/>
  </w:style>
  <w:style w:type="character" w:customStyle="1" w:styleId="s17">
    <w:name w:val="s17"/>
    <w:basedOn w:val="DefaultParagraphFont"/>
    <w:rsid w:val="001E0357"/>
  </w:style>
  <w:style w:type="character" w:customStyle="1" w:styleId="s18">
    <w:name w:val="s18"/>
    <w:basedOn w:val="DefaultParagraphFont"/>
    <w:rsid w:val="001E0357"/>
  </w:style>
  <w:style w:type="character" w:customStyle="1" w:styleId="s19">
    <w:name w:val="s19"/>
    <w:basedOn w:val="DefaultParagraphFont"/>
    <w:rsid w:val="001E03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0231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justiceinspectorates.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5281</Words>
  <Characters>30105</Characters>
  <Application>Microsoft Office Word</Application>
  <DocSecurity>0</DocSecurity>
  <Lines>250</Lines>
  <Paragraphs>70</Paragraphs>
  <ScaleCrop>false</ScaleCrop>
  <Company>Gwent Police</Company>
  <LinksUpToDate>false</LinksUpToDate>
  <CharactersWithSpaces>35316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Hobbs, Thomas</dc:creator>
  <cp:keywords/>
  <dc:description/>
  <cp:lastModifiedBy>Hobbs, Thomas</cp:lastModifiedBy>
  <cp:revision>2</cp:revision>
  <dcterms:created xsi:type="dcterms:W3CDTF">2024-06-30T10:53:00Z</dcterms:created>
  <dcterms:modified xsi:type="dcterms:W3CDTF">2024-06-30T10:53:00Z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2024-06-27T10:33:51Z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f7e7f02f-3d3e-4a47-bbdc-738079f00360</vt:lpwstr>
  </property>
  <property fmtid="{D5CDD505-2E9C-101B-9397-08002B2CF9AE}" pid="8" name="MSIP_Label_f2acd28b-79a3-4a0f-b0ff-4b75658b1549_ContentBits">
    <vt:lpwstr>0</vt:lpwstr>
  </property>
</Properties>
</file>