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25" w:rsidRPr="004D3B76" w:rsidRDefault="00196A25" w:rsidP="000609F3">
      <w:pPr>
        <w:pStyle w:val="NormalWeb"/>
        <w:shd w:val="clear" w:color="auto" w:fill="FFFFFF"/>
        <w:spacing w:line="360" w:lineRule="auto"/>
        <w:jc w:val="both"/>
        <w:rPr>
          <w:rFonts w:ascii="Verdana" w:hAnsi="Verdana" w:cs="Arial"/>
          <w:color w:val="000000" w:themeColor="text1"/>
          <w:shd w:val="clear" w:color="auto" w:fill="FFFFFF"/>
          <w:lang w:val="en-GB"/>
        </w:rPr>
      </w:pPr>
      <w:r w:rsidRPr="004D3B76">
        <w:rPr>
          <w:rFonts w:ascii="Verdana" w:hAnsi="Verdana" w:cs="Arial"/>
          <w:noProof/>
          <w:color w:val="000000" w:themeColor="text1"/>
          <w:shd w:val="clear" w:color="auto" w:fill="FFFFFF"/>
        </w:rPr>
        <w:drawing>
          <wp:inline distT="0" distB="0" distL="0" distR="0" wp14:anchorId="49DEDEFE" wp14:editId="061D97D5">
            <wp:extent cx="3363686" cy="2242457"/>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6">
                      <a:extLst>
                        <a:ext uri="{28A0092B-C50C-407E-A947-70E740481C1C}">
                          <a14:useLocalDpi xmlns:a14="http://schemas.microsoft.com/office/drawing/2010/main" val="0"/>
                        </a:ext>
                      </a:extLst>
                    </a:blip>
                    <a:stretch>
                      <a:fillRect/>
                    </a:stretch>
                  </pic:blipFill>
                  <pic:spPr>
                    <a:xfrm>
                      <a:off x="0" y="0"/>
                      <a:ext cx="3363686" cy="2242457"/>
                    </a:xfrm>
                    <a:prstGeom prst="rect">
                      <a:avLst/>
                    </a:prstGeom>
                  </pic:spPr>
                </pic:pic>
              </a:graphicData>
            </a:graphic>
          </wp:inline>
        </w:drawing>
      </w:r>
    </w:p>
    <w:p w:rsidR="00196A25" w:rsidRPr="004D3B76" w:rsidRDefault="00196A25" w:rsidP="000609F3">
      <w:pPr>
        <w:pStyle w:val="NormalWeb"/>
        <w:shd w:val="clear" w:color="auto" w:fill="FFFFFF"/>
        <w:spacing w:line="360" w:lineRule="auto"/>
        <w:jc w:val="both"/>
        <w:rPr>
          <w:rFonts w:ascii="Verdana" w:hAnsi="Verdana" w:cs="Arial"/>
          <w:color w:val="000000" w:themeColor="text1"/>
          <w:shd w:val="clear" w:color="auto" w:fill="FFFFFF"/>
          <w:lang w:val="en-GB"/>
        </w:rPr>
      </w:pPr>
    </w:p>
    <w:p w:rsidR="00196A25" w:rsidRPr="004D3B76" w:rsidRDefault="00196A25" w:rsidP="000609F3">
      <w:pPr>
        <w:pStyle w:val="NormalWeb"/>
        <w:shd w:val="clear" w:color="auto" w:fill="FFFFFF"/>
        <w:spacing w:line="360" w:lineRule="auto"/>
        <w:jc w:val="both"/>
        <w:rPr>
          <w:rFonts w:ascii="Verdana" w:hAnsi="Verdana" w:cs="Arial"/>
          <w:color w:val="000000" w:themeColor="text1"/>
          <w:shd w:val="clear" w:color="auto" w:fill="FFFFFF"/>
          <w:lang w:val="en-GB"/>
        </w:rPr>
      </w:pPr>
    </w:p>
    <w:p w:rsidR="00961443" w:rsidRPr="00021F06" w:rsidRDefault="00961443" w:rsidP="000609F3">
      <w:pPr>
        <w:pStyle w:val="NormalWeb"/>
        <w:shd w:val="clear" w:color="auto" w:fill="FFFFFF"/>
        <w:spacing w:line="360" w:lineRule="auto"/>
        <w:jc w:val="both"/>
        <w:rPr>
          <w:rFonts w:ascii="Verdana" w:hAnsi="Verdana" w:cs="Arial"/>
          <w:color w:val="000000" w:themeColor="text1"/>
          <w:shd w:val="clear" w:color="auto" w:fill="FFFFFF"/>
        </w:rPr>
      </w:pPr>
      <w:r w:rsidRPr="00021F06">
        <w:rPr>
          <w:rFonts w:ascii="Verdana" w:hAnsi="Verdana" w:cs="Arial"/>
          <w:color w:val="000000" w:themeColor="text1"/>
          <w:shd w:val="clear" w:color="auto" w:fill="FFFFFF"/>
          <w:lang w:val="en-GB"/>
        </w:rPr>
        <w:t>Student Name: Metodi Krastev</w:t>
      </w:r>
    </w:p>
    <w:p w:rsidR="00961443" w:rsidRPr="00021F06" w:rsidRDefault="00961443" w:rsidP="000609F3">
      <w:pPr>
        <w:pStyle w:val="NormalWeb"/>
        <w:shd w:val="clear" w:color="auto" w:fill="FFFFFF"/>
        <w:spacing w:line="360" w:lineRule="auto"/>
        <w:jc w:val="both"/>
        <w:rPr>
          <w:rFonts w:ascii="Verdana" w:hAnsi="Verdana" w:cs="Arial"/>
          <w:color w:val="000000" w:themeColor="text1"/>
          <w:shd w:val="clear" w:color="auto" w:fill="FFFFFF"/>
          <w:lang w:val="en-GB"/>
        </w:rPr>
      </w:pPr>
      <w:r w:rsidRPr="00021F06">
        <w:rPr>
          <w:rFonts w:ascii="Verdana" w:hAnsi="Verdana" w:cs="Arial"/>
          <w:color w:val="000000" w:themeColor="text1"/>
          <w:shd w:val="clear" w:color="auto" w:fill="FFFFFF"/>
          <w:lang w:val="en-GB"/>
        </w:rPr>
        <w:t>Student ID: 1919058</w:t>
      </w:r>
    </w:p>
    <w:p w:rsidR="00961443" w:rsidRPr="00021F06" w:rsidRDefault="00961443" w:rsidP="000609F3">
      <w:pPr>
        <w:pStyle w:val="NormalWeb"/>
        <w:shd w:val="clear" w:color="auto" w:fill="FFFFFF"/>
        <w:spacing w:line="360" w:lineRule="auto"/>
        <w:jc w:val="both"/>
        <w:rPr>
          <w:rFonts w:ascii="Verdana" w:hAnsi="Verdana" w:cs="Arial"/>
          <w:color w:val="000000" w:themeColor="text1"/>
          <w:shd w:val="clear" w:color="auto" w:fill="FFFFFF"/>
        </w:rPr>
      </w:pPr>
      <w:r w:rsidRPr="00021F06">
        <w:rPr>
          <w:rFonts w:ascii="Verdana" w:hAnsi="Verdana"/>
          <w:color w:val="000000" w:themeColor="text1"/>
        </w:rPr>
        <w:t xml:space="preserve">Programme: Certificate of Higher Education in Skills for the Workplace </w:t>
      </w:r>
    </w:p>
    <w:p w:rsidR="00961443" w:rsidRPr="00021F06" w:rsidRDefault="00961443" w:rsidP="000609F3">
      <w:pPr>
        <w:pStyle w:val="NormalWeb"/>
        <w:shd w:val="clear" w:color="auto" w:fill="FFFFFF"/>
        <w:spacing w:line="360" w:lineRule="auto"/>
        <w:jc w:val="both"/>
        <w:rPr>
          <w:rFonts w:ascii="Verdana" w:hAnsi="Verdana" w:cs="Arial"/>
          <w:color w:val="000000" w:themeColor="text1"/>
          <w:shd w:val="clear" w:color="auto" w:fill="FFFFFF"/>
        </w:rPr>
      </w:pPr>
      <w:r w:rsidRPr="00021F06">
        <w:rPr>
          <w:rFonts w:ascii="Verdana" w:hAnsi="Verdana" w:cs="Arial"/>
          <w:color w:val="000000" w:themeColor="text1"/>
          <w:shd w:val="clear" w:color="auto" w:fill="FFFFFF"/>
          <w:lang w:val="en-GB"/>
        </w:rPr>
        <w:t xml:space="preserve">Module Title: </w:t>
      </w:r>
      <w:r w:rsidR="00200BBA" w:rsidRPr="00021F06">
        <w:rPr>
          <w:rFonts w:ascii="Verdana" w:hAnsi="Verdana"/>
          <w:color w:val="000000" w:themeColor="text1"/>
        </w:rPr>
        <w:t>Academic and Employability Skills</w:t>
      </w:r>
    </w:p>
    <w:p w:rsidR="00961443" w:rsidRPr="00021F06" w:rsidRDefault="00961443" w:rsidP="000609F3">
      <w:pPr>
        <w:pStyle w:val="NormalWeb"/>
        <w:shd w:val="clear" w:color="auto" w:fill="FFFFFF"/>
        <w:spacing w:line="360" w:lineRule="auto"/>
        <w:jc w:val="both"/>
        <w:rPr>
          <w:rFonts w:ascii="Verdana" w:hAnsi="Verdana"/>
          <w:color w:val="000000" w:themeColor="text1"/>
        </w:rPr>
      </w:pPr>
      <w:r w:rsidRPr="00021F06">
        <w:rPr>
          <w:rFonts w:ascii="Verdana" w:hAnsi="Verdana" w:cs="Arial"/>
          <w:color w:val="000000" w:themeColor="text1"/>
          <w:shd w:val="clear" w:color="auto" w:fill="FFFFFF"/>
          <w:lang w:val="en-GB"/>
        </w:rPr>
        <w:t xml:space="preserve">Assignment Title: </w:t>
      </w:r>
      <w:r w:rsidRPr="00021F06">
        <w:rPr>
          <w:rFonts w:ascii="Verdana" w:hAnsi="Verdana"/>
          <w:color w:val="000000" w:themeColor="text1"/>
        </w:rPr>
        <w:t>Academic and Employability Skills</w:t>
      </w:r>
    </w:p>
    <w:p w:rsidR="00796F71" w:rsidRPr="00021F06" w:rsidRDefault="000609F3" w:rsidP="000609F3">
      <w:pPr>
        <w:pStyle w:val="NormalWeb"/>
        <w:shd w:val="clear" w:color="auto" w:fill="FFFFFF"/>
        <w:spacing w:line="360" w:lineRule="auto"/>
        <w:jc w:val="both"/>
        <w:rPr>
          <w:rFonts w:ascii="Verdana" w:hAnsi="Verdana" w:cs="Segoe UI"/>
          <w:b/>
          <w:bCs/>
          <w:color w:val="000000" w:themeColor="text1"/>
        </w:rPr>
      </w:pPr>
      <w:r w:rsidRPr="00021F06">
        <w:rPr>
          <w:rFonts w:ascii="Verdana" w:hAnsi="Verdana"/>
          <w:color w:val="000000" w:themeColor="text1"/>
        </w:rPr>
        <w:t>Name of the Lecturer: Toyin Adisa</w:t>
      </w:r>
    </w:p>
    <w:p w:rsidR="00961443" w:rsidRPr="00021F06" w:rsidRDefault="00961443" w:rsidP="000609F3">
      <w:pPr>
        <w:pStyle w:val="NormalWeb"/>
        <w:shd w:val="clear" w:color="auto" w:fill="FFFFFF"/>
        <w:spacing w:line="360" w:lineRule="auto"/>
        <w:jc w:val="both"/>
        <w:rPr>
          <w:rFonts w:ascii="Verdana" w:hAnsi="Verdana" w:cs="Arial"/>
          <w:color w:val="000000" w:themeColor="text1"/>
          <w:shd w:val="clear" w:color="auto" w:fill="FFFFFF"/>
          <w:lang w:val="en-GB"/>
        </w:rPr>
      </w:pPr>
      <w:r w:rsidRPr="00021F06">
        <w:rPr>
          <w:rFonts w:ascii="Verdana" w:hAnsi="Verdana" w:cs="Arial"/>
          <w:color w:val="000000" w:themeColor="text1"/>
          <w:shd w:val="clear" w:color="auto" w:fill="FFFFFF"/>
          <w:lang w:val="en-GB"/>
        </w:rPr>
        <w:t>Name of the University: University of Wales Trinity Saint David</w:t>
      </w:r>
    </w:p>
    <w:p w:rsidR="008939E5" w:rsidRPr="004D3B76" w:rsidRDefault="008939E5" w:rsidP="000609F3">
      <w:pPr>
        <w:spacing w:line="360" w:lineRule="auto"/>
        <w:jc w:val="both"/>
        <w:rPr>
          <w:rFonts w:ascii="Verdana" w:hAnsi="Verdana"/>
          <w:color w:val="000000" w:themeColor="text1"/>
          <w:sz w:val="24"/>
          <w:szCs w:val="24"/>
        </w:rPr>
      </w:pPr>
    </w:p>
    <w:p w:rsidR="00961443" w:rsidRPr="004D3B76" w:rsidRDefault="00961443" w:rsidP="000609F3">
      <w:pPr>
        <w:spacing w:line="360" w:lineRule="auto"/>
        <w:jc w:val="both"/>
        <w:rPr>
          <w:rFonts w:ascii="Verdana" w:hAnsi="Verdana"/>
          <w:color w:val="000000" w:themeColor="text1"/>
          <w:sz w:val="24"/>
          <w:szCs w:val="24"/>
        </w:rPr>
      </w:pPr>
    </w:p>
    <w:p w:rsidR="00552E4D" w:rsidRDefault="00552E4D" w:rsidP="000609F3">
      <w:pPr>
        <w:spacing w:line="360" w:lineRule="auto"/>
        <w:jc w:val="both"/>
        <w:rPr>
          <w:rFonts w:ascii="Verdana" w:hAnsi="Verdana"/>
          <w:color w:val="000000" w:themeColor="text1"/>
          <w:sz w:val="24"/>
          <w:szCs w:val="24"/>
        </w:rPr>
      </w:pPr>
    </w:p>
    <w:p w:rsidR="004D3B76" w:rsidRPr="004D3B76" w:rsidRDefault="004D3B76" w:rsidP="000609F3">
      <w:pPr>
        <w:spacing w:line="360" w:lineRule="auto"/>
        <w:jc w:val="both"/>
        <w:rPr>
          <w:rFonts w:ascii="Verdana" w:hAnsi="Verdana"/>
          <w:b/>
          <w:color w:val="000000" w:themeColor="text1"/>
          <w:sz w:val="24"/>
          <w:szCs w:val="24"/>
        </w:rPr>
      </w:pPr>
    </w:p>
    <w:p w:rsidR="0076613B" w:rsidRPr="00021F06" w:rsidRDefault="00961443" w:rsidP="000609F3">
      <w:pPr>
        <w:spacing w:line="360" w:lineRule="auto"/>
        <w:jc w:val="both"/>
        <w:rPr>
          <w:rFonts w:ascii="Verdana" w:hAnsi="Verdana"/>
          <w:b/>
          <w:color w:val="000000" w:themeColor="text1"/>
          <w:sz w:val="28"/>
          <w:szCs w:val="24"/>
        </w:rPr>
      </w:pPr>
      <w:r w:rsidRPr="004D3B76">
        <w:rPr>
          <w:rFonts w:ascii="Verdana" w:hAnsi="Verdana"/>
          <w:b/>
          <w:color w:val="000000" w:themeColor="text1"/>
          <w:sz w:val="28"/>
          <w:szCs w:val="24"/>
        </w:rPr>
        <w:lastRenderedPageBreak/>
        <w:t>Introduction</w:t>
      </w:r>
    </w:p>
    <w:p w:rsidR="00021F06" w:rsidRDefault="006974C5" w:rsidP="00021F06">
      <w:pPr>
        <w:spacing w:line="360" w:lineRule="auto"/>
        <w:ind w:firstLine="720"/>
        <w:jc w:val="both"/>
        <w:rPr>
          <w:rFonts w:ascii="Verdana" w:hAnsi="Verdana"/>
          <w:color w:val="000000" w:themeColor="text1"/>
          <w:sz w:val="24"/>
          <w:szCs w:val="24"/>
        </w:rPr>
      </w:pPr>
      <w:r w:rsidRPr="004D3B76">
        <w:rPr>
          <w:rFonts w:ascii="Verdana" w:hAnsi="Verdana" w:cs="Arial"/>
          <w:color w:val="000000" w:themeColor="text1"/>
          <w:sz w:val="24"/>
          <w:szCs w:val="24"/>
          <w:shd w:val="clear" w:color="auto" w:fill="FFFFFF"/>
        </w:rPr>
        <w:t>Business </w:t>
      </w:r>
      <w:r w:rsidRPr="004D3B76">
        <w:rPr>
          <w:rFonts w:ascii="Verdana" w:hAnsi="Verdana" w:cs="Arial"/>
          <w:bCs/>
          <w:color w:val="000000" w:themeColor="text1"/>
          <w:sz w:val="24"/>
          <w:szCs w:val="24"/>
          <w:shd w:val="clear" w:color="auto" w:fill="FFFFFF"/>
        </w:rPr>
        <w:t>restructuring</w:t>
      </w:r>
      <w:r w:rsidRPr="004D3B76">
        <w:rPr>
          <w:rFonts w:ascii="Verdana" w:hAnsi="Verdana" w:cs="Arial"/>
          <w:color w:val="000000" w:themeColor="text1"/>
          <w:sz w:val="24"/>
          <w:szCs w:val="24"/>
          <w:shd w:val="clear" w:color="auto" w:fill="FFFFFF"/>
        </w:rPr>
        <w:t> is a process that can address a company's unsatisfactory status quo in the constantly evolving market. It should be based on proper strategic planning, fuelled by innovation, or it can be a tactical reaction to unexpected circumstances</w:t>
      </w:r>
      <w:r w:rsidR="007A6210" w:rsidRPr="004D3B76">
        <w:rPr>
          <w:rFonts w:ascii="Verdana" w:hAnsi="Verdana" w:cs="Arial"/>
          <w:color w:val="000000" w:themeColor="text1"/>
          <w:sz w:val="24"/>
          <w:szCs w:val="24"/>
          <w:shd w:val="clear" w:color="auto" w:fill="FFFFFF"/>
        </w:rPr>
        <w:t xml:space="preserve"> </w:t>
      </w:r>
      <w:r w:rsidR="000609F3" w:rsidRPr="004D3B76">
        <w:rPr>
          <w:rFonts w:ascii="Verdana" w:hAnsi="Verdana"/>
          <w:color w:val="000000" w:themeColor="text1"/>
          <w:sz w:val="24"/>
          <w:szCs w:val="24"/>
        </w:rPr>
        <w:t>(CEC, 2003</w:t>
      </w:r>
      <w:r w:rsidR="007A6210" w:rsidRPr="004D3B76">
        <w:rPr>
          <w:rFonts w:ascii="Verdana" w:hAnsi="Verdana"/>
          <w:color w:val="000000" w:themeColor="text1"/>
          <w:sz w:val="24"/>
          <w:szCs w:val="24"/>
        </w:rPr>
        <w:t xml:space="preserve">). </w:t>
      </w:r>
      <w:r w:rsidR="007A6210" w:rsidRPr="004D3B76">
        <w:rPr>
          <w:rFonts w:ascii="Verdana" w:hAnsi="Verdana" w:cs="Arial"/>
          <w:color w:val="000000" w:themeColor="text1"/>
          <w:sz w:val="24"/>
          <w:szCs w:val="24"/>
          <w:shd w:val="clear" w:color="auto" w:fill="FFFFFF"/>
        </w:rPr>
        <w:t xml:space="preserve"> </w:t>
      </w:r>
      <w:r w:rsidR="007A6210" w:rsidRPr="004D3B76">
        <w:rPr>
          <w:rFonts w:ascii="Verdana" w:hAnsi="Verdana"/>
          <w:color w:val="000000" w:themeColor="text1"/>
          <w:sz w:val="24"/>
          <w:szCs w:val="24"/>
        </w:rPr>
        <w:t xml:space="preserve">Following this introduction, section 2 of the paper discusses the importance of the concept of employability to local, national and international </w:t>
      </w:r>
      <w:r w:rsidR="000609F3" w:rsidRPr="004D3B76">
        <w:rPr>
          <w:rFonts w:ascii="Verdana" w:hAnsi="Verdana"/>
          <w:color w:val="000000" w:themeColor="text1"/>
          <w:sz w:val="24"/>
          <w:szCs w:val="24"/>
        </w:rPr>
        <w:t>work</w:t>
      </w:r>
      <w:r w:rsidR="007A6210" w:rsidRPr="004D3B76">
        <w:rPr>
          <w:rFonts w:ascii="Verdana" w:hAnsi="Verdana"/>
          <w:color w:val="000000" w:themeColor="text1"/>
          <w:sz w:val="24"/>
          <w:szCs w:val="24"/>
        </w:rPr>
        <w:t xml:space="preserve"> market policy (Hillage and Pollard, 1998; McQuaid and Lindsay, 2002). </w:t>
      </w:r>
    </w:p>
    <w:p w:rsidR="00021F06" w:rsidRDefault="00F51E71" w:rsidP="00021F06">
      <w:pPr>
        <w:spacing w:line="360" w:lineRule="auto"/>
        <w:ind w:firstLine="720"/>
        <w:jc w:val="both"/>
        <w:rPr>
          <w:rFonts w:ascii="Verdana" w:hAnsi="Verdana"/>
          <w:color w:val="000000" w:themeColor="text1"/>
          <w:sz w:val="24"/>
          <w:szCs w:val="24"/>
        </w:rPr>
      </w:pPr>
      <w:r w:rsidRPr="004D3B76">
        <w:rPr>
          <w:rFonts w:ascii="Verdana" w:hAnsi="Verdana"/>
          <w:color w:val="000000" w:themeColor="text1"/>
          <w:sz w:val="24"/>
          <w:szCs w:val="24"/>
        </w:rPr>
        <w:t xml:space="preserve">Considering </w:t>
      </w:r>
      <w:r w:rsidR="007A6210" w:rsidRPr="004D3B76">
        <w:rPr>
          <w:rFonts w:ascii="Verdana" w:hAnsi="Verdana"/>
          <w:color w:val="000000" w:themeColor="text1"/>
          <w:sz w:val="24"/>
          <w:szCs w:val="24"/>
        </w:rPr>
        <w:t>working definitions of employability and traces the historical development of the concept.</w:t>
      </w:r>
      <w:r w:rsidRPr="004D3B76">
        <w:rPr>
          <w:rFonts w:ascii="Verdana" w:hAnsi="Verdana"/>
          <w:color w:val="000000" w:themeColor="text1"/>
          <w:sz w:val="24"/>
          <w:szCs w:val="24"/>
        </w:rPr>
        <w:t xml:space="preserve"> I</w:t>
      </w:r>
      <w:r w:rsidR="007A6210" w:rsidRPr="004D3B76">
        <w:rPr>
          <w:rFonts w:ascii="Verdana" w:hAnsi="Verdana"/>
          <w:color w:val="000000" w:themeColor="text1"/>
          <w:sz w:val="24"/>
          <w:szCs w:val="24"/>
        </w:rPr>
        <w:t xml:space="preserve">n detail the manner in which the concept is currently applied in discussions of </w:t>
      </w:r>
      <w:r w:rsidR="004D3B76" w:rsidRPr="004D3B76">
        <w:rPr>
          <w:rFonts w:ascii="Verdana" w:hAnsi="Verdana"/>
          <w:color w:val="000000" w:themeColor="text1"/>
          <w:sz w:val="24"/>
          <w:szCs w:val="24"/>
        </w:rPr>
        <w:t>work</w:t>
      </w:r>
      <w:r w:rsidR="007A6210" w:rsidRPr="004D3B76">
        <w:rPr>
          <w:rFonts w:ascii="Verdana" w:hAnsi="Verdana"/>
          <w:color w:val="000000" w:themeColor="text1"/>
          <w:sz w:val="24"/>
          <w:szCs w:val="24"/>
        </w:rPr>
        <w:t xml:space="preserve"> market policy in the UK. In section 5 of the paper, we argue that the manner in which the term ‘employability’ is currently used by many policy-makers, as shorthand for ‘the individual’s employability skills’, represents a ‘narrow’ usage of the concept and contrast this with attempts to arrive at a more broadly defined concept of employability</w:t>
      </w:r>
      <w:r w:rsidRPr="004D3B76">
        <w:rPr>
          <w:rFonts w:ascii="Verdana" w:hAnsi="Verdana"/>
          <w:color w:val="000000" w:themeColor="text1"/>
          <w:sz w:val="24"/>
          <w:szCs w:val="24"/>
        </w:rPr>
        <w:t>. A</w:t>
      </w:r>
      <w:r w:rsidR="007A6210" w:rsidRPr="004D3B76">
        <w:rPr>
          <w:rFonts w:ascii="Verdana" w:hAnsi="Verdana"/>
          <w:color w:val="000000" w:themeColor="text1"/>
          <w:sz w:val="24"/>
          <w:szCs w:val="24"/>
        </w:rPr>
        <w:t xml:space="preserve"> holistic framework for understanding employability is set out, acknowledging the importance of both supply-side and demand-side factors affecting the </w:t>
      </w:r>
      <w:r w:rsidR="004D3B76" w:rsidRPr="004D3B76">
        <w:rPr>
          <w:rFonts w:ascii="Verdana" w:hAnsi="Verdana"/>
          <w:color w:val="000000" w:themeColor="text1"/>
          <w:sz w:val="24"/>
          <w:szCs w:val="24"/>
        </w:rPr>
        <w:t>work</w:t>
      </w:r>
      <w:r w:rsidR="007A6210" w:rsidRPr="004D3B76">
        <w:rPr>
          <w:rFonts w:ascii="Verdana" w:hAnsi="Verdana"/>
          <w:color w:val="000000" w:themeColor="text1"/>
          <w:sz w:val="24"/>
          <w:szCs w:val="24"/>
        </w:rPr>
        <w:t xml:space="preserve"> market outcomes experienced by individuals. Finally, some conclusions are presented. </w:t>
      </w:r>
    </w:p>
    <w:p w:rsidR="00021F06" w:rsidRPr="00021F06" w:rsidRDefault="007A6210" w:rsidP="00021F06">
      <w:pPr>
        <w:spacing w:line="360" w:lineRule="auto"/>
        <w:ind w:firstLine="720"/>
        <w:jc w:val="both"/>
        <w:rPr>
          <w:rFonts w:ascii="Verdana" w:hAnsi="Verdana"/>
          <w:color w:val="000000" w:themeColor="text1"/>
          <w:sz w:val="24"/>
          <w:szCs w:val="24"/>
        </w:rPr>
      </w:pPr>
      <w:r w:rsidRPr="004D3B76">
        <w:rPr>
          <w:rFonts w:ascii="Verdana" w:hAnsi="Verdana"/>
          <w:color w:val="000000" w:themeColor="text1"/>
          <w:sz w:val="24"/>
          <w:szCs w:val="24"/>
        </w:rPr>
        <w:t xml:space="preserve">The concept of employability relates to those: in work and seeking to improve or sustain their position in the </w:t>
      </w:r>
      <w:r w:rsidR="000609F3" w:rsidRPr="004D3B76">
        <w:rPr>
          <w:rFonts w:ascii="Verdana" w:hAnsi="Verdana"/>
          <w:color w:val="000000" w:themeColor="text1"/>
          <w:sz w:val="24"/>
          <w:szCs w:val="24"/>
        </w:rPr>
        <w:t>work</w:t>
      </w:r>
      <w:r w:rsidRPr="004D3B76">
        <w:rPr>
          <w:rFonts w:ascii="Verdana" w:hAnsi="Verdana"/>
          <w:color w:val="000000" w:themeColor="text1"/>
          <w:sz w:val="24"/>
          <w:szCs w:val="24"/>
        </w:rPr>
        <w:t xml:space="preserve"> market; in education; and out of work. However, the focus of this paper is largely, but not exclusively, on employability as it relates to unemployed job seekers and </w:t>
      </w:r>
      <w:r w:rsidR="000609F3" w:rsidRPr="004D3B76">
        <w:rPr>
          <w:rFonts w:ascii="Verdana" w:hAnsi="Verdana"/>
          <w:color w:val="000000" w:themeColor="text1"/>
          <w:sz w:val="24"/>
          <w:szCs w:val="24"/>
        </w:rPr>
        <w:t>work</w:t>
      </w:r>
      <w:r w:rsidRPr="004D3B76">
        <w:rPr>
          <w:rFonts w:ascii="Verdana" w:hAnsi="Verdana"/>
          <w:color w:val="000000" w:themeColor="text1"/>
          <w:sz w:val="24"/>
          <w:szCs w:val="24"/>
        </w:rPr>
        <w:t xml:space="preserve"> market policy (Haughton et al., 2000).</w:t>
      </w:r>
    </w:p>
    <w:p w:rsidR="00021F06" w:rsidRDefault="00021F06" w:rsidP="000609F3">
      <w:pPr>
        <w:spacing w:before="100" w:beforeAutospacing="1" w:after="100" w:afterAutospacing="1" w:line="360" w:lineRule="auto"/>
        <w:jc w:val="both"/>
        <w:outlineLvl w:val="2"/>
        <w:rPr>
          <w:rFonts w:ascii="Verdana" w:eastAsia="Times New Roman" w:hAnsi="Verdana" w:cs="Times New Roman"/>
          <w:b/>
          <w:bCs/>
          <w:color w:val="000000" w:themeColor="text1"/>
          <w:sz w:val="28"/>
          <w:szCs w:val="24"/>
        </w:rPr>
      </w:pPr>
    </w:p>
    <w:p w:rsidR="00021F06" w:rsidRDefault="00021F06" w:rsidP="000609F3">
      <w:pPr>
        <w:spacing w:before="100" w:beforeAutospacing="1" w:after="100" w:afterAutospacing="1" w:line="360" w:lineRule="auto"/>
        <w:jc w:val="both"/>
        <w:outlineLvl w:val="2"/>
        <w:rPr>
          <w:rFonts w:ascii="Verdana" w:eastAsia="Times New Roman" w:hAnsi="Verdana" w:cs="Times New Roman"/>
          <w:b/>
          <w:bCs/>
          <w:color w:val="000000" w:themeColor="text1"/>
          <w:sz w:val="28"/>
          <w:szCs w:val="24"/>
        </w:rPr>
      </w:pPr>
    </w:p>
    <w:p w:rsidR="00021F06" w:rsidRPr="004D3B76" w:rsidRDefault="00F51E71" w:rsidP="000609F3">
      <w:pPr>
        <w:spacing w:before="100" w:beforeAutospacing="1" w:after="100" w:afterAutospacing="1" w:line="360" w:lineRule="auto"/>
        <w:jc w:val="both"/>
        <w:outlineLvl w:val="2"/>
        <w:rPr>
          <w:rFonts w:ascii="Verdana" w:eastAsia="Times New Roman" w:hAnsi="Verdana" w:cs="Times New Roman"/>
          <w:b/>
          <w:bCs/>
          <w:color w:val="000000" w:themeColor="text1"/>
          <w:sz w:val="28"/>
          <w:szCs w:val="24"/>
        </w:rPr>
      </w:pPr>
      <w:r w:rsidRPr="004D3B76">
        <w:rPr>
          <w:rFonts w:ascii="Verdana" w:eastAsia="Times New Roman" w:hAnsi="Verdana" w:cs="Times New Roman"/>
          <w:b/>
          <w:bCs/>
          <w:color w:val="000000" w:themeColor="text1"/>
          <w:sz w:val="28"/>
          <w:szCs w:val="24"/>
        </w:rPr>
        <w:lastRenderedPageBreak/>
        <w:t>Employability skills and attributes</w:t>
      </w:r>
    </w:p>
    <w:p w:rsidR="00F51E71" w:rsidRPr="004D3B76" w:rsidRDefault="00F51E71" w:rsidP="000609F3">
      <w:pPr>
        <w:pStyle w:val="Heading4"/>
        <w:shd w:val="clear" w:color="auto" w:fill="FFFFFF"/>
        <w:spacing w:before="150" w:after="150" w:line="360" w:lineRule="auto"/>
        <w:ind w:firstLine="720"/>
        <w:jc w:val="both"/>
        <w:rPr>
          <w:rFonts w:ascii="Verdana" w:hAnsi="Verdana" w:cs="Helvetica"/>
          <w:b w:val="0"/>
          <w:i w:val="0"/>
          <w:color w:val="000000" w:themeColor="text1"/>
          <w:sz w:val="24"/>
          <w:szCs w:val="24"/>
        </w:rPr>
      </w:pPr>
      <w:r w:rsidRPr="004D3B76">
        <w:rPr>
          <w:rFonts w:ascii="Verdana" w:hAnsi="Verdana" w:cs="Helvetica"/>
          <w:b w:val="0"/>
          <w:i w:val="0"/>
          <w:color w:val="000000" w:themeColor="text1"/>
          <w:sz w:val="24"/>
          <w:szCs w:val="24"/>
        </w:rPr>
        <w:t>What is employability?</w:t>
      </w:r>
      <w:r w:rsidR="00196A25" w:rsidRPr="004D3B76">
        <w:rPr>
          <w:rFonts w:ascii="Verdana" w:hAnsi="Verdana" w:cs="Helvetica"/>
          <w:b w:val="0"/>
          <w:i w:val="0"/>
          <w:color w:val="000000" w:themeColor="text1"/>
          <w:sz w:val="24"/>
          <w:szCs w:val="24"/>
        </w:rPr>
        <w:t xml:space="preserve"> </w:t>
      </w:r>
      <w:r w:rsidRPr="004D3B76">
        <w:rPr>
          <w:rFonts w:ascii="Verdana" w:hAnsi="Verdana" w:cs="Helvetica"/>
          <w:b w:val="0"/>
          <w:i w:val="0"/>
          <w:color w:val="000000" w:themeColor="text1"/>
          <w:sz w:val="24"/>
          <w:szCs w:val="24"/>
        </w:rPr>
        <w:t>There’s a lot of talk about employability in the recruitment community as competition for jobs in all sectors intensifies. But what does it mean?</w:t>
      </w:r>
      <w:r w:rsidR="000609F3" w:rsidRPr="004D3B76">
        <w:rPr>
          <w:rFonts w:ascii="Verdana" w:hAnsi="Verdana" w:cs="Helvetica"/>
          <w:b w:val="0"/>
          <w:i w:val="0"/>
          <w:color w:val="000000" w:themeColor="text1"/>
          <w:sz w:val="24"/>
          <w:szCs w:val="24"/>
        </w:rPr>
        <w:t xml:space="preserve"> </w:t>
      </w:r>
      <w:r w:rsidRPr="004D3B76">
        <w:rPr>
          <w:rFonts w:ascii="Verdana" w:hAnsi="Verdana" w:cs="Helvetica"/>
          <w:b w:val="0"/>
          <w:i w:val="0"/>
          <w:color w:val="000000" w:themeColor="text1"/>
          <w:sz w:val="24"/>
          <w:szCs w:val="24"/>
        </w:rPr>
        <w:t>The UK Commission for Employment and Skills (UKCES</w:t>
      </w:r>
      <w:proofErr w:type="gramStart"/>
      <w:r w:rsidRPr="004D3B76">
        <w:rPr>
          <w:rFonts w:ascii="Verdana" w:hAnsi="Verdana" w:cs="Helvetica"/>
          <w:b w:val="0"/>
          <w:i w:val="0"/>
          <w:color w:val="000000" w:themeColor="text1"/>
          <w:sz w:val="24"/>
          <w:szCs w:val="24"/>
        </w:rPr>
        <w:t>)</w:t>
      </w:r>
      <w:proofErr w:type="gramEnd"/>
      <w:r w:rsidR="00034D14" w:rsidRPr="004D3B76">
        <w:rPr>
          <w:rFonts w:ascii="Verdana" w:eastAsia="Times New Roman" w:hAnsi="Verdana" w:cs="Times New Roman"/>
          <w:i w:val="0"/>
          <w:color w:val="000000" w:themeColor="text1"/>
          <w:sz w:val="24"/>
          <w:szCs w:val="24"/>
        </w:rPr>
        <w:fldChar w:fldCharType="begin"/>
      </w:r>
      <w:r w:rsidR="00034D14" w:rsidRPr="004D3B76">
        <w:rPr>
          <w:rFonts w:ascii="Verdana" w:hAnsi="Verdana"/>
          <w:b w:val="0"/>
          <w:i w:val="0"/>
          <w:color w:val="000000" w:themeColor="text1"/>
          <w:sz w:val="24"/>
          <w:szCs w:val="24"/>
        </w:rPr>
        <w:instrText xml:space="preserve"> HYPERLINK "https://career-advice.jobs.ac.uk/career-development/employability-what-are-employers-looking-for/" \l "_edn1" </w:instrText>
      </w:r>
      <w:r w:rsidR="00034D14" w:rsidRPr="004D3B76">
        <w:rPr>
          <w:rFonts w:ascii="Verdana" w:eastAsia="Times New Roman" w:hAnsi="Verdana" w:cs="Times New Roman"/>
          <w:i w:val="0"/>
          <w:color w:val="000000" w:themeColor="text1"/>
          <w:sz w:val="24"/>
          <w:szCs w:val="24"/>
        </w:rPr>
        <w:fldChar w:fldCharType="separate"/>
      </w:r>
      <w:r w:rsidRPr="004D3B76">
        <w:rPr>
          <w:rStyle w:val="Hyperlink"/>
          <w:rFonts w:ascii="Verdana" w:hAnsi="Verdana" w:cs="Helvetica"/>
          <w:b w:val="0"/>
          <w:i w:val="0"/>
          <w:color w:val="000000" w:themeColor="text1"/>
          <w:sz w:val="24"/>
          <w:szCs w:val="24"/>
          <w:u w:val="none"/>
        </w:rPr>
        <w:t>[1]</w:t>
      </w:r>
      <w:r w:rsidR="00034D14" w:rsidRPr="004D3B76">
        <w:rPr>
          <w:rStyle w:val="Hyperlink"/>
          <w:rFonts w:ascii="Verdana" w:hAnsi="Verdana" w:cs="Helvetica"/>
          <w:b w:val="0"/>
          <w:bCs w:val="0"/>
          <w:i w:val="0"/>
          <w:color w:val="000000" w:themeColor="text1"/>
          <w:sz w:val="24"/>
          <w:szCs w:val="24"/>
          <w:u w:val="none"/>
        </w:rPr>
        <w:fldChar w:fldCharType="end"/>
      </w:r>
      <w:r w:rsidRPr="004D3B76">
        <w:rPr>
          <w:rFonts w:ascii="Verdana" w:hAnsi="Verdana" w:cs="Helvetica"/>
          <w:b w:val="0"/>
          <w:i w:val="0"/>
          <w:color w:val="000000" w:themeColor="text1"/>
          <w:sz w:val="24"/>
          <w:szCs w:val="24"/>
        </w:rPr>
        <w:t> gives the simplest and most accessible definition of employability in terms of skills:</w:t>
      </w:r>
      <w:r w:rsidRPr="004D3B76">
        <w:rPr>
          <w:rStyle w:val="Emphasis"/>
          <w:rFonts w:ascii="Verdana" w:hAnsi="Verdana" w:cs="Helvetica"/>
          <w:b w:val="0"/>
          <w:color w:val="000000" w:themeColor="text1"/>
          <w:sz w:val="24"/>
          <w:szCs w:val="24"/>
        </w:rPr>
        <w:t> ‘the skills almost everyone needs to do almost any job’. </w:t>
      </w:r>
      <w:r w:rsidRPr="004D3B76">
        <w:rPr>
          <w:rFonts w:ascii="Verdana" w:hAnsi="Verdana" w:cs="Helvetica"/>
          <w:b w:val="0"/>
          <w:i w:val="0"/>
          <w:color w:val="000000" w:themeColor="text1"/>
          <w:sz w:val="24"/>
          <w:szCs w:val="24"/>
        </w:rPr>
        <w:t>This is a great definition as far as it goes, although employability is not just about skills, it’s also about capabilities or competencies:</w:t>
      </w:r>
      <w:r w:rsidRPr="004D3B76">
        <w:rPr>
          <w:rStyle w:val="Emphasis"/>
          <w:rFonts w:ascii="Verdana" w:hAnsi="Verdana" w:cs="Helvetica"/>
          <w:b w:val="0"/>
          <w:color w:val="000000" w:themeColor="text1"/>
          <w:sz w:val="24"/>
          <w:szCs w:val="24"/>
        </w:rPr>
        <w:t> aptitude,</w:t>
      </w:r>
      <w:r w:rsidRPr="004D3B76">
        <w:rPr>
          <w:rFonts w:ascii="Verdana" w:hAnsi="Verdana" w:cs="Helvetica"/>
          <w:b w:val="0"/>
          <w:i w:val="0"/>
          <w:color w:val="000000" w:themeColor="text1"/>
          <w:sz w:val="24"/>
          <w:szCs w:val="24"/>
        </w:rPr>
        <w:t> </w:t>
      </w:r>
      <w:r w:rsidRPr="004D3B76">
        <w:rPr>
          <w:rStyle w:val="Emphasis"/>
          <w:rFonts w:ascii="Verdana" w:hAnsi="Verdana" w:cs="Helvetica"/>
          <w:b w:val="0"/>
          <w:color w:val="000000" w:themeColor="text1"/>
          <w:sz w:val="24"/>
          <w:szCs w:val="24"/>
        </w:rPr>
        <w:t>attitude and behaviour</w:t>
      </w:r>
      <w:r w:rsidRPr="004D3B76">
        <w:rPr>
          <w:rFonts w:ascii="Verdana" w:hAnsi="Verdana" w:cs="Helvetica"/>
          <w:b w:val="0"/>
          <w:i w:val="0"/>
          <w:color w:val="000000" w:themeColor="text1"/>
          <w:sz w:val="24"/>
          <w:szCs w:val="24"/>
        </w:rPr>
        <w:t>.</w:t>
      </w:r>
    </w:p>
    <w:p w:rsidR="00F51E71" w:rsidRPr="004D3B76" w:rsidRDefault="00F51E71" w:rsidP="000609F3">
      <w:pPr>
        <w:pStyle w:val="NormalWeb"/>
        <w:shd w:val="clear" w:color="auto" w:fill="FFFFFF"/>
        <w:spacing w:before="0" w:beforeAutospacing="0" w:after="150" w:afterAutospacing="0" w:line="360" w:lineRule="auto"/>
        <w:jc w:val="both"/>
        <w:rPr>
          <w:rFonts w:ascii="Verdana" w:hAnsi="Verdana"/>
          <w:color w:val="000000" w:themeColor="text1"/>
        </w:rPr>
      </w:pPr>
      <w:r w:rsidRPr="004D3B76">
        <w:rPr>
          <w:rFonts w:ascii="Verdana" w:hAnsi="Verdana" w:cs="Helvetica"/>
          <w:color w:val="000000" w:themeColor="text1"/>
        </w:rPr>
        <w:t>Employability is not the same as subject knowledge, qualifications or specialist experience. A brilliant first degree, a PhD and a list of published papers on your CV may not be enough to secure a position. You have to be aware of what employers are looking for </w:t>
      </w:r>
      <w:r w:rsidRPr="004D3B76">
        <w:rPr>
          <w:rStyle w:val="Emphasis"/>
          <w:rFonts w:ascii="Verdana" w:hAnsi="Verdana" w:cs="Helvetica"/>
          <w:i w:val="0"/>
          <w:color w:val="000000" w:themeColor="text1"/>
        </w:rPr>
        <w:t>in any employee. </w:t>
      </w:r>
      <w:r w:rsidRPr="004D3B76">
        <w:rPr>
          <w:rFonts w:ascii="Verdana" w:hAnsi="Verdana" w:cs="Helvetica"/>
          <w:color w:val="000000" w:themeColor="text1"/>
        </w:rPr>
        <w:t>And you have to demonstrate that you are employable as a person, a team member and as a contributing member of the employer organization (</w:t>
      </w:r>
      <w:hyperlink r:id="rId7" w:history="1">
        <w:r w:rsidRPr="004D3B76">
          <w:rPr>
            <w:rStyle w:val="Hyperlink"/>
            <w:rFonts w:ascii="Verdana" w:hAnsi="Verdana"/>
            <w:color w:val="000000" w:themeColor="text1"/>
            <w:u w:val="none"/>
          </w:rPr>
          <w:t>https://career-advice.jobs.ac.uk/career-development/employability-what-are-employers-looking-for/</w:t>
        </w:r>
      </w:hyperlink>
      <w:r w:rsidRPr="004D3B76">
        <w:rPr>
          <w:rFonts w:ascii="Verdana" w:hAnsi="Verdana"/>
          <w:color w:val="000000" w:themeColor="text1"/>
        </w:rPr>
        <w:t xml:space="preserve">). </w:t>
      </w:r>
    </w:p>
    <w:p w:rsidR="00F51E71" w:rsidRPr="004D3B76" w:rsidRDefault="00F51E71" w:rsidP="000609F3">
      <w:pPr>
        <w:pStyle w:val="NormalWeb"/>
        <w:shd w:val="clear" w:color="auto" w:fill="FFFFFF"/>
        <w:spacing w:before="0" w:beforeAutospacing="0" w:after="150" w:afterAutospacing="0" w:line="360" w:lineRule="auto"/>
        <w:jc w:val="both"/>
        <w:rPr>
          <w:rFonts w:ascii="Verdana" w:hAnsi="Verdana"/>
          <w:color w:val="000000" w:themeColor="text1"/>
        </w:rPr>
      </w:pPr>
      <w:r w:rsidRPr="004D3B76">
        <w:rPr>
          <w:rFonts w:ascii="Verdana" w:hAnsi="Verdana"/>
          <w:color w:val="000000" w:themeColor="text1"/>
        </w:rPr>
        <w:t xml:space="preserve">Employability, a relatively obscure concept a decade ago, now commands a central place in </w:t>
      </w:r>
      <w:r w:rsidR="004D3B76">
        <w:rPr>
          <w:rFonts w:ascii="Verdana" w:hAnsi="Verdana"/>
          <w:color w:val="000000" w:themeColor="text1"/>
        </w:rPr>
        <w:t>work</w:t>
      </w:r>
      <w:r w:rsidRPr="004D3B76">
        <w:rPr>
          <w:rFonts w:ascii="Verdana" w:hAnsi="Verdana"/>
          <w:color w:val="000000" w:themeColor="text1"/>
        </w:rPr>
        <w:t xml:space="preserve"> market policies in the UK, many other European states and beyond. At the supranational level, employability formed one of the four original pillars of the European Employment Strategy, having emerged as a defining theme of the Extraordinary European Council on Employment (the so-called Jobs Summit), which took place in Luxembourg in November 1997 (CEC, 1999). The promotion of employability in the workplace and among young people, the unemployed and other potentially disadvantaged groups in the </w:t>
      </w:r>
      <w:r w:rsidR="004D3B76">
        <w:rPr>
          <w:rFonts w:ascii="Verdana" w:hAnsi="Verdana"/>
          <w:color w:val="000000" w:themeColor="text1"/>
        </w:rPr>
        <w:t>work</w:t>
      </w:r>
      <w:r w:rsidRPr="004D3B76">
        <w:rPr>
          <w:rFonts w:ascii="Verdana" w:hAnsi="Verdana"/>
          <w:color w:val="000000" w:themeColor="text1"/>
        </w:rPr>
        <w:t xml:space="preserve"> market remains an important goal for the revised European Employment Strategy, formulated in 2003, which emphasises three overarching objectives: full employment; quality and productivity at work; </w:t>
      </w:r>
      <w:r w:rsidRPr="004D3B76">
        <w:rPr>
          <w:rFonts w:ascii="Verdana" w:hAnsi="Verdana"/>
          <w:color w:val="000000" w:themeColor="text1"/>
        </w:rPr>
        <w:lastRenderedPageBreak/>
        <w:t xml:space="preserve">and cohesion and an inclusive </w:t>
      </w:r>
      <w:r w:rsidR="004D3B76">
        <w:rPr>
          <w:rFonts w:ascii="Verdana" w:hAnsi="Verdana"/>
          <w:color w:val="000000" w:themeColor="text1"/>
        </w:rPr>
        <w:t>work</w:t>
      </w:r>
      <w:r w:rsidRPr="004D3B76">
        <w:rPr>
          <w:rFonts w:ascii="Verdana" w:hAnsi="Verdana"/>
          <w:color w:val="000000" w:themeColor="text1"/>
        </w:rPr>
        <w:t xml:space="preserve"> market (CEC, 2003a). Whereas the original EU strategy included employability as a pillar of its approach, the more flexible, longer-term strategy now advocated by the European Commission speaks of promoting more and better ‘investment in human capital and strategies for lifelong learning’. However, this and many of the Commission’s other guidelines for implementing the strategy (or so-called ten commandments) reflect the pre-existing focus on employability, including: the promotion of active and preventative measures for the (especially long-term) unemployed and inactive; improving financial incentives to make work pay; and promoting active ageing (CEC, 2003b). Other cross-national institutions concerned with </w:t>
      </w:r>
      <w:proofErr w:type="spellStart"/>
      <w:r w:rsidRPr="004D3B76">
        <w:rPr>
          <w:rFonts w:ascii="Verdana" w:hAnsi="Verdana"/>
          <w:color w:val="000000" w:themeColor="text1"/>
        </w:rPr>
        <w:t>labour</w:t>
      </w:r>
      <w:proofErr w:type="spellEnd"/>
      <w:r w:rsidRPr="004D3B76">
        <w:rPr>
          <w:rFonts w:ascii="Verdana" w:hAnsi="Verdana"/>
          <w:color w:val="000000" w:themeColor="text1"/>
        </w:rPr>
        <w:t xml:space="preserve"> market policy have similarly emphasised the importance of employability. The United Nations (UN) has made employability one of its four priorities for national policy action on youth employment (along with entrepreneurship, equal opportunities between young men and women and employment creation). To this end, the UN’s Youth Employment Network has suggested that </w:t>
      </w:r>
      <w:proofErr w:type="gramStart"/>
      <w:r w:rsidRPr="004D3B76">
        <w:rPr>
          <w:rFonts w:ascii="Verdana" w:hAnsi="Verdana"/>
          <w:color w:val="000000" w:themeColor="text1"/>
        </w:rPr>
        <w:t>All</w:t>
      </w:r>
      <w:proofErr w:type="gramEnd"/>
      <w:r w:rsidRPr="004D3B76">
        <w:rPr>
          <w:rFonts w:ascii="Verdana" w:hAnsi="Verdana"/>
          <w:color w:val="000000" w:themeColor="text1"/>
        </w:rPr>
        <w:t xml:space="preserve"> countries need to review, re-think and re-orient their education, vocational training and </w:t>
      </w:r>
      <w:r w:rsidR="004D3B76">
        <w:rPr>
          <w:rFonts w:ascii="Verdana" w:hAnsi="Verdana"/>
          <w:color w:val="000000" w:themeColor="text1"/>
        </w:rPr>
        <w:t>work</w:t>
      </w:r>
      <w:r w:rsidRPr="004D3B76">
        <w:rPr>
          <w:rFonts w:ascii="Verdana" w:hAnsi="Verdana"/>
          <w:color w:val="000000" w:themeColor="text1"/>
        </w:rPr>
        <w:t xml:space="preserve"> market policies to facilitate the school to work transition and to give young people ... a head start in working life (UN, 2001, p. 4). Finally, the OECD’s influence in promoting employability-focused </w:t>
      </w:r>
      <w:r w:rsidR="00021F06">
        <w:rPr>
          <w:rFonts w:ascii="Verdana" w:hAnsi="Verdana"/>
          <w:color w:val="000000" w:themeColor="text1"/>
        </w:rPr>
        <w:t>work</w:t>
      </w:r>
      <w:r w:rsidRPr="004D3B76">
        <w:rPr>
          <w:rFonts w:ascii="Verdana" w:hAnsi="Verdana"/>
          <w:color w:val="000000" w:themeColor="text1"/>
        </w:rPr>
        <w:t xml:space="preserve"> market policies arguably pre-dates both of these initiatives. Although less inclined to deploy the concept of ‘employability’, by the </w:t>
      </w:r>
      <w:proofErr w:type="spellStart"/>
      <w:r w:rsidRPr="004D3B76">
        <w:rPr>
          <w:rFonts w:ascii="Verdana" w:hAnsi="Verdana"/>
          <w:color w:val="000000" w:themeColor="text1"/>
        </w:rPr>
        <w:t>mid 1990s</w:t>
      </w:r>
      <w:proofErr w:type="spellEnd"/>
      <w:r w:rsidRPr="004D3B76">
        <w:rPr>
          <w:rFonts w:ascii="Verdana" w:hAnsi="Verdana"/>
          <w:color w:val="000000" w:themeColor="text1"/>
        </w:rPr>
        <w:t xml:space="preserve"> the OECD (1994a, 1994b) had begun to advocate strongly more active </w:t>
      </w:r>
      <w:r w:rsidR="004D3B76">
        <w:rPr>
          <w:rFonts w:ascii="Verdana" w:hAnsi="Verdana"/>
          <w:color w:val="000000" w:themeColor="text1"/>
        </w:rPr>
        <w:t>work</w:t>
      </w:r>
      <w:r w:rsidRPr="004D3B76">
        <w:rPr>
          <w:rFonts w:ascii="Verdana" w:hAnsi="Verdana"/>
          <w:color w:val="000000" w:themeColor="text1"/>
        </w:rPr>
        <w:t xml:space="preserve"> market policies in order to break the ‘dysfunctional division’ between the working population and the unemployed. The need for strategies targeting “low-paid and unskilled job seekers [and] 198 RONALD W. McQUAID AND C. LINDSAY enhancing the effectiveness of active </w:t>
      </w:r>
      <w:r w:rsidR="004D3B76">
        <w:rPr>
          <w:rFonts w:ascii="Verdana" w:hAnsi="Verdana"/>
          <w:color w:val="000000" w:themeColor="text1"/>
        </w:rPr>
        <w:t>work</w:t>
      </w:r>
      <w:r w:rsidRPr="004D3B76">
        <w:rPr>
          <w:rFonts w:ascii="Verdana" w:hAnsi="Verdana"/>
          <w:color w:val="000000" w:themeColor="text1"/>
        </w:rPr>
        <w:t xml:space="preserve"> market policies and lifelong learning to maintain employability” continued to form the central focus of the Organisation’s </w:t>
      </w:r>
      <w:r w:rsidR="004D3B76">
        <w:rPr>
          <w:rFonts w:ascii="Verdana" w:hAnsi="Verdana"/>
          <w:color w:val="000000" w:themeColor="text1"/>
        </w:rPr>
        <w:t>work</w:t>
      </w:r>
      <w:r w:rsidRPr="004D3B76">
        <w:rPr>
          <w:rFonts w:ascii="Verdana" w:hAnsi="Verdana"/>
          <w:color w:val="000000" w:themeColor="text1"/>
        </w:rPr>
        <w:t xml:space="preserve"> market policy agenda throughout the 1990s (OECD, </w:t>
      </w:r>
      <w:r w:rsidRPr="004D3B76">
        <w:rPr>
          <w:rFonts w:ascii="Verdana" w:hAnsi="Verdana"/>
          <w:color w:val="000000" w:themeColor="text1"/>
        </w:rPr>
        <w:lastRenderedPageBreak/>
        <w:t>1998, p. 4). Indeed, it has been argued that by the end of the decade the OECD (particularly through its 1994 ‘Jobs Study’) had played a crucial role in promoting active policies to improve the employability of the unemployed across international boundaries (Sinfield, 2001).</w:t>
      </w:r>
    </w:p>
    <w:p w:rsidR="00F51E71" w:rsidRPr="00021F06" w:rsidRDefault="00F51E71" w:rsidP="000609F3">
      <w:pPr>
        <w:pStyle w:val="Heading3"/>
        <w:spacing w:line="360" w:lineRule="auto"/>
        <w:jc w:val="both"/>
        <w:rPr>
          <w:rFonts w:ascii="Verdana" w:hAnsi="Verdana"/>
          <w:color w:val="000000" w:themeColor="text1"/>
          <w:sz w:val="28"/>
          <w:szCs w:val="24"/>
        </w:rPr>
      </w:pPr>
      <w:r w:rsidRPr="00021F06">
        <w:rPr>
          <w:rFonts w:ascii="Verdana" w:hAnsi="Verdana"/>
          <w:color w:val="000000" w:themeColor="text1"/>
          <w:sz w:val="28"/>
          <w:szCs w:val="24"/>
        </w:rPr>
        <w:t>Academic skills and attributes</w:t>
      </w:r>
    </w:p>
    <w:p w:rsidR="00F51E71" w:rsidRPr="004D3B76" w:rsidRDefault="00603292" w:rsidP="000609F3">
      <w:pPr>
        <w:pStyle w:val="NormalWeb"/>
        <w:shd w:val="clear" w:color="auto" w:fill="FFFFFF"/>
        <w:spacing w:before="0" w:beforeAutospacing="0" w:after="150" w:afterAutospacing="0" w:line="360" w:lineRule="auto"/>
        <w:ind w:firstLine="720"/>
        <w:jc w:val="both"/>
        <w:rPr>
          <w:rFonts w:ascii="Verdana" w:hAnsi="Verdana" w:cs="Arial"/>
          <w:color w:val="000000" w:themeColor="text1"/>
          <w:shd w:val="clear" w:color="auto" w:fill="FFFFFF"/>
        </w:rPr>
      </w:pPr>
      <w:r w:rsidRPr="004D3B76">
        <w:rPr>
          <w:rFonts w:ascii="Verdana" w:hAnsi="Verdana" w:cs="Arial"/>
          <w:color w:val="000000" w:themeColor="text1"/>
          <w:shd w:val="clear" w:color="auto" w:fill="FFFFFF"/>
        </w:rPr>
        <w:t>We </w:t>
      </w:r>
      <w:r w:rsidRPr="004D3B76">
        <w:rPr>
          <w:rFonts w:ascii="Verdana" w:hAnsi="Verdana" w:cs="Arial"/>
          <w:bCs/>
          <w:color w:val="000000" w:themeColor="text1"/>
          <w:shd w:val="clear" w:color="auto" w:fill="FFFFFF"/>
        </w:rPr>
        <w:t>define academic skills</w:t>
      </w:r>
      <w:r w:rsidRPr="004D3B76">
        <w:rPr>
          <w:rFonts w:ascii="Verdana" w:hAnsi="Verdana" w:cs="Arial"/>
          <w:color w:val="000000" w:themeColor="text1"/>
          <w:shd w:val="clear" w:color="auto" w:fill="FFFFFF"/>
        </w:rPr>
        <w:t> as: </w:t>
      </w:r>
      <w:r w:rsidRPr="004D3B76">
        <w:rPr>
          <w:rFonts w:ascii="Verdana" w:hAnsi="Verdana" w:cs="Arial"/>
          <w:bCs/>
          <w:color w:val="000000" w:themeColor="text1"/>
          <w:shd w:val="clear" w:color="auto" w:fill="FFFFFF"/>
        </w:rPr>
        <w:t>Academic skills</w:t>
      </w:r>
      <w:r w:rsidRPr="004D3B76">
        <w:rPr>
          <w:rFonts w:ascii="Verdana" w:hAnsi="Verdana" w:cs="Arial"/>
          <w:color w:val="000000" w:themeColor="text1"/>
          <w:shd w:val="clear" w:color="auto" w:fill="FFFFFF"/>
        </w:rPr>
        <w:t> are made up of core </w:t>
      </w:r>
      <w:r w:rsidRPr="004D3B76">
        <w:rPr>
          <w:rFonts w:ascii="Verdana" w:hAnsi="Verdana" w:cs="Arial"/>
          <w:bCs/>
          <w:color w:val="000000" w:themeColor="text1"/>
          <w:shd w:val="clear" w:color="auto" w:fill="FFFFFF"/>
        </w:rPr>
        <w:t>skills</w:t>
      </w:r>
      <w:r w:rsidRPr="004D3B76">
        <w:rPr>
          <w:rFonts w:ascii="Verdana" w:hAnsi="Verdana" w:cs="Arial"/>
          <w:color w:val="000000" w:themeColor="text1"/>
          <w:shd w:val="clear" w:color="auto" w:fill="FFFFFF"/>
        </w:rPr>
        <w:t>, such as </w:t>
      </w:r>
      <w:r w:rsidRPr="004D3B76">
        <w:rPr>
          <w:rFonts w:ascii="Verdana" w:hAnsi="Verdana" w:cs="Arial"/>
          <w:bCs/>
          <w:color w:val="000000" w:themeColor="text1"/>
          <w:shd w:val="clear" w:color="auto" w:fill="FFFFFF"/>
        </w:rPr>
        <w:t>academic</w:t>
      </w:r>
      <w:r w:rsidRPr="004D3B76">
        <w:rPr>
          <w:rFonts w:ascii="Verdana" w:hAnsi="Verdana" w:cs="Arial"/>
          <w:color w:val="000000" w:themeColor="text1"/>
          <w:shd w:val="clear" w:color="auto" w:fill="FFFFFF"/>
        </w:rPr>
        <w:t> writing, presentation </w:t>
      </w:r>
      <w:r w:rsidRPr="004D3B76">
        <w:rPr>
          <w:rFonts w:ascii="Verdana" w:hAnsi="Verdana" w:cs="Arial"/>
          <w:bCs/>
          <w:color w:val="000000" w:themeColor="text1"/>
          <w:shd w:val="clear" w:color="auto" w:fill="FFFFFF"/>
        </w:rPr>
        <w:t>skills</w:t>
      </w:r>
      <w:r w:rsidRPr="004D3B76">
        <w:rPr>
          <w:rFonts w:ascii="Verdana" w:hAnsi="Verdana" w:cs="Arial"/>
          <w:color w:val="000000" w:themeColor="text1"/>
          <w:shd w:val="clear" w:color="auto" w:fill="FFFFFF"/>
        </w:rPr>
        <w:t> and referencing, which underpin more complex </w:t>
      </w:r>
      <w:r w:rsidRPr="004D3B76">
        <w:rPr>
          <w:rFonts w:ascii="Verdana" w:hAnsi="Verdana" w:cs="Arial"/>
          <w:bCs/>
          <w:color w:val="000000" w:themeColor="text1"/>
          <w:shd w:val="clear" w:color="auto" w:fill="FFFFFF"/>
        </w:rPr>
        <w:t>skills</w:t>
      </w:r>
      <w:r w:rsidRPr="004D3B76">
        <w:rPr>
          <w:rFonts w:ascii="Verdana" w:hAnsi="Verdana" w:cs="Arial"/>
          <w:color w:val="000000" w:themeColor="text1"/>
          <w:shd w:val="clear" w:color="auto" w:fill="FFFFFF"/>
        </w:rPr>
        <w:t>, such as critical thinking and reflective practice' (</w:t>
      </w:r>
      <w:r w:rsidRPr="004D3B76">
        <w:rPr>
          <w:rFonts w:ascii="Verdana" w:hAnsi="Verdana" w:cs="Arial"/>
          <w:bCs/>
          <w:color w:val="000000" w:themeColor="text1"/>
          <w:shd w:val="clear" w:color="auto" w:fill="FFFFFF"/>
        </w:rPr>
        <w:t>Academic Skills</w:t>
      </w:r>
      <w:r w:rsidRPr="004D3B76">
        <w:rPr>
          <w:rFonts w:ascii="Verdana" w:hAnsi="Verdana" w:cs="Arial"/>
          <w:color w:val="000000" w:themeColor="text1"/>
          <w:shd w:val="clear" w:color="auto" w:fill="FFFFFF"/>
        </w:rPr>
        <w:t> Specialists, 2013)</w:t>
      </w:r>
    </w:p>
    <w:p w:rsidR="00603292" w:rsidRPr="004D3B76" w:rsidRDefault="00603292" w:rsidP="000609F3">
      <w:pPr>
        <w:shd w:val="clear" w:color="auto" w:fill="FFFFFF"/>
        <w:spacing w:before="120" w:after="216"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These are some suggestions for improving your ability to network:</w:t>
      </w:r>
    </w:p>
    <w:p w:rsidR="00603292" w:rsidRPr="004D3B76" w:rsidRDefault="00603292" w:rsidP="000609F3">
      <w:pPr>
        <w:numPr>
          <w:ilvl w:val="0"/>
          <w:numId w:val="2"/>
        </w:numPr>
        <w:shd w:val="clear" w:color="auto" w:fill="FFFFFF"/>
        <w:spacing w:before="75" w:after="75" w:line="360" w:lineRule="auto"/>
        <w:ind w:left="390"/>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Develop a positive attitude towards meeting potential contacts, even if you are shy and not naturally extroverted. "Regard networking very positively and be systematic in your approach to networking", says John Helliwell, Professor of Chemistry.</w:t>
      </w:r>
    </w:p>
    <w:p w:rsidR="0026267A" w:rsidRPr="004D3B76" w:rsidRDefault="00603292" w:rsidP="004D3B76">
      <w:pPr>
        <w:numPr>
          <w:ilvl w:val="0"/>
          <w:numId w:val="2"/>
        </w:numPr>
        <w:shd w:val="clear" w:color="auto" w:fill="FFFFFF"/>
        <w:spacing w:before="75" w:after="75" w:line="360" w:lineRule="auto"/>
        <w:ind w:left="390"/>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Start to develop your own professional network, particularly if you are a PhD or post-doctoral member of staff. See if your PhD supervisor or Principal Investigator is prepared to share some of their own network of contacts (</w:t>
      </w:r>
      <w:hyperlink r:id="rId8" w:history="1">
        <w:r w:rsidRPr="004D3B76">
          <w:rPr>
            <w:rStyle w:val="Hyperlink"/>
            <w:rFonts w:ascii="Verdana" w:hAnsi="Verdana"/>
            <w:color w:val="000000" w:themeColor="text1"/>
            <w:sz w:val="24"/>
            <w:szCs w:val="24"/>
            <w:u w:val="none"/>
          </w:rPr>
          <w:t>http://www.academiccareer.manchester.ac.uk/about/do/skills/</w:t>
        </w:r>
      </w:hyperlink>
      <w:r w:rsidRPr="004D3B76">
        <w:rPr>
          <w:rFonts w:ascii="Verdana" w:hAnsi="Verdana"/>
          <w:color w:val="000000" w:themeColor="text1"/>
          <w:sz w:val="24"/>
          <w:szCs w:val="24"/>
        </w:rPr>
        <w:t>).</w:t>
      </w:r>
    </w:p>
    <w:p w:rsidR="00603292" w:rsidRPr="004D3B76" w:rsidRDefault="0026267A" w:rsidP="0026267A">
      <w:pPr>
        <w:shd w:val="clear" w:color="auto" w:fill="FFFFFF"/>
        <w:spacing w:before="75" w:after="75"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In developing this list, it became apparent that there was an overlap between these skills and the employability skills and attributes as outlined earlier, and it also became apparent that development of these skills and attributes can be embedded into the curriculum. These skills and attributes are strongly connected to the eight graduate attribute categories outlined by Barrie (2011): Scholarship, Global Citizenship, Life Long learning, Research and Inquiry, Information Literacy, Personal and Intellectual Autonomy, Ethical Social and Professional Understanding and Communication.</w:t>
      </w:r>
    </w:p>
    <w:p w:rsidR="00603292" w:rsidRPr="004D3B76" w:rsidRDefault="00603292" w:rsidP="000609F3">
      <w:pPr>
        <w:spacing w:before="100" w:beforeAutospacing="1" w:after="100" w:afterAutospacing="1" w:line="360" w:lineRule="auto"/>
        <w:jc w:val="both"/>
        <w:rPr>
          <w:rFonts w:ascii="Verdana" w:hAnsi="Verdana"/>
          <w:color w:val="000000" w:themeColor="text1"/>
          <w:sz w:val="24"/>
          <w:szCs w:val="24"/>
        </w:rPr>
      </w:pPr>
      <w:r w:rsidRPr="004D3B76">
        <w:rPr>
          <w:rFonts w:ascii="Verdana" w:eastAsia="Times New Roman" w:hAnsi="Verdana" w:cs="Times New Roman"/>
          <w:color w:val="000000" w:themeColor="text1"/>
          <w:sz w:val="24"/>
          <w:szCs w:val="24"/>
        </w:rPr>
        <w:lastRenderedPageBreak/>
        <w:t>The decision to include both attributes and skills in our table was driven by the consideration that without both the ability to engage with the university in every sense (communicate with staff and students, successfully complete routine tasks etc.) and to complete academic tasks, ultimately a student would find it difficult to achieve success at university. A student may have a very high level of understanding, but without the motivation to complete assignments, the understanding will never be realised. From a university perspective, if increased student retention is important, then it would be useful to consider both attributes and skills as important in achieving academic success,</w:t>
      </w:r>
      <w:r w:rsidRPr="004D3B76">
        <w:rPr>
          <w:rFonts w:ascii="Verdana" w:hAnsi="Verdana"/>
          <w:color w:val="000000" w:themeColor="text1"/>
          <w:sz w:val="24"/>
          <w:szCs w:val="24"/>
        </w:rPr>
        <w:t xml:space="preserve"> (Kleinman et al. 1998).</w:t>
      </w:r>
    </w:p>
    <w:p w:rsidR="00603292" w:rsidRPr="00021F06" w:rsidRDefault="00603292" w:rsidP="000609F3">
      <w:pPr>
        <w:spacing w:before="100" w:beforeAutospacing="1" w:after="100" w:afterAutospacing="1" w:line="360" w:lineRule="auto"/>
        <w:jc w:val="both"/>
        <w:outlineLvl w:val="2"/>
        <w:rPr>
          <w:rFonts w:ascii="Verdana" w:eastAsia="Times New Roman" w:hAnsi="Verdana" w:cs="Times New Roman"/>
          <w:b/>
          <w:bCs/>
          <w:color w:val="000000" w:themeColor="text1"/>
          <w:sz w:val="28"/>
          <w:szCs w:val="28"/>
        </w:rPr>
      </w:pPr>
      <w:r w:rsidRPr="00021F06">
        <w:rPr>
          <w:rFonts w:ascii="Verdana" w:eastAsia="Times New Roman" w:hAnsi="Verdana" w:cs="Times New Roman"/>
          <w:b/>
          <w:bCs/>
          <w:color w:val="000000" w:themeColor="text1"/>
          <w:sz w:val="28"/>
          <w:szCs w:val="28"/>
        </w:rPr>
        <w:t>Linking academic and employability skills</w:t>
      </w:r>
    </w:p>
    <w:p w:rsidR="004D3B76" w:rsidRPr="004D3B76" w:rsidRDefault="004D3B76" w:rsidP="000609F3">
      <w:pPr>
        <w:spacing w:before="100" w:beforeAutospacing="1" w:after="100" w:afterAutospacing="1" w:line="360" w:lineRule="auto"/>
        <w:jc w:val="both"/>
        <w:outlineLvl w:val="2"/>
        <w:rPr>
          <w:rFonts w:ascii="Verdana" w:eastAsia="Times New Roman" w:hAnsi="Verdana" w:cs="Times New Roman"/>
          <w:bCs/>
          <w:color w:val="000000" w:themeColor="text1"/>
          <w:sz w:val="24"/>
          <w:szCs w:val="24"/>
        </w:rPr>
      </w:pPr>
      <w:r w:rsidRPr="004D3B76">
        <w:rPr>
          <w:rFonts w:ascii="Verdana" w:eastAsia="Times New Roman" w:hAnsi="Verdana" w:cs="Times New Roman"/>
          <w:bCs/>
          <w:color w:val="000000" w:themeColor="text1"/>
          <w:sz w:val="24"/>
          <w:szCs w:val="24"/>
        </w:rPr>
        <w:t>Future research ideas would include analysing phrases and words employers are using when placing advertisements for positions. The analysis of these common words and phrases would provide an opportunity to create links between these specific phrases and the related academic skills and would in turn give students a clearer idea of what skills they have been developing and how to articulate this development in a job application VERHAAR, C. H. A. and SMULDERS, H. R. M. (1999) Employability in practice, Journal of European Industrial Training, 23, pp. 268–274).</w:t>
      </w:r>
    </w:p>
    <w:p w:rsidR="004D3B76" w:rsidRPr="004D3B76" w:rsidRDefault="004D3B76" w:rsidP="000609F3">
      <w:pPr>
        <w:spacing w:before="100" w:beforeAutospacing="1" w:after="100" w:afterAutospacing="1" w:line="360" w:lineRule="auto"/>
        <w:jc w:val="both"/>
        <w:outlineLvl w:val="2"/>
        <w:rPr>
          <w:rFonts w:ascii="Verdana" w:eastAsia="Times New Roman" w:hAnsi="Verdana" w:cs="Times New Roman"/>
          <w:bCs/>
          <w:color w:val="000000" w:themeColor="text1"/>
          <w:sz w:val="24"/>
          <w:szCs w:val="24"/>
        </w:rPr>
      </w:pPr>
      <w:r w:rsidRPr="004D3B76">
        <w:rPr>
          <w:rFonts w:ascii="Verdana" w:eastAsia="Times New Roman" w:hAnsi="Verdana" w:cs="Times New Roman"/>
          <w:bCs/>
          <w:color w:val="000000" w:themeColor="text1"/>
          <w:sz w:val="24"/>
          <w:szCs w:val="24"/>
        </w:rPr>
        <w:t>What emerged as we developed these lists were the links between employability and academic skills and attributes. What became clear was how closely related they are. While the context and specific application may vary, the general skills and attributes required for success in the employment and academic domains are very similar. This supports the idea that development of academic skills and attributes as part of a course can simultaneously develop employability skills and attributes. For example:</w:t>
      </w:r>
    </w:p>
    <w:p w:rsidR="00603292" w:rsidRPr="004D3B76" w:rsidRDefault="00603292" w:rsidP="000609F3">
      <w:pPr>
        <w:numPr>
          <w:ilvl w:val="0"/>
          <w:numId w:val="3"/>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lastRenderedPageBreak/>
        <w:t>Analyse a range of communication formats in class and consider suitability for various purposes/audiences. Talk about what needs to change for different purposes, different audiences and different formats.</w:t>
      </w:r>
    </w:p>
    <w:p w:rsidR="00603292" w:rsidRPr="004D3B76" w:rsidRDefault="00603292" w:rsidP="000609F3">
      <w:pPr>
        <w:numPr>
          <w:ilvl w:val="0"/>
          <w:numId w:val="3"/>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Compare formal reports to a business with multimedia presentations to a live audience or with presentation of information on an interactive website.</w:t>
      </w:r>
    </w:p>
    <w:p w:rsidR="00603292" w:rsidRPr="004D3B76" w:rsidRDefault="0026267A" w:rsidP="0026267A">
      <w:p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We compiled these separate lists into a combined list that could be useful in course and unit design as well as teaching and learning. It could also be used to review teaching material and to provide support in making claims about good teaching practice outlines some of our key employability and academic skills and attributes and shows the links between the two.</w:t>
      </w:r>
    </w:p>
    <w:tbl>
      <w:tblPr>
        <w:tblW w:w="5019" w:type="pct"/>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24" w:type="dxa"/>
          <w:left w:w="24" w:type="dxa"/>
          <w:bottom w:w="24" w:type="dxa"/>
          <w:right w:w="24" w:type="dxa"/>
        </w:tblCellMar>
        <w:tblLook w:val="04A0" w:firstRow="1" w:lastRow="0" w:firstColumn="1" w:lastColumn="0" w:noHBand="0" w:noVBand="1"/>
      </w:tblPr>
      <w:tblGrid>
        <w:gridCol w:w="4767"/>
        <w:gridCol w:w="4767"/>
      </w:tblGrid>
      <w:tr w:rsidR="004D3B76" w:rsidRPr="004D3B76" w:rsidTr="00603292">
        <w:trPr>
          <w:trHeight w:val="243"/>
          <w:tblCellSpacing w:w="15" w:type="dxa"/>
          <w:jc w:val="center"/>
        </w:trPr>
        <w:tc>
          <w:tcPr>
            <w:tcW w:w="2476" w:type="pct"/>
            <w:tcBorders>
              <w:top w:val="outset" w:sz="6" w:space="0" w:color="auto"/>
              <w:left w:val="outset" w:sz="6" w:space="0" w:color="auto"/>
              <w:bottom w:val="outset" w:sz="6" w:space="0" w:color="auto"/>
              <w:right w:val="outset" w:sz="6" w:space="0" w:color="auto"/>
            </w:tcBorders>
            <w:shd w:val="clear" w:color="auto" w:fill="FEAB23"/>
            <w:vAlign w:val="center"/>
            <w:hideMark/>
          </w:tcPr>
          <w:p w:rsidR="00603292" w:rsidRPr="004D3B76" w:rsidRDefault="00603292" w:rsidP="000609F3">
            <w:pPr>
              <w:spacing w:after="0"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Employability skills</w:t>
            </w:r>
          </w:p>
        </w:tc>
        <w:tc>
          <w:tcPr>
            <w:tcW w:w="2476" w:type="pct"/>
            <w:tcBorders>
              <w:top w:val="outset" w:sz="6" w:space="0" w:color="auto"/>
              <w:left w:val="outset" w:sz="6" w:space="0" w:color="auto"/>
              <w:bottom w:val="outset" w:sz="6" w:space="0" w:color="auto"/>
              <w:right w:val="outset" w:sz="6" w:space="0" w:color="auto"/>
            </w:tcBorders>
            <w:shd w:val="clear" w:color="auto" w:fill="FEAB23"/>
            <w:vAlign w:val="center"/>
            <w:hideMark/>
          </w:tcPr>
          <w:p w:rsidR="00603292" w:rsidRPr="004D3B76" w:rsidRDefault="00603292" w:rsidP="000609F3">
            <w:pPr>
              <w:spacing w:after="0"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Academic skills</w:t>
            </w:r>
          </w:p>
        </w:tc>
      </w:tr>
      <w:tr w:rsidR="004D3B76" w:rsidRPr="004D3B76" w:rsidTr="004D3B76">
        <w:trPr>
          <w:trHeight w:val="846"/>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3292" w:rsidRPr="004D3B76" w:rsidRDefault="00603292" w:rsidP="000609F3">
            <w:pPr>
              <w:spacing w:after="0"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Formal communication (multiliteracy) including:</w:t>
            </w:r>
          </w:p>
          <w:p w:rsidR="00603292" w:rsidRPr="004D3B76" w:rsidRDefault="00603292" w:rsidP="000609F3">
            <w:pPr>
              <w:numPr>
                <w:ilvl w:val="0"/>
                <w:numId w:val="4"/>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Writing to the needs of the audience</w:t>
            </w:r>
          </w:p>
          <w:p w:rsidR="00603292" w:rsidRPr="004D3B76" w:rsidRDefault="00603292" w:rsidP="000609F3">
            <w:pPr>
              <w:numPr>
                <w:ilvl w:val="0"/>
                <w:numId w:val="4"/>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Using numeracy</w:t>
            </w:r>
          </w:p>
          <w:p w:rsidR="00603292" w:rsidRPr="004D3B76" w:rsidRDefault="00603292" w:rsidP="000609F3">
            <w:pPr>
              <w:numPr>
                <w:ilvl w:val="0"/>
                <w:numId w:val="4"/>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Speaking in a public forum and</w:t>
            </w:r>
          </w:p>
          <w:p w:rsidR="00603292" w:rsidRPr="004D3B76" w:rsidRDefault="00603292" w:rsidP="000609F3">
            <w:pPr>
              <w:numPr>
                <w:ilvl w:val="0"/>
                <w:numId w:val="4"/>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Understanding the needs of internal and external customers</w:t>
            </w:r>
          </w:p>
          <w:p w:rsidR="00603292" w:rsidRPr="004D3B76" w:rsidRDefault="00603292" w:rsidP="000609F3">
            <w:pPr>
              <w:numPr>
                <w:ilvl w:val="0"/>
                <w:numId w:val="4"/>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using computer technology appropriately and</w:t>
            </w:r>
          </w:p>
          <w:p w:rsidR="00603292" w:rsidRPr="004D3B76" w:rsidRDefault="00603292" w:rsidP="000609F3">
            <w:pPr>
              <w:numPr>
                <w:ilvl w:val="0"/>
                <w:numId w:val="4"/>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staying familiar with up-to-date equipment, facilities and materials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3292" w:rsidRPr="004D3B76" w:rsidRDefault="00603292" w:rsidP="000609F3">
            <w:pPr>
              <w:spacing w:after="0"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Formal communication at a tertiary level (multiliteracy) including:</w:t>
            </w:r>
          </w:p>
          <w:p w:rsidR="00603292" w:rsidRPr="004D3B76" w:rsidRDefault="00603292" w:rsidP="000609F3">
            <w:pPr>
              <w:numPr>
                <w:ilvl w:val="0"/>
                <w:numId w:val="5"/>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Academic writing</w:t>
            </w:r>
          </w:p>
          <w:p w:rsidR="00603292" w:rsidRPr="004D3B76" w:rsidRDefault="00603292" w:rsidP="000609F3">
            <w:pPr>
              <w:numPr>
                <w:ilvl w:val="0"/>
                <w:numId w:val="5"/>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Effectively using numeracy skills to complete assignments and other tasks</w:t>
            </w:r>
          </w:p>
          <w:p w:rsidR="00603292" w:rsidRPr="004D3B76" w:rsidRDefault="00603292" w:rsidP="000609F3">
            <w:pPr>
              <w:numPr>
                <w:ilvl w:val="0"/>
                <w:numId w:val="5"/>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Completing oral presentations/ reports for internal or external audiences and</w:t>
            </w:r>
          </w:p>
          <w:p w:rsidR="00603292" w:rsidRPr="004D3B76" w:rsidRDefault="00603292" w:rsidP="000609F3">
            <w:pPr>
              <w:numPr>
                <w:ilvl w:val="0"/>
                <w:numId w:val="5"/>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Critically reading and engaging with texts</w:t>
            </w:r>
          </w:p>
          <w:p w:rsidR="00603292" w:rsidRPr="004D3B76" w:rsidRDefault="00603292" w:rsidP="000609F3">
            <w:pPr>
              <w:numPr>
                <w:ilvl w:val="0"/>
                <w:numId w:val="5"/>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communicate and complete given tasks effectively and</w:t>
            </w:r>
          </w:p>
          <w:p w:rsidR="00603292" w:rsidRPr="004D3B76" w:rsidRDefault="00603292" w:rsidP="000609F3">
            <w:pPr>
              <w:numPr>
                <w:ilvl w:val="0"/>
                <w:numId w:val="5"/>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 xml:space="preserve">enhance engagement with </w:t>
            </w:r>
            <w:r w:rsidRPr="004D3B76">
              <w:rPr>
                <w:rFonts w:ascii="Verdana" w:eastAsia="Times New Roman" w:hAnsi="Verdana" w:cs="Times New Roman"/>
                <w:color w:val="000000" w:themeColor="text1"/>
                <w:sz w:val="24"/>
                <w:szCs w:val="24"/>
              </w:rPr>
              <w:lastRenderedPageBreak/>
              <w:t>university activities</w:t>
            </w:r>
          </w:p>
        </w:tc>
      </w:tr>
      <w:tr w:rsidR="004D3B76" w:rsidRPr="004D3B76" w:rsidTr="00603292">
        <w:trPr>
          <w:trHeight w:val="5144"/>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3292" w:rsidRPr="004D3B76" w:rsidRDefault="00603292" w:rsidP="000609F3">
            <w:pPr>
              <w:spacing w:after="0"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lastRenderedPageBreak/>
              <w:t>Interpersonal and teamwork skills, including ability and willingness to engage with diverse cultures by:</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communicating respectfully (using voice and body)</w:t>
            </w:r>
          </w:p>
          <w:p w:rsidR="00603292" w:rsidRPr="004D3B76" w:rsidRDefault="00603292" w:rsidP="004D3B76">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listening actively</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persuading effectively and</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being assertive and</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establishing and using networks</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collaborating with others to achieve team goals</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recognising and adopting roles within teams</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giving and receiving feedback</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coaching and mentoring and</w:t>
            </w:r>
          </w:p>
          <w:p w:rsidR="00603292" w:rsidRPr="004D3B76" w:rsidRDefault="00603292" w:rsidP="000609F3">
            <w:pPr>
              <w:numPr>
                <w:ilvl w:val="0"/>
                <w:numId w:val="6"/>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leading with integrity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3292" w:rsidRPr="004D3B76" w:rsidRDefault="00603292" w:rsidP="000609F3">
            <w:pPr>
              <w:spacing w:after="0"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Interpersonal and teamwork skills, including ability and willingness to engage with diverse cultures by:</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communicating respectfully (using voice and body)</w:t>
            </w:r>
          </w:p>
          <w:p w:rsidR="00603292" w:rsidRPr="004D3B76" w:rsidRDefault="00603292" w:rsidP="004D3B76">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listening actively</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persuading effectively</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establishing and using networks within the university and</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establishing external community and industry networks</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collaborating with others to achieve team goals</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recognising and adopting roles within teams</w:t>
            </w:r>
          </w:p>
          <w:p w:rsidR="00603292" w:rsidRPr="004D3B76" w:rsidRDefault="00603292" w:rsidP="000609F3">
            <w:pPr>
              <w:numPr>
                <w:ilvl w:val="0"/>
                <w:numId w:val="7"/>
              </w:num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committing to a team for the period required to complete the task</w:t>
            </w:r>
          </w:p>
        </w:tc>
      </w:tr>
    </w:tbl>
    <w:p w:rsidR="00603292" w:rsidRPr="004D3B76" w:rsidRDefault="00603292"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p>
    <w:p w:rsidR="00603292" w:rsidRPr="004D3B76" w:rsidRDefault="003E062C"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ref. (</w:t>
      </w:r>
      <w:r w:rsidRPr="004D3B76">
        <w:rPr>
          <w:rFonts w:ascii="Verdana" w:hAnsi="Verdana"/>
          <w:color w:val="000000" w:themeColor="text1"/>
          <w:sz w:val="24"/>
          <w:szCs w:val="24"/>
        </w:rPr>
        <w:t>RONALD W. McQUAID AND C. LINDSAY, 2005)</w:t>
      </w:r>
    </w:p>
    <w:p w:rsidR="003E062C" w:rsidRPr="00021F06" w:rsidRDefault="003E062C" w:rsidP="000609F3">
      <w:pPr>
        <w:pStyle w:val="Heading1"/>
        <w:shd w:val="clear" w:color="auto" w:fill="FFFFFF"/>
        <w:spacing w:before="120" w:after="480" w:line="360" w:lineRule="auto"/>
        <w:jc w:val="both"/>
        <w:rPr>
          <w:rFonts w:ascii="Verdana" w:hAnsi="Verdana" w:cs="Arial"/>
          <w:bCs w:val="0"/>
          <w:color w:val="000000" w:themeColor="text1"/>
          <w:szCs w:val="24"/>
        </w:rPr>
      </w:pPr>
      <w:r w:rsidRPr="00021F06">
        <w:rPr>
          <w:rFonts w:ascii="Verdana" w:hAnsi="Verdana" w:cs="Arial"/>
          <w:bCs w:val="0"/>
          <w:color w:val="000000" w:themeColor="text1"/>
          <w:szCs w:val="24"/>
        </w:rPr>
        <w:lastRenderedPageBreak/>
        <w:t>Academic writing</w:t>
      </w:r>
    </w:p>
    <w:p w:rsidR="003E062C" w:rsidRPr="004D3B76" w:rsidRDefault="003E062C" w:rsidP="000609F3">
      <w:pPr>
        <w:shd w:val="clear" w:color="auto" w:fill="FFFFFF"/>
        <w:spacing w:after="360" w:line="360" w:lineRule="auto"/>
        <w:ind w:firstLine="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Academic writing is concise, clear, formal and active. It does not need to be complex or use long sentences and obscure vocabulary.</w:t>
      </w:r>
      <w:r w:rsidR="000609F3" w:rsidRP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In formal academic writing it is important to be concise. This helps your reader to understand the points you are making.</w:t>
      </w:r>
      <w:r w:rsidR="000609F3" w:rsidRP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Here are some tips to help you:</w:t>
      </w:r>
    </w:p>
    <w:p w:rsidR="003E062C" w:rsidRPr="004D3B76" w:rsidRDefault="003E062C" w:rsidP="000609F3">
      <w:pPr>
        <w:numPr>
          <w:ilvl w:val="0"/>
          <w:numId w:val="8"/>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Only include one main idea per sentence.</w:t>
      </w:r>
    </w:p>
    <w:p w:rsidR="003E062C" w:rsidRPr="004D3B76" w:rsidRDefault="003E062C" w:rsidP="000609F3">
      <w:pPr>
        <w:numPr>
          <w:ilvl w:val="0"/>
          <w:numId w:val="8"/>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Keep your sentences to a reasonable length (generally not more than 25 words). Long sentences can be difficult to follow and this may distract from your point.</w:t>
      </w:r>
    </w:p>
    <w:p w:rsidR="003E062C" w:rsidRPr="004D3B76" w:rsidRDefault="003E062C" w:rsidP="000609F3">
      <w:pPr>
        <w:numPr>
          <w:ilvl w:val="0"/>
          <w:numId w:val="8"/>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Avoid repetition.</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Avoid using redundant words. For example:</w:t>
      </w:r>
    </w:p>
    <w:p w:rsidR="003E062C" w:rsidRPr="004D3B76" w:rsidRDefault="003E062C" w:rsidP="000609F3">
      <w:pPr>
        <w:numPr>
          <w:ilvl w:val="0"/>
          <w:numId w:val="9"/>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Use “because” instead of “due to the fact that”.</w:t>
      </w:r>
    </w:p>
    <w:p w:rsidR="003E062C" w:rsidRPr="004D3B76" w:rsidRDefault="003E062C" w:rsidP="000609F3">
      <w:pPr>
        <w:numPr>
          <w:ilvl w:val="0"/>
          <w:numId w:val="9"/>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Use “alternatives” instead of “alternative choices”.</w:t>
      </w:r>
    </w:p>
    <w:p w:rsidR="003E062C" w:rsidRPr="004D3B76" w:rsidRDefault="003E062C" w:rsidP="000609F3">
      <w:pPr>
        <w:numPr>
          <w:ilvl w:val="0"/>
          <w:numId w:val="9"/>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Use “fundamentals” and not “basic fundamentals”.</w:t>
      </w:r>
    </w:p>
    <w:p w:rsidR="003E062C" w:rsidRPr="004D3B76" w:rsidRDefault="003E062C" w:rsidP="000609F3">
      <w:pPr>
        <w:numPr>
          <w:ilvl w:val="0"/>
          <w:numId w:val="9"/>
        </w:numPr>
        <w:shd w:val="clear" w:color="auto" w:fill="FFFFFF"/>
        <w:spacing w:before="30" w:after="30" w:line="360" w:lineRule="auto"/>
        <w:ind w:left="300"/>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Use “concisely” instead of “in as few words as possible”.</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Reading your work aloud may help you to identify any repetition or redundant words.</w:t>
      </w:r>
    </w:p>
    <w:p w:rsidR="003E062C" w:rsidRPr="004D3B76" w:rsidRDefault="003E062C" w:rsidP="000609F3">
      <w:pPr>
        <w:shd w:val="clear" w:color="auto" w:fill="FFFFFF"/>
        <w:spacing w:after="240" w:line="360" w:lineRule="auto"/>
        <w:jc w:val="both"/>
        <w:outlineLvl w:val="2"/>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Use formal language</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 xml:space="preserve">In academic writing you are expected to use formal </w:t>
      </w:r>
      <w:proofErr w:type="gramStart"/>
      <w:r w:rsidRPr="004D3B76">
        <w:rPr>
          <w:rFonts w:ascii="Verdana" w:eastAsia="Times New Roman" w:hAnsi="Verdana" w:cs="Arial"/>
          <w:color w:val="000000" w:themeColor="text1"/>
          <w:sz w:val="24"/>
          <w:szCs w:val="24"/>
        </w:rPr>
        <w:t>language.:</w:t>
      </w:r>
      <w:proofErr w:type="gramEnd"/>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Avoid using colloquialisms or slang terms such as 'sort of' or 'basically'. Instead you could use 'somewhat' or 'fundamentally'.</w:t>
      </w:r>
    </w:p>
    <w:p w:rsidR="000609F3"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 xml:space="preserve">Write words out in full rather than shortening them. For example, instead of writing “don't” or “isn't” you would be expected to write “do not” or “is not”. </w:t>
      </w:r>
      <w:r w:rsidRPr="004D3B76">
        <w:rPr>
          <w:rFonts w:ascii="Verdana" w:eastAsia="Times New Roman" w:hAnsi="Verdana" w:cs="Arial"/>
          <w:color w:val="000000" w:themeColor="text1"/>
          <w:sz w:val="24"/>
          <w:szCs w:val="24"/>
        </w:rPr>
        <w:lastRenderedPageBreak/>
        <w:t>The use of clichés is not appropriate in academic writing. These are phrases such as “at the end of the day” or “in the nick of time.” Instead of this you might write finally or at the critical moment.</w:t>
      </w:r>
      <w:r w:rsidR="000609F3" w:rsidRP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Most verbs can be used in either an active or passive form. It is usually appropriate to use a mixture of passive and active forms within academic writing. Always check with your department to see what form of writing would be most appropriate for your subject area.</w:t>
      </w:r>
      <w:r w:rsid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The </w:t>
      </w:r>
      <w:r w:rsidRPr="004D3B76">
        <w:rPr>
          <w:rFonts w:ascii="Verdana" w:eastAsia="Times New Roman" w:hAnsi="Verdana" w:cs="Arial"/>
          <w:bCs/>
          <w:color w:val="000000" w:themeColor="text1"/>
          <w:sz w:val="24"/>
          <w:szCs w:val="24"/>
        </w:rPr>
        <w:t>active voice places</w:t>
      </w:r>
      <w:r w:rsidRPr="004D3B76">
        <w:rPr>
          <w:rFonts w:ascii="Verdana" w:eastAsia="Times New Roman" w:hAnsi="Verdana" w:cs="Arial"/>
          <w:color w:val="000000" w:themeColor="text1"/>
          <w:sz w:val="24"/>
          <w:szCs w:val="24"/>
        </w:rPr>
        <w:t> the subject of the sentence in charge of the action.</w:t>
      </w:r>
      <w:r w:rsid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For example: “The research assistant designed the survey.” Here the research assistant (the subject) designed (the verb) the survey (the object)</w:t>
      </w:r>
      <w:r w:rsidR="000609F3" w:rsidRPr="004D3B76">
        <w:rPr>
          <w:rFonts w:ascii="Verdana" w:eastAsia="Times New Roman" w:hAnsi="Verdana" w:cs="Arial"/>
          <w:color w:val="000000" w:themeColor="text1"/>
          <w:sz w:val="24"/>
          <w:szCs w:val="24"/>
        </w:rPr>
        <w:t xml:space="preserve"> </w:t>
      </w:r>
      <w:r w:rsidR="000609F3" w:rsidRPr="004D3B76">
        <w:rPr>
          <w:rFonts w:ascii="Verdana" w:hAnsi="Verdana"/>
          <w:color w:val="000000" w:themeColor="text1"/>
          <w:sz w:val="24"/>
          <w:szCs w:val="24"/>
        </w:rPr>
        <w:t>WITZ, A., WARHURST, C. and NICKSON, D. (2003)</w:t>
      </w:r>
      <w:r w:rsidRPr="004D3B76">
        <w:rPr>
          <w:rFonts w:ascii="Verdana" w:eastAsia="Times New Roman" w:hAnsi="Verdana" w:cs="Arial"/>
          <w:color w:val="000000" w:themeColor="text1"/>
          <w:sz w:val="24"/>
          <w:szCs w:val="24"/>
        </w:rPr>
        <w:t>.It is usually more direct and easier to read than the passive voice.</w:t>
      </w:r>
      <w:r w:rsid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However, sometimes you may want to emphasise what is happening rather than who is doing it. To do this you can use the passive voice.</w:t>
      </w:r>
      <w:r w:rsid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The </w:t>
      </w:r>
      <w:r w:rsidRPr="004D3B76">
        <w:rPr>
          <w:rFonts w:ascii="Verdana" w:eastAsia="Times New Roman" w:hAnsi="Verdana" w:cs="Arial"/>
          <w:bCs/>
          <w:color w:val="000000" w:themeColor="text1"/>
          <w:sz w:val="24"/>
          <w:szCs w:val="24"/>
        </w:rPr>
        <w:t>passive voice</w:t>
      </w:r>
      <w:r w:rsidRPr="004D3B76">
        <w:rPr>
          <w:rFonts w:ascii="Verdana" w:eastAsia="Times New Roman" w:hAnsi="Verdana" w:cs="Arial"/>
          <w:color w:val="000000" w:themeColor="text1"/>
          <w:sz w:val="24"/>
          <w:szCs w:val="24"/>
        </w:rPr>
        <w:t> places the subject at the end, or may leave it out completely.</w:t>
      </w:r>
      <w:r w:rsidR="004D3B76">
        <w:rPr>
          <w:rFonts w:ascii="Verdana" w:eastAsia="Times New Roman" w:hAnsi="Verdana" w:cs="Arial"/>
          <w:color w:val="000000" w:themeColor="text1"/>
          <w:sz w:val="24"/>
          <w:szCs w:val="24"/>
        </w:rPr>
        <w:t xml:space="preserve"> </w:t>
      </w:r>
      <w:r w:rsidRPr="004D3B76">
        <w:rPr>
          <w:rFonts w:ascii="Verdana" w:eastAsia="Times New Roman" w:hAnsi="Verdana" w:cs="Arial"/>
          <w:color w:val="000000" w:themeColor="text1"/>
          <w:sz w:val="24"/>
          <w:szCs w:val="24"/>
        </w:rPr>
        <w:t>For example: “The survey was designed by the research assistant.” Here the survey (the object) was designed (the verb) by the research assistant (the subject)</w:t>
      </w:r>
      <w:r w:rsidR="000609F3" w:rsidRPr="004D3B76">
        <w:rPr>
          <w:rFonts w:ascii="Verdana" w:eastAsia="Times New Roman" w:hAnsi="Verdana" w:cs="Arial"/>
          <w:color w:val="000000" w:themeColor="text1"/>
          <w:sz w:val="24"/>
          <w:szCs w:val="24"/>
        </w:rPr>
        <w:t xml:space="preserve"> (</w:t>
      </w:r>
      <w:r w:rsidR="000609F3" w:rsidRPr="004D3B76">
        <w:rPr>
          <w:rFonts w:ascii="Verdana" w:hAnsi="Verdana"/>
          <w:color w:val="000000" w:themeColor="text1"/>
          <w:sz w:val="24"/>
          <w:szCs w:val="24"/>
        </w:rPr>
        <w:t>NICKSON, D. (2003)</w:t>
      </w:r>
      <w:r w:rsidRPr="004D3B76">
        <w:rPr>
          <w:rFonts w:ascii="Verdana" w:eastAsia="Times New Roman" w:hAnsi="Verdana" w:cs="Arial"/>
          <w:color w:val="000000" w:themeColor="text1"/>
          <w:sz w:val="24"/>
          <w:szCs w:val="24"/>
        </w:rPr>
        <w:t>.The passive voice is more formal than the active voice. It is often used in academic writing as it is seen as more impersonal and therefore more objective. However, it is not always easy to read and it may add unnecessary words.</w:t>
      </w:r>
      <w:r w:rsidR="000609F3" w:rsidRPr="004D3B76">
        <w:rPr>
          <w:rFonts w:ascii="Verdana" w:eastAsia="Times New Roman" w:hAnsi="Verdana" w:cs="Arial"/>
          <w:color w:val="000000" w:themeColor="text1"/>
          <w:sz w:val="24"/>
          <w:szCs w:val="24"/>
        </w:rPr>
        <w:t xml:space="preserve"> </w:t>
      </w:r>
      <w:hyperlink r:id="rId9" w:tooltip="Catalogue record" w:history="1">
        <w:r w:rsidRPr="004D3B76">
          <w:rPr>
            <w:rFonts w:ascii="Verdana" w:eastAsia="Times New Roman" w:hAnsi="Verdana" w:cs="Arial"/>
            <w:color w:val="000000" w:themeColor="text1"/>
            <w:sz w:val="24"/>
            <w:szCs w:val="24"/>
          </w:rPr>
          <w:t>Adapted from Writing with Style by Stott and Avery, 2001, p.54</w:t>
        </w:r>
      </w:hyperlink>
      <w:r w:rsidRPr="004D3B76">
        <w:rPr>
          <w:rFonts w:ascii="Verdana" w:eastAsia="Times New Roman" w:hAnsi="Verdana" w:cs="Arial"/>
          <w:color w:val="000000" w:themeColor="text1"/>
          <w:sz w:val="24"/>
          <w:szCs w:val="24"/>
        </w:rPr>
        <w:t>.</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The first step to writing academically is to clearly define the purpose of the writing and the audience.</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Most formal academic writing at university is set by, and written for, an academic tutor or assessor, and there should be clear criteria against which they will mark your work (</w:t>
      </w:r>
      <w:r w:rsidRPr="004D3B76">
        <w:rPr>
          <w:rFonts w:ascii="Verdana" w:hAnsi="Verdana"/>
          <w:color w:val="000000" w:themeColor="text1"/>
          <w:sz w:val="24"/>
          <w:szCs w:val="24"/>
        </w:rPr>
        <w:t>Robson, 2001).</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lastRenderedPageBreak/>
        <w:t>You will need to spend some time interpreting your question and deciding how to tackle your assignment. See our </w:t>
      </w:r>
      <w:hyperlink r:id="rId10" w:history="1">
        <w:r w:rsidRPr="004D3B76">
          <w:rPr>
            <w:rFonts w:ascii="Verdana" w:eastAsia="Times New Roman" w:hAnsi="Verdana" w:cs="Arial"/>
            <w:color w:val="000000" w:themeColor="text1"/>
            <w:sz w:val="24"/>
            <w:szCs w:val="24"/>
          </w:rPr>
          <w:t>Interpreting your assignment tutorial (activity)</w:t>
        </w:r>
      </w:hyperlink>
      <w:r w:rsidRPr="004D3B76">
        <w:rPr>
          <w:rFonts w:ascii="Verdana" w:eastAsia="Times New Roman" w:hAnsi="Verdana" w:cs="Arial"/>
          <w:color w:val="000000" w:themeColor="text1"/>
          <w:sz w:val="24"/>
          <w:szCs w:val="24"/>
        </w:rPr>
        <w:t xml:space="preserve"> for more details about how to do </w:t>
      </w:r>
      <w:proofErr w:type="gramStart"/>
      <w:r w:rsidRPr="004D3B76">
        <w:rPr>
          <w:rFonts w:ascii="Verdana" w:eastAsia="Times New Roman" w:hAnsi="Verdana" w:cs="Arial"/>
          <w:color w:val="000000" w:themeColor="text1"/>
          <w:sz w:val="24"/>
          <w:szCs w:val="24"/>
        </w:rPr>
        <w:t xml:space="preserve">this </w:t>
      </w:r>
      <w:r w:rsidRPr="004D3B76">
        <w:rPr>
          <w:rFonts w:ascii="Verdana" w:hAnsi="Verdana"/>
          <w:color w:val="000000" w:themeColor="text1"/>
          <w:sz w:val="24"/>
          <w:szCs w:val="24"/>
        </w:rPr>
        <w:t xml:space="preserve"> (</w:t>
      </w:r>
      <w:proofErr w:type="gramEnd"/>
      <w:r w:rsidRPr="004D3B76">
        <w:rPr>
          <w:rFonts w:ascii="Verdana" w:hAnsi="Verdana"/>
          <w:color w:val="000000" w:themeColor="text1"/>
          <w:sz w:val="24"/>
          <w:szCs w:val="24"/>
        </w:rPr>
        <w:t>McQuaid et al., 2003)</w:t>
      </w:r>
    </w:p>
    <w:p w:rsidR="003E062C" w:rsidRPr="004D3B76" w:rsidRDefault="003E062C" w:rsidP="000609F3">
      <w:pPr>
        <w:shd w:val="clear" w:color="auto" w:fill="FFFFFF"/>
        <w:spacing w:after="360" w:line="360" w:lineRule="auto"/>
        <w:jc w:val="both"/>
        <w:rPr>
          <w:rFonts w:ascii="Verdana" w:eastAsia="Times New Roman" w:hAnsi="Verdana" w:cs="Arial"/>
          <w:color w:val="000000" w:themeColor="text1"/>
          <w:sz w:val="24"/>
          <w:szCs w:val="24"/>
        </w:rPr>
      </w:pPr>
      <w:r w:rsidRPr="004D3B76">
        <w:rPr>
          <w:rFonts w:ascii="Verdana" w:eastAsia="Times New Roman" w:hAnsi="Verdana" w:cs="Arial"/>
          <w:color w:val="000000" w:themeColor="text1"/>
          <w:sz w:val="24"/>
          <w:szCs w:val="24"/>
        </w:rPr>
        <w:t>If you are writing for yourself – for example making notes to record or make sense of something – then you can set your own criteria such as clarity, brevity, and relevance. See our </w:t>
      </w:r>
      <w:hyperlink r:id="rId11" w:history="1">
        <w:r w:rsidRPr="004D3B76">
          <w:rPr>
            <w:rFonts w:ascii="Verdana" w:eastAsia="Times New Roman" w:hAnsi="Verdana" w:cs="Arial"/>
            <w:color w:val="000000" w:themeColor="text1"/>
            <w:sz w:val="24"/>
            <w:szCs w:val="24"/>
          </w:rPr>
          <w:t>Note taking and note making tutorial (activity)</w:t>
        </w:r>
      </w:hyperlink>
      <w:r w:rsidRPr="004D3B76">
        <w:rPr>
          <w:rFonts w:ascii="Verdana" w:eastAsia="Times New Roman" w:hAnsi="Verdana" w:cs="Arial"/>
          <w:color w:val="000000" w:themeColor="text1"/>
          <w:sz w:val="24"/>
          <w:szCs w:val="24"/>
        </w:rPr>
        <w:t xml:space="preserve"> for further help </w:t>
      </w:r>
      <w:r w:rsidRPr="004D3B76">
        <w:rPr>
          <w:rFonts w:ascii="Verdana" w:hAnsi="Verdana"/>
          <w:color w:val="000000" w:themeColor="text1"/>
          <w:sz w:val="24"/>
          <w:szCs w:val="24"/>
        </w:rPr>
        <w:t>(Gregg and Wandsworth, 1996; Thomas, 1997).</w:t>
      </w:r>
    </w:p>
    <w:p w:rsidR="003E062C" w:rsidRPr="004D3B76" w:rsidRDefault="003E062C" w:rsidP="000609F3">
      <w:pPr>
        <w:shd w:val="clear" w:color="auto" w:fill="FFFFFF"/>
        <w:spacing w:after="360" w:line="360" w:lineRule="auto"/>
        <w:jc w:val="both"/>
        <w:rPr>
          <w:rFonts w:ascii="Verdana" w:hAnsi="Verdana"/>
          <w:color w:val="000000" w:themeColor="text1"/>
          <w:sz w:val="24"/>
          <w:szCs w:val="24"/>
        </w:rPr>
      </w:pPr>
      <w:r w:rsidRPr="004D3B76">
        <w:rPr>
          <w:rFonts w:ascii="Verdana" w:eastAsia="Times New Roman" w:hAnsi="Verdana" w:cs="Arial"/>
          <w:color w:val="000000" w:themeColor="text1"/>
          <w:sz w:val="24"/>
          <w:szCs w:val="24"/>
        </w:rPr>
        <w:t>Once you have a clear idea of what is required for your assignment, you can start planning your research and gathering evidence. See our </w:t>
      </w:r>
      <w:hyperlink r:id="rId12" w:history="1">
        <w:proofErr w:type="gramStart"/>
        <w:r w:rsidRPr="004D3B76">
          <w:rPr>
            <w:rFonts w:ascii="Verdana" w:eastAsia="Times New Roman" w:hAnsi="Verdana" w:cs="Arial"/>
            <w:color w:val="000000" w:themeColor="text1"/>
            <w:sz w:val="24"/>
            <w:szCs w:val="24"/>
          </w:rPr>
          <w:t>Planning</w:t>
        </w:r>
        <w:proofErr w:type="gramEnd"/>
        <w:r w:rsidRPr="004D3B76">
          <w:rPr>
            <w:rFonts w:ascii="Verdana" w:eastAsia="Times New Roman" w:hAnsi="Verdana" w:cs="Arial"/>
            <w:color w:val="000000" w:themeColor="text1"/>
            <w:sz w:val="24"/>
            <w:szCs w:val="24"/>
          </w:rPr>
          <w:t xml:space="preserve"> your assignment pages</w:t>
        </w:r>
      </w:hyperlink>
      <w:r w:rsidRPr="004D3B76">
        <w:rPr>
          <w:rFonts w:ascii="Verdana" w:eastAsia="Times New Roman" w:hAnsi="Verdana" w:cs="Arial"/>
          <w:color w:val="000000" w:themeColor="text1"/>
          <w:sz w:val="24"/>
          <w:szCs w:val="24"/>
        </w:rPr>
        <w:t> for advice on breaking down the different steps in this process (</w:t>
      </w:r>
      <w:r w:rsidRPr="004D3B76">
        <w:rPr>
          <w:rFonts w:ascii="Verdana" w:hAnsi="Verdana"/>
          <w:color w:val="000000" w:themeColor="text1"/>
          <w:sz w:val="24"/>
          <w:szCs w:val="24"/>
        </w:rPr>
        <w:t>Boeri et al., 2000).</w:t>
      </w:r>
    </w:p>
    <w:p w:rsidR="0076613B" w:rsidRPr="00021F06" w:rsidRDefault="0076613B" w:rsidP="000609F3">
      <w:pPr>
        <w:pStyle w:val="Heading3"/>
        <w:spacing w:line="360" w:lineRule="auto"/>
        <w:jc w:val="both"/>
        <w:rPr>
          <w:rFonts w:ascii="Verdana" w:hAnsi="Verdana"/>
          <w:color w:val="000000" w:themeColor="text1"/>
          <w:sz w:val="28"/>
          <w:szCs w:val="24"/>
        </w:rPr>
      </w:pPr>
      <w:r w:rsidRPr="00021F06">
        <w:rPr>
          <w:rFonts w:ascii="Verdana" w:hAnsi="Verdana"/>
          <w:color w:val="000000" w:themeColor="text1"/>
          <w:sz w:val="28"/>
          <w:szCs w:val="24"/>
        </w:rPr>
        <w:t xml:space="preserve">Conclusion and </w:t>
      </w:r>
      <w:r w:rsidRPr="00021F06">
        <w:rPr>
          <w:rStyle w:val="Title1"/>
          <w:rFonts w:ascii="Verdana" w:hAnsi="Verdana" w:cs="Arial"/>
          <w:color w:val="000000" w:themeColor="text1"/>
          <w:sz w:val="28"/>
          <w:szCs w:val="24"/>
        </w:rPr>
        <w:t>recommendations for future research</w:t>
      </w:r>
    </w:p>
    <w:p w:rsidR="00796F71" w:rsidRPr="004D3B76" w:rsidRDefault="0076613B" w:rsidP="000609F3">
      <w:pPr>
        <w:shd w:val="clear" w:color="auto" w:fill="FFFFFF"/>
        <w:spacing w:after="360" w:line="360" w:lineRule="auto"/>
        <w:ind w:firstLine="720"/>
        <w:jc w:val="both"/>
        <w:rPr>
          <w:rFonts w:ascii="Verdana" w:eastAsia="Times New Roman" w:hAnsi="Verdana" w:cs="Arial"/>
          <w:color w:val="000000" w:themeColor="text1"/>
          <w:sz w:val="24"/>
          <w:szCs w:val="24"/>
        </w:rPr>
      </w:pPr>
      <w:r w:rsidRPr="004D3B76">
        <w:rPr>
          <w:rFonts w:ascii="Verdana" w:hAnsi="Verdana"/>
          <w:color w:val="000000" w:themeColor="text1"/>
          <w:sz w:val="24"/>
          <w:szCs w:val="24"/>
        </w:rPr>
        <w:t xml:space="preserve">Conclusions This paper has analysed the concept of employability by discussing its importance to local, national and international </w:t>
      </w:r>
      <w:r w:rsidR="004D3B76">
        <w:rPr>
          <w:rFonts w:ascii="Verdana" w:hAnsi="Verdana"/>
          <w:color w:val="000000" w:themeColor="text1"/>
          <w:sz w:val="24"/>
          <w:szCs w:val="24"/>
        </w:rPr>
        <w:t>work</w:t>
      </w:r>
      <w:r w:rsidRPr="004D3B76">
        <w:rPr>
          <w:rFonts w:ascii="Verdana" w:hAnsi="Verdana"/>
          <w:color w:val="000000" w:themeColor="text1"/>
          <w:sz w:val="24"/>
          <w:szCs w:val="24"/>
        </w:rPr>
        <w:t xml:space="preserve"> market policy, considering worki</w:t>
      </w:r>
      <w:r w:rsidR="00796F71" w:rsidRPr="004D3B76">
        <w:rPr>
          <w:rFonts w:ascii="Verdana" w:hAnsi="Verdana"/>
          <w:color w:val="000000" w:themeColor="text1"/>
          <w:sz w:val="24"/>
          <w:szCs w:val="24"/>
        </w:rPr>
        <w:t>ng definitions of employability (WEBSTER, D. 2000). T</w:t>
      </w:r>
      <w:r w:rsidRPr="004D3B76">
        <w:rPr>
          <w:rFonts w:ascii="Verdana" w:hAnsi="Verdana"/>
          <w:color w:val="000000" w:themeColor="text1"/>
          <w:sz w:val="24"/>
          <w:szCs w:val="24"/>
        </w:rPr>
        <w:t xml:space="preserve">racing the historical THE CONCEPT OF EMPLOYABILITY 213 development of the concept and examining how the concept is currently applied in UK </w:t>
      </w:r>
      <w:r w:rsidR="004D3B76">
        <w:rPr>
          <w:rFonts w:ascii="Verdana" w:hAnsi="Verdana"/>
          <w:color w:val="000000" w:themeColor="text1"/>
          <w:sz w:val="24"/>
          <w:szCs w:val="24"/>
        </w:rPr>
        <w:t>work</w:t>
      </w:r>
      <w:r w:rsidRPr="004D3B76">
        <w:rPr>
          <w:rFonts w:ascii="Verdana" w:hAnsi="Verdana"/>
          <w:color w:val="000000" w:themeColor="text1"/>
          <w:sz w:val="24"/>
          <w:szCs w:val="24"/>
        </w:rPr>
        <w:t xml:space="preserve"> market policy. It is important to recognise that employability implicitly assumes specific types of demand that may vary across space, time and employers</w:t>
      </w:r>
      <w:r w:rsidR="00796F71" w:rsidRPr="004D3B76">
        <w:rPr>
          <w:rFonts w:ascii="Verdana" w:hAnsi="Verdana"/>
          <w:color w:val="000000" w:themeColor="text1"/>
          <w:sz w:val="24"/>
          <w:szCs w:val="24"/>
        </w:rPr>
        <w:t xml:space="preserve"> (TUROK, I. and EDGE, N. (1999) The Jobs Gap in Britain’s Cities: Employment Loss and </w:t>
      </w:r>
      <w:r w:rsidR="004D3B76">
        <w:rPr>
          <w:rFonts w:ascii="Verdana" w:hAnsi="Verdana"/>
          <w:color w:val="000000" w:themeColor="text1"/>
          <w:sz w:val="24"/>
          <w:szCs w:val="24"/>
        </w:rPr>
        <w:t>Work</w:t>
      </w:r>
      <w:r w:rsidR="00796F71" w:rsidRPr="004D3B76">
        <w:rPr>
          <w:rFonts w:ascii="Verdana" w:hAnsi="Verdana"/>
          <w:color w:val="000000" w:themeColor="text1"/>
          <w:sz w:val="24"/>
          <w:szCs w:val="24"/>
        </w:rPr>
        <w:t xml:space="preserve"> Market Consequences. Bristol: Policy Press)</w:t>
      </w:r>
      <w:r w:rsidRPr="004D3B76">
        <w:rPr>
          <w:rFonts w:ascii="Verdana" w:hAnsi="Verdana"/>
          <w:color w:val="000000" w:themeColor="text1"/>
          <w:sz w:val="24"/>
          <w:szCs w:val="24"/>
        </w:rPr>
        <w:t xml:space="preserve">. Also, employers, potential employees and wider society can and do have fundamentally different perspectives on employability. Employability can be seen as referring to the individual’s relationship with a single job (or ‘class of jobs’), so that someone considered ‘employable’ for one job might not be </w:t>
      </w:r>
      <w:r w:rsidRPr="004D3B76">
        <w:rPr>
          <w:rFonts w:ascii="Verdana" w:hAnsi="Verdana"/>
          <w:color w:val="000000" w:themeColor="text1"/>
          <w:sz w:val="24"/>
          <w:szCs w:val="24"/>
        </w:rPr>
        <w:lastRenderedPageBreak/>
        <w:t>considered so for a different job. From an employer’s perspective, someone with appropriate employability skills and attributes may be ‘employable’, but this may be only the minimum criterion when considering candidates and no job offer may be made. From the job seeker’s perspective, a lack of availability of enabling support (such as transport to work) or contract terms (such as the requirement for shift work) may mean that a specific job is not acceptable</w:t>
      </w:r>
      <w:r w:rsidR="00796F71" w:rsidRPr="004D3B76">
        <w:rPr>
          <w:rFonts w:ascii="Verdana" w:hAnsi="Verdana"/>
          <w:color w:val="000000" w:themeColor="text1"/>
          <w:sz w:val="24"/>
          <w:szCs w:val="24"/>
        </w:rPr>
        <w:t xml:space="preserve"> (WANBERG, C., KANFER, R. and ROTUNDO, M. (1999)</w:t>
      </w:r>
      <w:r w:rsidRPr="004D3B76">
        <w:rPr>
          <w:rFonts w:ascii="Verdana" w:hAnsi="Verdana"/>
          <w:color w:val="000000" w:themeColor="text1"/>
          <w:sz w:val="24"/>
          <w:szCs w:val="24"/>
        </w:rPr>
        <w:t>. From a policy-maker’s perspective, the fact that the person does not take the job and remains unemployed suggests that (within the context of a specific vacancy or job role) the person is not ‘employable’. In recent years, many, but not all, researchers and policy-makers have used a ‘narrow’ concept of employability focusing upon ‘employability skills and attributes’, often resulting in purely supply-side ‘employability’ policies</w:t>
      </w:r>
      <w:r w:rsidR="00796F71" w:rsidRPr="004D3B76">
        <w:rPr>
          <w:rFonts w:ascii="Verdana" w:hAnsi="Verdana"/>
          <w:color w:val="000000" w:themeColor="text1"/>
          <w:sz w:val="24"/>
          <w:szCs w:val="24"/>
        </w:rPr>
        <w:t xml:space="preserve"> (GREGG, P. and WANDSWORTH, J. (1996)</w:t>
      </w:r>
      <w:r w:rsidRPr="004D3B76">
        <w:rPr>
          <w:rFonts w:ascii="Verdana" w:hAnsi="Verdana"/>
          <w:color w:val="000000" w:themeColor="text1"/>
          <w:sz w:val="24"/>
          <w:szCs w:val="24"/>
        </w:rPr>
        <w:t>. This paper presents a ‘broad’ framework of employability, which takes account not only of ‘individual factors’ (including employability skills and attributes and job search), but also ‘personal circumstances’ and ‘external factors’. Clearly, these factors have a close two-way interaction with each other.</w:t>
      </w:r>
    </w:p>
    <w:p w:rsidR="0026267A" w:rsidRPr="004D3B76" w:rsidRDefault="0026267A" w:rsidP="000609F3">
      <w:pPr>
        <w:spacing w:line="360" w:lineRule="auto"/>
        <w:jc w:val="both"/>
        <w:rPr>
          <w:rFonts w:ascii="Verdana" w:hAnsi="Verdana"/>
          <w:b/>
          <w:color w:val="000000" w:themeColor="text1"/>
          <w:sz w:val="24"/>
          <w:szCs w:val="24"/>
        </w:rPr>
      </w:pPr>
    </w:p>
    <w:p w:rsidR="0026267A" w:rsidRPr="004D3B76" w:rsidRDefault="0026267A" w:rsidP="000609F3">
      <w:pPr>
        <w:spacing w:line="360" w:lineRule="auto"/>
        <w:jc w:val="both"/>
        <w:rPr>
          <w:rFonts w:ascii="Verdana" w:hAnsi="Verdana"/>
          <w:b/>
          <w:color w:val="000000" w:themeColor="text1"/>
          <w:sz w:val="24"/>
          <w:szCs w:val="24"/>
        </w:rPr>
      </w:pPr>
    </w:p>
    <w:p w:rsidR="0026267A" w:rsidRPr="004D3B76" w:rsidRDefault="0026267A" w:rsidP="000609F3">
      <w:pPr>
        <w:spacing w:line="360" w:lineRule="auto"/>
        <w:jc w:val="both"/>
        <w:rPr>
          <w:rFonts w:ascii="Verdana" w:hAnsi="Verdana"/>
          <w:b/>
          <w:color w:val="000000" w:themeColor="text1"/>
          <w:sz w:val="24"/>
          <w:szCs w:val="24"/>
        </w:rPr>
      </w:pPr>
    </w:p>
    <w:p w:rsidR="0026267A" w:rsidRPr="004D3B76" w:rsidRDefault="0026267A" w:rsidP="000609F3">
      <w:pPr>
        <w:spacing w:line="360" w:lineRule="auto"/>
        <w:jc w:val="both"/>
        <w:rPr>
          <w:rFonts w:ascii="Verdana" w:hAnsi="Verdana"/>
          <w:b/>
          <w:color w:val="000000" w:themeColor="text1"/>
          <w:sz w:val="24"/>
          <w:szCs w:val="24"/>
        </w:rPr>
      </w:pPr>
    </w:p>
    <w:p w:rsidR="004D3B76" w:rsidRDefault="004D3B76" w:rsidP="000609F3">
      <w:pPr>
        <w:spacing w:line="360" w:lineRule="auto"/>
        <w:jc w:val="both"/>
        <w:rPr>
          <w:rFonts w:ascii="Verdana" w:hAnsi="Verdana"/>
          <w:b/>
          <w:color w:val="000000" w:themeColor="text1"/>
          <w:sz w:val="24"/>
          <w:szCs w:val="24"/>
        </w:rPr>
      </w:pPr>
    </w:p>
    <w:p w:rsidR="004D3B76" w:rsidRPr="004D3B76" w:rsidRDefault="004D3B76" w:rsidP="000609F3">
      <w:pPr>
        <w:spacing w:line="360" w:lineRule="auto"/>
        <w:jc w:val="both"/>
        <w:rPr>
          <w:rFonts w:ascii="Verdana" w:hAnsi="Verdana"/>
          <w:b/>
          <w:color w:val="000000" w:themeColor="text1"/>
          <w:sz w:val="24"/>
          <w:szCs w:val="24"/>
        </w:rPr>
      </w:pPr>
    </w:p>
    <w:p w:rsidR="0026267A" w:rsidRPr="004D3B76" w:rsidRDefault="0026267A" w:rsidP="000609F3">
      <w:pPr>
        <w:spacing w:line="360" w:lineRule="auto"/>
        <w:jc w:val="both"/>
        <w:rPr>
          <w:rFonts w:ascii="Verdana" w:hAnsi="Verdana"/>
          <w:b/>
          <w:color w:val="000000" w:themeColor="text1"/>
          <w:sz w:val="24"/>
          <w:szCs w:val="24"/>
        </w:rPr>
      </w:pPr>
      <w:bookmarkStart w:id="0" w:name="_GoBack"/>
      <w:bookmarkEnd w:id="0"/>
    </w:p>
    <w:p w:rsidR="0076613B" w:rsidRPr="00021F06" w:rsidRDefault="0076613B" w:rsidP="000609F3">
      <w:pPr>
        <w:spacing w:line="360" w:lineRule="auto"/>
        <w:jc w:val="both"/>
        <w:rPr>
          <w:rFonts w:ascii="Verdana" w:hAnsi="Verdana"/>
          <w:b/>
          <w:color w:val="000000" w:themeColor="text1"/>
          <w:sz w:val="28"/>
          <w:szCs w:val="24"/>
        </w:rPr>
      </w:pPr>
      <w:proofErr w:type="spellStart"/>
      <w:r w:rsidRPr="00021F06">
        <w:rPr>
          <w:rFonts w:ascii="Verdana" w:hAnsi="Verdana"/>
          <w:b/>
          <w:color w:val="000000" w:themeColor="text1"/>
          <w:sz w:val="28"/>
          <w:szCs w:val="24"/>
        </w:rPr>
        <w:lastRenderedPageBreak/>
        <w:t>Refencences</w:t>
      </w:r>
      <w:proofErr w:type="spellEnd"/>
    </w:p>
    <w:p w:rsidR="0076613B" w:rsidRPr="004D3B76" w:rsidRDefault="004D3B76"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proofErr w:type="gramStart"/>
      <w:r>
        <w:rPr>
          <w:rFonts w:ascii="Verdana" w:eastAsia="Times New Roman" w:hAnsi="Verdana" w:cs="Times New Roman"/>
          <w:color w:val="000000" w:themeColor="text1"/>
          <w:sz w:val="24"/>
          <w:szCs w:val="24"/>
        </w:rPr>
        <w:t xml:space="preserve">Knight, </w:t>
      </w:r>
      <w:r w:rsidR="0076613B" w:rsidRPr="004D3B76">
        <w:rPr>
          <w:rFonts w:ascii="Verdana" w:eastAsia="Times New Roman" w:hAnsi="Verdana" w:cs="Times New Roman"/>
          <w:color w:val="000000" w:themeColor="text1"/>
          <w:sz w:val="24"/>
          <w:szCs w:val="24"/>
        </w:rPr>
        <w:t>P.T. &amp; Yorke, M. (2002) Employability through the curriculum.</w:t>
      </w:r>
      <w:proofErr w:type="gramEnd"/>
      <w:r w:rsidR="0076613B" w:rsidRPr="004D3B76">
        <w:rPr>
          <w:rFonts w:ascii="Verdana" w:eastAsia="Times New Roman" w:hAnsi="Verdana" w:cs="Times New Roman"/>
          <w:color w:val="000000" w:themeColor="text1"/>
          <w:sz w:val="24"/>
          <w:szCs w:val="24"/>
        </w:rPr>
        <w:t> </w:t>
      </w:r>
      <w:r w:rsidR="0076613B" w:rsidRPr="004D3B76">
        <w:rPr>
          <w:rFonts w:ascii="Verdana" w:eastAsia="Times New Roman" w:hAnsi="Verdana" w:cs="Times New Roman"/>
          <w:iCs/>
          <w:color w:val="000000" w:themeColor="text1"/>
          <w:sz w:val="24"/>
          <w:szCs w:val="24"/>
        </w:rPr>
        <w:t>Tertiary Education and Management,</w:t>
      </w:r>
      <w:r w:rsidR="0076613B" w:rsidRPr="004D3B76">
        <w:rPr>
          <w:rFonts w:ascii="Verdana" w:eastAsia="Times New Roman" w:hAnsi="Verdana" w:cs="Times New Roman"/>
          <w:color w:val="000000" w:themeColor="text1"/>
          <w:sz w:val="24"/>
          <w:szCs w:val="24"/>
        </w:rPr>
        <w:t> 8, 261-276.</w:t>
      </w:r>
    </w:p>
    <w:p w:rsidR="0076613B" w:rsidRPr="004D3B76" w:rsidRDefault="0076613B"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proofErr w:type="gramStart"/>
      <w:r w:rsidRPr="004D3B76">
        <w:rPr>
          <w:rFonts w:ascii="Verdana" w:eastAsia="Times New Roman" w:hAnsi="Verdana" w:cs="Times New Roman"/>
          <w:color w:val="000000" w:themeColor="text1"/>
          <w:sz w:val="24"/>
          <w:szCs w:val="24"/>
        </w:rPr>
        <w:t>Knight, P.T. &amp; Yorke, M. (2006).</w:t>
      </w:r>
      <w:proofErr w:type="gramEnd"/>
      <w:r w:rsidRPr="004D3B76">
        <w:rPr>
          <w:rFonts w:ascii="Verdana" w:eastAsia="Times New Roman" w:hAnsi="Verdana" w:cs="Times New Roman"/>
          <w:color w:val="000000" w:themeColor="text1"/>
          <w:sz w:val="24"/>
          <w:szCs w:val="24"/>
        </w:rPr>
        <w:t> </w:t>
      </w:r>
      <w:proofErr w:type="gramStart"/>
      <w:r w:rsidRPr="004D3B76">
        <w:rPr>
          <w:rFonts w:ascii="Verdana" w:eastAsia="Times New Roman" w:hAnsi="Verdana" w:cs="Times New Roman"/>
          <w:iCs/>
          <w:color w:val="000000" w:themeColor="text1"/>
          <w:sz w:val="24"/>
          <w:szCs w:val="24"/>
        </w:rPr>
        <w:t>Embedding employability into the curriculum.</w:t>
      </w:r>
      <w:proofErr w:type="gramEnd"/>
      <w:r w:rsidRPr="004D3B76">
        <w:rPr>
          <w:rFonts w:ascii="Verdana" w:eastAsia="Times New Roman" w:hAnsi="Verdana" w:cs="Times New Roman"/>
          <w:color w:val="000000" w:themeColor="text1"/>
          <w:sz w:val="24"/>
          <w:szCs w:val="24"/>
        </w:rPr>
        <w:t> York: The Higher Education Academy. Retr</w:t>
      </w:r>
      <w:r w:rsidR="004D3B76">
        <w:rPr>
          <w:rFonts w:ascii="Verdana" w:eastAsia="Times New Roman" w:hAnsi="Verdana" w:cs="Times New Roman"/>
          <w:color w:val="000000" w:themeColor="text1"/>
          <w:sz w:val="24"/>
          <w:szCs w:val="24"/>
        </w:rPr>
        <w:t xml:space="preserve">ieved 14 November, 2011 </w:t>
      </w:r>
      <w:r w:rsidRPr="004D3B76">
        <w:rPr>
          <w:rFonts w:ascii="Verdana" w:eastAsia="Times New Roman" w:hAnsi="Verdana" w:cs="Times New Roman"/>
          <w:color w:val="000000" w:themeColor="text1"/>
          <w:sz w:val="24"/>
          <w:szCs w:val="24"/>
        </w:rPr>
        <w:t>from </w:t>
      </w:r>
      <w:hyperlink r:id="rId13" w:history="1">
        <w:r w:rsidRPr="004D3B76">
          <w:rPr>
            <w:rFonts w:ascii="Verdana" w:eastAsia="Times New Roman" w:hAnsi="Verdana" w:cs="Times New Roman"/>
            <w:color w:val="000000" w:themeColor="text1"/>
            <w:sz w:val="24"/>
            <w:szCs w:val="24"/>
          </w:rPr>
          <w:t>http://www.heacademy.ac.uk/assets/documents/employability/id460_embedding_employability_into_the_curriculum_338.pdf</w:t>
        </w:r>
      </w:hyperlink>
    </w:p>
    <w:p w:rsidR="0076613B" w:rsidRPr="004D3B76" w:rsidRDefault="0076613B"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eastAsia="Times New Roman" w:hAnsi="Verdana" w:cs="Times New Roman"/>
          <w:color w:val="000000" w:themeColor="text1"/>
          <w:sz w:val="24"/>
          <w:szCs w:val="24"/>
        </w:rPr>
        <w:t xml:space="preserve">Mayer, E. (Chair). </w:t>
      </w:r>
      <w:proofErr w:type="gramStart"/>
      <w:r w:rsidRPr="004D3B76">
        <w:rPr>
          <w:rFonts w:ascii="Verdana" w:eastAsia="Times New Roman" w:hAnsi="Verdana" w:cs="Times New Roman"/>
          <w:color w:val="000000" w:themeColor="text1"/>
          <w:sz w:val="24"/>
          <w:szCs w:val="24"/>
        </w:rPr>
        <w:t>(1992). </w:t>
      </w:r>
      <w:r w:rsidRPr="004D3B76">
        <w:rPr>
          <w:rFonts w:ascii="Verdana" w:eastAsia="Times New Roman" w:hAnsi="Verdana" w:cs="Times New Roman"/>
          <w:iCs/>
          <w:color w:val="000000" w:themeColor="text1"/>
          <w:sz w:val="24"/>
          <w:szCs w:val="24"/>
        </w:rPr>
        <w:t>Report of the Committee to Advise the Australian Education Council and Ministers of Vocational Education, Employment and Training on Employment-Related Key Competencies for Post Compulsory Education and Training</w:t>
      </w:r>
      <w:r w:rsidRPr="004D3B76">
        <w:rPr>
          <w:rFonts w:ascii="Verdana" w:eastAsia="Times New Roman" w:hAnsi="Verdana" w:cs="Times New Roman"/>
          <w:color w:val="000000" w:themeColor="text1"/>
          <w:sz w:val="24"/>
          <w:szCs w:val="24"/>
        </w:rPr>
        <w:t>.</w:t>
      </w:r>
      <w:proofErr w:type="gramEnd"/>
      <w:r w:rsidRPr="004D3B76">
        <w:rPr>
          <w:rFonts w:ascii="Verdana" w:eastAsia="Times New Roman" w:hAnsi="Verdana" w:cs="Times New Roman"/>
          <w:color w:val="000000" w:themeColor="text1"/>
          <w:sz w:val="24"/>
          <w:szCs w:val="24"/>
        </w:rPr>
        <w:t xml:space="preserve"> </w:t>
      </w:r>
      <w:proofErr w:type="gramStart"/>
      <w:r w:rsidRPr="004D3B76">
        <w:rPr>
          <w:rFonts w:ascii="Verdana" w:eastAsia="Times New Roman" w:hAnsi="Verdana" w:cs="Times New Roman"/>
          <w:color w:val="000000" w:themeColor="text1"/>
          <w:sz w:val="24"/>
          <w:szCs w:val="24"/>
        </w:rPr>
        <w:t>September 1992, Carlton South, Australian Education Council.</w:t>
      </w:r>
      <w:proofErr w:type="gramEnd"/>
    </w:p>
    <w:p w:rsidR="0076613B" w:rsidRPr="004D3B76" w:rsidRDefault="0076613B"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proofErr w:type="gramStart"/>
      <w:r w:rsidRPr="004D3B76">
        <w:rPr>
          <w:rFonts w:ascii="Verdana" w:eastAsia="Times New Roman" w:hAnsi="Verdana" w:cs="Times New Roman"/>
          <w:color w:val="000000" w:themeColor="text1"/>
          <w:sz w:val="24"/>
          <w:szCs w:val="24"/>
        </w:rPr>
        <w:t>Miles, J.J., Cairns, S. &amp; Huston, M. (2002).</w:t>
      </w:r>
      <w:proofErr w:type="gramEnd"/>
      <w:r w:rsidRPr="004D3B76">
        <w:rPr>
          <w:rFonts w:ascii="Verdana" w:eastAsia="Times New Roman" w:hAnsi="Verdana" w:cs="Times New Roman"/>
          <w:color w:val="000000" w:themeColor="text1"/>
          <w:sz w:val="24"/>
          <w:szCs w:val="24"/>
        </w:rPr>
        <w:t xml:space="preserve"> </w:t>
      </w:r>
      <w:proofErr w:type="gramStart"/>
      <w:r w:rsidRPr="004D3B76">
        <w:rPr>
          <w:rFonts w:ascii="Verdana" w:eastAsia="Times New Roman" w:hAnsi="Verdana" w:cs="Times New Roman"/>
          <w:color w:val="000000" w:themeColor="text1"/>
          <w:sz w:val="24"/>
          <w:szCs w:val="24"/>
        </w:rPr>
        <w:t>Seven Habits of Successful Students.</w:t>
      </w:r>
      <w:proofErr w:type="gramEnd"/>
      <w:r w:rsidRPr="004D3B76">
        <w:rPr>
          <w:rFonts w:ascii="Verdana" w:eastAsia="Times New Roman" w:hAnsi="Verdana" w:cs="Times New Roman"/>
          <w:color w:val="000000" w:themeColor="text1"/>
          <w:sz w:val="24"/>
          <w:szCs w:val="24"/>
        </w:rPr>
        <w:t xml:space="preserve"> </w:t>
      </w:r>
      <w:proofErr w:type="gramStart"/>
      <w:r w:rsidRPr="004D3B76">
        <w:rPr>
          <w:rFonts w:ascii="Verdana" w:eastAsia="Times New Roman" w:hAnsi="Verdana" w:cs="Times New Roman"/>
          <w:color w:val="000000" w:themeColor="text1"/>
          <w:sz w:val="24"/>
          <w:szCs w:val="24"/>
        </w:rPr>
        <w:t>Counselling Centre, University of Calgary.</w:t>
      </w:r>
      <w:proofErr w:type="gramEnd"/>
      <w:r w:rsidRPr="004D3B76">
        <w:rPr>
          <w:rFonts w:ascii="Verdana" w:eastAsia="Times New Roman" w:hAnsi="Verdana" w:cs="Times New Roman"/>
          <w:color w:val="000000" w:themeColor="text1"/>
          <w:sz w:val="24"/>
          <w:szCs w:val="24"/>
        </w:rPr>
        <w:t xml:space="preserve"> Retrieved from </w:t>
      </w:r>
      <w:hyperlink r:id="rId14" w:history="1">
        <w:r w:rsidRPr="004D3B76">
          <w:rPr>
            <w:rFonts w:ascii="Verdana" w:eastAsia="Times New Roman" w:hAnsi="Verdana" w:cs="Times New Roman"/>
            <w:color w:val="000000" w:themeColor="text1"/>
            <w:sz w:val="24"/>
            <w:szCs w:val="24"/>
          </w:rPr>
          <w:t>http://www.ucalgary.ca/counselling/academicsuccess/studyskills/sevenhabits</w:t>
        </w:r>
      </w:hyperlink>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proofErr w:type="gramStart"/>
      <w:r w:rsidRPr="004D3B76">
        <w:rPr>
          <w:rFonts w:ascii="Verdana" w:hAnsi="Verdana"/>
          <w:color w:val="000000" w:themeColor="text1"/>
          <w:sz w:val="24"/>
          <w:szCs w:val="24"/>
        </w:rPr>
        <w:t>LAYARD, R. (2000) Welfare-to-work and the New Deal, World Economics, 1, pp. 29–39.</w:t>
      </w:r>
      <w:proofErr w:type="gramEnd"/>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r w:rsidRPr="004D3B76">
        <w:rPr>
          <w:rFonts w:ascii="Verdana" w:hAnsi="Verdana"/>
          <w:color w:val="000000" w:themeColor="text1"/>
          <w:sz w:val="24"/>
          <w:szCs w:val="24"/>
        </w:rPr>
        <w:t xml:space="preserve">MILLAR, J. (2000) Keeping Track of Welfare Reform: The New Deal </w:t>
      </w:r>
      <w:proofErr w:type="spellStart"/>
      <w:r w:rsidRPr="004D3B76">
        <w:rPr>
          <w:rFonts w:ascii="Verdana" w:hAnsi="Verdana"/>
          <w:color w:val="000000" w:themeColor="text1"/>
          <w:sz w:val="24"/>
          <w:szCs w:val="24"/>
        </w:rPr>
        <w:t>Prog</w:t>
      </w:r>
      <w:proofErr w:type="spellEnd"/>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r w:rsidRPr="004D3B76">
        <w:rPr>
          <w:rFonts w:ascii="Verdana" w:hAnsi="Verdana"/>
          <w:color w:val="000000" w:themeColor="text1"/>
          <w:sz w:val="24"/>
          <w:szCs w:val="24"/>
        </w:rPr>
        <w:t xml:space="preserve">CHAPPLE, K. (2002) Out of touch, out of bounds: how social networks shape the </w:t>
      </w:r>
      <w:r w:rsidR="004D3B76">
        <w:rPr>
          <w:rFonts w:ascii="Verdana" w:hAnsi="Verdana"/>
          <w:color w:val="000000" w:themeColor="text1"/>
          <w:sz w:val="24"/>
          <w:szCs w:val="24"/>
        </w:rPr>
        <w:t>work</w:t>
      </w:r>
      <w:r w:rsidRPr="004D3B76">
        <w:rPr>
          <w:rFonts w:ascii="Verdana" w:hAnsi="Verdana"/>
          <w:color w:val="000000" w:themeColor="text1"/>
          <w:sz w:val="24"/>
          <w:szCs w:val="24"/>
        </w:rPr>
        <w:t xml:space="preserve"> market radii of women on welfare in San Francisco, Urban Geography, 22, pp. 617–640.</w:t>
      </w:r>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proofErr w:type="gramStart"/>
      <w:r w:rsidRPr="004D3B76">
        <w:rPr>
          <w:rFonts w:ascii="Verdana" w:hAnsi="Verdana"/>
          <w:color w:val="000000" w:themeColor="text1"/>
          <w:sz w:val="24"/>
          <w:szCs w:val="24"/>
        </w:rPr>
        <w:lastRenderedPageBreak/>
        <w:t>EVANS, C., NATHAN, M. and SIMMONDS, D. (1999) Employability through Work.</w:t>
      </w:r>
      <w:proofErr w:type="gramEnd"/>
      <w:r w:rsidRPr="004D3B76">
        <w:rPr>
          <w:rFonts w:ascii="Verdana" w:hAnsi="Verdana"/>
          <w:color w:val="000000" w:themeColor="text1"/>
          <w:sz w:val="24"/>
          <w:szCs w:val="24"/>
        </w:rPr>
        <w:t xml:space="preserve"> Manc</w:t>
      </w:r>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proofErr w:type="gramStart"/>
      <w:r w:rsidRPr="004D3B76">
        <w:rPr>
          <w:rFonts w:ascii="Verdana" w:hAnsi="Verdana"/>
          <w:color w:val="000000" w:themeColor="text1"/>
          <w:sz w:val="24"/>
          <w:szCs w:val="24"/>
        </w:rPr>
        <w:t>BOERI, T., LAYARD, R. and NICKELL, S. (2000) Welfare to work and the fight against long-term unemployment.</w:t>
      </w:r>
      <w:proofErr w:type="gramEnd"/>
      <w:r w:rsidRPr="004D3B76">
        <w:rPr>
          <w:rFonts w:ascii="Verdana" w:hAnsi="Verdana"/>
          <w:color w:val="000000" w:themeColor="text1"/>
          <w:sz w:val="24"/>
          <w:szCs w:val="24"/>
        </w:rPr>
        <w:t xml:space="preserve"> </w:t>
      </w:r>
      <w:proofErr w:type="spellStart"/>
      <w:r w:rsidRPr="004D3B76">
        <w:rPr>
          <w:rFonts w:ascii="Verdana" w:hAnsi="Verdana"/>
          <w:color w:val="000000" w:themeColor="text1"/>
          <w:sz w:val="24"/>
          <w:szCs w:val="24"/>
        </w:rPr>
        <w:t>DfEE</w:t>
      </w:r>
      <w:proofErr w:type="spellEnd"/>
      <w:r w:rsidRPr="004D3B76">
        <w:rPr>
          <w:rFonts w:ascii="Verdana" w:hAnsi="Verdana"/>
          <w:color w:val="000000" w:themeColor="text1"/>
          <w:sz w:val="24"/>
          <w:szCs w:val="24"/>
        </w:rPr>
        <w:t xml:space="preserve"> Research Rep</w:t>
      </w:r>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proofErr w:type="gramStart"/>
      <w:r w:rsidRPr="004D3B76">
        <w:rPr>
          <w:rFonts w:ascii="Verdana" w:hAnsi="Verdana"/>
          <w:color w:val="000000" w:themeColor="text1"/>
          <w:sz w:val="24"/>
          <w:szCs w:val="24"/>
        </w:rPr>
        <w:t>ADAM-SMITH, D., NORRIS, G. and WILLIAMS, S. (2003) Continuity or change?</w:t>
      </w:r>
      <w:proofErr w:type="gramEnd"/>
      <w:r w:rsidRPr="004D3B76">
        <w:rPr>
          <w:rFonts w:ascii="Verdana" w:hAnsi="Verdana"/>
          <w:color w:val="000000" w:themeColor="text1"/>
          <w:sz w:val="24"/>
          <w:szCs w:val="24"/>
        </w:rPr>
        <w:t xml:space="preserve"> The implications of the National Minimum Wage for work and employment in the hospitality industry, Work, Employment and Society</w:t>
      </w:r>
    </w:p>
    <w:p w:rsidR="0076613B" w:rsidRPr="004D3B76" w:rsidRDefault="0076613B" w:rsidP="000609F3">
      <w:pPr>
        <w:spacing w:before="100" w:beforeAutospacing="1" w:after="100" w:afterAutospacing="1" w:line="360" w:lineRule="auto"/>
        <w:jc w:val="both"/>
        <w:rPr>
          <w:rFonts w:ascii="Verdana" w:hAnsi="Verdana"/>
          <w:color w:val="000000" w:themeColor="text1"/>
          <w:sz w:val="24"/>
          <w:szCs w:val="24"/>
        </w:rPr>
      </w:pPr>
      <w:proofErr w:type="gramStart"/>
      <w:r w:rsidRPr="004D3B76">
        <w:rPr>
          <w:rFonts w:ascii="Verdana" w:hAnsi="Verdana"/>
          <w:color w:val="000000" w:themeColor="text1"/>
          <w:sz w:val="24"/>
          <w:szCs w:val="24"/>
        </w:rPr>
        <w:t>ABERG, R. (2001) Equilibrium unemployment, search behaviour and unemployment persistency, Cambridge Journal of Economics, 25, pp. 131–147.</w:t>
      </w:r>
      <w:proofErr w:type="gramEnd"/>
    </w:p>
    <w:p w:rsidR="00796F71" w:rsidRPr="004D3B76" w:rsidRDefault="00796F71" w:rsidP="000609F3">
      <w:pPr>
        <w:spacing w:before="100" w:beforeAutospacing="1" w:after="100" w:afterAutospacing="1" w:line="360" w:lineRule="auto"/>
        <w:jc w:val="both"/>
        <w:rPr>
          <w:rFonts w:ascii="Verdana" w:eastAsia="Times New Roman" w:hAnsi="Verdana" w:cs="Times New Roman"/>
          <w:color w:val="000000" w:themeColor="text1"/>
          <w:sz w:val="24"/>
          <w:szCs w:val="24"/>
        </w:rPr>
      </w:pPr>
      <w:r w:rsidRPr="004D3B76">
        <w:rPr>
          <w:rFonts w:ascii="Verdana" w:hAnsi="Verdana"/>
          <w:color w:val="000000" w:themeColor="text1"/>
          <w:sz w:val="24"/>
          <w:szCs w:val="24"/>
        </w:rPr>
        <w:t xml:space="preserve">WITZ, A., WARHURST, C. and NICKSON, D. (2003) </w:t>
      </w:r>
      <w:proofErr w:type="gramStart"/>
      <w:r w:rsidRPr="004D3B76">
        <w:rPr>
          <w:rFonts w:ascii="Verdana" w:hAnsi="Verdana"/>
          <w:color w:val="000000" w:themeColor="text1"/>
          <w:sz w:val="24"/>
          <w:szCs w:val="24"/>
        </w:rPr>
        <w:t>The</w:t>
      </w:r>
      <w:proofErr w:type="gramEnd"/>
      <w:r w:rsidRPr="004D3B76">
        <w:rPr>
          <w:rFonts w:ascii="Verdana" w:hAnsi="Verdana"/>
          <w:color w:val="000000" w:themeColor="text1"/>
          <w:sz w:val="24"/>
          <w:szCs w:val="24"/>
        </w:rPr>
        <w:t xml:space="preserve"> </w:t>
      </w:r>
      <w:r w:rsidR="004D3B76">
        <w:rPr>
          <w:rFonts w:ascii="Verdana" w:hAnsi="Verdana"/>
          <w:color w:val="000000" w:themeColor="text1"/>
          <w:sz w:val="24"/>
          <w:szCs w:val="24"/>
        </w:rPr>
        <w:t>work</w:t>
      </w:r>
      <w:r w:rsidRPr="004D3B76">
        <w:rPr>
          <w:rFonts w:ascii="Verdana" w:hAnsi="Verdana"/>
          <w:color w:val="000000" w:themeColor="text1"/>
          <w:sz w:val="24"/>
          <w:szCs w:val="24"/>
        </w:rPr>
        <w:t xml:space="preserve"> of aesthetics and </w:t>
      </w:r>
      <w:r w:rsidR="004D3B76">
        <w:rPr>
          <w:rFonts w:ascii="Verdana" w:hAnsi="Verdana"/>
          <w:color w:val="000000" w:themeColor="text1"/>
          <w:sz w:val="24"/>
          <w:szCs w:val="24"/>
        </w:rPr>
        <w:t>the aesthetics of organisation</w:t>
      </w:r>
      <w:r w:rsidRPr="004D3B76">
        <w:rPr>
          <w:rFonts w:ascii="Verdana" w:hAnsi="Verdana"/>
          <w:color w:val="000000" w:themeColor="text1"/>
          <w:sz w:val="24"/>
          <w:szCs w:val="24"/>
        </w:rPr>
        <w:t>, 10, pp. 33–54.</w:t>
      </w:r>
    </w:p>
    <w:sectPr w:rsidR="00796F71" w:rsidRPr="004D3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B7404"/>
    <w:multiLevelType w:val="multilevel"/>
    <w:tmpl w:val="F992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A804A6"/>
    <w:multiLevelType w:val="multilevel"/>
    <w:tmpl w:val="0702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7517F9"/>
    <w:multiLevelType w:val="multilevel"/>
    <w:tmpl w:val="BC0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8B0187"/>
    <w:multiLevelType w:val="multilevel"/>
    <w:tmpl w:val="A1F6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433761"/>
    <w:multiLevelType w:val="multilevel"/>
    <w:tmpl w:val="90F4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71142F"/>
    <w:multiLevelType w:val="multilevel"/>
    <w:tmpl w:val="058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301028"/>
    <w:multiLevelType w:val="multilevel"/>
    <w:tmpl w:val="0354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B13D71"/>
    <w:multiLevelType w:val="multilevel"/>
    <w:tmpl w:val="CA9C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363287"/>
    <w:multiLevelType w:val="multilevel"/>
    <w:tmpl w:val="38EA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8"/>
  </w:num>
  <w:num w:numId="5">
    <w:abstractNumId w:val="0"/>
  </w:num>
  <w:num w:numId="6">
    <w:abstractNumId w:val="2"/>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E87"/>
    <w:rsid w:val="00021F06"/>
    <w:rsid w:val="00034D14"/>
    <w:rsid w:val="000609F3"/>
    <w:rsid w:val="00196A25"/>
    <w:rsid w:val="00200BBA"/>
    <w:rsid w:val="0026267A"/>
    <w:rsid w:val="003E062C"/>
    <w:rsid w:val="00473E87"/>
    <w:rsid w:val="004D3B76"/>
    <w:rsid w:val="00552E4D"/>
    <w:rsid w:val="00603292"/>
    <w:rsid w:val="00677D93"/>
    <w:rsid w:val="006974C5"/>
    <w:rsid w:val="0076613B"/>
    <w:rsid w:val="00796F71"/>
    <w:rsid w:val="007A6210"/>
    <w:rsid w:val="0086251D"/>
    <w:rsid w:val="008939E5"/>
    <w:rsid w:val="00961443"/>
    <w:rsid w:val="00C811DC"/>
    <w:rsid w:val="00D44255"/>
    <w:rsid w:val="00F51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1102">
      <w:bodyDiv w:val="1"/>
      <w:marLeft w:val="0"/>
      <w:marRight w:val="0"/>
      <w:marTop w:val="0"/>
      <w:marBottom w:val="0"/>
      <w:divBdr>
        <w:top w:val="none" w:sz="0" w:space="0" w:color="auto"/>
        <w:left w:val="none" w:sz="0" w:space="0" w:color="auto"/>
        <w:bottom w:val="none" w:sz="0" w:space="0" w:color="auto"/>
        <w:right w:val="none" w:sz="0" w:space="0" w:color="auto"/>
      </w:divBdr>
    </w:div>
    <w:div w:id="211842526">
      <w:bodyDiv w:val="1"/>
      <w:marLeft w:val="0"/>
      <w:marRight w:val="0"/>
      <w:marTop w:val="0"/>
      <w:marBottom w:val="0"/>
      <w:divBdr>
        <w:top w:val="none" w:sz="0" w:space="0" w:color="auto"/>
        <w:left w:val="none" w:sz="0" w:space="0" w:color="auto"/>
        <w:bottom w:val="none" w:sz="0" w:space="0" w:color="auto"/>
        <w:right w:val="none" w:sz="0" w:space="0" w:color="auto"/>
      </w:divBdr>
    </w:div>
    <w:div w:id="315719076">
      <w:bodyDiv w:val="1"/>
      <w:marLeft w:val="0"/>
      <w:marRight w:val="0"/>
      <w:marTop w:val="0"/>
      <w:marBottom w:val="0"/>
      <w:divBdr>
        <w:top w:val="none" w:sz="0" w:space="0" w:color="auto"/>
        <w:left w:val="none" w:sz="0" w:space="0" w:color="auto"/>
        <w:bottom w:val="none" w:sz="0" w:space="0" w:color="auto"/>
        <w:right w:val="none" w:sz="0" w:space="0" w:color="auto"/>
      </w:divBdr>
    </w:div>
    <w:div w:id="516777969">
      <w:bodyDiv w:val="1"/>
      <w:marLeft w:val="0"/>
      <w:marRight w:val="0"/>
      <w:marTop w:val="0"/>
      <w:marBottom w:val="0"/>
      <w:divBdr>
        <w:top w:val="none" w:sz="0" w:space="0" w:color="auto"/>
        <w:left w:val="none" w:sz="0" w:space="0" w:color="auto"/>
        <w:bottom w:val="none" w:sz="0" w:space="0" w:color="auto"/>
        <w:right w:val="none" w:sz="0" w:space="0" w:color="auto"/>
      </w:divBdr>
    </w:div>
    <w:div w:id="549418294">
      <w:bodyDiv w:val="1"/>
      <w:marLeft w:val="0"/>
      <w:marRight w:val="0"/>
      <w:marTop w:val="0"/>
      <w:marBottom w:val="0"/>
      <w:divBdr>
        <w:top w:val="none" w:sz="0" w:space="0" w:color="auto"/>
        <w:left w:val="none" w:sz="0" w:space="0" w:color="auto"/>
        <w:bottom w:val="none" w:sz="0" w:space="0" w:color="auto"/>
        <w:right w:val="none" w:sz="0" w:space="0" w:color="auto"/>
      </w:divBdr>
    </w:div>
    <w:div w:id="991526647">
      <w:bodyDiv w:val="1"/>
      <w:marLeft w:val="0"/>
      <w:marRight w:val="0"/>
      <w:marTop w:val="0"/>
      <w:marBottom w:val="0"/>
      <w:divBdr>
        <w:top w:val="none" w:sz="0" w:space="0" w:color="auto"/>
        <w:left w:val="none" w:sz="0" w:space="0" w:color="auto"/>
        <w:bottom w:val="none" w:sz="0" w:space="0" w:color="auto"/>
        <w:right w:val="none" w:sz="0" w:space="0" w:color="auto"/>
      </w:divBdr>
    </w:div>
    <w:div w:id="1072964183">
      <w:bodyDiv w:val="1"/>
      <w:marLeft w:val="0"/>
      <w:marRight w:val="0"/>
      <w:marTop w:val="0"/>
      <w:marBottom w:val="0"/>
      <w:divBdr>
        <w:top w:val="none" w:sz="0" w:space="0" w:color="auto"/>
        <w:left w:val="none" w:sz="0" w:space="0" w:color="auto"/>
        <w:bottom w:val="none" w:sz="0" w:space="0" w:color="auto"/>
        <w:right w:val="none" w:sz="0" w:space="0" w:color="auto"/>
      </w:divBdr>
    </w:div>
    <w:div w:id="1138453749">
      <w:bodyDiv w:val="1"/>
      <w:marLeft w:val="0"/>
      <w:marRight w:val="0"/>
      <w:marTop w:val="0"/>
      <w:marBottom w:val="0"/>
      <w:divBdr>
        <w:top w:val="none" w:sz="0" w:space="0" w:color="auto"/>
        <w:left w:val="none" w:sz="0" w:space="0" w:color="auto"/>
        <w:bottom w:val="none" w:sz="0" w:space="0" w:color="auto"/>
        <w:right w:val="none" w:sz="0" w:space="0" w:color="auto"/>
      </w:divBdr>
    </w:div>
    <w:div w:id="1155534702">
      <w:bodyDiv w:val="1"/>
      <w:marLeft w:val="0"/>
      <w:marRight w:val="0"/>
      <w:marTop w:val="0"/>
      <w:marBottom w:val="0"/>
      <w:divBdr>
        <w:top w:val="none" w:sz="0" w:space="0" w:color="auto"/>
        <w:left w:val="none" w:sz="0" w:space="0" w:color="auto"/>
        <w:bottom w:val="none" w:sz="0" w:space="0" w:color="auto"/>
        <w:right w:val="none" w:sz="0" w:space="0" w:color="auto"/>
      </w:divBdr>
    </w:div>
    <w:div w:id="1264458623">
      <w:bodyDiv w:val="1"/>
      <w:marLeft w:val="0"/>
      <w:marRight w:val="0"/>
      <w:marTop w:val="0"/>
      <w:marBottom w:val="0"/>
      <w:divBdr>
        <w:top w:val="none" w:sz="0" w:space="0" w:color="auto"/>
        <w:left w:val="none" w:sz="0" w:space="0" w:color="auto"/>
        <w:bottom w:val="none" w:sz="0" w:space="0" w:color="auto"/>
        <w:right w:val="none" w:sz="0" w:space="0" w:color="auto"/>
      </w:divBdr>
    </w:div>
    <w:div w:id="1297296294">
      <w:bodyDiv w:val="1"/>
      <w:marLeft w:val="0"/>
      <w:marRight w:val="0"/>
      <w:marTop w:val="0"/>
      <w:marBottom w:val="0"/>
      <w:divBdr>
        <w:top w:val="none" w:sz="0" w:space="0" w:color="auto"/>
        <w:left w:val="none" w:sz="0" w:space="0" w:color="auto"/>
        <w:bottom w:val="none" w:sz="0" w:space="0" w:color="auto"/>
        <w:right w:val="none" w:sz="0" w:space="0" w:color="auto"/>
      </w:divBdr>
    </w:div>
    <w:div w:id="1524053138">
      <w:bodyDiv w:val="1"/>
      <w:marLeft w:val="0"/>
      <w:marRight w:val="0"/>
      <w:marTop w:val="0"/>
      <w:marBottom w:val="0"/>
      <w:divBdr>
        <w:top w:val="none" w:sz="0" w:space="0" w:color="auto"/>
        <w:left w:val="none" w:sz="0" w:space="0" w:color="auto"/>
        <w:bottom w:val="none" w:sz="0" w:space="0" w:color="auto"/>
        <w:right w:val="none" w:sz="0" w:space="0" w:color="auto"/>
      </w:divBdr>
    </w:div>
    <w:div w:id="1536384659">
      <w:bodyDiv w:val="1"/>
      <w:marLeft w:val="0"/>
      <w:marRight w:val="0"/>
      <w:marTop w:val="0"/>
      <w:marBottom w:val="0"/>
      <w:divBdr>
        <w:top w:val="none" w:sz="0" w:space="0" w:color="auto"/>
        <w:left w:val="none" w:sz="0" w:space="0" w:color="auto"/>
        <w:bottom w:val="none" w:sz="0" w:space="0" w:color="auto"/>
        <w:right w:val="none" w:sz="0" w:space="0" w:color="auto"/>
      </w:divBdr>
    </w:div>
    <w:div w:id="1669408145">
      <w:bodyDiv w:val="1"/>
      <w:marLeft w:val="0"/>
      <w:marRight w:val="0"/>
      <w:marTop w:val="0"/>
      <w:marBottom w:val="0"/>
      <w:divBdr>
        <w:top w:val="none" w:sz="0" w:space="0" w:color="auto"/>
        <w:left w:val="none" w:sz="0" w:space="0" w:color="auto"/>
        <w:bottom w:val="none" w:sz="0" w:space="0" w:color="auto"/>
        <w:right w:val="none" w:sz="0" w:space="0" w:color="auto"/>
      </w:divBdr>
    </w:div>
    <w:div w:id="203977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ccareer.manchester.ac.uk/about/do/skills/" TargetMode="External"/><Relationship Id="rId13" Type="http://schemas.openxmlformats.org/officeDocument/2006/relationships/hyperlink" Target="http://www.heacademy.ac.uk/assets/documents/employability/id460_embedding_employability_into_the_curriculum_338.pdf" TargetMode="External"/><Relationship Id="rId3" Type="http://schemas.microsoft.com/office/2007/relationships/stylesWithEffects" Target="stylesWithEffects.xml"/><Relationship Id="rId7" Type="http://schemas.openxmlformats.org/officeDocument/2006/relationships/hyperlink" Target="https://career-advice.jobs.ac.uk/career-development/employability-what-are-employers-looking-for/" TargetMode="External"/><Relationship Id="rId12" Type="http://schemas.openxmlformats.org/officeDocument/2006/relationships/hyperlink" Target="https://library.leeds.ac.uk/info/1401/academic_skills/83/planning_your_assign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resources.library.leeds.ac.uk/note-taking/inde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sources.library.leeds.ac.uk/activities/writing/interpreting-your-assignment/" TargetMode="External"/><Relationship Id="rId4" Type="http://schemas.openxmlformats.org/officeDocument/2006/relationships/settings" Target="settings.xml"/><Relationship Id="rId9" Type="http://schemas.openxmlformats.org/officeDocument/2006/relationships/hyperlink" Target="http://lib.leeds.ac.uk/record=b2075087~S5" TargetMode="External"/><Relationship Id="rId14" Type="http://schemas.openxmlformats.org/officeDocument/2006/relationships/hyperlink" Target="http://www.ucalgary.ca/counselling/academicsuccess/studyskills/sevenhab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3099</Words>
  <Characters>17665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Mccoc</dc:creator>
  <cp:lastModifiedBy>Mccoc</cp:lastModifiedBy>
  <cp:revision>2</cp:revision>
  <dcterms:created xsi:type="dcterms:W3CDTF">2020-08-22T01:55:00Z</dcterms:created>
  <dcterms:modified xsi:type="dcterms:W3CDTF">2020-08-22T01:55:00Z</dcterms:modified>
</cp:coreProperties>
</file>