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42EAAC5A" w:rsidR="00152E9D" w:rsidRDefault="00B15223" w:rsidP="00A67FB1">
      <w:pPr>
        <w:ind w:left="720"/>
        <w:rPr>
          <w:rFonts w:ascii="Arial" w:hAnsi="Arial" w:cs="Arial"/>
          <w:sz w:val="24"/>
          <w:szCs w:val="24"/>
        </w:rPr>
      </w:pPr>
      <w:r>
        <w:rPr>
          <w:rFonts w:ascii="Arial" w:hAnsi="Arial" w:cs="Arial"/>
          <w:sz w:val="24"/>
          <w:szCs w:val="24"/>
        </w:rPr>
        <w:t>Throughout</w:t>
      </w:r>
      <w:r w:rsidR="00581AC9">
        <w:rPr>
          <w:rFonts w:ascii="Arial" w:hAnsi="Arial" w:cs="Arial"/>
          <w:sz w:val="24"/>
          <w:szCs w:val="24"/>
        </w:rPr>
        <w:t xml:space="preserve"> the English and Welsh legal syst</w:t>
      </w:r>
      <w:r w:rsidR="006A6B61">
        <w:rPr>
          <w:rFonts w:ascii="Arial" w:hAnsi="Arial" w:cs="Arial"/>
          <w:sz w:val="24"/>
          <w:szCs w:val="24"/>
        </w:rPr>
        <w:t>em,</w:t>
      </w:r>
      <w:r w:rsidR="00A17983">
        <w:rPr>
          <w:rFonts w:ascii="Arial" w:hAnsi="Arial" w:cs="Arial"/>
          <w:sz w:val="24"/>
          <w:szCs w:val="24"/>
        </w:rPr>
        <w:t xml:space="preserve"> </w:t>
      </w:r>
      <w:r w:rsidR="000620A1">
        <w:rPr>
          <w:rFonts w:ascii="Arial" w:hAnsi="Arial" w:cs="Arial"/>
          <w:sz w:val="24"/>
          <w:szCs w:val="24"/>
        </w:rPr>
        <w:t xml:space="preserve">the </w:t>
      </w:r>
      <w:r w:rsidR="00724CB0">
        <w:rPr>
          <w:rFonts w:ascii="Arial" w:hAnsi="Arial" w:cs="Arial"/>
          <w:sz w:val="24"/>
          <w:szCs w:val="24"/>
        </w:rPr>
        <w:t xml:space="preserve">idea of </w:t>
      </w:r>
      <w:r w:rsidR="00457B1F">
        <w:rPr>
          <w:rFonts w:ascii="Arial" w:hAnsi="Arial" w:cs="Arial"/>
          <w:sz w:val="24"/>
          <w:szCs w:val="24"/>
        </w:rPr>
        <w:t xml:space="preserve">responsibility </w:t>
      </w:r>
      <w:r>
        <w:rPr>
          <w:rFonts w:ascii="Arial" w:hAnsi="Arial" w:cs="Arial"/>
          <w:sz w:val="24"/>
          <w:szCs w:val="24"/>
        </w:rPr>
        <w:t xml:space="preserve">is often </w:t>
      </w:r>
      <w:r w:rsidR="001779D1">
        <w:rPr>
          <w:rFonts w:ascii="Arial" w:hAnsi="Arial" w:cs="Arial"/>
          <w:sz w:val="24"/>
          <w:szCs w:val="24"/>
        </w:rPr>
        <w:t>concurrent</w:t>
      </w:r>
      <w:r w:rsidR="002E32C5">
        <w:rPr>
          <w:rFonts w:ascii="Arial" w:hAnsi="Arial" w:cs="Arial"/>
          <w:sz w:val="24"/>
          <w:szCs w:val="24"/>
        </w:rPr>
        <w:t xml:space="preserve"> with the term liability</w:t>
      </w:r>
      <w:sdt>
        <w:sdtPr>
          <w:rPr>
            <w:rFonts w:ascii="Arial" w:hAnsi="Arial" w:cs="Arial"/>
            <w:sz w:val="24"/>
            <w:szCs w:val="24"/>
          </w:rPr>
          <w:id w:val="1467556400"/>
          <w:citation/>
        </w:sdtPr>
        <w:sdtEndPr/>
        <w:sdtContent>
          <w:r w:rsidR="00815F81">
            <w:rPr>
              <w:rFonts w:ascii="Arial" w:hAnsi="Arial" w:cs="Arial"/>
              <w:sz w:val="24"/>
              <w:szCs w:val="24"/>
            </w:rPr>
            <w:fldChar w:fldCharType="begin"/>
          </w:r>
          <w:r w:rsidR="00815F81">
            <w:rPr>
              <w:rFonts w:ascii="Arial" w:hAnsi="Arial" w:cs="Arial"/>
              <w:sz w:val="24"/>
              <w:szCs w:val="24"/>
            </w:rPr>
            <w:instrText xml:space="preserve"> CITATION Mic84 \l 2057 </w:instrText>
          </w:r>
          <w:r w:rsidR="00815F81">
            <w:rPr>
              <w:rFonts w:ascii="Arial" w:hAnsi="Arial" w:cs="Arial"/>
              <w:sz w:val="24"/>
              <w:szCs w:val="24"/>
            </w:rPr>
            <w:fldChar w:fldCharType="separate"/>
          </w:r>
          <w:r w:rsidR="00815F81">
            <w:rPr>
              <w:rFonts w:ascii="Arial" w:hAnsi="Arial" w:cs="Arial"/>
              <w:noProof/>
              <w:sz w:val="24"/>
              <w:szCs w:val="24"/>
            </w:rPr>
            <w:t xml:space="preserve"> </w:t>
          </w:r>
          <w:r w:rsidR="00815F81" w:rsidRPr="00815F81">
            <w:rPr>
              <w:rFonts w:ascii="Arial" w:hAnsi="Arial" w:cs="Arial"/>
              <w:noProof/>
              <w:sz w:val="24"/>
              <w:szCs w:val="24"/>
            </w:rPr>
            <w:t>(Jones, 1984)</w:t>
          </w:r>
          <w:r w:rsidR="00815F81">
            <w:rPr>
              <w:rFonts w:ascii="Arial" w:hAnsi="Arial" w:cs="Arial"/>
              <w:sz w:val="24"/>
              <w:szCs w:val="24"/>
            </w:rPr>
            <w:fldChar w:fldCharType="end"/>
          </w:r>
        </w:sdtContent>
      </w:sdt>
      <w:r w:rsidR="00D55BD0">
        <w:rPr>
          <w:rFonts w:ascii="Arial" w:hAnsi="Arial" w:cs="Arial"/>
          <w:sz w:val="24"/>
          <w:szCs w:val="24"/>
        </w:rPr>
        <w:t>.</w:t>
      </w:r>
      <w:r w:rsidR="00E80BAA">
        <w:rPr>
          <w:rFonts w:ascii="Arial" w:hAnsi="Arial" w:cs="Arial"/>
          <w:sz w:val="24"/>
          <w:szCs w:val="24"/>
        </w:rPr>
        <w:t xml:space="preserve"> The principle that</w:t>
      </w:r>
      <w:r w:rsidR="00DB5A4E">
        <w:rPr>
          <w:rFonts w:ascii="Arial" w:hAnsi="Arial" w:cs="Arial"/>
          <w:sz w:val="24"/>
          <w:szCs w:val="24"/>
        </w:rPr>
        <w:t xml:space="preserve"> occupiers may always be held liable for accidents </w:t>
      </w:r>
      <w:r w:rsidR="00C83F05">
        <w:rPr>
          <w:rFonts w:ascii="Arial" w:hAnsi="Arial" w:cs="Arial"/>
          <w:sz w:val="24"/>
          <w:szCs w:val="24"/>
        </w:rPr>
        <w:t>occurring</w:t>
      </w:r>
      <w:r w:rsidR="00DB5A4E">
        <w:rPr>
          <w:rFonts w:ascii="Arial" w:hAnsi="Arial" w:cs="Arial"/>
          <w:sz w:val="24"/>
          <w:szCs w:val="24"/>
        </w:rPr>
        <w:t xml:space="preserve"> on their property</w:t>
      </w:r>
      <w:r w:rsidR="00952D2B">
        <w:rPr>
          <w:rFonts w:ascii="Arial" w:hAnsi="Arial" w:cs="Arial"/>
          <w:sz w:val="24"/>
          <w:szCs w:val="24"/>
        </w:rPr>
        <w:t xml:space="preserve"> is</w:t>
      </w:r>
      <w:r w:rsidR="00CF761F">
        <w:rPr>
          <w:rFonts w:ascii="Arial" w:hAnsi="Arial" w:cs="Arial"/>
          <w:sz w:val="24"/>
          <w:szCs w:val="24"/>
        </w:rPr>
        <w:t xml:space="preserve"> </w:t>
      </w:r>
      <w:r w:rsidR="003A6FAB">
        <w:rPr>
          <w:rFonts w:ascii="Arial" w:hAnsi="Arial" w:cs="Arial"/>
          <w:sz w:val="24"/>
          <w:szCs w:val="24"/>
        </w:rPr>
        <w:t>delusive and</w:t>
      </w:r>
      <w:r w:rsidR="003D7202">
        <w:rPr>
          <w:rFonts w:ascii="Arial" w:hAnsi="Arial" w:cs="Arial"/>
          <w:sz w:val="24"/>
          <w:szCs w:val="24"/>
        </w:rPr>
        <w:t xml:space="preserve"> must be challenged with the nua</w:t>
      </w:r>
      <w:r w:rsidR="00D500B3">
        <w:rPr>
          <w:rFonts w:ascii="Arial" w:hAnsi="Arial" w:cs="Arial"/>
          <w:sz w:val="24"/>
          <w:szCs w:val="24"/>
        </w:rPr>
        <w:t xml:space="preserve">nce afforded by </w:t>
      </w:r>
      <w:r w:rsidR="00160E2A">
        <w:rPr>
          <w:rFonts w:ascii="Arial" w:hAnsi="Arial" w:cs="Arial"/>
          <w:sz w:val="24"/>
          <w:szCs w:val="24"/>
        </w:rPr>
        <w:t>both the</w:t>
      </w:r>
      <w:r w:rsidR="00C83F05">
        <w:rPr>
          <w:rFonts w:ascii="Arial" w:hAnsi="Arial" w:cs="Arial"/>
          <w:sz w:val="24"/>
          <w:szCs w:val="24"/>
        </w:rPr>
        <w:t xml:space="preserve"> </w:t>
      </w:r>
      <w:r w:rsidR="00810EC6">
        <w:rPr>
          <w:rFonts w:ascii="Arial" w:hAnsi="Arial" w:cs="Arial"/>
          <w:sz w:val="24"/>
          <w:szCs w:val="24"/>
        </w:rPr>
        <w:t>legislation and the established case law</w:t>
      </w:r>
      <w:sdt>
        <w:sdtPr>
          <w:rPr>
            <w:rFonts w:ascii="Arial" w:hAnsi="Arial" w:cs="Arial"/>
            <w:sz w:val="24"/>
            <w:szCs w:val="24"/>
          </w:rPr>
          <w:id w:val="1326479523"/>
          <w:citation/>
        </w:sdtPr>
        <w:sdtEndPr/>
        <w:sdtContent>
          <w:r w:rsidR="000E55B9">
            <w:rPr>
              <w:rFonts w:ascii="Arial" w:hAnsi="Arial" w:cs="Arial"/>
              <w:sz w:val="24"/>
              <w:szCs w:val="24"/>
            </w:rPr>
            <w:fldChar w:fldCharType="begin"/>
          </w:r>
          <w:r w:rsidR="000E55B9">
            <w:rPr>
              <w:rFonts w:ascii="Arial" w:hAnsi="Arial" w:cs="Arial"/>
              <w:sz w:val="24"/>
              <w:szCs w:val="24"/>
            </w:rPr>
            <w:instrText xml:space="preserve"> CITATION Mul97 \l 2057 </w:instrText>
          </w:r>
          <w:r w:rsidR="000E55B9">
            <w:rPr>
              <w:rFonts w:ascii="Arial" w:hAnsi="Arial" w:cs="Arial"/>
              <w:sz w:val="24"/>
              <w:szCs w:val="24"/>
            </w:rPr>
            <w:fldChar w:fldCharType="separate"/>
          </w:r>
          <w:r w:rsidR="000E55B9">
            <w:rPr>
              <w:rFonts w:ascii="Arial" w:hAnsi="Arial" w:cs="Arial"/>
              <w:noProof/>
              <w:sz w:val="24"/>
              <w:szCs w:val="24"/>
            </w:rPr>
            <w:t xml:space="preserve"> </w:t>
          </w:r>
          <w:r w:rsidR="000E55B9" w:rsidRPr="000E55B9">
            <w:rPr>
              <w:rFonts w:ascii="Arial" w:hAnsi="Arial" w:cs="Arial"/>
              <w:noProof/>
              <w:sz w:val="24"/>
              <w:szCs w:val="24"/>
            </w:rPr>
            <w:t>(Mullis &amp; Olliphant, 1997)</w:t>
          </w:r>
          <w:r w:rsidR="000E55B9">
            <w:rPr>
              <w:rFonts w:ascii="Arial" w:hAnsi="Arial" w:cs="Arial"/>
              <w:sz w:val="24"/>
              <w:szCs w:val="24"/>
            </w:rPr>
            <w:fldChar w:fldCharType="end"/>
          </w:r>
        </w:sdtContent>
      </w:sdt>
      <w:r w:rsidR="00810EC6">
        <w:rPr>
          <w:rFonts w:ascii="Arial" w:hAnsi="Arial" w:cs="Arial"/>
          <w:sz w:val="24"/>
          <w:szCs w:val="24"/>
        </w:rPr>
        <w:t>.</w:t>
      </w:r>
      <w:r w:rsidR="00EB28CB">
        <w:rPr>
          <w:rFonts w:ascii="Arial" w:hAnsi="Arial" w:cs="Arial"/>
          <w:sz w:val="24"/>
          <w:szCs w:val="24"/>
        </w:rPr>
        <w:t xml:space="preserve"> This essay will </w:t>
      </w:r>
      <w:r w:rsidR="00182ADC">
        <w:rPr>
          <w:rFonts w:ascii="Arial" w:hAnsi="Arial" w:cs="Arial"/>
          <w:sz w:val="24"/>
          <w:szCs w:val="24"/>
        </w:rPr>
        <w:t>pro</w:t>
      </w:r>
      <w:r w:rsidR="0072782B">
        <w:rPr>
          <w:rFonts w:ascii="Arial" w:hAnsi="Arial" w:cs="Arial"/>
          <w:sz w:val="24"/>
          <w:szCs w:val="24"/>
        </w:rPr>
        <w:t xml:space="preserve">vide </w:t>
      </w:r>
      <w:r w:rsidR="0041635F">
        <w:rPr>
          <w:rFonts w:ascii="Arial" w:hAnsi="Arial" w:cs="Arial"/>
          <w:sz w:val="24"/>
          <w:szCs w:val="24"/>
        </w:rPr>
        <w:t xml:space="preserve">that </w:t>
      </w:r>
      <w:r w:rsidR="00C5023B">
        <w:rPr>
          <w:rFonts w:ascii="Arial" w:hAnsi="Arial" w:cs="Arial"/>
          <w:sz w:val="24"/>
          <w:szCs w:val="24"/>
        </w:rPr>
        <w:t>although</w:t>
      </w:r>
      <w:r w:rsidR="00C122BE">
        <w:rPr>
          <w:rFonts w:ascii="Arial" w:hAnsi="Arial" w:cs="Arial"/>
          <w:sz w:val="24"/>
          <w:szCs w:val="24"/>
        </w:rPr>
        <w:t xml:space="preserve"> there </w:t>
      </w:r>
      <w:r w:rsidR="001F0834">
        <w:rPr>
          <w:rFonts w:ascii="Arial" w:hAnsi="Arial" w:cs="Arial"/>
          <w:sz w:val="24"/>
          <w:szCs w:val="24"/>
        </w:rPr>
        <w:t xml:space="preserve">are provisions </w:t>
      </w:r>
      <w:r w:rsidR="00741D81">
        <w:rPr>
          <w:rFonts w:ascii="Arial" w:hAnsi="Arial" w:cs="Arial"/>
          <w:sz w:val="24"/>
          <w:szCs w:val="24"/>
        </w:rPr>
        <w:t>required</w:t>
      </w:r>
      <w:r w:rsidR="001F0834">
        <w:rPr>
          <w:rFonts w:ascii="Arial" w:hAnsi="Arial" w:cs="Arial"/>
          <w:sz w:val="24"/>
          <w:szCs w:val="24"/>
        </w:rPr>
        <w:t xml:space="preserve"> by occupiers to ensure the safety of</w:t>
      </w:r>
      <w:r w:rsidR="0080176F">
        <w:rPr>
          <w:rFonts w:ascii="Arial" w:hAnsi="Arial" w:cs="Arial"/>
          <w:sz w:val="24"/>
          <w:szCs w:val="24"/>
        </w:rPr>
        <w:t xml:space="preserve"> those entering their property, the</w:t>
      </w:r>
      <w:r w:rsidR="000F47C0">
        <w:rPr>
          <w:rFonts w:ascii="Arial" w:hAnsi="Arial" w:cs="Arial"/>
          <w:sz w:val="24"/>
          <w:szCs w:val="24"/>
        </w:rPr>
        <w:t xml:space="preserve"> extent of their liability is limited</w:t>
      </w:r>
      <w:r w:rsidR="00DF1781">
        <w:rPr>
          <w:rFonts w:ascii="Arial" w:hAnsi="Arial" w:cs="Arial"/>
          <w:sz w:val="24"/>
          <w:szCs w:val="24"/>
        </w:rPr>
        <w:t xml:space="preserve">. </w:t>
      </w:r>
      <w:r w:rsidR="00287CA2">
        <w:rPr>
          <w:rFonts w:ascii="Arial" w:hAnsi="Arial" w:cs="Arial"/>
          <w:sz w:val="24"/>
          <w:szCs w:val="24"/>
        </w:rPr>
        <w:t>Furthermore, an examination of this view</w:t>
      </w:r>
      <w:r w:rsidR="00BA2FEA">
        <w:rPr>
          <w:rFonts w:ascii="Arial" w:hAnsi="Arial" w:cs="Arial"/>
          <w:sz w:val="24"/>
          <w:szCs w:val="24"/>
        </w:rPr>
        <w:t xml:space="preserve"> </w:t>
      </w:r>
      <w:r w:rsidR="00287CA2">
        <w:rPr>
          <w:rFonts w:ascii="Arial" w:hAnsi="Arial" w:cs="Arial"/>
          <w:sz w:val="24"/>
          <w:szCs w:val="24"/>
        </w:rPr>
        <w:t xml:space="preserve">will </w:t>
      </w:r>
      <w:r w:rsidR="00A55BAD">
        <w:rPr>
          <w:rFonts w:ascii="Arial" w:hAnsi="Arial" w:cs="Arial"/>
          <w:sz w:val="24"/>
          <w:szCs w:val="24"/>
        </w:rPr>
        <w:t>reveal that</w:t>
      </w:r>
      <w:r w:rsidR="00DF1781">
        <w:rPr>
          <w:rFonts w:ascii="Arial" w:hAnsi="Arial" w:cs="Arial"/>
          <w:sz w:val="24"/>
          <w:szCs w:val="24"/>
        </w:rPr>
        <w:t xml:space="preserve"> </w:t>
      </w:r>
      <w:r w:rsidR="00723E55">
        <w:rPr>
          <w:rFonts w:ascii="Arial" w:hAnsi="Arial" w:cs="Arial"/>
          <w:sz w:val="24"/>
          <w:szCs w:val="24"/>
        </w:rPr>
        <w:t xml:space="preserve">definitive reform is required in order to provide clear </w:t>
      </w:r>
      <w:r w:rsidR="00727A60">
        <w:rPr>
          <w:rFonts w:ascii="Arial" w:hAnsi="Arial" w:cs="Arial"/>
          <w:sz w:val="24"/>
          <w:szCs w:val="24"/>
        </w:rPr>
        <w:t>boundarie</w:t>
      </w:r>
      <w:r w:rsidR="00194D6E">
        <w:rPr>
          <w:rFonts w:ascii="Arial" w:hAnsi="Arial" w:cs="Arial"/>
          <w:sz w:val="24"/>
          <w:szCs w:val="24"/>
        </w:rPr>
        <w:t>s</w:t>
      </w:r>
      <w:sdt>
        <w:sdtPr>
          <w:rPr>
            <w:rFonts w:ascii="Arial" w:hAnsi="Arial" w:cs="Arial"/>
            <w:sz w:val="24"/>
            <w:szCs w:val="24"/>
          </w:rPr>
          <w:id w:val="1540473475"/>
          <w:citation/>
        </w:sdtPr>
        <w:sdtEndPr/>
        <w:sdtContent>
          <w:r w:rsidR="00C32D9B">
            <w:rPr>
              <w:rFonts w:ascii="Arial" w:hAnsi="Arial" w:cs="Arial"/>
              <w:sz w:val="24"/>
              <w:szCs w:val="24"/>
            </w:rPr>
            <w:fldChar w:fldCharType="begin"/>
          </w:r>
          <w:r w:rsidR="00C32D9B">
            <w:rPr>
              <w:rFonts w:ascii="Arial" w:hAnsi="Arial" w:cs="Arial"/>
              <w:sz w:val="24"/>
              <w:szCs w:val="24"/>
            </w:rPr>
            <w:instrText xml:space="preserve"> CITATION Qui16 \l 2057 </w:instrText>
          </w:r>
          <w:r w:rsidR="00C32D9B">
            <w:rPr>
              <w:rFonts w:ascii="Arial" w:hAnsi="Arial" w:cs="Arial"/>
              <w:sz w:val="24"/>
              <w:szCs w:val="24"/>
            </w:rPr>
            <w:fldChar w:fldCharType="separate"/>
          </w:r>
          <w:r w:rsidR="00C32D9B">
            <w:rPr>
              <w:rFonts w:ascii="Arial" w:hAnsi="Arial" w:cs="Arial"/>
              <w:noProof/>
              <w:sz w:val="24"/>
              <w:szCs w:val="24"/>
            </w:rPr>
            <w:t xml:space="preserve"> </w:t>
          </w:r>
          <w:r w:rsidR="00C32D9B" w:rsidRPr="00C32D9B">
            <w:rPr>
              <w:rFonts w:ascii="Arial" w:hAnsi="Arial" w:cs="Arial"/>
              <w:noProof/>
              <w:sz w:val="24"/>
              <w:szCs w:val="24"/>
            </w:rPr>
            <w:t>(Quill &amp; Friel, 2016)</w:t>
          </w:r>
          <w:r w:rsidR="00C32D9B">
            <w:rPr>
              <w:rFonts w:ascii="Arial" w:hAnsi="Arial" w:cs="Arial"/>
              <w:sz w:val="24"/>
              <w:szCs w:val="24"/>
            </w:rPr>
            <w:fldChar w:fldCharType="end"/>
          </w:r>
        </w:sdtContent>
      </w:sdt>
      <w:r w:rsidR="00376AD2">
        <w:rPr>
          <w:rFonts w:ascii="Arial" w:hAnsi="Arial" w:cs="Arial"/>
          <w:sz w:val="24"/>
          <w:szCs w:val="24"/>
        </w:rPr>
        <w:t xml:space="preserve"> T</w:t>
      </w:r>
      <w:r w:rsidR="007960CA">
        <w:rPr>
          <w:rFonts w:ascii="Arial" w:hAnsi="Arial" w:cs="Arial"/>
          <w:sz w:val="24"/>
          <w:szCs w:val="24"/>
        </w:rPr>
        <w:t xml:space="preserve">his will be demonstrated by </w:t>
      </w:r>
      <w:r w:rsidR="00C35557">
        <w:rPr>
          <w:rFonts w:ascii="Arial" w:hAnsi="Arial" w:cs="Arial"/>
          <w:sz w:val="24"/>
          <w:szCs w:val="24"/>
        </w:rPr>
        <w:t>a</w:t>
      </w:r>
      <w:r w:rsidR="0086082C">
        <w:rPr>
          <w:rFonts w:ascii="Arial" w:hAnsi="Arial" w:cs="Arial"/>
          <w:sz w:val="24"/>
          <w:szCs w:val="24"/>
        </w:rPr>
        <w:t xml:space="preserve"> breakdown </w:t>
      </w:r>
      <w:r w:rsidR="00C35557">
        <w:rPr>
          <w:rFonts w:ascii="Arial" w:hAnsi="Arial" w:cs="Arial"/>
          <w:sz w:val="24"/>
          <w:szCs w:val="24"/>
        </w:rPr>
        <w:t>of the Occupier Liability Act 1957 (OLA</w:t>
      </w:r>
      <w:r w:rsidR="0080300F">
        <w:rPr>
          <w:rFonts w:ascii="Arial" w:hAnsi="Arial" w:cs="Arial"/>
          <w:sz w:val="24"/>
          <w:szCs w:val="24"/>
        </w:rPr>
        <w:t xml:space="preserve"> 1957)</w:t>
      </w:r>
      <w:r w:rsidR="003117A0">
        <w:rPr>
          <w:rFonts w:ascii="Arial" w:hAnsi="Arial" w:cs="Arial"/>
          <w:sz w:val="24"/>
          <w:szCs w:val="24"/>
        </w:rPr>
        <w:t xml:space="preserve"> </w:t>
      </w:r>
      <w:r w:rsidR="0086082C">
        <w:rPr>
          <w:rFonts w:ascii="Arial" w:hAnsi="Arial" w:cs="Arial"/>
          <w:sz w:val="24"/>
          <w:szCs w:val="24"/>
        </w:rPr>
        <w:t>alongside the Occupier Liability Act 1984 (OLA 1984)</w:t>
      </w:r>
      <w:r w:rsidR="00297571">
        <w:rPr>
          <w:rFonts w:ascii="Arial" w:hAnsi="Arial" w:cs="Arial"/>
          <w:sz w:val="24"/>
          <w:szCs w:val="24"/>
        </w:rPr>
        <w:t>,</w:t>
      </w:r>
      <w:r w:rsidR="00E605CE">
        <w:rPr>
          <w:rFonts w:ascii="Arial" w:hAnsi="Arial" w:cs="Arial"/>
          <w:sz w:val="24"/>
          <w:szCs w:val="24"/>
        </w:rPr>
        <w:t xml:space="preserve"> the </w:t>
      </w:r>
      <w:r w:rsidR="00CF436B">
        <w:rPr>
          <w:rFonts w:ascii="Arial" w:hAnsi="Arial" w:cs="Arial"/>
          <w:sz w:val="24"/>
          <w:szCs w:val="24"/>
        </w:rPr>
        <w:t xml:space="preserve">exploration </w:t>
      </w:r>
      <w:r w:rsidR="00E605CE">
        <w:rPr>
          <w:rFonts w:ascii="Arial" w:hAnsi="Arial" w:cs="Arial"/>
          <w:sz w:val="24"/>
          <w:szCs w:val="24"/>
        </w:rPr>
        <w:t>of key terms</w:t>
      </w:r>
      <w:r w:rsidR="00614ECB">
        <w:rPr>
          <w:rFonts w:ascii="Arial" w:hAnsi="Arial" w:cs="Arial"/>
          <w:sz w:val="24"/>
          <w:szCs w:val="24"/>
        </w:rPr>
        <w:t>,</w:t>
      </w:r>
      <w:r w:rsidR="00052947">
        <w:rPr>
          <w:rFonts w:ascii="Arial" w:hAnsi="Arial" w:cs="Arial"/>
          <w:sz w:val="24"/>
          <w:szCs w:val="24"/>
        </w:rPr>
        <w:t xml:space="preserve"> a </w:t>
      </w:r>
      <w:r w:rsidR="000758D2">
        <w:rPr>
          <w:rFonts w:ascii="Arial" w:hAnsi="Arial" w:cs="Arial"/>
          <w:sz w:val="24"/>
          <w:szCs w:val="24"/>
        </w:rPr>
        <w:t>view of</w:t>
      </w:r>
      <w:r w:rsidR="003110EF">
        <w:rPr>
          <w:rFonts w:ascii="Arial" w:hAnsi="Arial" w:cs="Arial"/>
          <w:sz w:val="24"/>
          <w:szCs w:val="24"/>
        </w:rPr>
        <w:t xml:space="preserve"> </w:t>
      </w:r>
      <w:r w:rsidR="00052947">
        <w:rPr>
          <w:rFonts w:ascii="Arial" w:hAnsi="Arial" w:cs="Arial"/>
          <w:sz w:val="24"/>
          <w:szCs w:val="24"/>
        </w:rPr>
        <w:t>instances where an occupier may b</w:t>
      </w:r>
      <w:r w:rsidR="00713F98">
        <w:rPr>
          <w:rFonts w:ascii="Arial" w:hAnsi="Arial" w:cs="Arial"/>
          <w:sz w:val="24"/>
          <w:szCs w:val="24"/>
        </w:rPr>
        <w:t>e</w:t>
      </w:r>
      <w:r w:rsidR="00052947">
        <w:rPr>
          <w:rFonts w:ascii="Arial" w:hAnsi="Arial" w:cs="Arial"/>
          <w:sz w:val="24"/>
          <w:szCs w:val="24"/>
        </w:rPr>
        <w:t xml:space="preserve"> liable</w:t>
      </w:r>
      <w:r w:rsidR="00D66CA5">
        <w:rPr>
          <w:rFonts w:ascii="Arial" w:hAnsi="Arial" w:cs="Arial"/>
          <w:sz w:val="24"/>
          <w:szCs w:val="24"/>
        </w:rPr>
        <w:t xml:space="preserve"> alongside</w:t>
      </w:r>
      <w:r w:rsidR="00A5554C">
        <w:rPr>
          <w:rFonts w:ascii="Arial" w:hAnsi="Arial" w:cs="Arial"/>
          <w:sz w:val="24"/>
          <w:szCs w:val="24"/>
        </w:rPr>
        <w:t xml:space="preserve"> their</w:t>
      </w:r>
      <w:r w:rsidR="00D66CA5">
        <w:rPr>
          <w:rFonts w:ascii="Arial" w:hAnsi="Arial" w:cs="Arial"/>
          <w:sz w:val="24"/>
          <w:szCs w:val="24"/>
        </w:rPr>
        <w:t xml:space="preserve"> limitations and </w:t>
      </w:r>
      <w:r w:rsidR="00713F98">
        <w:rPr>
          <w:rFonts w:ascii="Arial" w:hAnsi="Arial" w:cs="Arial"/>
          <w:sz w:val="24"/>
          <w:szCs w:val="24"/>
        </w:rPr>
        <w:t xml:space="preserve">finally, </w:t>
      </w:r>
      <w:r w:rsidR="005124FB">
        <w:rPr>
          <w:rFonts w:ascii="Arial" w:hAnsi="Arial" w:cs="Arial"/>
          <w:sz w:val="24"/>
          <w:szCs w:val="24"/>
        </w:rPr>
        <w:t xml:space="preserve">a </w:t>
      </w:r>
      <w:r w:rsidR="00055F4F">
        <w:rPr>
          <w:rFonts w:ascii="Arial" w:hAnsi="Arial" w:cs="Arial"/>
          <w:sz w:val="24"/>
          <w:szCs w:val="24"/>
        </w:rPr>
        <w:t>view</w:t>
      </w:r>
      <w:r w:rsidR="0099071C">
        <w:rPr>
          <w:rFonts w:ascii="Arial" w:hAnsi="Arial" w:cs="Arial"/>
          <w:sz w:val="24"/>
          <w:szCs w:val="24"/>
        </w:rPr>
        <w:t xml:space="preserve"> </w:t>
      </w:r>
      <w:r w:rsidR="00055F4F">
        <w:rPr>
          <w:rFonts w:ascii="Arial" w:hAnsi="Arial" w:cs="Arial"/>
          <w:sz w:val="24"/>
          <w:szCs w:val="24"/>
        </w:rPr>
        <w:t>of</w:t>
      </w:r>
      <w:r w:rsidR="0099071C">
        <w:rPr>
          <w:rFonts w:ascii="Arial" w:hAnsi="Arial" w:cs="Arial"/>
          <w:sz w:val="24"/>
          <w:szCs w:val="24"/>
        </w:rPr>
        <w:t xml:space="preserve"> th</w:t>
      </w:r>
      <w:r w:rsidR="00C5269B">
        <w:rPr>
          <w:rFonts w:ascii="Arial" w:hAnsi="Arial" w:cs="Arial"/>
          <w:sz w:val="24"/>
          <w:szCs w:val="24"/>
        </w:rPr>
        <w:t>e applicable defences.</w:t>
      </w:r>
    </w:p>
    <w:p w14:paraId="06EEBBCD" w14:textId="0FA754A8" w:rsidR="00A5554C" w:rsidRDefault="00A5554C" w:rsidP="00A67FB1">
      <w:pPr>
        <w:ind w:left="720"/>
        <w:rPr>
          <w:rFonts w:ascii="Arial" w:hAnsi="Arial" w:cs="Arial"/>
          <w:sz w:val="24"/>
          <w:szCs w:val="24"/>
        </w:rPr>
      </w:pPr>
    </w:p>
    <w:p w14:paraId="216778D1" w14:textId="79F4EF4B" w:rsidR="00A5554C" w:rsidRPr="00A406E5" w:rsidRDefault="00A5554C" w:rsidP="00A67FB1">
      <w:pPr>
        <w:ind w:left="720"/>
        <w:rPr>
          <w:rFonts w:ascii="Arial" w:hAnsi="Arial" w:cs="Arial"/>
          <w:sz w:val="24"/>
          <w:szCs w:val="24"/>
        </w:rPr>
      </w:pPr>
    </w:p>
    <w:p w14:paraId="506388D6" w14:textId="76AC6018" w:rsidR="00A06039" w:rsidRDefault="00BD0C6B" w:rsidP="00A67FB1">
      <w:pPr>
        <w:ind w:left="720"/>
        <w:rPr>
          <w:rFonts w:ascii="Arial" w:hAnsi="Arial" w:cs="Arial"/>
          <w:sz w:val="24"/>
          <w:szCs w:val="24"/>
        </w:rPr>
      </w:pPr>
      <w:r>
        <w:rPr>
          <w:rFonts w:ascii="Arial" w:hAnsi="Arial" w:cs="Arial"/>
          <w:sz w:val="24"/>
          <w:szCs w:val="24"/>
        </w:rPr>
        <w:t>The initial OLA 1957</w:t>
      </w:r>
      <w:r w:rsidR="004B4056">
        <w:rPr>
          <w:rFonts w:ascii="Arial" w:hAnsi="Arial" w:cs="Arial"/>
          <w:sz w:val="24"/>
          <w:szCs w:val="24"/>
        </w:rPr>
        <w:t xml:space="preserve"> was</w:t>
      </w:r>
      <w:r w:rsidR="008F2BA5">
        <w:rPr>
          <w:rFonts w:ascii="Arial" w:hAnsi="Arial" w:cs="Arial"/>
          <w:sz w:val="24"/>
          <w:szCs w:val="24"/>
        </w:rPr>
        <w:t xml:space="preserve"> </w:t>
      </w:r>
      <w:r w:rsidR="002A6B60">
        <w:rPr>
          <w:rFonts w:ascii="Arial" w:hAnsi="Arial" w:cs="Arial"/>
          <w:sz w:val="24"/>
          <w:szCs w:val="24"/>
        </w:rPr>
        <w:t xml:space="preserve">enacted </w:t>
      </w:r>
      <w:r w:rsidR="005B2FFA">
        <w:rPr>
          <w:rFonts w:ascii="Arial" w:hAnsi="Arial" w:cs="Arial"/>
          <w:sz w:val="24"/>
          <w:szCs w:val="24"/>
        </w:rPr>
        <w:t>to hold</w:t>
      </w:r>
      <w:r w:rsidR="00842D35">
        <w:rPr>
          <w:rFonts w:ascii="Arial" w:hAnsi="Arial" w:cs="Arial"/>
          <w:sz w:val="24"/>
          <w:szCs w:val="24"/>
        </w:rPr>
        <w:t xml:space="preserve"> </w:t>
      </w:r>
      <w:r w:rsidR="00716938">
        <w:rPr>
          <w:rFonts w:ascii="Arial" w:hAnsi="Arial" w:cs="Arial"/>
          <w:sz w:val="24"/>
          <w:szCs w:val="24"/>
        </w:rPr>
        <w:t xml:space="preserve">occupiers </w:t>
      </w:r>
      <w:r w:rsidR="00164B24">
        <w:rPr>
          <w:rFonts w:ascii="Arial" w:hAnsi="Arial" w:cs="Arial"/>
          <w:sz w:val="24"/>
          <w:szCs w:val="24"/>
        </w:rPr>
        <w:t xml:space="preserve">accountable </w:t>
      </w:r>
      <w:r w:rsidR="00E506DE">
        <w:rPr>
          <w:rFonts w:ascii="Arial" w:hAnsi="Arial" w:cs="Arial"/>
          <w:sz w:val="24"/>
          <w:szCs w:val="24"/>
        </w:rPr>
        <w:t>for harm</w:t>
      </w:r>
      <w:r w:rsidR="000272C6">
        <w:rPr>
          <w:rFonts w:ascii="Arial" w:hAnsi="Arial" w:cs="Arial"/>
          <w:sz w:val="24"/>
          <w:szCs w:val="24"/>
        </w:rPr>
        <w:t xml:space="preserve"> </w:t>
      </w:r>
      <w:r w:rsidR="00E506DE">
        <w:rPr>
          <w:rFonts w:ascii="Arial" w:hAnsi="Arial" w:cs="Arial"/>
          <w:sz w:val="24"/>
          <w:szCs w:val="24"/>
        </w:rPr>
        <w:t xml:space="preserve">or fatality </w:t>
      </w:r>
      <w:r w:rsidR="000272C6">
        <w:rPr>
          <w:rFonts w:ascii="Arial" w:hAnsi="Arial" w:cs="Arial"/>
          <w:sz w:val="24"/>
          <w:szCs w:val="24"/>
        </w:rPr>
        <w:t>caused to</w:t>
      </w:r>
      <w:r w:rsidR="009276AE">
        <w:rPr>
          <w:rFonts w:ascii="Arial" w:hAnsi="Arial" w:cs="Arial"/>
          <w:sz w:val="24"/>
          <w:szCs w:val="24"/>
        </w:rPr>
        <w:t xml:space="preserve"> </w:t>
      </w:r>
      <w:r w:rsidR="00AC6156">
        <w:rPr>
          <w:rFonts w:ascii="Arial" w:hAnsi="Arial" w:cs="Arial"/>
          <w:sz w:val="24"/>
          <w:szCs w:val="24"/>
        </w:rPr>
        <w:t>‘lawful visitors’</w:t>
      </w:r>
      <w:r w:rsidR="000272C6">
        <w:rPr>
          <w:rFonts w:ascii="Arial" w:hAnsi="Arial" w:cs="Arial"/>
          <w:sz w:val="24"/>
          <w:szCs w:val="24"/>
        </w:rPr>
        <w:t xml:space="preserve"> </w:t>
      </w:r>
      <w:sdt>
        <w:sdtPr>
          <w:rPr>
            <w:rFonts w:ascii="Arial" w:hAnsi="Arial" w:cs="Arial"/>
            <w:sz w:val="24"/>
            <w:szCs w:val="24"/>
          </w:rPr>
          <w:id w:val="-954480059"/>
          <w:citation/>
        </w:sdtPr>
        <w:sdtEndPr/>
        <w:sdtContent>
          <w:r w:rsidR="00D24941">
            <w:rPr>
              <w:rFonts w:ascii="Arial" w:hAnsi="Arial" w:cs="Arial"/>
              <w:sz w:val="24"/>
              <w:szCs w:val="24"/>
            </w:rPr>
            <w:fldChar w:fldCharType="begin"/>
          </w:r>
          <w:r w:rsidR="00D24941">
            <w:rPr>
              <w:rFonts w:ascii="Arial" w:hAnsi="Arial" w:cs="Arial"/>
              <w:sz w:val="24"/>
              <w:szCs w:val="24"/>
            </w:rPr>
            <w:instrText xml:space="preserve"> CITATION Dou58 \l 2057 </w:instrText>
          </w:r>
          <w:r w:rsidR="00D24941">
            <w:rPr>
              <w:rFonts w:ascii="Arial" w:hAnsi="Arial" w:cs="Arial"/>
              <w:sz w:val="24"/>
              <w:szCs w:val="24"/>
            </w:rPr>
            <w:fldChar w:fldCharType="separate"/>
          </w:r>
          <w:r w:rsidR="00D24941" w:rsidRPr="00D24941">
            <w:rPr>
              <w:rFonts w:ascii="Arial" w:hAnsi="Arial" w:cs="Arial"/>
              <w:noProof/>
              <w:sz w:val="24"/>
              <w:szCs w:val="24"/>
            </w:rPr>
            <w:t>(Payne, 1958)</w:t>
          </w:r>
          <w:r w:rsidR="00D24941">
            <w:rPr>
              <w:rFonts w:ascii="Arial" w:hAnsi="Arial" w:cs="Arial"/>
              <w:sz w:val="24"/>
              <w:szCs w:val="24"/>
            </w:rPr>
            <w:fldChar w:fldCharType="end"/>
          </w:r>
        </w:sdtContent>
      </w:sdt>
      <w:r w:rsidR="00D24941">
        <w:rPr>
          <w:rFonts w:ascii="Arial" w:hAnsi="Arial" w:cs="Arial"/>
          <w:sz w:val="24"/>
          <w:szCs w:val="24"/>
        </w:rPr>
        <w:t>. This is</w:t>
      </w:r>
      <w:r w:rsidR="009C1A57">
        <w:rPr>
          <w:rFonts w:ascii="Arial" w:hAnsi="Arial" w:cs="Arial"/>
          <w:sz w:val="24"/>
          <w:szCs w:val="24"/>
        </w:rPr>
        <w:t xml:space="preserve"> achieve</w:t>
      </w:r>
      <w:r w:rsidR="00C34734">
        <w:rPr>
          <w:rFonts w:ascii="Arial" w:hAnsi="Arial" w:cs="Arial"/>
          <w:sz w:val="24"/>
          <w:szCs w:val="24"/>
        </w:rPr>
        <w:t>d by</w:t>
      </w:r>
      <w:r w:rsidR="00D23DE0">
        <w:rPr>
          <w:rFonts w:ascii="Arial" w:hAnsi="Arial" w:cs="Arial"/>
          <w:sz w:val="24"/>
          <w:szCs w:val="24"/>
        </w:rPr>
        <w:t xml:space="preserve"> </w:t>
      </w:r>
      <w:r w:rsidR="00A27B93">
        <w:rPr>
          <w:rFonts w:ascii="Arial" w:hAnsi="Arial" w:cs="Arial"/>
          <w:sz w:val="24"/>
          <w:szCs w:val="24"/>
        </w:rPr>
        <w:t>the</w:t>
      </w:r>
      <w:r w:rsidR="00C34734">
        <w:rPr>
          <w:rFonts w:ascii="Arial" w:hAnsi="Arial" w:cs="Arial"/>
          <w:sz w:val="24"/>
          <w:szCs w:val="24"/>
        </w:rPr>
        <w:t xml:space="preserve"> entre</w:t>
      </w:r>
      <w:r w:rsidR="00A27B93">
        <w:rPr>
          <w:rFonts w:ascii="Arial" w:hAnsi="Arial" w:cs="Arial"/>
          <w:sz w:val="24"/>
          <w:szCs w:val="24"/>
        </w:rPr>
        <w:t>nchment</w:t>
      </w:r>
      <w:r w:rsidR="00942A15">
        <w:rPr>
          <w:rFonts w:ascii="Arial" w:hAnsi="Arial" w:cs="Arial"/>
          <w:sz w:val="24"/>
          <w:szCs w:val="24"/>
        </w:rPr>
        <w:t xml:space="preserve"> </w:t>
      </w:r>
      <w:r w:rsidR="007C31A7">
        <w:rPr>
          <w:rFonts w:ascii="Arial" w:hAnsi="Arial" w:cs="Arial"/>
          <w:sz w:val="24"/>
          <w:szCs w:val="24"/>
        </w:rPr>
        <w:t>of</w:t>
      </w:r>
      <w:r w:rsidR="00511629">
        <w:rPr>
          <w:rFonts w:ascii="Arial" w:hAnsi="Arial" w:cs="Arial"/>
          <w:sz w:val="24"/>
          <w:szCs w:val="24"/>
        </w:rPr>
        <w:t xml:space="preserve"> </w:t>
      </w:r>
      <w:r w:rsidR="00A27B93">
        <w:rPr>
          <w:rFonts w:ascii="Arial" w:hAnsi="Arial" w:cs="Arial"/>
          <w:sz w:val="24"/>
          <w:szCs w:val="24"/>
        </w:rPr>
        <w:t>responsibility</w:t>
      </w:r>
      <w:r w:rsidR="00511629">
        <w:rPr>
          <w:rFonts w:ascii="Arial" w:hAnsi="Arial" w:cs="Arial"/>
          <w:sz w:val="24"/>
          <w:szCs w:val="24"/>
        </w:rPr>
        <w:t xml:space="preserve"> to</w:t>
      </w:r>
      <w:r w:rsidR="000A5933">
        <w:rPr>
          <w:rFonts w:ascii="Arial" w:hAnsi="Arial" w:cs="Arial"/>
          <w:sz w:val="24"/>
          <w:szCs w:val="24"/>
        </w:rPr>
        <w:t xml:space="preserve"> </w:t>
      </w:r>
      <w:r w:rsidR="00511629">
        <w:rPr>
          <w:rFonts w:ascii="Arial" w:hAnsi="Arial" w:cs="Arial"/>
          <w:sz w:val="24"/>
          <w:szCs w:val="24"/>
        </w:rPr>
        <w:t xml:space="preserve">provide care against </w:t>
      </w:r>
      <w:r w:rsidR="000A5933">
        <w:rPr>
          <w:rFonts w:ascii="Arial" w:hAnsi="Arial" w:cs="Arial"/>
          <w:sz w:val="24"/>
          <w:szCs w:val="24"/>
        </w:rPr>
        <w:t>accidents</w:t>
      </w:r>
      <w:r w:rsidR="00734216">
        <w:rPr>
          <w:rFonts w:ascii="Arial" w:hAnsi="Arial" w:cs="Arial"/>
          <w:sz w:val="24"/>
          <w:szCs w:val="24"/>
        </w:rPr>
        <w:t xml:space="preserve"> </w:t>
      </w:r>
      <w:r w:rsidR="0008474B">
        <w:rPr>
          <w:rFonts w:ascii="Arial" w:hAnsi="Arial" w:cs="Arial"/>
          <w:sz w:val="24"/>
          <w:szCs w:val="24"/>
        </w:rPr>
        <w:t>aris</w:t>
      </w:r>
      <w:r w:rsidR="00B02E61">
        <w:rPr>
          <w:rFonts w:ascii="Arial" w:hAnsi="Arial" w:cs="Arial"/>
          <w:sz w:val="24"/>
          <w:szCs w:val="24"/>
        </w:rPr>
        <w:t>ing</w:t>
      </w:r>
      <w:r w:rsidR="00734216">
        <w:rPr>
          <w:rFonts w:ascii="Arial" w:hAnsi="Arial" w:cs="Arial"/>
          <w:sz w:val="24"/>
          <w:szCs w:val="24"/>
        </w:rPr>
        <w:t xml:space="preserve"> from </w:t>
      </w:r>
      <w:r w:rsidR="001068EF">
        <w:rPr>
          <w:rFonts w:ascii="Arial" w:hAnsi="Arial" w:cs="Arial"/>
          <w:sz w:val="24"/>
          <w:szCs w:val="24"/>
        </w:rPr>
        <w:t>the condition of the pre</w:t>
      </w:r>
      <w:r w:rsidR="00D24941">
        <w:rPr>
          <w:rFonts w:ascii="Arial" w:hAnsi="Arial" w:cs="Arial"/>
          <w:sz w:val="24"/>
          <w:szCs w:val="24"/>
        </w:rPr>
        <w:t>mises</w:t>
      </w:r>
      <w:sdt>
        <w:sdtPr>
          <w:rPr>
            <w:rFonts w:ascii="Arial" w:hAnsi="Arial" w:cs="Arial"/>
            <w:sz w:val="24"/>
            <w:szCs w:val="24"/>
          </w:rPr>
          <w:id w:val="-268692442"/>
          <w:citation/>
        </w:sdtPr>
        <w:sdtEndPr/>
        <w:sdtContent>
          <w:r w:rsidR="00D416E4">
            <w:rPr>
              <w:rFonts w:ascii="Arial" w:hAnsi="Arial" w:cs="Arial"/>
              <w:sz w:val="24"/>
              <w:szCs w:val="24"/>
            </w:rPr>
            <w:fldChar w:fldCharType="begin"/>
          </w:r>
          <w:r w:rsidR="00D416E4">
            <w:rPr>
              <w:rFonts w:ascii="Arial" w:hAnsi="Arial" w:cs="Arial"/>
              <w:sz w:val="24"/>
              <w:szCs w:val="24"/>
            </w:rPr>
            <w:instrText xml:space="preserve"> CITATION Law11 \l 2057 </w:instrText>
          </w:r>
          <w:r w:rsidR="00D416E4">
            <w:rPr>
              <w:rFonts w:ascii="Arial" w:hAnsi="Arial" w:cs="Arial"/>
              <w:sz w:val="24"/>
              <w:szCs w:val="24"/>
            </w:rPr>
            <w:fldChar w:fldCharType="separate"/>
          </w:r>
          <w:r w:rsidR="00D416E4">
            <w:rPr>
              <w:rFonts w:ascii="Arial" w:hAnsi="Arial" w:cs="Arial"/>
              <w:noProof/>
              <w:sz w:val="24"/>
              <w:szCs w:val="24"/>
            </w:rPr>
            <w:t xml:space="preserve"> </w:t>
          </w:r>
          <w:r w:rsidR="00D416E4" w:rsidRPr="00D416E4">
            <w:rPr>
              <w:rFonts w:ascii="Arial" w:hAnsi="Arial" w:cs="Arial"/>
              <w:noProof/>
              <w:sz w:val="24"/>
              <w:szCs w:val="24"/>
            </w:rPr>
            <w:t>(Bamber, 2011)</w:t>
          </w:r>
          <w:r w:rsidR="00D416E4">
            <w:rPr>
              <w:rFonts w:ascii="Arial" w:hAnsi="Arial" w:cs="Arial"/>
              <w:sz w:val="24"/>
              <w:szCs w:val="24"/>
            </w:rPr>
            <w:fldChar w:fldCharType="end"/>
          </w:r>
        </w:sdtContent>
      </w:sdt>
      <w:r w:rsidR="0058175F">
        <w:rPr>
          <w:rFonts w:ascii="Arial" w:hAnsi="Arial" w:cs="Arial"/>
          <w:sz w:val="24"/>
          <w:szCs w:val="24"/>
        </w:rPr>
        <w:t>.</w:t>
      </w:r>
      <w:r>
        <w:rPr>
          <w:rFonts w:ascii="Arial" w:hAnsi="Arial" w:cs="Arial"/>
          <w:sz w:val="24"/>
          <w:szCs w:val="24"/>
        </w:rPr>
        <w:t xml:space="preserve"> </w:t>
      </w:r>
      <w:r w:rsidR="009713DE">
        <w:rPr>
          <w:rFonts w:ascii="Arial" w:hAnsi="Arial" w:cs="Arial"/>
          <w:sz w:val="24"/>
          <w:szCs w:val="24"/>
        </w:rPr>
        <w:t>OLA 1957</w:t>
      </w:r>
      <w:r w:rsidR="00F973FC">
        <w:rPr>
          <w:rFonts w:ascii="Arial" w:hAnsi="Arial" w:cs="Arial"/>
          <w:sz w:val="24"/>
          <w:szCs w:val="24"/>
        </w:rPr>
        <w:t xml:space="preserve"> s1(3a)</w:t>
      </w:r>
      <w:r w:rsidR="009713DE">
        <w:rPr>
          <w:rFonts w:ascii="Arial" w:hAnsi="Arial" w:cs="Arial"/>
          <w:sz w:val="24"/>
          <w:szCs w:val="24"/>
        </w:rPr>
        <w:t xml:space="preserve"> </w:t>
      </w:r>
      <w:r w:rsidR="00D400DA">
        <w:rPr>
          <w:rFonts w:ascii="Arial" w:hAnsi="Arial" w:cs="Arial"/>
          <w:sz w:val="24"/>
          <w:szCs w:val="24"/>
        </w:rPr>
        <w:t xml:space="preserve">states that </w:t>
      </w:r>
      <w:r w:rsidR="00937FB7">
        <w:rPr>
          <w:rFonts w:ascii="Arial" w:hAnsi="Arial" w:cs="Arial"/>
          <w:sz w:val="24"/>
          <w:szCs w:val="24"/>
        </w:rPr>
        <w:t xml:space="preserve">the </w:t>
      </w:r>
      <w:r w:rsidR="00231CA1">
        <w:rPr>
          <w:rFonts w:ascii="Arial" w:hAnsi="Arial" w:cs="Arial"/>
          <w:sz w:val="24"/>
          <w:szCs w:val="24"/>
        </w:rPr>
        <w:t xml:space="preserve">law pertains to </w:t>
      </w:r>
      <w:r w:rsidR="00B07E34">
        <w:rPr>
          <w:rFonts w:ascii="Arial" w:hAnsi="Arial" w:cs="Arial"/>
          <w:sz w:val="24"/>
          <w:szCs w:val="24"/>
        </w:rPr>
        <w:t>premises and land as well as</w:t>
      </w:r>
      <w:r w:rsidR="007C3CD8">
        <w:rPr>
          <w:rFonts w:ascii="Arial" w:hAnsi="Arial" w:cs="Arial"/>
          <w:sz w:val="24"/>
          <w:szCs w:val="24"/>
        </w:rPr>
        <w:t xml:space="preserve"> mobile structures</w:t>
      </w:r>
      <w:r w:rsidR="002828B4">
        <w:rPr>
          <w:rFonts w:ascii="Arial" w:hAnsi="Arial" w:cs="Arial"/>
          <w:sz w:val="24"/>
          <w:szCs w:val="24"/>
        </w:rPr>
        <w:t>.</w:t>
      </w:r>
      <w:r w:rsidR="00B07E34">
        <w:rPr>
          <w:rFonts w:ascii="Arial" w:hAnsi="Arial" w:cs="Arial"/>
          <w:sz w:val="24"/>
          <w:szCs w:val="24"/>
        </w:rPr>
        <w:t xml:space="preserve"> </w:t>
      </w:r>
      <w:r>
        <w:rPr>
          <w:rFonts w:ascii="Arial" w:hAnsi="Arial" w:cs="Arial"/>
          <w:sz w:val="24"/>
          <w:szCs w:val="24"/>
        </w:rPr>
        <w:t>S</w:t>
      </w:r>
      <w:r w:rsidR="00E94005">
        <w:rPr>
          <w:rFonts w:ascii="Arial" w:hAnsi="Arial" w:cs="Arial"/>
          <w:sz w:val="24"/>
          <w:szCs w:val="24"/>
        </w:rPr>
        <w:t xml:space="preserve">ection 1(2) </w:t>
      </w:r>
      <w:r w:rsidR="00101A42">
        <w:rPr>
          <w:rFonts w:ascii="Arial" w:hAnsi="Arial" w:cs="Arial"/>
          <w:sz w:val="24"/>
          <w:szCs w:val="24"/>
        </w:rPr>
        <w:t xml:space="preserve">classifies </w:t>
      </w:r>
      <w:r w:rsidR="009E4494">
        <w:rPr>
          <w:rFonts w:ascii="Arial" w:hAnsi="Arial" w:cs="Arial"/>
          <w:sz w:val="24"/>
          <w:szCs w:val="24"/>
        </w:rPr>
        <w:t xml:space="preserve">the occupier as the </w:t>
      </w:r>
      <w:r w:rsidR="00FB68A3">
        <w:rPr>
          <w:rFonts w:ascii="Arial" w:hAnsi="Arial" w:cs="Arial"/>
          <w:sz w:val="24"/>
          <w:szCs w:val="24"/>
        </w:rPr>
        <w:t>party</w:t>
      </w:r>
      <w:r w:rsidR="00BB0A0C">
        <w:rPr>
          <w:rFonts w:ascii="Arial" w:hAnsi="Arial" w:cs="Arial"/>
          <w:sz w:val="24"/>
          <w:szCs w:val="24"/>
        </w:rPr>
        <w:t xml:space="preserve"> </w:t>
      </w:r>
      <w:r w:rsidR="00E37602">
        <w:rPr>
          <w:rFonts w:ascii="Arial" w:hAnsi="Arial" w:cs="Arial"/>
          <w:sz w:val="24"/>
          <w:szCs w:val="24"/>
        </w:rPr>
        <w:t>with</w:t>
      </w:r>
      <w:r w:rsidR="00BB0A0C">
        <w:rPr>
          <w:rFonts w:ascii="Arial" w:hAnsi="Arial" w:cs="Arial"/>
          <w:sz w:val="24"/>
          <w:szCs w:val="24"/>
        </w:rPr>
        <w:t xml:space="preserve"> authority over</w:t>
      </w:r>
      <w:r w:rsidR="005C3D07">
        <w:rPr>
          <w:rFonts w:ascii="Arial" w:hAnsi="Arial" w:cs="Arial"/>
          <w:sz w:val="24"/>
          <w:szCs w:val="24"/>
        </w:rPr>
        <w:t xml:space="preserve"> the property. This is reinforced by</w:t>
      </w:r>
      <w:r w:rsidR="00032FC2">
        <w:rPr>
          <w:rFonts w:ascii="Arial" w:hAnsi="Arial" w:cs="Arial"/>
          <w:sz w:val="24"/>
          <w:szCs w:val="24"/>
        </w:rPr>
        <w:t xml:space="preserve"> </w:t>
      </w:r>
      <w:r w:rsidR="00CC05C9">
        <w:rPr>
          <w:rFonts w:ascii="Arial" w:hAnsi="Arial" w:cs="Arial"/>
          <w:sz w:val="24"/>
          <w:szCs w:val="24"/>
        </w:rPr>
        <w:t>the case of</w:t>
      </w:r>
      <w:r w:rsidR="00032FC2">
        <w:rPr>
          <w:rFonts w:ascii="Arial" w:hAnsi="Arial" w:cs="Arial"/>
          <w:sz w:val="24"/>
          <w:szCs w:val="24"/>
        </w:rPr>
        <w:t xml:space="preserve"> Wheat v E </w:t>
      </w:r>
      <w:proofErr w:type="spellStart"/>
      <w:r w:rsidR="00032FC2">
        <w:rPr>
          <w:rFonts w:ascii="Arial" w:hAnsi="Arial" w:cs="Arial"/>
          <w:sz w:val="24"/>
          <w:szCs w:val="24"/>
        </w:rPr>
        <w:t>Lacon</w:t>
      </w:r>
      <w:proofErr w:type="spellEnd"/>
      <w:r w:rsidR="00032FC2">
        <w:rPr>
          <w:rFonts w:ascii="Arial" w:hAnsi="Arial" w:cs="Arial"/>
          <w:sz w:val="24"/>
          <w:szCs w:val="24"/>
        </w:rPr>
        <w:t xml:space="preserve"> </w:t>
      </w:r>
      <w:r w:rsidR="00D87A0D">
        <w:rPr>
          <w:rFonts w:ascii="Arial" w:hAnsi="Arial" w:cs="Arial"/>
          <w:sz w:val="24"/>
          <w:szCs w:val="24"/>
        </w:rPr>
        <w:t>&amp; Co (1966)</w:t>
      </w:r>
      <w:r w:rsidR="00D101DD">
        <w:rPr>
          <w:rFonts w:ascii="Arial" w:hAnsi="Arial" w:cs="Arial"/>
          <w:sz w:val="24"/>
          <w:szCs w:val="24"/>
        </w:rPr>
        <w:t xml:space="preserve"> which established that</w:t>
      </w:r>
      <w:r w:rsidR="0052466F">
        <w:rPr>
          <w:rFonts w:ascii="Arial" w:hAnsi="Arial" w:cs="Arial"/>
          <w:sz w:val="24"/>
          <w:szCs w:val="24"/>
        </w:rPr>
        <w:t xml:space="preserve"> an occupier </w:t>
      </w:r>
      <w:r w:rsidR="000A7B52">
        <w:rPr>
          <w:rFonts w:ascii="Arial" w:hAnsi="Arial" w:cs="Arial"/>
          <w:sz w:val="24"/>
          <w:szCs w:val="24"/>
        </w:rPr>
        <w:t>need not own the property</w:t>
      </w:r>
      <w:r w:rsidR="005D46A5">
        <w:rPr>
          <w:rFonts w:ascii="Arial" w:hAnsi="Arial" w:cs="Arial"/>
          <w:sz w:val="24"/>
          <w:szCs w:val="24"/>
        </w:rPr>
        <w:t xml:space="preserve">, they only require </w:t>
      </w:r>
      <w:r w:rsidR="00D25B71">
        <w:rPr>
          <w:rFonts w:ascii="Arial" w:hAnsi="Arial" w:cs="Arial"/>
          <w:sz w:val="24"/>
          <w:szCs w:val="24"/>
        </w:rPr>
        <w:t>an element of control</w:t>
      </w:r>
      <w:r w:rsidR="00FC4B0B">
        <w:rPr>
          <w:rFonts w:ascii="Arial" w:hAnsi="Arial" w:cs="Arial"/>
          <w:sz w:val="24"/>
          <w:szCs w:val="24"/>
        </w:rPr>
        <w:t xml:space="preserve"> relating to </w:t>
      </w:r>
      <w:r w:rsidR="005F0527">
        <w:rPr>
          <w:rFonts w:ascii="Arial" w:hAnsi="Arial" w:cs="Arial"/>
          <w:sz w:val="24"/>
          <w:szCs w:val="24"/>
        </w:rPr>
        <w:t>the premises an</w:t>
      </w:r>
      <w:r w:rsidR="00FF375A">
        <w:rPr>
          <w:rFonts w:ascii="Arial" w:hAnsi="Arial" w:cs="Arial"/>
          <w:sz w:val="24"/>
          <w:szCs w:val="24"/>
        </w:rPr>
        <w:t>d</w:t>
      </w:r>
      <w:r w:rsidR="005F0527">
        <w:rPr>
          <w:rFonts w:ascii="Arial" w:hAnsi="Arial" w:cs="Arial"/>
          <w:sz w:val="24"/>
          <w:szCs w:val="24"/>
        </w:rPr>
        <w:t xml:space="preserve"> its safety</w:t>
      </w:r>
      <w:r w:rsidR="005D46A5">
        <w:rPr>
          <w:rFonts w:ascii="Arial" w:hAnsi="Arial" w:cs="Arial"/>
          <w:sz w:val="24"/>
          <w:szCs w:val="24"/>
        </w:rPr>
        <w:t>.</w:t>
      </w:r>
      <w:r w:rsidR="00C76D8D">
        <w:rPr>
          <w:rFonts w:ascii="Arial" w:hAnsi="Arial" w:cs="Arial"/>
          <w:sz w:val="24"/>
          <w:szCs w:val="24"/>
        </w:rPr>
        <w:t xml:space="preserve"> The case also found that </w:t>
      </w:r>
      <w:r w:rsidR="006C7655">
        <w:rPr>
          <w:rFonts w:ascii="Arial" w:hAnsi="Arial" w:cs="Arial"/>
          <w:sz w:val="24"/>
          <w:szCs w:val="24"/>
        </w:rPr>
        <w:t xml:space="preserve">there may be multiple occupiers of a property, each bound </w:t>
      </w:r>
      <w:r w:rsidR="00FC4B0B">
        <w:rPr>
          <w:rFonts w:ascii="Arial" w:hAnsi="Arial" w:cs="Arial"/>
          <w:sz w:val="24"/>
          <w:szCs w:val="24"/>
        </w:rPr>
        <w:t>by</w:t>
      </w:r>
      <w:r w:rsidR="008E7DAB">
        <w:rPr>
          <w:rFonts w:ascii="Arial" w:hAnsi="Arial" w:cs="Arial"/>
          <w:sz w:val="24"/>
          <w:szCs w:val="24"/>
        </w:rPr>
        <w:t xml:space="preserve"> </w:t>
      </w:r>
      <w:r w:rsidR="00B7041B">
        <w:rPr>
          <w:rFonts w:ascii="Arial" w:hAnsi="Arial" w:cs="Arial"/>
          <w:sz w:val="24"/>
          <w:szCs w:val="24"/>
        </w:rPr>
        <w:t xml:space="preserve">liability </w:t>
      </w:r>
      <w:r w:rsidR="008E7DAB">
        <w:rPr>
          <w:rFonts w:ascii="Arial" w:hAnsi="Arial" w:cs="Arial"/>
          <w:sz w:val="24"/>
          <w:szCs w:val="24"/>
        </w:rPr>
        <w:t>t</w:t>
      </w:r>
      <w:r w:rsidR="003D6F8F">
        <w:rPr>
          <w:rFonts w:ascii="Arial" w:hAnsi="Arial" w:cs="Arial"/>
          <w:sz w:val="24"/>
          <w:szCs w:val="24"/>
        </w:rPr>
        <w:t>o</w:t>
      </w:r>
      <w:r w:rsidR="008E7DAB">
        <w:rPr>
          <w:rFonts w:ascii="Arial" w:hAnsi="Arial" w:cs="Arial"/>
          <w:sz w:val="24"/>
          <w:szCs w:val="24"/>
        </w:rPr>
        <w:t xml:space="preserve"> visitors. Furthermore, Harris v Birkenhead Corp (</w:t>
      </w:r>
      <w:r w:rsidR="005859B9">
        <w:rPr>
          <w:rFonts w:ascii="Arial" w:hAnsi="Arial" w:cs="Arial"/>
          <w:sz w:val="24"/>
          <w:szCs w:val="24"/>
        </w:rPr>
        <w:t xml:space="preserve">1976) </w:t>
      </w:r>
      <w:r w:rsidR="00E77673">
        <w:rPr>
          <w:rFonts w:ascii="Arial" w:hAnsi="Arial" w:cs="Arial"/>
          <w:sz w:val="24"/>
          <w:szCs w:val="24"/>
        </w:rPr>
        <w:t xml:space="preserve">found that </w:t>
      </w:r>
      <w:r w:rsidR="0049361E">
        <w:rPr>
          <w:rFonts w:ascii="Arial" w:hAnsi="Arial" w:cs="Arial"/>
          <w:sz w:val="24"/>
          <w:szCs w:val="24"/>
        </w:rPr>
        <w:t>‘physical</w:t>
      </w:r>
      <w:r w:rsidR="00134153">
        <w:rPr>
          <w:rFonts w:ascii="Arial" w:hAnsi="Arial" w:cs="Arial"/>
          <w:sz w:val="24"/>
          <w:szCs w:val="24"/>
        </w:rPr>
        <w:t xml:space="preserve">’ possession of property is not required for </w:t>
      </w:r>
      <w:r w:rsidR="004128C0">
        <w:rPr>
          <w:rFonts w:ascii="Arial" w:hAnsi="Arial" w:cs="Arial"/>
          <w:sz w:val="24"/>
          <w:szCs w:val="24"/>
        </w:rPr>
        <w:t xml:space="preserve">persons to be </w:t>
      </w:r>
      <w:r w:rsidR="00BD7B99">
        <w:rPr>
          <w:rFonts w:ascii="Arial" w:hAnsi="Arial" w:cs="Arial"/>
          <w:sz w:val="24"/>
          <w:szCs w:val="24"/>
        </w:rPr>
        <w:t>deemed</w:t>
      </w:r>
      <w:r w:rsidR="004128C0">
        <w:rPr>
          <w:rFonts w:ascii="Arial" w:hAnsi="Arial" w:cs="Arial"/>
          <w:sz w:val="24"/>
          <w:szCs w:val="24"/>
        </w:rPr>
        <w:t xml:space="preserve"> an occupier</w:t>
      </w:r>
      <w:r w:rsidR="000C5D84">
        <w:rPr>
          <w:rFonts w:ascii="Arial" w:hAnsi="Arial" w:cs="Arial"/>
          <w:sz w:val="24"/>
          <w:szCs w:val="24"/>
        </w:rPr>
        <w:t>.</w:t>
      </w:r>
      <w:r w:rsidR="003A7A16">
        <w:rPr>
          <w:rFonts w:ascii="Arial" w:hAnsi="Arial" w:cs="Arial"/>
          <w:sz w:val="24"/>
          <w:szCs w:val="24"/>
        </w:rPr>
        <w:t xml:space="preserve"> </w:t>
      </w:r>
    </w:p>
    <w:p w14:paraId="76EB9C92" w14:textId="47E27AA9" w:rsidR="00B71FD5" w:rsidRDefault="00B71FD5" w:rsidP="00A67FB1">
      <w:pPr>
        <w:ind w:left="720"/>
        <w:rPr>
          <w:rFonts w:ascii="Arial" w:hAnsi="Arial" w:cs="Arial"/>
          <w:sz w:val="24"/>
          <w:szCs w:val="24"/>
        </w:rPr>
      </w:pPr>
    </w:p>
    <w:p w14:paraId="4C0A838A" w14:textId="33231AB5" w:rsidR="00B71FD5" w:rsidRDefault="00B71FD5" w:rsidP="00B71FD5">
      <w:pPr>
        <w:ind w:left="720"/>
        <w:rPr>
          <w:rFonts w:ascii="Arial" w:hAnsi="Arial" w:cs="Arial"/>
          <w:sz w:val="24"/>
          <w:szCs w:val="24"/>
        </w:rPr>
      </w:pPr>
      <w:r>
        <w:rPr>
          <w:rFonts w:ascii="Arial" w:hAnsi="Arial" w:cs="Arial"/>
          <w:sz w:val="24"/>
          <w:szCs w:val="24"/>
        </w:rPr>
        <w:t>It must be noted that there are two instances whereby the duty of care owed to visitors can be heightened or lessened</w:t>
      </w:r>
      <w:sdt>
        <w:sdtPr>
          <w:rPr>
            <w:rFonts w:ascii="Arial" w:hAnsi="Arial" w:cs="Arial"/>
            <w:sz w:val="24"/>
            <w:szCs w:val="24"/>
          </w:rPr>
          <w:id w:val="2088502116"/>
          <w:citation/>
        </w:sdtPr>
        <w:sdtContent>
          <w:r w:rsidR="00746026">
            <w:rPr>
              <w:rFonts w:ascii="Arial" w:hAnsi="Arial" w:cs="Arial"/>
              <w:sz w:val="24"/>
              <w:szCs w:val="24"/>
            </w:rPr>
            <w:fldChar w:fldCharType="begin"/>
          </w:r>
          <w:r w:rsidR="00746026">
            <w:rPr>
              <w:rFonts w:ascii="Arial" w:hAnsi="Arial" w:cs="Arial"/>
              <w:sz w:val="24"/>
              <w:szCs w:val="24"/>
            </w:rPr>
            <w:instrText xml:space="preserve"> CITATION Luk11 \l 2057 </w:instrText>
          </w:r>
          <w:r w:rsidR="00746026">
            <w:rPr>
              <w:rFonts w:ascii="Arial" w:hAnsi="Arial" w:cs="Arial"/>
              <w:sz w:val="24"/>
              <w:szCs w:val="24"/>
            </w:rPr>
            <w:fldChar w:fldCharType="separate"/>
          </w:r>
          <w:r w:rsidR="00746026">
            <w:rPr>
              <w:rFonts w:ascii="Arial" w:hAnsi="Arial" w:cs="Arial"/>
              <w:noProof/>
              <w:sz w:val="24"/>
              <w:szCs w:val="24"/>
            </w:rPr>
            <w:t xml:space="preserve"> </w:t>
          </w:r>
          <w:r w:rsidR="00746026" w:rsidRPr="00746026">
            <w:rPr>
              <w:rFonts w:ascii="Arial" w:hAnsi="Arial" w:cs="Arial"/>
              <w:noProof/>
              <w:sz w:val="24"/>
              <w:szCs w:val="24"/>
            </w:rPr>
            <w:t>(Bennett, 2011)</w:t>
          </w:r>
          <w:r w:rsidR="00746026">
            <w:rPr>
              <w:rFonts w:ascii="Arial" w:hAnsi="Arial" w:cs="Arial"/>
              <w:sz w:val="24"/>
              <w:szCs w:val="24"/>
            </w:rPr>
            <w:fldChar w:fldCharType="end"/>
          </w:r>
        </w:sdtContent>
      </w:sdt>
      <w:r>
        <w:rPr>
          <w:rFonts w:ascii="Arial" w:hAnsi="Arial" w:cs="Arial"/>
          <w:sz w:val="24"/>
          <w:szCs w:val="24"/>
        </w:rPr>
        <w:t xml:space="preserve">. This is evidenced in OLA 1957 </w:t>
      </w:r>
      <w:r w:rsidR="00C42A3B">
        <w:rPr>
          <w:rFonts w:ascii="Arial" w:hAnsi="Arial" w:cs="Arial"/>
          <w:sz w:val="24"/>
          <w:szCs w:val="24"/>
        </w:rPr>
        <w:t>s</w:t>
      </w:r>
      <w:r>
        <w:rPr>
          <w:rFonts w:ascii="Arial" w:hAnsi="Arial" w:cs="Arial"/>
          <w:sz w:val="24"/>
          <w:szCs w:val="24"/>
        </w:rPr>
        <w:t>2 (3a) which refers to</w:t>
      </w:r>
      <w:r w:rsidR="006F488E">
        <w:rPr>
          <w:rFonts w:ascii="Arial" w:hAnsi="Arial" w:cs="Arial"/>
          <w:sz w:val="24"/>
          <w:szCs w:val="24"/>
        </w:rPr>
        <w:t xml:space="preserve"> </w:t>
      </w:r>
      <w:r>
        <w:rPr>
          <w:rFonts w:ascii="Arial" w:hAnsi="Arial" w:cs="Arial"/>
          <w:sz w:val="24"/>
          <w:szCs w:val="24"/>
        </w:rPr>
        <w:t xml:space="preserve">child visitors, stating that occupiers must consider that children are typically less cautious than adults. They must ensure safety provisions are in place with this in mind. This could suggest a higher extent of liability which is demonstrated in Glasgow Corporation v Taylor (2002). </w:t>
      </w:r>
      <w:r w:rsidR="00F67D6A">
        <w:rPr>
          <w:rFonts w:ascii="Arial" w:hAnsi="Arial" w:cs="Arial"/>
          <w:sz w:val="24"/>
          <w:szCs w:val="24"/>
        </w:rPr>
        <w:t>Despite this</w:t>
      </w:r>
      <w:r>
        <w:rPr>
          <w:rFonts w:ascii="Arial" w:hAnsi="Arial" w:cs="Arial"/>
          <w:sz w:val="24"/>
          <w:szCs w:val="24"/>
        </w:rPr>
        <w:t>, common law provisions have allowed for lessened and even negated liability for occupiers when there</w:t>
      </w:r>
      <w:r w:rsidR="00A53BAD">
        <w:rPr>
          <w:rFonts w:ascii="Arial" w:hAnsi="Arial" w:cs="Arial"/>
          <w:sz w:val="24"/>
          <w:szCs w:val="24"/>
        </w:rPr>
        <w:t xml:space="preserve"> is</w:t>
      </w:r>
      <w:r>
        <w:rPr>
          <w:rFonts w:ascii="Arial" w:hAnsi="Arial" w:cs="Arial"/>
          <w:sz w:val="24"/>
          <w:szCs w:val="24"/>
        </w:rPr>
        <w:t xml:space="preserve"> a parent or </w:t>
      </w:r>
      <w:r w:rsidR="00A53BAD">
        <w:rPr>
          <w:rFonts w:ascii="Arial" w:hAnsi="Arial" w:cs="Arial"/>
          <w:sz w:val="24"/>
          <w:szCs w:val="24"/>
        </w:rPr>
        <w:t>guardian present</w:t>
      </w:r>
      <w:sdt>
        <w:sdtPr>
          <w:rPr>
            <w:rFonts w:ascii="Arial" w:hAnsi="Arial" w:cs="Arial"/>
            <w:sz w:val="24"/>
            <w:szCs w:val="24"/>
          </w:rPr>
          <w:id w:val="1297645482"/>
          <w:citation/>
        </w:sdtPr>
        <w:sdtContent>
          <w:r w:rsidR="001378E6">
            <w:rPr>
              <w:rFonts w:ascii="Arial" w:hAnsi="Arial" w:cs="Arial"/>
              <w:sz w:val="24"/>
              <w:szCs w:val="24"/>
            </w:rPr>
            <w:fldChar w:fldCharType="begin"/>
          </w:r>
          <w:r w:rsidR="001378E6">
            <w:rPr>
              <w:rFonts w:ascii="Arial" w:hAnsi="Arial" w:cs="Arial"/>
              <w:sz w:val="24"/>
              <w:szCs w:val="24"/>
            </w:rPr>
            <w:instrText xml:space="preserve"> CITATION Jam01 \l 2057 </w:instrText>
          </w:r>
          <w:r w:rsidR="001378E6">
            <w:rPr>
              <w:rFonts w:ascii="Arial" w:hAnsi="Arial" w:cs="Arial"/>
              <w:sz w:val="24"/>
              <w:szCs w:val="24"/>
            </w:rPr>
            <w:fldChar w:fldCharType="separate"/>
          </w:r>
          <w:r w:rsidR="001378E6">
            <w:rPr>
              <w:rFonts w:ascii="Arial" w:hAnsi="Arial" w:cs="Arial"/>
              <w:noProof/>
              <w:sz w:val="24"/>
              <w:szCs w:val="24"/>
            </w:rPr>
            <w:t xml:space="preserve"> </w:t>
          </w:r>
          <w:r w:rsidR="001378E6" w:rsidRPr="001378E6">
            <w:rPr>
              <w:rFonts w:ascii="Arial" w:hAnsi="Arial" w:cs="Arial"/>
              <w:noProof/>
              <w:sz w:val="24"/>
              <w:szCs w:val="24"/>
            </w:rPr>
            <w:t>(Watt, 2001)</w:t>
          </w:r>
          <w:r w:rsidR="001378E6">
            <w:rPr>
              <w:rFonts w:ascii="Arial" w:hAnsi="Arial" w:cs="Arial"/>
              <w:sz w:val="24"/>
              <w:szCs w:val="24"/>
            </w:rPr>
            <w:fldChar w:fldCharType="end"/>
          </w:r>
        </w:sdtContent>
      </w:sdt>
      <w:r>
        <w:rPr>
          <w:rFonts w:ascii="Arial" w:hAnsi="Arial" w:cs="Arial"/>
          <w:sz w:val="24"/>
          <w:szCs w:val="24"/>
        </w:rPr>
        <w:t xml:space="preserve">. This is seen in the case of </w:t>
      </w:r>
      <w:proofErr w:type="spellStart"/>
      <w:r>
        <w:rPr>
          <w:rFonts w:ascii="Arial" w:hAnsi="Arial" w:cs="Arial"/>
          <w:sz w:val="24"/>
          <w:szCs w:val="24"/>
        </w:rPr>
        <w:t>Bourne</w:t>
      </w:r>
      <w:proofErr w:type="spellEnd"/>
      <w:r>
        <w:rPr>
          <w:rFonts w:ascii="Arial" w:hAnsi="Arial" w:cs="Arial"/>
          <w:sz w:val="24"/>
          <w:szCs w:val="24"/>
        </w:rPr>
        <w:t xml:space="preserve"> </w:t>
      </w:r>
      <w:r w:rsidR="00A53BAD">
        <w:rPr>
          <w:rFonts w:ascii="Arial" w:hAnsi="Arial" w:cs="Arial"/>
          <w:sz w:val="24"/>
          <w:szCs w:val="24"/>
        </w:rPr>
        <w:t>Leisure</w:t>
      </w:r>
      <w:r>
        <w:rPr>
          <w:rFonts w:ascii="Arial" w:hAnsi="Arial" w:cs="Arial"/>
          <w:sz w:val="24"/>
          <w:szCs w:val="24"/>
        </w:rPr>
        <w:t xml:space="preserve"> v Marsden (2009) where the Court of Appeal concluded that the risk of danger was obvious to the parents, therefore the defendant was not liable to protect against the risk. Furthermore, the Courts will also recognise that cases involving children are circumstantial, age and mentality have been proven to limit grounds of liability. This is demonstrated in Titchener v British Railways Board (1983) which concluded that the 15-year-old claimant was fully aware of the risks surrounding her </w:t>
      </w:r>
      <w:r w:rsidR="00EB19AE">
        <w:rPr>
          <w:rFonts w:ascii="Arial" w:hAnsi="Arial" w:cs="Arial"/>
          <w:sz w:val="24"/>
          <w:szCs w:val="24"/>
        </w:rPr>
        <w:t xml:space="preserve">actions, </w:t>
      </w:r>
      <w:r>
        <w:rPr>
          <w:rFonts w:ascii="Arial" w:hAnsi="Arial" w:cs="Arial"/>
          <w:sz w:val="24"/>
          <w:szCs w:val="24"/>
        </w:rPr>
        <w:t xml:space="preserve">therefore negating the liability of the </w:t>
      </w:r>
      <w:r w:rsidR="0000205E">
        <w:rPr>
          <w:rFonts w:ascii="Arial" w:hAnsi="Arial" w:cs="Arial"/>
          <w:sz w:val="24"/>
          <w:szCs w:val="24"/>
        </w:rPr>
        <w:t xml:space="preserve">defendant. </w:t>
      </w:r>
      <w:r>
        <w:rPr>
          <w:rFonts w:ascii="Arial" w:hAnsi="Arial" w:cs="Arial"/>
          <w:sz w:val="24"/>
          <w:szCs w:val="24"/>
        </w:rPr>
        <w:t>Th</w:t>
      </w:r>
      <w:r w:rsidR="00D1096F">
        <w:rPr>
          <w:rFonts w:ascii="Arial" w:hAnsi="Arial" w:cs="Arial"/>
          <w:sz w:val="24"/>
          <w:szCs w:val="24"/>
        </w:rPr>
        <w:t>is suggests</w:t>
      </w:r>
      <w:r>
        <w:rPr>
          <w:rFonts w:ascii="Arial" w:hAnsi="Arial" w:cs="Arial"/>
          <w:sz w:val="24"/>
          <w:szCs w:val="24"/>
        </w:rPr>
        <w:t xml:space="preserve"> </w:t>
      </w:r>
      <w:r w:rsidR="00F073F2">
        <w:rPr>
          <w:rFonts w:ascii="Arial" w:hAnsi="Arial" w:cs="Arial"/>
          <w:sz w:val="24"/>
          <w:szCs w:val="24"/>
        </w:rPr>
        <w:t xml:space="preserve">that </w:t>
      </w:r>
      <w:r>
        <w:rPr>
          <w:rFonts w:ascii="Arial" w:hAnsi="Arial" w:cs="Arial"/>
          <w:sz w:val="24"/>
          <w:szCs w:val="24"/>
        </w:rPr>
        <w:t>even in heightened</w:t>
      </w:r>
      <w:r w:rsidR="001E5339">
        <w:rPr>
          <w:rFonts w:ascii="Arial" w:hAnsi="Arial" w:cs="Arial"/>
          <w:sz w:val="24"/>
          <w:szCs w:val="24"/>
        </w:rPr>
        <w:t xml:space="preserve"> care</w:t>
      </w:r>
      <w:r>
        <w:rPr>
          <w:rFonts w:ascii="Arial" w:hAnsi="Arial" w:cs="Arial"/>
          <w:sz w:val="24"/>
          <w:szCs w:val="24"/>
        </w:rPr>
        <w:t xml:space="preserve"> circumstances concerning children, the liability of an occupier is </w:t>
      </w:r>
      <w:r w:rsidR="001B3D77">
        <w:rPr>
          <w:rFonts w:ascii="Arial" w:hAnsi="Arial" w:cs="Arial"/>
          <w:sz w:val="24"/>
          <w:szCs w:val="24"/>
        </w:rPr>
        <w:t xml:space="preserve">circumstantially </w:t>
      </w:r>
      <w:r>
        <w:rPr>
          <w:rFonts w:ascii="Arial" w:hAnsi="Arial" w:cs="Arial"/>
          <w:sz w:val="24"/>
          <w:szCs w:val="24"/>
        </w:rPr>
        <w:t>limited.</w:t>
      </w:r>
    </w:p>
    <w:p w14:paraId="42A627FE" w14:textId="7B590261" w:rsidR="00EB19AE" w:rsidRDefault="00EB19AE" w:rsidP="00B71FD5">
      <w:pPr>
        <w:ind w:left="720"/>
        <w:rPr>
          <w:rFonts w:ascii="Arial" w:hAnsi="Arial" w:cs="Arial"/>
          <w:sz w:val="24"/>
          <w:szCs w:val="24"/>
        </w:rPr>
      </w:pPr>
    </w:p>
    <w:p w14:paraId="608A3476" w14:textId="3E6D71D6" w:rsidR="006807F7" w:rsidRDefault="00BE250F" w:rsidP="006807F7">
      <w:pPr>
        <w:ind w:left="720"/>
        <w:rPr>
          <w:rFonts w:ascii="Arial" w:hAnsi="Arial" w:cs="Arial"/>
          <w:sz w:val="24"/>
          <w:szCs w:val="24"/>
        </w:rPr>
      </w:pPr>
      <w:r>
        <w:rPr>
          <w:rFonts w:ascii="Arial" w:hAnsi="Arial" w:cs="Arial"/>
          <w:sz w:val="24"/>
          <w:szCs w:val="24"/>
        </w:rPr>
        <w:t>The second instance of</w:t>
      </w:r>
      <w:r w:rsidR="00AE5A53">
        <w:rPr>
          <w:rFonts w:ascii="Arial" w:hAnsi="Arial" w:cs="Arial"/>
          <w:sz w:val="24"/>
          <w:szCs w:val="24"/>
        </w:rPr>
        <w:t xml:space="preserve"> variable</w:t>
      </w:r>
      <w:r>
        <w:rPr>
          <w:rFonts w:ascii="Arial" w:hAnsi="Arial" w:cs="Arial"/>
          <w:sz w:val="24"/>
          <w:szCs w:val="24"/>
        </w:rPr>
        <w:t xml:space="preserve"> </w:t>
      </w:r>
      <w:r w:rsidR="001E5339">
        <w:rPr>
          <w:rFonts w:ascii="Arial" w:hAnsi="Arial" w:cs="Arial"/>
          <w:sz w:val="24"/>
          <w:szCs w:val="24"/>
        </w:rPr>
        <w:t>care</w:t>
      </w:r>
      <w:r>
        <w:rPr>
          <w:rFonts w:ascii="Arial" w:hAnsi="Arial" w:cs="Arial"/>
          <w:sz w:val="24"/>
          <w:szCs w:val="24"/>
        </w:rPr>
        <w:t xml:space="preserve"> concerns</w:t>
      </w:r>
      <w:r w:rsidR="000F6773">
        <w:rPr>
          <w:rFonts w:ascii="Arial" w:hAnsi="Arial" w:cs="Arial"/>
          <w:sz w:val="24"/>
          <w:szCs w:val="24"/>
        </w:rPr>
        <w:t xml:space="preserve"> </w:t>
      </w:r>
      <w:r w:rsidR="00AC0468">
        <w:rPr>
          <w:rFonts w:ascii="Arial" w:hAnsi="Arial" w:cs="Arial"/>
          <w:sz w:val="24"/>
          <w:szCs w:val="24"/>
        </w:rPr>
        <w:t xml:space="preserve">professional judgement. S2(3b) OLA 1957 </w:t>
      </w:r>
      <w:r w:rsidR="00A57578">
        <w:rPr>
          <w:rFonts w:ascii="Arial" w:hAnsi="Arial" w:cs="Arial"/>
          <w:sz w:val="24"/>
          <w:szCs w:val="24"/>
        </w:rPr>
        <w:t>states t</w:t>
      </w:r>
      <w:r w:rsidR="00100A2A">
        <w:rPr>
          <w:rFonts w:ascii="Arial" w:hAnsi="Arial" w:cs="Arial"/>
          <w:sz w:val="24"/>
          <w:szCs w:val="24"/>
        </w:rPr>
        <w:t>hat tradesman should adopt</w:t>
      </w:r>
      <w:r w:rsidR="00C312A5">
        <w:rPr>
          <w:rFonts w:ascii="Arial" w:hAnsi="Arial" w:cs="Arial"/>
          <w:sz w:val="24"/>
          <w:szCs w:val="24"/>
        </w:rPr>
        <w:t xml:space="preserve"> a higher guard to occupational danger</w:t>
      </w:r>
      <w:r w:rsidR="00C325AB">
        <w:rPr>
          <w:rFonts w:ascii="Arial" w:hAnsi="Arial" w:cs="Arial"/>
          <w:sz w:val="24"/>
          <w:szCs w:val="24"/>
        </w:rPr>
        <w:t>,</w:t>
      </w:r>
      <w:r w:rsidR="00540B40">
        <w:rPr>
          <w:rFonts w:ascii="Arial" w:hAnsi="Arial" w:cs="Arial"/>
          <w:sz w:val="24"/>
          <w:szCs w:val="24"/>
        </w:rPr>
        <w:t xml:space="preserve"> in turn </w:t>
      </w:r>
      <w:r w:rsidR="00C312A5">
        <w:rPr>
          <w:rFonts w:ascii="Arial" w:hAnsi="Arial" w:cs="Arial"/>
          <w:sz w:val="24"/>
          <w:szCs w:val="24"/>
        </w:rPr>
        <w:t xml:space="preserve">providing </w:t>
      </w:r>
      <w:r w:rsidR="00A2069D">
        <w:rPr>
          <w:rFonts w:ascii="Arial" w:hAnsi="Arial" w:cs="Arial"/>
          <w:sz w:val="24"/>
          <w:szCs w:val="24"/>
        </w:rPr>
        <w:t>a lessened basis of liability</w:t>
      </w:r>
      <w:r w:rsidR="00540B40">
        <w:rPr>
          <w:rFonts w:ascii="Arial" w:hAnsi="Arial" w:cs="Arial"/>
          <w:sz w:val="24"/>
          <w:szCs w:val="24"/>
        </w:rPr>
        <w:t xml:space="preserve"> on occupiers</w:t>
      </w:r>
      <w:r w:rsidR="00C312A5">
        <w:rPr>
          <w:rFonts w:ascii="Arial" w:hAnsi="Arial" w:cs="Arial"/>
          <w:sz w:val="24"/>
          <w:szCs w:val="24"/>
        </w:rPr>
        <w:t>.</w:t>
      </w:r>
      <w:r w:rsidR="00540B40">
        <w:rPr>
          <w:rFonts w:ascii="Arial" w:hAnsi="Arial" w:cs="Arial"/>
          <w:sz w:val="24"/>
          <w:szCs w:val="24"/>
        </w:rPr>
        <w:t xml:space="preserve"> </w:t>
      </w:r>
      <w:r w:rsidR="00972AC4">
        <w:rPr>
          <w:rFonts w:ascii="Arial" w:hAnsi="Arial" w:cs="Arial"/>
          <w:sz w:val="24"/>
          <w:szCs w:val="24"/>
        </w:rPr>
        <w:t>This is evidenced in Roles v Nathan</w:t>
      </w:r>
      <w:r w:rsidR="00903084">
        <w:rPr>
          <w:rFonts w:ascii="Arial" w:hAnsi="Arial" w:cs="Arial"/>
          <w:sz w:val="24"/>
          <w:szCs w:val="24"/>
        </w:rPr>
        <w:t xml:space="preserve"> (1963)</w:t>
      </w:r>
      <w:r w:rsidR="00972AC4">
        <w:rPr>
          <w:rFonts w:ascii="Arial" w:hAnsi="Arial" w:cs="Arial"/>
          <w:sz w:val="24"/>
          <w:szCs w:val="24"/>
        </w:rPr>
        <w:t xml:space="preserve"> where the </w:t>
      </w:r>
      <w:r w:rsidR="00721FEA">
        <w:rPr>
          <w:rFonts w:ascii="Arial" w:hAnsi="Arial" w:cs="Arial"/>
          <w:sz w:val="24"/>
          <w:szCs w:val="24"/>
        </w:rPr>
        <w:t>occupier w</w:t>
      </w:r>
      <w:r w:rsidR="0091447B">
        <w:rPr>
          <w:rFonts w:ascii="Arial" w:hAnsi="Arial" w:cs="Arial"/>
          <w:sz w:val="24"/>
          <w:szCs w:val="24"/>
        </w:rPr>
        <w:t xml:space="preserve">as not held liable as the </w:t>
      </w:r>
      <w:r w:rsidR="00972AC4">
        <w:rPr>
          <w:rFonts w:ascii="Arial" w:hAnsi="Arial" w:cs="Arial"/>
          <w:sz w:val="24"/>
          <w:szCs w:val="24"/>
        </w:rPr>
        <w:t>defendants (chimney sweeps</w:t>
      </w:r>
      <w:r w:rsidR="00721FEA">
        <w:rPr>
          <w:rFonts w:ascii="Arial" w:hAnsi="Arial" w:cs="Arial"/>
          <w:sz w:val="24"/>
          <w:szCs w:val="24"/>
        </w:rPr>
        <w:t xml:space="preserve">) </w:t>
      </w:r>
      <w:r w:rsidR="0091447B">
        <w:rPr>
          <w:rFonts w:ascii="Arial" w:hAnsi="Arial" w:cs="Arial"/>
          <w:sz w:val="24"/>
          <w:szCs w:val="24"/>
        </w:rPr>
        <w:t xml:space="preserve">were expected to </w:t>
      </w:r>
      <w:r w:rsidR="009436DE">
        <w:rPr>
          <w:rFonts w:ascii="Arial" w:hAnsi="Arial" w:cs="Arial"/>
          <w:sz w:val="24"/>
          <w:szCs w:val="24"/>
        </w:rPr>
        <w:t>know of the dangers concerning carbon monoxide.</w:t>
      </w:r>
      <w:r w:rsidR="00AE5A53">
        <w:rPr>
          <w:rFonts w:ascii="Arial" w:hAnsi="Arial" w:cs="Arial"/>
          <w:sz w:val="24"/>
          <w:szCs w:val="24"/>
        </w:rPr>
        <w:t xml:space="preserve"> Similar standards are held in s2(4) when considering </w:t>
      </w:r>
      <w:r w:rsidR="005B10A8">
        <w:rPr>
          <w:rFonts w:ascii="Arial" w:hAnsi="Arial" w:cs="Arial"/>
          <w:sz w:val="24"/>
          <w:szCs w:val="24"/>
        </w:rPr>
        <w:t>independent contractors</w:t>
      </w:r>
      <w:r w:rsidR="00453C33">
        <w:rPr>
          <w:rFonts w:ascii="Arial" w:hAnsi="Arial" w:cs="Arial"/>
          <w:sz w:val="24"/>
          <w:szCs w:val="24"/>
        </w:rPr>
        <w:t xml:space="preserve">. </w:t>
      </w:r>
      <w:r w:rsidR="00D639C6">
        <w:rPr>
          <w:rFonts w:ascii="Arial" w:hAnsi="Arial" w:cs="Arial"/>
          <w:sz w:val="24"/>
          <w:szCs w:val="24"/>
        </w:rPr>
        <w:t>Consequently,</w:t>
      </w:r>
      <w:r w:rsidR="00C51289">
        <w:rPr>
          <w:rFonts w:ascii="Arial" w:hAnsi="Arial" w:cs="Arial"/>
          <w:sz w:val="24"/>
          <w:szCs w:val="24"/>
        </w:rPr>
        <w:t xml:space="preserve"> </w:t>
      </w:r>
      <w:r w:rsidR="00891035">
        <w:rPr>
          <w:rFonts w:ascii="Arial" w:hAnsi="Arial" w:cs="Arial"/>
          <w:sz w:val="24"/>
          <w:szCs w:val="24"/>
        </w:rPr>
        <w:t>occupiers can transfer liability to contractors</w:t>
      </w:r>
      <w:r w:rsidR="005636DD">
        <w:rPr>
          <w:rFonts w:ascii="Arial" w:hAnsi="Arial" w:cs="Arial"/>
          <w:sz w:val="24"/>
          <w:szCs w:val="24"/>
        </w:rPr>
        <w:t>. T</w:t>
      </w:r>
      <w:r w:rsidR="006807F7">
        <w:rPr>
          <w:rFonts w:ascii="Arial" w:hAnsi="Arial" w:cs="Arial"/>
          <w:sz w:val="24"/>
          <w:szCs w:val="24"/>
        </w:rPr>
        <w:t>his is satisfied</w:t>
      </w:r>
      <w:r w:rsidR="00891035">
        <w:rPr>
          <w:rFonts w:ascii="Arial" w:hAnsi="Arial" w:cs="Arial"/>
          <w:sz w:val="24"/>
          <w:szCs w:val="24"/>
        </w:rPr>
        <w:t xml:space="preserve"> in cases where</w:t>
      </w:r>
      <w:r w:rsidR="00CC5719">
        <w:rPr>
          <w:rFonts w:ascii="Arial" w:hAnsi="Arial" w:cs="Arial"/>
          <w:sz w:val="24"/>
          <w:szCs w:val="24"/>
        </w:rPr>
        <w:t xml:space="preserve"> it is reasonable for</w:t>
      </w:r>
      <w:r w:rsidR="001F4E8B">
        <w:rPr>
          <w:rFonts w:ascii="Arial" w:hAnsi="Arial" w:cs="Arial"/>
          <w:sz w:val="24"/>
          <w:szCs w:val="24"/>
        </w:rPr>
        <w:t xml:space="preserve"> the occupier to have instructed the contractor as seen in </w:t>
      </w:r>
      <w:proofErr w:type="spellStart"/>
      <w:r w:rsidR="001F4E8B">
        <w:rPr>
          <w:rFonts w:ascii="Arial" w:hAnsi="Arial" w:cs="Arial"/>
          <w:sz w:val="24"/>
          <w:szCs w:val="24"/>
        </w:rPr>
        <w:t>Hasel</w:t>
      </w:r>
      <w:r w:rsidR="00B848FF">
        <w:rPr>
          <w:rFonts w:ascii="Arial" w:hAnsi="Arial" w:cs="Arial"/>
          <w:sz w:val="24"/>
          <w:szCs w:val="24"/>
        </w:rPr>
        <w:t>dine</w:t>
      </w:r>
      <w:proofErr w:type="spellEnd"/>
      <w:r w:rsidR="00B848FF">
        <w:rPr>
          <w:rFonts w:ascii="Arial" w:hAnsi="Arial" w:cs="Arial"/>
          <w:sz w:val="24"/>
          <w:szCs w:val="24"/>
        </w:rPr>
        <w:t xml:space="preserve"> v Daw (1941)</w:t>
      </w:r>
      <w:r w:rsidR="0009592E">
        <w:rPr>
          <w:rFonts w:ascii="Arial" w:hAnsi="Arial" w:cs="Arial"/>
          <w:sz w:val="24"/>
          <w:szCs w:val="24"/>
        </w:rPr>
        <w:t xml:space="preserve">, the contractor is </w:t>
      </w:r>
      <w:r w:rsidR="006F0CEF">
        <w:rPr>
          <w:rFonts w:ascii="Arial" w:hAnsi="Arial" w:cs="Arial"/>
          <w:sz w:val="24"/>
          <w:szCs w:val="24"/>
        </w:rPr>
        <w:t xml:space="preserve">deemed </w:t>
      </w:r>
      <w:r w:rsidR="006F0CEF">
        <w:rPr>
          <w:rFonts w:ascii="Arial" w:hAnsi="Arial" w:cs="Arial"/>
          <w:sz w:val="24"/>
          <w:szCs w:val="24"/>
        </w:rPr>
        <w:lastRenderedPageBreak/>
        <w:t xml:space="preserve">competent to complete said work as seen in Bottomley v Todmorden </w:t>
      </w:r>
      <w:r w:rsidR="00C9399F">
        <w:rPr>
          <w:rFonts w:ascii="Arial" w:hAnsi="Arial" w:cs="Arial"/>
          <w:sz w:val="24"/>
          <w:szCs w:val="24"/>
        </w:rPr>
        <w:t xml:space="preserve">(2003) and </w:t>
      </w:r>
      <w:r w:rsidR="006807F7">
        <w:rPr>
          <w:rFonts w:ascii="Arial" w:hAnsi="Arial" w:cs="Arial"/>
          <w:sz w:val="24"/>
          <w:szCs w:val="24"/>
        </w:rPr>
        <w:t xml:space="preserve">the occupier has </w:t>
      </w:r>
      <w:r w:rsidR="00B24167">
        <w:rPr>
          <w:rFonts w:ascii="Arial" w:hAnsi="Arial" w:cs="Arial"/>
          <w:sz w:val="24"/>
          <w:szCs w:val="24"/>
        </w:rPr>
        <w:t xml:space="preserve">reason to believe that the work was completed </w:t>
      </w:r>
      <w:r w:rsidR="00384F03">
        <w:rPr>
          <w:rFonts w:ascii="Arial" w:hAnsi="Arial" w:cs="Arial"/>
          <w:sz w:val="24"/>
          <w:szCs w:val="24"/>
        </w:rPr>
        <w:t>correctly as seen in Woodward</w:t>
      </w:r>
      <w:r w:rsidR="00C127C7">
        <w:rPr>
          <w:rFonts w:ascii="Arial" w:hAnsi="Arial" w:cs="Arial"/>
          <w:sz w:val="24"/>
          <w:szCs w:val="24"/>
        </w:rPr>
        <w:t xml:space="preserve"> v The Mayor of Hastings (</w:t>
      </w:r>
      <w:r w:rsidR="00D90955">
        <w:rPr>
          <w:rFonts w:ascii="Arial" w:hAnsi="Arial" w:cs="Arial"/>
          <w:sz w:val="24"/>
          <w:szCs w:val="24"/>
        </w:rPr>
        <w:t>1945).</w:t>
      </w:r>
    </w:p>
    <w:p w14:paraId="25593D02" w14:textId="25F67DA4" w:rsidR="00B71FD5" w:rsidRDefault="00B71FD5" w:rsidP="00B71FD5">
      <w:pPr>
        <w:rPr>
          <w:rFonts w:ascii="Arial" w:hAnsi="Arial" w:cs="Arial"/>
          <w:sz w:val="24"/>
          <w:szCs w:val="24"/>
        </w:rPr>
      </w:pPr>
    </w:p>
    <w:p w14:paraId="56887558" w14:textId="77777777" w:rsidR="00B71FD5" w:rsidRDefault="00B71FD5" w:rsidP="00A67FB1">
      <w:pPr>
        <w:ind w:left="720"/>
        <w:rPr>
          <w:rFonts w:ascii="Arial" w:hAnsi="Arial" w:cs="Arial"/>
          <w:sz w:val="24"/>
          <w:szCs w:val="24"/>
        </w:rPr>
      </w:pPr>
    </w:p>
    <w:p w14:paraId="0926B6B8" w14:textId="01313A67" w:rsidR="00C530A1" w:rsidRDefault="00C530A1" w:rsidP="00A67FB1">
      <w:pPr>
        <w:ind w:left="720"/>
        <w:rPr>
          <w:rFonts w:ascii="Arial" w:hAnsi="Arial" w:cs="Arial"/>
          <w:sz w:val="24"/>
          <w:szCs w:val="24"/>
        </w:rPr>
      </w:pPr>
    </w:p>
    <w:p w14:paraId="2CBA2247" w14:textId="337BA266" w:rsidR="004F1AAE" w:rsidRDefault="009064FD" w:rsidP="004F1AAE">
      <w:pPr>
        <w:ind w:left="720"/>
        <w:rPr>
          <w:rFonts w:ascii="Arial" w:hAnsi="Arial" w:cs="Arial"/>
          <w:sz w:val="24"/>
          <w:szCs w:val="24"/>
        </w:rPr>
      </w:pPr>
      <w:r>
        <w:rPr>
          <w:rFonts w:ascii="Arial" w:hAnsi="Arial" w:cs="Arial"/>
          <w:sz w:val="24"/>
          <w:szCs w:val="24"/>
        </w:rPr>
        <w:t>T</w:t>
      </w:r>
      <w:r w:rsidR="006E7660">
        <w:rPr>
          <w:rFonts w:ascii="Arial" w:hAnsi="Arial" w:cs="Arial"/>
          <w:sz w:val="24"/>
          <w:szCs w:val="24"/>
        </w:rPr>
        <w:t>he enactment of</w:t>
      </w:r>
      <w:r w:rsidR="000036FB">
        <w:rPr>
          <w:rFonts w:ascii="Arial" w:hAnsi="Arial" w:cs="Arial"/>
          <w:sz w:val="24"/>
          <w:szCs w:val="24"/>
        </w:rPr>
        <w:t xml:space="preserve"> OLA 1984 </w:t>
      </w:r>
      <w:r w:rsidR="00773FC8">
        <w:rPr>
          <w:rFonts w:ascii="Arial" w:hAnsi="Arial" w:cs="Arial"/>
          <w:sz w:val="24"/>
          <w:szCs w:val="24"/>
        </w:rPr>
        <w:t>extended</w:t>
      </w:r>
      <w:r w:rsidR="00654D5B">
        <w:rPr>
          <w:rFonts w:ascii="Arial" w:hAnsi="Arial" w:cs="Arial"/>
          <w:sz w:val="24"/>
          <w:szCs w:val="24"/>
        </w:rPr>
        <w:t xml:space="preserve"> the </w:t>
      </w:r>
      <w:r w:rsidR="00B224A2">
        <w:rPr>
          <w:rFonts w:ascii="Arial" w:hAnsi="Arial" w:cs="Arial"/>
          <w:sz w:val="24"/>
          <w:szCs w:val="24"/>
        </w:rPr>
        <w:t xml:space="preserve">pool </w:t>
      </w:r>
      <w:r w:rsidR="00654D5B">
        <w:rPr>
          <w:rFonts w:ascii="Arial" w:hAnsi="Arial" w:cs="Arial"/>
          <w:sz w:val="24"/>
          <w:szCs w:val="24"/>
        </w:rPr>
        <w:t>of liability for occupiers</w:t>
      </w:r>
      <w:r w:rsidR="00AA2866">
        <w:rPr>
          <w:rFonts w:ascii="Arial" w:hAnsi="Arial" w:cs="Arial"/>
          <w:sz w:val="24"/>
          <w:szCs w:val="24"/>
        </w:rPr>
        <w:t>,</w:t>
      </w:r>
      <w:r w:rsidR="00654D5B">
        <w:rPr>
          <w:rFonts w:ascii="Arial" w:hAnsi="Arial" w:cs="Arial"/>
          <w:sz w:val="24"/>
          <w:szCs w:val="24"/>
        </w:rPr>
        <w:t xml:space="preserve"> with </w:t>
      </w:r>
      <w:r w:rsidR="00652C56">
        <w:rPr>
          <w:rFonts w:ascii="Arial" w:hAnsi="Arial" w:cs="Arial"/>
          <w:sz w:val="24"/>
          <w:szCs w:val="24"/>
        </w:rPr>
        <w:t xml:space="preserve">the legislation now </w:t>
      </w:r>
      <w:r w:rsidR="0052677B">
        <w:rPr>
          <w:rFonts w:ascii="Arial" w:hAnsi="Arial" w:cs="Arial"/>
          <w:sz w:val="24"/>
          <w:szCs w:val="24"/>
        </w:rPr>
        <w:t>covering</w:t>
      </w:r>
      <w:r w:rsidR="00652C56">
        <w:rPr>
          <w:rFonts w:ascii="Arial" w:hAnsi="Arial" w:cs="Arial"/>
          <w:sz w:val="24"/>
          <w:szCs w:val="24"/>
        </w:rPr>
        <w:t xml:space="preserve"> unlawful </w:t>
      </w:r>
      <w:r w:rsidR="00AA2866">
        <w:rPr>
          <w:rFonts w:ascii="Arial" w:hAnsi="Arial" w:cs="Arial"/>
          <w:sz w:val="24"/>
          <w:szCs w:val="24"/>
        </w:rPr>
        <w:t>visitors</w:t>
      </w:r>
      <w:sdt>
        <w:sdtPr>
          <w:rPr>
            <w:rFonts w:ascii="Arial" w:hAnsi="Arial" w:cs="Arial"/>
            <w:sz w:val="24"/>
            <w:szCs w:val="24"/>
          </w:rPr>
          <w:id w:val="1747073345"/>
          <w:citation/>
        </w:sdtPr>
        <w:sdtContent>
          <w:r w:rsidR="00BC39B8">
            <w:rPr>
              <w:rFonts w:ascii="Arial" w:hAnsi="Arial" w:cs="Arial"/>
              <w:sz w:val="24"/>
              <w:szCs w:val="24"/>
            </w:rPr>
            <w:fldChar w:fldCharType="begin"/>
          </w:r>
          <w:r w:rsidR="00BC39B8">
            <w:rPr>
              <w:rFonts w:ascii="Arial" w:hAnsi="Arial" w:cs="Arial"/>
              <w:sz w:val="24"/>
              <w:szCs w:val="24"/>
            </w:rPr>
            <w:instrText xml:space="preserve"> CITATION FJO57 \l 2057 </w:instrText>
          </w:r>
          <w:r w:rsidR="00BC39B8">
            <w:rPr>
              <w:rFonts w:ascii="Arial" w:hAnsi="Arial" w:cs="Arial"/>
              <w:sz w:val="24"/>
              <w:szCs w:val="24"/>
            </w:rPr>
            <w:fldChar w:fldCharType="separate"/>
          </w:r>
          <w:r w:rsidR="00BC39B8">
            <w:rPr>
              <w:rFonts w:ascii="Arial" w:hAnsi="Arial" w:cs="Arial"/>
              <w:noProof/>
              <w:sz w:val="24"/>
              <w:szCs w:val="24"/>
            </w:rPr>
            <w:t xml:space="preserve"> </w:t>
          </w:r>
          <w:r w:rsidR="00BC39B8" w:rsidRPr="00BC39B8">
            <w:rPr>
              <w:rFonts w:ascii="Arial" w:hAnsi="Arial" w:cs="Arial"/>
              <w:noProof/>
              <w:sz w:val="24"/>
              <w:szCs w:val="24"/>
            </w:rPr>
            <w:t>(Odgers, 1957)</w:t>
          </w:r>
          <w:r w:rsidR="00BC39B8">
            <w:rPr>
              <w:rFonts w:ascii="Arial" w:hAnsi="Arial" w:cs="Arial"/>
              <w:sz w:val="24"/>
              <w:szCs w:val="24"/>
            </w:rPr>
            <w:fldChar w:fldCharType="end"/>
          </w:r>
        </w:sdtContent>
      </w:sdt>
      <w:r w:rsidR="0086032A">
        <w:rPr>
          <w:rFonts w:ascii="Arial" w:hAnsi="Arial" w:cs="Arial"/>
          <w:sz w:val="24"/>
          <w:szCs w:val="24"/>
        </w:rPr>
        <w:t>.</w:t>
      </w:r>
      <w:r w:rsidR="0086032A" w:rsidRPr="0086032A">
        <w:rPr>
          <w:rFonts w:ascii="Arial" w:hAnsi="Arial" w:cs="Arial"/>
          <w:sz w:val="24"/>
          <w:szCs w:val="24"/>
        </w:rPr>
        <w:t xml:space="preserve"> </w:t>
      </w:r>
      <w:r w:rsidR="00345E56">
        <w:rPr>
          <w:rFonts w:ascii="Arial" w:hAnsi="Arial" w:cs="Arial"/>
          <w:sz w:val="24"/>
          <w:szCs w:val="24"/>
        </w:rPr>
        <w:t xml:space="preserve">To compare, </w:t>
      </w:r>
      <w:r w:rsidR="0086032A">
        <w:rPr>
          <w:rFonts w:ascii="Arial" w:hAnsi="Arial" w:cs="Arial"/>
          <w:sz w:val="24"/>
          <w:szCs w:val="24"/>
        </w:rPr>
        <w:t>OLA 1957 categorises ‘lawful visitors’ into two predominant types. S1(2) presents ‘invitees’, as those who have been invited to enter the premises for reasons pertaining to the interest of the occupier. Examples include customers of establishments or attendees of events</w:t>
      </w:r>
      <w:sdt>
        <w:sdtPr>
          <w:rPr>
            <w:rFonts w:ascii="Arial" w:hAnsi="Arial" w:cs="Arial"/>
            <w:sz w:val="24"/>
            <w:szCs w:val="24"/>
          </w:rPr>
          <w:id w:val="-1614743708"/>
          <w:citation/>
        </w:sdtPr>
        <w:sdtContent>
          <w:r w:rsidR="0086032A">
            <w:rPr>
              <w:rFonts w:ascii="Arial" w:hAnsi="Arial" w:cs="Arial"/>
              <w:sz w:val="24"/>
              <w:szCs w:val="24"/>
            </w:rPr>
            <w:fldChar w:fldCharType="begin"/>
          </w:r>
          <w:r w:rsidR="0086032A">
            <w:rPr>
              <w:rFonts w:ascii="Arial" w:hAnsi="Arial" w:cs="Arial"/>
              <w:sz w:val="24"/>
              <w:szCs w:val="24"/>
            </w:rPr>
            <w:instrText xml:space="preserve"> CITATION Bar95 \l 2057 </w:instrText>
          </w:r>
          <w:r w:rsidR="0086032A">
            <w:rPr>
              <w:rFonts w:ascii="Arial" w:hAnsi="Arial" w:cs="Arial"/>
              <w:sz w:val="24"/>
              <w:szCs w:val="24"/>
            </w:rPr>
            <w:fldChar w:fldCharType="separate"/>
          </w:r>
          <w:r w:rsidR="0086032A">
            <w:rPr>
              <w:rFonts w:ascii="Arial" w:hAnsi="Arial" w:cs="Arial"/>
              <w:noProof/>
              <w:sz w:val="24"/>
              <w:szCs w:val="24"/>
            </w:rPr>
            <w:t xml:space="preserve"> </w:t>
          </w:r>
          <w:r w:rsidR="0086032A" w:rsidRPr="00B963CB">
            <w:rPr>
              <w:rFonts w:ascii="Arial" w:hAnsi="Arial" w:cs="Arial"/>
              <w:noProof/>
              <w:sz w:val="24"/>
              <w:szCs w:val="24"/>
            </w:rPr>
            <w:t>(Barker &amp; Parry, 1995)</w:t>
          </w:r>
          <w:r w:rsidR="0086032A">
            <w:rPr>
              <w:rFonts w:ascii="Arial" w:hAnsi="Arial" w:cs="Arial"/>
              <w:sz w:val="24"/>
              <w:szCs w:val="24"/>
            </w:rPr>
            <w:fldChar w:fldCharType="end"/>
          </w:r>
        </w:sdtContent>
      </w:sdt>
      <w:r w:rsidR="0086032A">
        <w:rPr>
          <w:rFonts w:ascii="Arial" w:hAnsi="Arial" w:cs="Arial"/>
          <w:sz w:val="24"/>
          <w:szCs w:val="24"/>
        </w:rPr>
        <w:t>. The section also provides ‘Licensees’, those who have permission to visit that does not implicitly correlate to the occupier’s interests. In layman’s terms, this can be considered the family or friends of the occupier</w:t>
      </w:r>
      <w:sdt>
        <w:sdtPr>
          <w:rPr>
            <w:rFonts w:ascii="Arial" w:hAnsi="Arial" w:cs="Arial"/>
            <w:sz w:val="24"/>
            <w:szCs w:val="24"/>
          </w:rPr>
          <w:id w:val="547035722"/>
          <w:citation/>
        </w:sdtPr>
        <w:sdtContent>
          <w:r w:rsidR="0086032A">
            <w:rPr>
              <w:rFonts w:ascii="Arial" w:hAnsi="Arial" w:cs="Arial"/>
              <w:sz w:val="24"/>
              <w:szCs w:val="24"/>
            </w:rPr>
            <w:fldChar w:fldCharType="begin"/>
          </w:r>
          <w:r w:rsidR="0086032A">
            <w:rPr>
              <w:rFonts w:ascii="Arial" w:hAnsi="Arial" w:cs="Arial"/>
              <w:sz w:val="24"/>
              <w:szCs w:val="24"/>
            </w:rPr>
            <w:instrText xml:space="preserve"> CITATION Bri94 \l 2057 </w:instrText>
          </w:r>
          <w:r w:rsidR="0086032A">
            <w:rPr>
              <w:rFonts w:ascii="Arial" w:hAnsi="Arial" w:cs="Arial"/>
              <w:sz w:val="24"/>
              <w:szCs w:val="24"/>
            </w:rPr>
            <w:fldChar w:fldCharType="separate"/>
          </w:r>
          <w:r w:rsidR="0086032A">
            <w:rPr>
              <w:rFonts w:ascii="Arial" w:hAnsi="Arial" w:cs="Arial"/>
              <w:noProof/>
              <w:sz w:val="24"/>
              <w:szCs w:val="24"/>
            </w:rPr>
            <w:t xml:space="preserve"> </w:t>
          </w:r>
          <w:r w:rsidR="0086032A" w:rsidRPr="00D94F59">
            <w:rPr>
              <w:rFonts w:ascii="Arial" w:hAnsi="Arial" w:cs="Arial"/>
              <w:noProof/>
              <w:sz w:val="24"/>
              <w:szCs w:val="24"/>
            </w:rPr>
            <w:t>(Hogan, 1994)</w:t>
          </w:r>
          <w:r w:rsidR="0086032A">
            <w:rPr>
              <w:rFonts w:ascii="Arial" w:hAnsi="Arial" w:cs="Arial"/>
              <w:sz w:val="24"/>
              <w:szCs w:val="24"/>
            </w:rPr>
            <w:fldChar w:fldCharType="end"/>
          </w:r>
        </w:sdtContent>
      </w:sdt>
      <w:r w:rsidR="0086032A">
        <w:rPr>
          <w:rFonts w:ascii="Arial" w:hAnsi="Arial" w:cs="Arial"/>
          <w:sz w:val="24"/>
          <w:szCs w:val="24"/>
        </w:rPr>
        <w:t>.</w:t>
      </w:r>
      <w:r w:rsidR="00EF1EA3" w:rsidRPr="00EF1EA3">
        <w:rPr>
          <w:rFonts w:ascii="Arial" w:hAnsi="Arial" w:cs="Arial"/>
          <w:sz w:val="24"/>
          <w:szCs w:val="24"/>
        </w:rPr>
        <w:t xml:space="preserve"> </w:t>
      </w:r>
      <w:r w:rsidR="005C579E">
        <w:rPr>
          <w:rFonts w:ascii="Arial" w:hAnsi="Arial" w:cs="Arial"/>
          <w:sz w:val="24"/>
          <w:szCs w:val="24"/>
        </w:rPr>
        <w:t>Previously,</w:t>
      </w:r>
      <w:r w:rsidR="00EF1EA3">
        <w:rPr>
          <w:rFonts w:ascii="Arial" w:hAnsi="Arial" w:cs="Arial"/>
          <w:sz w:val="24"/>
          <w:szCs w:val="24"/>
        </w:rPr>
        <w:t xml:space="preserve"> </w:t>
      </w:r>
      <w:r w:rsidR="0060117B">
        <w:rPr>
          <w:rFonts w:ascii="Arial" w:hAnsi="Arial" w:cs="Arial"/>
          <w:sz w:val="24"/>
          <w:szCs w:val="24"/>
        </w:rPr>
        <w:t>the Courts</w:t>
      </w:r>
      <w:r w:rsidR="00EF1EA3">
        <w:rPr>
          <w:rFonts w:ascii="Arial" w:hAnsi="Arial" w:cs="Arial"/>
          <w:sz w:val="24"/>
          <w:szCs w:val="24"/>
        </w:rPr>
        <w:t xml:space="preserve"> </w:t>
      </w:r>
      <w:r w:rsidR="0060117B">
        <w:rPr>
          <w:rFonts w:ascii="Arial" w:hAnsi="Arial" w:cs="Arial"/>
          <w:sz w:val="24"/>
          <w:szCs w:val="24"/>
        </w:rPr>
        <w:t>accepted</w:t>
      </w:r>
      <w:r w:rsidR="00EF1EA3">
        <w:rPr>
          <w:rFonts w:ascii="Arial" w:hAnsi="Arial" w:cs="Arial"/>
          <w:sz w:val="24"/>
          <w:szCs w:val="24"/>
        </w:rPr>
        <w:t xml:space="preserve"> implied permission as established in </w:t>
      </w:r>
      <w:proofErr w:type="spellStart"/>
      <w:r w:rsidR="00EF1EA3">
        <w:rPr>
          <w:rFonts w:ascii="Arial" w:hAnsi="Arial" w:cs="Arial"/>
          <w:sz w:val="24"/>
          <w:szCs w:val="24"/>
        </w:rPr>
        <w:t>Lowery</w:t>
      </w:r>
      <w:proofErr w:type="spellEnd"/>
      <w:r w:rsidR="00EF1EA3">
        <w:rPr>
          <w:rFonts w:ascii="Arial" w:hAnsi="Arial" w:cs="Arial"/>
          <w:sz w:val="24"/>
          <w:szCs w:val="24"/>
        </w:rPr>
        <w:t xml:space="preserve"> v Walker (1911)</w:t>
      </w:r>
      <w:r w:rsidR="00144437">
        <w:rPr>
          <w:rFonts w:ascii="Arial" w:hAnsi="Arial" w:cs="Arial"/>
          <w:sz w:val="24"/>
          <w:szCs w:val="24"/>
        </w:rPr>
        <w:t>. This</w:t>
      </w:r>
      <w:r w:rsidR="00EF1EA3">
        <w:rPr>
          <w:rFonts w:ascii="Arial" w:hAnsi="Arial" w:cs="Arial"/>
          <w:sz w:val="24"/>
          <w:szCs w:val="24"/>
        </w:rPr>
        <w:t xml:space="preserve"> provided that the presence of express permission is not required for licensees.</w:t>
      </w:r>
      <w:r w:rsidR="00743600">
        <w:rPr>
          <w:rFonts w:ascii="Arial" w:hAnsi="Arial" w:cs="Arial"/>
          <w:sz w:val="24"/>
          <w:szCs w:val="24"/>
        </w:rPr>
        <w:t xml:space="preserve"> </w:t>
      </w:r>
      <w:r w:rsidR="00514E11">
        <w:rPr>
          <w:rFonts w:ascii="Arial" w:hAnsi="Arial" w:cs="Arial"/>
          <w:sz w:val="24"/>
          <w:szCs w:val="24"/>
        </w:rPr>
        <w:t>However,</w:t>
      </w:r>
      <w:r w:rsidR="008636FB">
        <w:rPr>
          <w:rFonts w:ascii="Arial" w:hAnsi="Arial" w:cs="Arial"/>
          <w:sz w:val="24"/>
          <w:szCs w:val="24"/>
        </w:rPr>
        <w:t xml:space="preserve"> since the enactment of OLA 1984, the </w:t>
      </w:r>
      <w:r w:rsidR="007D3691">
        <w:rPr>
          <w:rFonts w:ascii="Arial" w:hAnsi="Arial" w:cs="Arial"/>
          <w:sz w:val="24"/>
          <w:szCs w:val="24"/>
        </w:rPr>
        <w:t>C</w:t>
      </w:r>
      <w:r w:rsidR="008636FB">
        <w:rPr>
          <w:rFonts w:ascii="Arial" w:hAnsi="Arial" w:cs="Arial"/>
          <w:sz w:val="24"/>
          <w:szCs w:val="24"/>
        </w:rPr>
        <w:t xml:space="preserve">ourts </w:t>
      </w:r>
      <w:r w:rsidR="007D3691">
        <w:rPr>
          <w:rFonts w:ascii="Arial" w:hAnsi="Arial" w:cs="Arial"/>
          <w:sz w:val="24"/>
          <w:szCs w:val="24"/>
        </w:rPr>
        <w:t>now</w:t>
      </w:r>
      <w:r w:rsidR="00690ACF">
        <w:rPr>
          <w:rFonts w:ascii="Arial" w:hAnsi="Arial" w:cs="Arial"/>
          <w:sz w:val="24"/>
          <w:szCs w:val="24"/>
        </w:rPr>
        <w:t xml:space="preserve"> refrain from establishing implied </w:t>
      </w:r>
      <w:r w:rsidR="00E87421">
        <w:rPr>
          <w:rFonts w:ascii="Arial" w:hAnsi="Arial" w:cs="Arial"/>
          <w:sz w:val="24"/>
          <w:szCs w:val="24"/>
        </w:rPr>
        <w:t>permission</w:t>
      </w:r>
      <w:r w:rsidR="00DB0888">
        <w:rPr>
          <w:rFonts w:ascii="Arial" w:hAnsi="Arial" w:cs="Arial"/>
          <w:sz w:val="24"/>
          <w:szCs w:val="24"/>
        </w:rPr>
        <w:t xml:space="preserve"> as demonstrated in Tomlinson v Congleton (2003). This is likely due to th</w:t>
      </w:r>
      <w:r w:rsidR="00334508">
        <w:rPr>
          <w:rFonts w:ascii="Arial" w:hAnsi="Arial" w:cs="Arial"/>
          <w:sz w:val="24"/>
          <w:szCs w:val="24"/>
        </w:rPr>
        <w:t>e</w:t>
      </w:r>
      <w:r w:rsidR="0086032A">
        <w:rPr>
          <w:rFonts w:ascii="Arial" w:hAnsi="Arial" w:cs="Arial"/>
          <w:sz w:val="24"/>
          <w:szCs w:val="24"/>
        </w:rPr>
        <w:t xml:space="preserve"> OLA 19</w:t>
      </w:r>
      <w:r w:rsidR="0066335D">
        <w:rPr>
          <w:rFonts w:ascii="Arial" w:hAnsi="Arial" w:cs="Arial"/>
          <w:sz w:val="24"/>
          <w:szCs w:val="24"/>
        </w:rPr>
        <w:t xml:space="preserve">84 </w:t>
      </w:r>
      <w:r w:rsidR="00776D48">
        <w:rPr>
          <w:rFonts w:ascii="Arial" w:hAnsi="Arial" w:cs="Arial"/>
          <w:sz w:val="24"/>
          <w:szCs w:val="24"/>
        </w:rPr>
        <w:t>extend</w:t>
      </w:r>
      <w:r w:rsidR="00481C25">
        <w:rPr>
          <w:rFonts w:ascii="Arial" w:hAnsi="Arial" w:cs="Arial"/>
          <w:sz w:val="24"/>
          <w:szCs w:val="24"/>
        </w:rPr>
        <w:t>ing</w:t>
      </w:r>
      <w:r w:rsidR="0066335D">
        <w:rPr>
          <w:rFonts w:ascii="Arial" w:hAnsi="Arial" w:cs="Arial"/>
          <w:sz w:val="24"/>
          <w:szCs w:val="24"/>
        </w:rPr>
        <w:t xml:space="preserve"> the</w:t>
      </w:r>
      <w:r w:rsidR="00776D48">
        <w:rPr>
          <w:rFonts w:ascii="Arial" w:hAnsi="Arial" w:cs="Arial"/>
          <w:sz w:val="24"/>
          <w:szCs w:val="24"/>
        </w:rPr>
        <w:t xml:space="preserve"> dut</w:t>
      </w:r>
      <w:r w:rsidR="00ED5354">
        <w:rPr>
          <w:rFonts w:ascii="Arial" w:hAnsi="Arial" w:cs="Arial"/>
          <w:sz w:val="24"/>
          <w:szCs w:val="24"/>
        </w:rPr>
        <w:t>y</w:t>
      </w:r>
      <w:r w:rsidR="00776D48">
        <w:rPr>
          <w:rFonts w:ascii="Arial" w:hAnsi="Arial" w:cs="Arial"/>
          <w:sz w:val="24"/>
          <w:szCs w:val="24"/>
        </w:rPr>
        <w:t xml:space="preserve"> of Occupiers</w:t>
      </w:r>
      <w:r w:rsidR="00C710C5">
        <w:rPr>
          <w:rFonts w:ascii="Arial" w:hAnsi="Arial" w:cs="Arial"/>
          <w:sz w:val="24"/>
          <w:szCs w:val="24"/>
        </w:rPr>
        <w:t xml:space="preserve"> </w:t>
      </w:r>
      <w:r w:rsidR="004F24FC">
        <w:rPr>
          <w:rFonts w:ascii="Arial" w:hAnsi="Arial" w:cs="Arial"/>
          <w:sz w:val="24"/>
          <w:szCs w:val="24"/>
        </w:rPr>
        <w:t>to those</w:t>
      </w:r>
      <w:r w:rsidR="00926F59">
        <w:rPr>
          <w:rFonts w:ascii="Arial" w:hAnsi="Arial" w:cs="Arial"/>
          <w:sz w:val="24"/>
          <w:szCs w:val="24"/>
        </w:rPr>
        <w:t xml:space="preserve"> not</w:t>
      </w:r>
      <w:r w:rsidR="00175D1A">
        <w:rPr>
          <w:rFonts w:ascii="Arial" w:hAnsi="Arial" w:cs="Arial"/>
          <w:sz w:val="24"/>
          <w:szCs w:val="24"/>
        </w:rPr>
        <w:t xml:space="preserve"> previously</w:t>
      </w:r>
      <w:r w:rsidR="00926F59">
        <w:rPr>
          <w:rFonts w:ascii="Arial" w:hAnsi="Arial" w:cs="Arial"/>
          <w:sz w:val="24"/>
          <w:szCs w:val="24"/>
        </w:rPr>
        <w:t xml:space="preserve"> considere</w:t>
      </w:r>
      <w:r w:rsidR="00175D1A">
        <w:rPr>
          <w:rFonts w:ascii="Arial" w:hAnsi="Arial" w:cs="Arial"/>
          <w:sz w:val="24"/>
          <w:szCs w:val="24"/>
        </w:rPr>
        <w:t>d</w:t>
      </w:r>
      <w:sdt>
        <w:sdtPr>
          <w:rPr>
            <w:rFonts w:ascii="Arial" w:hAnsi="Arial" w:cs="Arial"/>
            <w:sz w:val="24"/>
            <w:szCs w:val="24"/>
          </w:rPr>
          <w:id w:val="-830982023"/>
          <w:citation/>
        </w:sdtPr>
        <w:sdtContent>
          <w:r w:rsidR="005F7E2B">
            <w:rPr>
              <w:rFonts w:ascii="Arial" w:hAnsi="Arial" w:cs="Arial"/>
              <w:sz w:val="24"/>
              <w:szCs w:val="24"/>
            </w:rPr>
            <w:fldChar w:fldCharType="begin"/>
          </w:r>
          <w:r w:rsidR="005F7E2B">
            <w:rPr>
              <w:rFonts w:ascii="Arial" w:hAnsi="Arial" w:cs="Arial"/>
              <w:sz w:val="24"/>
              <w:szCs w:val="24"/>
            </w:rPr>
            <w:instrText xml:space="preserve"> CITATION Nig01 \l 2057 </w:instrText>
          </w:r>
          <w:r w:rsidR="005F7E2B">
            <w:rPr>
              <w:rFonts w:ascii="Arial" w:hAnsi="Arial" w:cs="Arial"/>
              <w:sz w:val="24"/>
              <w:szCs w:val="24"/>
            </w:rPr>
            <w:fldChar w:fldCharType="separate"/>
          </w:r>
          <w:r w:rsidR="005F7E2B">
            <w:rPr>
              <w:rFonts w:ascii="Arial" w:hAnsi="Arial" w:cs="Arial"/>
              <w:noProof/>
              <w:sz w:val="24"/>
              <w:szCs w:val="24"/>
            </w:rPr>
            <w:t xml:space="preserve"> </w:t>
          </w:r>
          <w:r w:rsidR="005F7E2B" w:rsidRPr="005F7E2B">
            <w:rPr>
              <w:rFonts w:ascii="Arial" w:hAnsi="Arial" w:cs="Arial"/>
              <w:noProof/>
              <w:sz w:val="24"/>
              <w:szCs w:val="24"/>
            </w:rPr>
            <w:t>(Baker, 2001)</w:t>
          </w:r>
          <w:r w:rsidR="005F7E2B">
            <w:rPr>
              <w:rFonts w:ascii="Arial" w:hAnsi="Arial" w:cs="Arial"/>
              <w:sz w:val="24"/>
              <w:szCs w:val="24"/>
            </w:rPr>
            <w:fldChar w:fldCharType="end"/>
          </w:r>
        </w:sdtContent>
      </w:sdt>
      <w:r w:rsidR="00926F59">
        <w:rPr>
          <w:rFonts w:ascii="Arial" w:hAnsi="Arial" w:cs="Arial"/>
          <w:sz w:val="24"/>
          <w:szCs w:val="24"/>
        </w:rPr>
        <w:t>.</w:t>
      </w:r>
      <w:r w:rsidR="00CF456D">
        <w:rPr>
          <w:rFonts w:ascii="Arial" w:hAnsi="Arial" w:cs="Arial"/>
          <w:sz w:val="24"/>
          <w:szCs w:val="24"/>
        </w:rPr>
        <w:t xml:space="preserve"> </w:t>
      </w:r>
      <w:r w:rsidR="00175D1A">
        <w:rPr>
          <w:rFonts w:ascii="Arial" w:hAnsi="Arial" w:cs="Arial"/>
          <w:sz w:val="24"/>
          <w:szCs w:val="24"/>
        </w:rPr>
        <w:t xml:space="preserve">These </w:t>
      </w:r>
      <w:r w:rsidR="0049799A">
        <w:rPr>
          <w:rFonts w:ascii="Arial" w:hAnsi="Arial" w:cs="Arial"/>
          <w:sz w:val="24"/>
          <w:szCs w:val="24"/>
        </w:rPr>
        <w:t>provisions</w:t>
      </w:r>
      <w:r w:rsidR="00175D1A">
        <w:rPr>
          <w:rFonts w:ascii="Arial" w:hAnsi="Arial" w:cs="Arial"/>
          <w:sz w:val="24"/>
          <w:szCs w:val="24"/>
        </w:rPr>
        <w:t xml:space="preserve"> were introduced following the</w:t>
      </w:r>
      <w:r w:rsidR="00CF456D">
        <w:rPr>
          <w:rFonts w:ascii="Arial" w:hAnsi="Arial" w:cs="Arial"/>
          <w:sz w:val="24"/>
          <w:szCs w:val="24"/>
        </w:rPr>
        <w:t xml:space="preserve"> landmark </w:t>
      </w:r>
      <w:r w:rsidR="005E7C21">
        <w:rPr>
          <w:rFonts w:ascii="Arial" w:hAnsi="Arial" w:cs="Arial"/>
          <w:sz w:val="24"/>
          <w:szCs w:val="24"/>
        </w:rPr>
        <w:t>judgement seen in British Railway Board v Herrington (1972)</w:t>
      </w:r>
      <w:r w:rsidR="00385A3A">
        <w:rPr>
          <w:rFonts w:ascii="Arial" w:hAnsi="Arial" w:cs="Arial"/>
          <w:sz w:val="24"/>
          <w:szCs w:val="24"/>
        </w:rPr>
        <w:t xml:space="preserve"> </w:t>
      </w:r>
      <w:r w:rsidR="00641FDE">
        <w:rPr>
          <w:rFonts w:ascii="Arial" w:hAnsi="Arial" w:cs="Arial"/>
          <w:sz w:val="24"/>
          <w:szCs w:val="24"/>
        </w:rPr>
        <w:t>whereby</w:t>
      </w:r>
      <w:r w:rsidR="005C3B6C">
        <w:rPr>
          <w:rFonts w:ascii="Arial" w:hAnsi="Arial" w:cs="Arial"/>
          <w:sz w:val="24"/>
          <w:szCs w:val="24"/>
        </w:rPr>
        <w:t xml:space="preserve"> </w:t>
      </w:r>
      <w:r w:rsidR="00385A3A">
        <w:rPr>
          <w:rFonts w:ascii="Arial" w:hAnsi="Arial" w:cs="Arial"/>
          <w:sz w:val="24"/>
          <w:szCs w:val="24"/>
        </w:rPr>
        <w:t>the Courts called for a</w:t>
      </w:r>
      <w:r w:rsidR="00E87A63">
        <w:rPr>
          <w:rFonts w:ascii="Arial" w:hAnsi="Arial" w:cs="Arial"/>
          <w:sz w:val="24"/>
          <w:szCs w:val="24"/>
        </w:rPr>
        <w:t xml:space="preserve"> ‘common duty of humanity</w:t>
      </w:r>
      <w:r w:rsidR="0049799A">
        <w:rPr>
          <w:rFonts w:ascii="Arial" w:hAnsi="Arial" w:cs="Arial"/>
          <w:sz w:val="24"/>
          <w:szCs w:val="24"/>
        </w:rPr>
        <w:t>’ thus</w:t>
      </w:r>
      <w:r w:rsidR="005C3B6C">
        <w:rPr>
          <w:rFonts w:ascii="Arial" w:hAnsi="Arial" w:cs="Arial"/>
          <w:sz w:val="24"/>
          <w:szCs w:val="24"/>
        </w:rPr>
        <w:t xml:space="preserve"> extending a duty of care to unlawful visitors for the first time</w:t>
      </w:r>
      <w:r w:rsidR="0010771C">
        <w:rPr>
          <w:rFonts w:ascii="Arial" w:hAnsi="Arial" w:cs="Arial"/>
          <w:sz w:val="24"/>
          <w:szCs w:val="24"/>
        </w:rPr>
        <w:t>.</w:t>
      </w:r>
      <w:r w:rsidR="00177030">
        <w:rPr>
          <w:rFonts w:ascii="Arial" w:hAnsi="Arial" w:cs="Arial"/>
          <w:sz w:val="24"/>
          <w:szCs w:val="24"/>
        </w:rPr>
        <w:t xml:space="preserve"> The provisions were then confirmed in </w:t>
      </w:r>
      <w:r w:rsidR="00926F59">
        <w:rPr>
          <w:rFonts w:ascii="Arial" w:hAnsi="Arial" w:cs="Arial"/>
          <w:sz w:val="24"/>
          <w:szCs w:val="24"/>
        </w:rPr>
        <w:t>S</w:t>
      </w:r>
      <w:r w:rsidR="00334508">
        <w:rPr>
          <w:rFonts w:ascii="Arial" w:hAnsi="Arial" w:cs="Arial"/>
          <w:sz w:val="24"/>
          <w:szCs w:val="24"/>
        </w:rPr>
        <w:t>1</w:t>
      </w:r>
      <w:r w:rsidR="00213DDF">
        <w:rPr>
          <w:rFonts w:ascii="Arial" w:hAnsi="Arial" w:cs="Arial"/>
          <w:sz w:val="24"/>
          <w:szCs w:val="24"/>
        </w:rPr>
        <w:t>(</w:t>
      </w:r>
      <w:r w:rsidR="0010771C">
        <w:rPr>
          <w:rFonts w:ascii="Arial" w:hAnsi="Arial" w:cs="Arial"/>
          <w:sz w:val="24"/>
          <w:szCs w:val="24"/>
        </w:rPr>
        <w:t>1</w:t>
      </w:r>
      <w:r w:rsidR="003E1CD9">
        <w:rPr>
          <w:rFonts w:ascii="Arial" w:hAnsi="Arial" w:cs="Arial"/>
          <w:sz w:val="24"/>
          <w:szCs w:val="24"/>
        </w:rPr>
        <w:t>a) OLA</w:t>
      </w:r>
      <w:r w:rsidR="0010771C">
        <w:rPr>
          <w:rFonts w:ascii="Arial" w:hAnsi="Arial" w:cs="Arial"/>
          <w:sz w:val="24"/>
          <w:szCs w:val="24"/>
        </w:rPr>
        <w:t xml:space="preserve"> 1984 </w:t>
      </w:r>
      <w:r w:rsidR="0049799A">
        <w:rPr>
          <w:rFonts w:ascii="Arial" w:hAnsi="Arial" w:cs="Arial"/>
          <w:sz w:val="24"/>
          <w:szCs w:val="24"/>
        </w:rPr>
        <w:t xml:space="preserve">which now </w:t>
      </w:r>
      <w:r w:rsidR="006115E7">
        <w:rPr>
          <w:rFonts w:ascii="Arial" w:hAnsi="Arial" w:cs="Arial"/>
          <w:sz w:val="24"/>
          <w:szCs w:val="24"/>
        </w:rPr>
        <w:t>provides a duty</w:t>
      </w:r>
      <w:r w:rsidR="00FD230B">
        <w:rPr>
          <w:rFonts w:ascii="Arial" w:hAnsi="Arial" w:cs="Arial"/>
          <w:sz w:val="24"/>
          <w:szCs w:val="24"/>
        </w:rPr>
        <w:t xml:space="preserve"> of care </w:t>
      </w:r>
      <w:r w:rsidR="00150E0B">
        <w:rPr>
          <w:rFonts w:ascii="Arial" w:hAnsi="Arial" w:cs="Arial"/>
          <w:sz w:val="24"/>
          <w:szCs w:val="24"/>
        </w:rPr>
        <w:t>to trespassers as well as those outstaying their license.</w:t>
      </w:r>
      <w:r w:rsidR="009B092D">
        <w:rPr>
          <w:rFonts w:ascii="Arial" w:hAnsi="Arial" w:cs="Arial"/>
          <w:sz w:val="24"/>
          <w:szCs w:val="24"/>
        </w:rPr>
        <w:t xml:space="preserve"> </w:t>
      </w:r>
      <w:r w:rsidR="00F252DA">
        <w:rPr>
          <w:rFonts w:ascii="Arial" w:hAnsi="Arial" w:cs="Arial"/>
          <w:sz w:val="24"/>
          <w:szCs w:val="24"/>
        </w:rPr>
        <w:t xml:space="preserve">Both acts are now used jointly and severally in </w:t>
      </w:r>
      <w:r w:rsidR="0083133E">
        <w:rPr>
          <w:rFonts w:ascii="Arial" w:hAnsi="Arial" w:cs="Arial"/>
          <w:sz w:val="24"/>
          <w:szCs w:val="24"/>
        </w:rPr>
        <w:t>establishing the liability of occupiers</w:t>
      </w:r>
      <w:r w:rsidR="00743E54">
        <w:rPr>
          <w:rFonts w:ascii="Arial" w:hAnsi="Arial" w:cs="Arial"/>
          <w:sz w:val="24"/>
          <w:szCs w:val="24"/>
        </w:rPr>
        <w:t>.</w:t>
      </w:r>
    </w:p>
    <w:p w14:paraId="717461C4" w14:textId="4E1C4906" w:rsidR="00747AB8" w:rsidRDefault="00747AB8" w:rsidP="004F1AAE">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0D686EF6" w14:textId="61CA7166" w:rsidR="00556A5E" w:rsidRDefault="00DB0845" w:rsidP="00B92985">
      <w:pPr>
        <w:ind w:left="720"/>
        <w:rPr>
          <w:rFonts w:ascii="Arial" w:hAnsi="Arial" w:cs="Arial"/>
          <w:noProof/>
          <w:sz w:val="24"/>
          <w:szCs w:val="24"/>
        </w:rPr>
      </w:pPr>
      <w:r>
        <w:rPr>
          <w:rFonts w:ascii="Arial" w:hAnsi="Arial" w:cs="Arial"/>
          <w:sz w:val="24"/>
          <w:szCs w:val="24"/>
        </w:rPr>
        <w:t>On f</w:t>
      </w:r>
      <w:r w:rsidR="008D1536">
        <w:rPr>
          <w:rFonts w:ascii="Arial" w:hAnsi="Arial" w:cs="Arial"/>
          <w:sz w:val="24"/>
          <w:szCs w:val="24"/>
        </w:rPr>
        <w:t>irst appearance,</w:t>
      </w:r>
      <w:r w:rsidR="00826279">
        <w:rPr>
          <w:rFonts w:ascii="Arial" w:hAnsi="Arial" w:cs="Arial"/>
          <w:sz w:val="24"/>
          <w:szCs w:val="24"/>
        </w:rPr>
        <w:t xml:space="preserve"> OLA 1957</w:t>
      </w:r>
      <w:r w:rsidR="00D45382">
        <w:rPr>
          <w:rFonts w:ascii="Arial" w:hAnsi="Arial" w:cs="Arial"/>
          <w:sz w:val="24"/>
          <w:szCs w:val="24"/>
        </w:rPr>
        <w:t xml:space="preserve"> </w:t>
      </w:r>
      <w:r w:rsidR="00AD78B5">
        <w:rPr>
          <w:rFonts w:ascii="Arial" w:hAnsi="Arial" w:cs="Arial"/>
          <w:sz w:val="24"/>
          <w:szCs w:val="24"/>
        </w:rPr>
        <w:t>seem</w:t>
      </w:r>
      <w:r w:rsidR="00EA60E2">
        <w:rPr>
          <w:rFonts w:ascii="Arial" w:hAnsi="Arial" w:cs="Arial"/>
          <w:sz w:val="24"/>
          <w:szCs w:val="24"/>
        </w:rPr>
        <w:t>s</w:t>
      </w:r>
      <w:r w:rsidR="00D45382">
        <w:rPr>
          <w:rFonts w:ascii="Arial" w:hAnsi="Arial" w:cs="Arial"/>
          <w:sz w:val="24"/>
          <w:szCs w:val="24"/>
        </w:rPr>
        <w:t xml:space="preserve"> to </w:t>
      </w:r>
      <w:r w:rsidR="00396A12">
        <w:rPr>
          <w:rFonts w:ascii="Arial" w:hAnsi="Arial" w:cs="Arial"/>
          <w:sz w:val="24"/>
          <w:szCs w:val="24"/>
        </w:rPr>
        <w:t>adapt a blanket approach in holding</w:t>
      </w:r>
      <w:r w:rsidR="00FA5F0E">
        <w:rPr>
          <w:rFonts w:ascii="Arial" w:hAnsi="Arial" w:cs="Arial"/>
          <w:sz w:val="24"/>
          <w:szCs w:val="24"/>
        </w:rPr>
        <w:t xml:space="preserve"> occupiers liable for accident</w:t>
      </w:r>
      <w:r w:rsidR="00C666C5">
        <w:rPr>
          <w:rFonts w:ascii="Arial" w:hAnsi="Arial" w:cs="Arial"/>
          <w:sz w:val="24"/>
          <w:szCs w:val="24"/>
        </w:rPr>
        <w:t>s</w:t>
      </w:r>
      <w:sdt>
        <w:sdtPr>
          <w:rPr>
            <w:rFonts w:ascii="Arial" w:hAnsi="Arial" w:cs="Arial"/>
            <w:sz w:val="24"/>
            <w:szCs w:val="24"/>
          </w:rPr>
          <w:id w:val="1184935502"/>
          <w:citation/>
        </w:sdtPr>
        <w:sdtEndPr/>
        <w:sdtContent>
          <w:r w:rsidR="00C666C5">
            <w:rPr>
              <w:rFonts w:ascii="Arial" w:hAnsi="Arial" w:cs="Arial"/>
              <w:sz w:val="24"/>
              <w:szCs w:val="24"/>
            </w:rPr>
            <w:fldChar w:fldCharType="begin"/>
          </w:r>
          <w:r w:rsidR="00C666C5">
            <w:rPr>
              <w:rFonts w:ascii="Arial" w:hAnsi="Arial" w:cs="Arial"/>
              <w:sz w:val="24"/>
              <w:szCs w:val="24"/>
            </w:rPr>
            <w:instrText xml:space="preserve"> CITATION Bri941 \l 2057 </w:instrText>
          </w:r>
          <w:r w:rsidR="00C666C5">
            <w:rPr>
              <w:rFonts w:ascii="Arial" w:hAnsi="Arial" w:cs="Arial"/>
              <w:sz w:val="24"/>
              <w:szCs w:val="24"/>
            </w:rPr>
            <w:fldChar w:fldCharType="separate"/>
          </w:r>
          <w:r w:rsidR="00C666C5">
            <w:rPr>
              <w:rFonts w:ascii="Arial" w:hAnsi="Arial" w:cs="Arial"/>
              <w:noProof/>
              <w:sz w:val="24"/>
              <w:szCs w:val="24"/>
            </w:rPr>
            <w:t xml:space="preserve"> </w:t>
          </w:r>
          <w:r w:rsidR="00C666C5" w:rsidRPr="00C666C5">
            <w:rPr>
              <w:rFonts w:ascii="Arial" w:hAnsi="Arial" w:cs="Arial"/>
              <w:noProof/>
              <w:sz w:val="24"/>
              <w:szCs w:val="24"/>
            </w:rPr>
            <w:t>(Hogan, 1994)</w:t>
          </w:r>
          <w:r w:rsidR="00C666C5">
            <w:rPr>
              <w:rFonts w:ascii="Arial" w:hAnsi="Arial" w:cs="Arial"/>
              <w:sz w:val="24"/>
              <w:szCs w:val="24"/>
            </w:rPr>
            <w:fldChar w:fldCharType="end"/>
          </w:r>
        </w:sdtContent>
      </w:sdt>
      <w:r w:rsidR="00C666C5">
        <w:rPr>
          <w:rFonts w:ascii="Arial" w:hAnsi="Arial" w:cs="Arial"/>
          <w:sz w:val="24"/>
          <w:szCs w:val="24"/>
        </w:rPr>
        <w:t>.</w:t>
      </w:r>
      <w:r w:rsidR="00F23A6E">
        <w:rPr>
          <w:rFonts w:ascii="Arial" w:hAnsi="Arial" w:cs="Arial"/>
          <w:sz w:val="24"/>
          <w:szCs w:val="24"/>
        </w:rPr>
        <w:t>Arguably,</w:t>
      </w:r>
      <w:r w:rsidR="00F6049D">
        <w:rPr>
          <w:rFonts w:ascii="Arial" w:hAnsi="Arial" w:cs="Arial"/>
          <w:sz w:val="24"/>
          <w:szCs w:val="24"/>
        </w:rPr>
        <w:t xml:space="preserve"> this is achieved by</w:t>
      </w:r>
      <w:r w:rsidR="0056054F">
        <w:rPr>
          <w:rFonts w:ascii="Arial" w:hAnsi="Arial" w:cs="Arial"/>
          <w:sz w:val="24"/>
          <w:szCs w:val="24"/>
        </w:rPr>
        <w:t xml:space="preserve"> reinforcing </w:t>
      </w:r>
      <w:r w:rsidR="00B7650F">
        <w:rPr>
          <w:rFonts w:ascii="Arial" w:hAnsi="Arial" w:cs="Arial"/>
          <w:sz w:val="24"/>
          <w:szCs w:val="24"/>
        </w:rPr>
        <w:t xml:space="preserve">the common law </w:t>
      </w:r>
      <w:r w:rsidR="00F6049D">
        <w:rPr>
          <w:rFonts w:ascii="Arial" w:hAnsi="Arial" w:cs="Arial"/>
          <w:sz w:val="24"/>
          <w:szCs w:val="24"/>
        </w:rPr>
        <w:t xml:space="preserve">duty of care </w:t>
      </w:r>
      <w:r w:rsidR="0056054F">
        <w:rPr>
          <w:rFonts w:ascii="Arial" w:hAnsi="Arial" w:cs="Arial"/>
          <w:sz w:val="24"/>
          <w:szCs w:val="24"/>
        </w:rPr>
        <w:t>in s2</w:t>
      </w:r>
      <w:r w:rsidR="007E3F8C">
        <w:rPr>
          <w:rFonts w:ascii="Arial" w:hAnsi="Arial" w:cs="Arial"/>
          <w:sz w:val="24"/>
          <w:szCs w:val="24"/>
        </w:rPr>
        <w:t>(2)</w:t>
      </w:r>
      <w:r w:rsidR="00E81470">
        <w:rPr>
          <w:rFonts w:ascii="Arial" w:hAnsi="Arial" w:cs="Arial"/>
          <w:sz w:val="24"/>
          <w:szCs w:val="24"/>
        </w:rPr>
        <w:t xml:space="preserve"> </w:t>
      </w:r>
      <w:r w:rsidR="007B134A">
        <w:rPr>
          <w:rFonts w:ascii="Arial" w:hAnsi="Arial" w:cs="Arial"/>
          <w:sz w:val="24"/>
          <w:szCs w:val="24"/>
        </w:rPr>
        <w:t>OLA 1954</w:t>
      </w:r>
      <w:r w:rsidR="00E81470">
        <w:rPr>
          <w:rFonts w:ascii="Arial" w:hAnsi="Arial" w:cs="Arial"/>
          <w:sz w:val="24"/>
          <w:szCs w:val="24"/>
        </w:rPr>
        <w:t>.</w:t>
      </w:r>
      <w:r w:rsidR="007115D1">
        <w:rPr>
          <w:rFonts w:ascii="Arial" w:hAnsi="Arial" w:cs="Arial"/>
          <w:sz w:val="24"/>
          <w:szCs w:val="24"/>
        </w:rPr>
        <w:t xml:space="preserve">This </w:t>
      </w:r>
      <w:r w:rsidR="006368BC">
        <w:rPr>
          <w:rFonts w:ascii="Arial" w:hAnsi="Arial" w:cs="Arial"/>
          <w:sz w:val="24"/>
          <w:szCs w:val="24"/>
        </w:rPr>
        <w:t xml:space="preserve">means that a visitor must be </w:t>
      </w:r>
      <w:r w:rsidR="005531E5">
        <w:rPr>
          <w:rFonts w:ascii="Arial" w:hAnsi="Arial" w:cs="Arial"/>
          <w:sz w:val="24"/>
          <w:szCs w:val="24"/>
        </w:rPr>
        <w:t>provided with a reasonable degree of safety whilst on the premises</w:t>
      </w:r>
      <w:r w:rsidR="00D92861">
        <w:rPr>
          <w:rFonts w:ascii="Arial" w:hAnsi="Arial" w:cs="Arial"/>
          <w:sz w:val="24"/>
          <w:szCs w:val="24"/>
        </w:rPr>
        <w:t xml:space="preserve"> or th</w:t>
      </w:r>
      <w:r w:rsidR="00ED620A">
        <w:rPr>
          <w:rFonts w:ascii="Arial" w:hAnsi="Arial" w:cs="Arial"/>
          <w:sz w:val="24"/>
          <w:szCs w:val="24"/>
        </w:rPr>
        <w:t>e occupier may</w:t>
      </w:r>
      <w:r w:rsidR="00D92861">
        <w:rPr>
          <w:rFonts w:ascii="Arial" w:hAnsi="Arial" w:cs="Arial"/>
          <w:sz w:val="24"/>
          <w:szCs w:val="24"/>
        </w:rPr>
        <w:t xml:space="preserve"> be held accountable</w:t>
      </w:r>
      <w:sdt>
        <w:sdtPr>
          <w:rPr>
            <w:rFonts w:ascii="Arial" w:hAnsi="Arial" w:cs="Arial"/>
            <w:sz w:val="24"/>
            <w:szCs w:val="24"/>
          </w:rPr>
          <w:id w:val="-1268685870"/>
          <w:citation/>
        </w:sdtPr>
        <w:sdtEndPr/>
        <w:sdtContent>
          <w:r w:rsidR="001D725D">
            <w:rPr>
              <w:rFonts w:ascii="Arial" w:hAnsi="Arial" w:cs="Arial"/>
              <w:sz w:val="24"/>
              <w:szCs w:val="24"/>
            </w:rPr>
            <w:fldChar w:fldCharType="begin"/>
          </w:r>
          <w:r w:rsidR="001D725D">
            <w:rPr>
              <w:rFonts w:ascii="Arial" w:hAnsi="Arial" w:cs="Arial"/>
              <w:sz w:val="24"/>
              <w:szCs w:val="24"/>
            </w:rPr>
            <w:instrText xml:space="preserve"> CITATION Nic04 \l 2057 </w:instrText>
          </w:r>
          <w:r w:rsidR="001D725D">
            <w:rPr>
              <w:rFonts w:ascii="Arial" w:hAnsi="Arial" w:cs="Arial"/>
              <w:sz w:val="24"/>
              <w:szCs w:val="24"/>
            </w:rPr>
            <w:fldChar w:fldCharType="separate"/>
          </w:r>
          <w:r w:rsidR="001D725D">
            <w:rPr>
              <w:rFonts w:ascii="Arial" w:hAnsi="Arial" w:cs="Arial"/>
              <w:noProof/>
              <w:sz w:val="24"/>
              <w:szCs w:val="24"/>
            </w:rPr>
            <w:t xml:space="preserve"> </w:t>
          </w:r>
          <w:r w:rsidR="001D725D" w:rsidRPr="001D725D">
            <w:rPr>
              <w:rFonts w:ascii="Arial" w:hAnsi="Arial" w:cs="Arial"/>
              <w:noProof/>
              <w:sz w:val="24"/>
              <w:szCs w:val="24"/>
            </w:rPr>
            <w:t>(Mcbride, 2004)</w:t>
          </w:r>
          <w:r w:rsidR="001D725D">
            <w:rPr>
              <w:rFonts w:ascii="Arial" w:hAnsi="Arial" w:cs="Arial"/>
              <w:sz w:val="24"/>
              <w:szCs w:val="24"/>
            </w:rPr>
            <w:fldChar w:fldCharType="end"/>
          </w:r>
        </w:sdtContent>
      </w:sdt>
      <w:r w:rsidR="000B03E0">
        <w:rPr>
          <w:rFonts w:ascii="Arial" w:hAnsi="Arial" w:cs="Arial"/>
          <w:sz w:val="24"/>
          <w:szCs w:val="24"/>
        </w:rPr>
        <w:t>.</w:t>
      </w:r>
      <w:r w:rsidR="007750BD">
        <w:rPr>
          <w:rFonts w:ascii="Arial" w:hAnsi="Arial" w:cs="Arial"/>
          <w:sz w:val="24"/>
          <w:szCs w:val="24"/>
        </w:rPr>
        <w:t xml:space="preserve"> </w:t>
      </w:r>
      <w:r w:rsidR="0053444A" w:rsidRPr="0053444A">
        <w:rPr>
          <w:rFonts w:ascii="Arial" w:hAnsi="Arial" w:cs="Arial"/>
          <w:noProof/>
          <w:sz w:val="24"/>
          <w:szCs w:val="24"/>
        </w:rPr>
        <w:t>Witting</w:t>
      </w:r>
      <w:r w:rsidR="0053444A">
        <w:rPr>
          <w:rFonts w:ascii="Arial" w:hAnsi="Arial" w:cs="Arial"/>
          <w:noProof/>
          <w:sz w:val="24"/>
          <w:szCs w:val="24"/>
        </w:rPr>
        <w:t xml:space="preserve"> (</w:t>
      </w:r>
      <w:r w:rsidR="0053444A" w:rsidRPr="0053444A">
        <w:rPr>
          <w:rFonts w:ascii="Arial" w:hAnsi="Arial" w:cs="Arial"/>
          <w:noProof/>
          <w:sz w:val="24"/>
          <w:szCs w:val="24"/>
        </w:rPr>
        <w:t>2005)</w:t>
      </w:r>
      <w:r w:rsidR="00C21802">
        <w:rPr>
          <w:rFonts w:ascii="Arial" w:hAnsi="Arial" w:cs="Arial"/>
          <w:noProof/>
          <w:sz w:val="24"/>
          <w:szCs w:val="24"/>
        </w:rPr>
        <w:t xml:space="preserve"> contends that</w:t>
      </w:r>
      <w:r w:rsidR="00F17234">
        <w:rPr>
          <w:rFonts w:ascii="Arial" w:hAnsi="Arial" w:cs="Arial"/>
          <w:noProof/>
          <w:sz w:val="24"/>
          <w:szCs w:val="24"/>
        </w:rPr>
        <w:t xml:space="preserve"> cases brought under the common law principle</w:t>
      </w:r>
      <w:r w:rsidR="00DE348E">
        <w:rPr>
          <w:rFonts w:ascii="Arial" w:hAnsi="Arial" w:cs="Arial"/>
          <w:noProof/>
          <w:sz w:val="24"/>
          <w:szCs w:val="24"/>
        </w:rPr>
        <w:t xml:space="preserve"> are </w:t>
      </w:r>
      <w:r w:rsidR="00DE348E">
        <w:rPr>
          <w:rFonts w:ascii="Arial" w:hAnsi="Arial" w:cs="Arial"/>
          <w:sz w:val="24"/>
          <w:szCs w:val="24"/>
        </w:rPr>
        <w:t>disorganized</w:t>
      </w:r>
      <w:r w:rsidR="00DE348E">
        <w:rPr>
          <w:rFonts w:ascii="Arial" w:hAnsi="Arial" w:cs="Arial"/>
          <w:noProof/>
          <w:sz w:val="24"/>
          <w:szCs w:val="24"/>
        </w:rPr>
        <w:t xml:space="preserve"> and </w:t>
      </w:r>
      <w:r w:rsidR="00676625">
        <w:rPr>
          <w:rFonts w:ascii="Arial" w:hAnsi="Arial" w:cs="Arial"/>
          <w:noProof/>
          <w:sz w:val="24"/>
          <w:szCs w:val="24"/>
        </w:rPr>
        <w:t>offer only a limited route</w:t>
      </w:r>
      <w:r w:rsidR="00DE348E">
        <w:rPr>
          <w:rFonts w:ascii="Arial" w:hAnsi="Arial" w:cs="Arial"/>
          <w:noProof/>
          <w:sz w:val="24"/>
          <w:szCs w:val="24"/>
        </w:rPr>
        <w:t xml:space="preserve"> to </w:t>
      </w:r>
      <w:r w:rsidR="007C227E">
        <w:rPr>
          <w:rFonts w:ascii="Arial" w:hAnsi="Arial" w:cs="Arial"/>
          <w:noProof/>
          <w:sz w:val="24"/>
          <w:szCs w:val="24"/>
        </w:rPr>
        <w:t>concluding</w:t>
      </w:r>
      <w:r w:rsidR="001126E2">
        <w:rPr>
          <w:rFonts w:ascii="Arial" w:hAnsi="Arial" w:cs="Arial"/>
          <w:noProof/>
          <w:sz w:val="24"/>
          <w:szCs w:val="24"/>
        </w:rPr>
        <w:t xml:space="preserve"> </w:t>
      </w:r>
      <w:r w:rsidR="00DE348E">
        <w:rPr>
          <w:rFonts w:ascii="Arial" w:hAnsi="Arial" w:cs="Arial"/>
          <w:noProof/>
          <w:sz w:val="24"/>
          <w:szCs w:val="24"/>
        </w:rPr>
        <w:t>liability</w:t>
      </w:r>
      <w:r w:rsidR="002B50AA">
        <w:rPr>
          <w:rFonts w:ascii="Arial" w:hAnsi="Arial" w:cs="Arial"/>
          <w:noProof/>
          <w:sz w:val="24"/>
          <w:szCs w:val="24"/>
        </w:rPr>
        <w:t>.</w:t>
      </w:r>
      <w:r w:rsidR="00886AF7">
        <w:rPr>
          <w:rFonts w:ascii="Arial" w:hAnsi="Arial" w:cs="Arial"/>
          <w:noProof/>
          <w:sz w:val="24"/>
          <w:szCs w:val="24"/>
        </w:rPr>
        <w:t>This</w:t>
      </w:r>
      <w:r w:rsidR="007E2430">
        <w:rPr>
          <w:rFonts w:ascii="Arial" w:hAnsi="Arial" w:cs="Arial"/>
          <w:noProof/>
          <w:sz w:val="24"/>
          <w:szCs w:val="24"/>
        </w:rPr>
        <w:t xml:space="preserve"> is</w:t>
      </w:r>
      <w:r w:rsidR="00886AF7">
        <w:rPr>
          <w:rFonts w:ascii="Arial" w:hAnsi="Arial" w:cs="Arial"/>
          <w:noProof/>
          <w:sz w:val="24"/>
          <w:szCs w:val="24"/>
        </w:rPr>
        <w:t xml:space="preserve"> countered by </w:t>
      </w:r>
      <w:r w:rsidR="00F877AE" w:rsidRPr="00F877AE">
        <w:rPr>
          <w:rFonts w:ascii="Arial" w:hAnsi="Arial" w:cs="Arial"/>
          <w:noProof/>
          <w:sz w:val="24"/>
          <w:szCs w:val="24"/>
        </w:rPr>
        <w:t xml:space="preserve">Mullender, </w:t>
      </w:r>
      <w:r w:rsidR="00F877AE">
        <w:rPr>
          <w:rFonts w:ascii="Arial" w:hAnsi="Arial" w:cs="Arial"/>
          <w:noProof/>
          <w:sz w:val="24"/>
          <w:szCs w:val="24"/>
        </w:rPr>
        <w:t>(</w:t>
      </w:r>
      <w:r w:rsidR="00F877AE" w:rsidRPr="00F877AE">
        <w:rPr>
          <w:rFonts w:ascii="Arial" w:hAnsi="Arial" w:cs="Arial"/>
          <w:noProof/>
          <w:sz w:val="24"/>
          <w:szCs w:val="24"/>
        </w:rPr>
        <w:t>2006)</w:t>
      </w:r>
      <w:r w:rsidR="00886AF7">
        <w:rPr>
          <w:rFonts w:ascii="Arial" w:hAnsi="Arial" w:cs="Arial"/>
          <w:noProof/>
          <w:sz w:val="24"/>
          <w:szCs w:val="24"/>
        </w:rPr>
        <w:t xml:space="preserve"> who </w:t>
      </w:r>
      <w:r w:rsidR="00CA661C">
        <w:rPr>
          <w:rFonts w:ascii="Arial" w:hAnsi="Arial" w:cs="Arial"/>
          <w:noProof/>
          <w:sz w:val="24"/>
          <w:szCs w:val="24"/>
        </w:rPr>
        <w:t>say</w:t>
      </w:r>
      <w:r w:rsidR="00F877AE">
        <w:rPr>
          <w:rFonts w:ascii="Arial" w:hAnsi="Arial" w:cs="Arial"/>
          <w:noProof/>
          <w:sz w:val="24"/>
          <w:szCs w:val="24"/>
        </w:rPr>
        <w:t>s</w:t>
      </w:r>
      <w:r w:rsidR="00656C2B">
        <w:rPr>
          <w:rFonts w:ascii="Arial" w:hAnsi="Arial" w:cs="Arial"/>
          <w:noProof/>
          <w:sz w:val="24"/>
          <w:szCs w:val="24"/>
        </w:rPr>
        <w:t xml:space="preserve"> </w:t>
      </w:r>
      <w:r w:rsidR="00CA661C">
        <w:rPr>
          <w:rFonts w:ascii="Arial" w:hAnsi="Arial" w:cs="Arial"/>
          <w:noProof/>
          <w:sz w:val="24"/>
          <w:szCs w:val="24"/>
        </w:rPr>
        <w:t>the legislation works to</w:t>
      </w:r>
      <w:r w:rsidR="0027656D">
        <w:rPr>
          <w:rFonts w:ascii="Arial" w:hAnsi="Arial" w:cs="Arial"/>
          <w:noProof/>
          <w:sz w:val="24"/>
          <w:szCs w:val="24"/>
        </w:rPr>
        <w:t xml:space="preserve"> limit</w:t>
      </w:r>
      <w:r w:rsidR="00886AF7">
        <w:rPr>
          <w:rFonts w:ascii="Arial" w:hAnsi="Arial" w:cs="Arial"/>
          <w:noProof/>
          <w:sz w:val="24"/>
          <w:szCs w:val="24"/>
        </w:rPr>
        <w:t xml:space="preserve"> the liability of occupiers by </w:t>
      </w:r>
      <w:r w:rsidR="004553F5">
        <w:rPr>
          <w:rFonts w:ascii="Arial" w:hAnsi="Arial" w:cs="Arial"/>
          <w:sz w:val="24"/>
          <w:szCs w:val="24"/>
        </w:rPr>
        <w:t>excluding</w:t>
      </w:r>
      <w:r w:rsidR="004553F5">
        <w:rPr>
          <w:rFonts w:ascii="Arial" w:hAnsi="Arial" w:cs="Arial"/>
          <w:noProof/>
          <w:sz w:val="24"/>
          <w:szCs w:val="24"/>
        </w:rPr>
        <w:t xml:space="preserve"> unreasonable circumstances</w:t>
      </w:r>
      <w:r w:rsidR="00092175">
        <w:rPr>
          <w:rFonts w:ascii="Arial" w:hAnsi="Arial" w:cs="Arial"/>
          <w:noProof/>
          <w:sz w:val="24"/>
          <w:szCs w:val="24"/>
        </w:rPr>
        <w:t xml:space="preserve"> and this principle is proven when considering </w:t>
      </w:r>
      <w:r w:rsidR="00F67C55">
        <w:rPr>
          <w:rFonts w:ascii="Arial" w:hAnsi="Arial" w:cs="Arial"/>
          <w:noProof/>
          <w:sz w:val="24"/>
          <w:szCs w:val="24"/>
        </w:rPr>
        <w:t>unlawful visitors as provided in OLA 1984</w:t>
      </w:r>
      <w:r w:rsidR="007971FB">
        <w:rPr>
          <w:rFonts w:ascii="Arial" w:hAnsi="Arial" w:cs="Arial"/>
          <w:noProof/>
          <w:sz w:val="24"/>
          <w:szCs w:val="24"/>
        </w:rPr>
        <w:t xml:space="preserve">. </w:t>
      </w:r>
      <w:r w:rsidR="0023168B">
        <w:rPr>
          <w:rFonts w:ascii="Arial" w:hAnsi="Arial" w:cs="Arial"/>
          <w:noProof/>
          <w:sz w:val="24"/>
          <w:szCs w:val="24"/>
        </w:rPr>
        <w:t>To compare</w:t>
      </w:r>
      <w:r w:rsidR="00086690">
        <w:rPr>
          <w:rFonts w:ascii="Arial" w:hAnsi="Arial" w:cs="Arial"/>
          <w:noProof/>
          <w:sz w:val="24"/>
          <w:szCs w:val="24"/>
        </w:rPr>
        <w:t xml:space="preserve">, the </w:t>
      </w:r>
      <w:r w:rsidR="002336CD">
        <w:rPr>
          <w:rFonts w:ascii="Arial" w:hAnsi="Arial" w:cs="Arial"/>
          <w:noProof/>
          <w:sz w:val="24"/>
          <w:szCs w:val="24"/>
        </w:rPr>
        <w:t>duty</w:t>
      </w:r>
      <w:r w:rsidR="00086690">
        <w:rPr>
          <w:rFonts w:ascii="Arial" w:hAnsi="Arial" w:cs="Arial"/>
          <w:noProof/>
          <w:sz w:val="24"/>
          <w:szCs w:val="24"/>
        </w:rPr>
        <w:t xml:space="preserve"> of care expected </w:t>
      </w:r>
      <w:r w:rsidR="0023168B">
        <w:rPr>
          <w:rFonts w:ascii="Arial" w:hAnsi="Arial" w:cs="Arial"/>
          <w:noProof/>
          <w:sz w:val="24"/>
          <w:szCs w:val="24"/>
        </w:rPr>
        <w:t>under S.1</w:t>
      </w:r>
      <w:r w:rsidR="00AB3EBA">
        <w:rPr>
          <w:rFonts w:ascii="Arial" w:hAnsi="Arial" w:cs="Arial"/>
          <w:noProof/>
          <w:sz w:val="24"/>
          <w:szCs w:val="24"/>
        </w:rPr>
        <w:t>(4)  OLA 1984</w:t>
      </w:r>
      <w:r w:rsidR="004553F5">
        <w:rPr>
          <w:rFonts w:ascii="Arial" w:hAnsi="Arial" w:cs="Arial"/>
          <w:noProof/>
          <w:sz w:val="24"/>
          <w:szCs w:val="24"/>
        </w:rPr>
        <w:t xml:space="preserve"> </w:t>
      </w:r>
      <w:r w:rsidR="00AB3EBA">
        <w:rPr>
          <w:rFonts w:ascii="Arial" w:hAnsi="Arial" w:cs="Arial"/>
          <w:noProof/>
          <w:sz w:val="24"/>
          <w:szCs w:val="24"/>
        </w:rPr>
        <w:t xml:space="preserve">is </w:t>
      </w:r>
      <w:r w:rsidR="005E0EAE">
        <w:rPr>
          <w:rFonts w:ascii="Arial" w:hAnsi="Arial" w:cs="Arial"/>
          <w:noProof/>
          <w:sz w:val="24"/>
          <w:szCs w:val="24"/>
        </w:rPr>
        <w:t xml:space="preserve">for occupiers to take </w:t>
      </w:r>
      <w:r w:rsidR="00081820">
        <w:rPr>
          <w:rFonts w:ascii="Arial" w:hAnsi="Arial" w:cs="Arial"/>
          <w:noProof/>
          <w:sz w:val="24"/>
          <w:szCs w:val="24"/>
        </w:rPr>
        <w:t xml:space="preserve">reasonable action to ensure </w:t>
      </w:r>
      <w:r w:rsidR="005E0EAE">
        <w:rPr>
          <w:rFonts w:ascii="Arial" w:hAnsi="Arial" w:cs="Arial"/>
          <w:noProof/>
          <w:sz w:val="24"/>
          <w:szCs w:val="24"/>
        </w:rPr>
        <w:t>injury is not suffered on the premises</w:t>
      </w:r>
      <w:r w:rsidR="00D21AFE">
        <w:rPr>
          <w:rFonts w:ascii="Arial" w:hAnsi="Arial" w:cs="Arial"/>
          <w:noProof/>
          <w:sz w:val="24"/>
          <w:szCs w:val="24"/>
        </w:rPr>
        <w:t>.</w:t>
      </w:r>
      <w:r w:rsidR="008803C6">
        <w:rPr>
          <w:rFonts w:ascii="Arial" w:hAnsi="Arial" w:cs="Arial"/>
          <w:noProof/>
          <w:sz w:val="24"/>
          <w:szCs w:val="24"/>
        </w:rPr>
        <w:t xml:space="preserve"> </w:t>
      </w:r>
      <w:r w:rsidR="003C7261">
        <w:rPr>
          <w:rFonts w:ascii="Arial" w:hAnsi="Arial" w:cs="Arial"/>
          <w:noProof/>
          <w:sz w:val="24"/>
          <w:szCs w:val="24"/>
        </w:rPr>
        <w:t>Alike with the regulation of lawful visitors, it would be reasonable to draw inference that this</w:t>
      </w:r>
      <w:r w:rsidR="00817324">
        <w:rPr>
          <w:rFonts w:ascii="Arial" w:hAnsi="Arial" w:cs="Arial"/>
          <w:noProof/>
          <w:sz w:val="24"/>
          <w:szCs w:val="24"/>
        </w:rPr>
        <w:t xml:space="preserve"> opens up occupiers liability, however</w:t>
      </w:r>
      <w:r w:rsidR="00EF203D">
        <w:rPr>
          <w:rFonts w:ascii="Arial" w:hAnsi="Arial" w:cs="Arial"/>
          <w:noProof/>
          <w:sz w:val="24"/>
          <w:szCs w:val="24"/>
        </w:rPr>
        <w:t xml:space="preserve"> there are strict instances that must be met in the legislation which demonstrate </w:t>
      </w:r>
      <w:r w:rsidR="00B45C85">
        <w:rPr>
          <w:rFonts w:ascii="Arial" w:hAnsi="Arial" w:cs="Arial"/>
          <w:noProof/>
          <w:sz w:val="24"/>
          <w:szCs w:val="24"/>
        </w:rPr>
        <w:t>again th</w:t>
      </w:r>
      <w:r w:rsidR="003D3F71">
        <w:rPr>
          <w:rFonts w:ascii="Arial" w:hAnsi="Arial" w:cs="Arial"/>
          <w:noProof/>
          <w:sz w:val="24"/>
          <w:szCs w:val="24"/>
        </w:rPr>
        <w:t>at occupiers face limited liability</w:t>
      </w:r>
      <w:sdt>
        <w:sdtPr>
          <w:rPr>
            <w:rFonts w:ascii="Arial" w:hAnsi="Arial" w:cs="Arial"/>
            <w:noProof/>
            <w:sz w:val="24"/>
            <w:szCs w:val="24"/>
          </w:rPr>
          <w:id w:val="-1537347876"/>
          <w:citation/>
        </w:sdtPr>
        <w:sdtContent>
          <w:r w:rsidR="008F0EF1">
            <w:rPr>
              <w:rFonts w:ascii="Arial" w:hAnsi="Arial" w:cs="Arial"/>
              <w:noProof/>
              <w:sz w:val="24"/>
              <w:szCs w:val="24"/>
            </w:rPr>
            <w:fldChar w:fldCharType="begin"/>
          </w:r>
          <w:r w:rsidR="008F0EF1">
            <w:rPr>
              <w:rFonts w:ascii="Arial" w:hAnsi="Arial" w:cs="Arial"/>
              <w:noProof/>
              <w:sz w:val="24"/>
              <w:szCs w:val="24"/>
            </w:rPr>
            <w:instrText xml:space="preserve"> CITATION Ric061 \l 2057 </w:instrText>
          </w:r>
          <w:r w:rsidR="008F0EF1">
            <w:rPr>
              <w:rFonts w:ascii="Arial" w:hAnsi="Arial" w:cs="Arial"/>
              <w:noProof/>
              <w:sz w:val="24"/>
              <w:szCs w:val="24"/>
            </w:rPr>
            <w:fldChar w:fldCharType="separate"/>
          </w:r>
          <w:r w:rsidR="008F0EF1">
            <w:rPr>
              <w:rFonts w:ascii="Arial" w:hAnsi="Arial" w:cs="Arial"/>
              <w:noProof/>
              <w:sz w:val="24"/>
              <w:szCs w:val="24"/>
            </w:rPr>
            <w:t xml:space="preserve"> </w:t>
          </w:r>
          <w:r w:rsidR="008F0EF1" w:rsidRPr="008F0EF1">
            <w:rPr>
              <w:rFonts w:ascii="Arial" w:hAnsi="Arial" w:cs="Arial"/>
              <w:noProof/>
              <w:sz w:val="24"/>
              <w:szCs w:val="24"/>
            </w:rPr>
            <w:t>(Mullender, 2006)</w:t>
          </w:r>
          <w:r w:rsidR="008F0EF1">
            <w:rPr>
              <w:rFonts w:ascii="Arial" w:hAnsi="Arial" w:cs="Arial"/>
              <w:noProof/>
              <w:sz w:val="24"/>
              <w:szCs w:val="24"/>
            </w:rPr>
            <w:fldChar w:fldCharType="end"/>
          </w:r>
        </w:sdtContent>
      </w:sdt>
      <w:r w:rsidR="003D3F71">
        <w:rPr>
          <w:rFonts w:ascii="Arial" w:hAnsi="Arial" w:cs="Arial"/>
          <w:noProof/>
          <w:sz w:val="24"/>
          <w:szCs w:val="24"/>
        </w:rPr>
        <w:t>.</w:t>
      </w:r>
      <w:r w:rsidR="00B92985">
        <w:rPr>
          <w:rFonts w:ascii="Arial" w:hAnsi="Arial" w:cs="Arial"/>
          <w:noProof/>
          <w:sz w:val="24"/>
          <w:szCs w:val="24"/>
        </w:rPr>
        <w:t xml:space="preserve"> For example, </w:t>
      </w:r>
      <w:r w:rsidR="00556A5E">
        <w:rPr>
          <w:rFonts w:ascii="Arial" w:hAnsi="Arial" w:cs="Arial"/>
          <w:noProof/>
          <w:sz w:val="24"/>
          <w:szCs w:val="24"/>
        </w:rPr>
        <w:t>S</w:t>
      </w:r>
      <w:r w:rsidR="00F30311">
        <w:rPr>
          <w:rFonts w:ascii="Arial" w:hAnsi="Arial" w:cs="Arial"/>
          <w:noProof/>
          <w:sz w:val="24"/>
          <w:szCs w:val="24"/>
        </w:rPr>
        <w:t>1(1a)</w:t>
      </w:r>
      <w:r w:rsidR="008D16EE">
        <w:rPr>
          <w:rFonts w:ascii="Arial" w:hAnsi="Arial" w:cs="Arial"/>
          <w:noProof/>
          <w:sz w:val="24"/>
          <w:szCs w:val="24"/>
        </w:rPr>
        <w:t xml:space="preserve"> OLA 1984</w:t>
      </w:r>
      <w:r w:rsidR="0097625B">
        <w:rPr>
          <w:rFonts w:ascii="Arial" w:hAnsi="Arial" w:cs="Arial"/>
          <w:noProof/>
          <w:sz w:val="24"/>
          <w:szCs w:val="24"/>
        </w:rPr>
        <w:t xml:space="preserve"> states</w:t>
      </w:r>
      <w:r w:rsidR="00F30311">
        <w:rPr>
          <w:rFonts w:ascii="Arial" w:hAnsi="Arial" w:cs="Arial"/>
          <w:noProof/>
          <w:sz w:val="24"/>
          <w:szCs w:val="24"/>
        </w:rPr>
        <w:t xml:space="preserve"> that</w:t>
      </w:r>
      <w:r w:rsidR="003B5784">
        <w:rPr>
          <w:rFonts w:ascii="Arial" w:hAnsi="Arial" w:cs="Arial"/>
          <w:noProof/>
          <w:sz w:val="24"/>
          <w:szCs w:val="24"/>
        </w:rPr>
        <w:t xml:space="preserve"> the</w:t>
      </w:r>
      <w:r w:rsidR="008D16EE">
        <w:rPr>
          <w:rFonts w:ascii="Arial" w:hAnsi="Arial" w:cs="Arial"/>
          <w:noProof/>
          <w:sz w:val="24"/>
          <w:szCs w:val="24"/>
        </w:rPr>
        <w:t xml:space="preserve"> injury caused </w:t>
      </w:r>
      <w:r w:rsidR="00F55D4F">
        <w:rPr>
          <w:rFonts w:ascii="Arial" w:hAnsi="Arial" w:cs="Arial"/>
          <w:noProof/>
          <w:sz w:val="24"/>
          <w:szCs w:val="24"/>
        </w:rPr>
        <w:t xml:space="preserve">must </w:t>
      </w:r>
      <w:r w:rsidR="008D16EE">
        <w:rPr>
          <w:rFonts w:ascii="Arial" w:hAnsi="Arial" w:cs="Arial"/>
          <w:noProof/>
          <w:sz w:val="24"/>
          <w:szCs w:val="24"/>
        </w:rPr>
        <w:t>have arrisen from the</w:t>
      </w:r>
      <w:r w:rsidR="002008E9">
        <w:rPr>
          <w:rFonts w:ascii="Arial" w:hAnsi="Arial" w:cs="Arial"/>
          <w:noProof/>
          <w:sz w:val="24"/>
          <w:szCs w:val="24"/>
        </w:rPr>
        <w:t xml:space="preserve"> condition of the property</w:t>
      </w:r>
      <w:r w:rsidR="002F61FD">
        <w:rPr>
          <w:rFonts w:ascii="Arial" w:hAnsi="Arial" w:cs="Arial"/>
          <w:noProof/>
          <w:sz w:val="24"/>
          <w:szCs w:val="24"/>
        </w:rPr>
        <w:t xml:space="preserve"> with causation between both factors</w:t>
      </w:r>
      <w:r w:rsidR="008E3545">
        <w:rPr>
          <w:rFonts w:ascii="Arial" w:hAnsi="Arial" w:cs="Arial"/>
          <w:noProof/>
          <w:sz w:val="24"/>
          <w:szCs w:val="24"/>
        </w:rPr>
        <w:t>. This concept is supported further by the case of Ratcliff v McConnell (1999</w:t>
      </w:r>
      <w:r w:rsidR="001840E9">
        <w:rPr>
          <w:rFonts w:ascii="Arial" w:hAnsi="Arial" w:cs="Arial"/>
          <w:noProof/>
          <w:sz w:val="24"/>
          <w:szCs w:val="24"/>
        </w:rPr>
        <w:t>) which fou</w:t>
      </w:r>
      <w:r w:rsidR="00827283">
        <w:rPr>
          <w:rFonts w:ascii="Arial" w:hAnsi="Arial" w:cs="Arial"/>
          <w:noProof/>
          <w:sz w:val="24"/>
          <w:szCs w:val="24"/>
        </w:rPr>
        <w:t xml:space="preserve">nd </w:t>
      </w:r>
      <w:r w:rsidR="00827283">
        <w:rPr>
          <w:rFonts w:ascii="Arial" w:hAnsi="Arial" w:cs="Arial"/>
          <w:sz w:val="24"/>
          <w:szCs w:val="24"/>
        </w:rPr>
        <w:t>t</w:t>
      </w:r>
      <w:r w:rsidR="004D7897">
        <w:rPr>
          <w:rFonts w:ascii="Arial" w:hAnsi="Arial" w:cs="Arial"/>
          <w:sz w:val="24"/>
          <w:szCs w:val="24"/>
        </w:rPr>
        <w:t>hat the</w:t>
      </w:r>
      <w:r w:rsidR="002C245C">
        <w:rPr>
          <w:rFonts w:ascii="Arial" w:hAnsi="Arial" w:cs="Arial"/>
          <w:sz w:val="24"/>
          <w:szCs w:val="24"/>
        </w:rPr>
        <w:t xml:space="preserve"> unintelligence</w:t>
      </w:r>
      <w:r w:rsidR="004D7897">
        <w:rPr>
          <w:rFonts w:ascii="Arial" w:hAnsi="Arial" w:cs="Arial"/>
          <w:sz w:val="24"/>
          <w:szCs w:val="24"/>
        </w:rPr>
        <w:t xml:space="preserve"> of the claimant cannot be considered when establishing </w:t>
      </w:r>
      <w:r w:rsidR="005A3465">
        <w:rPr>
          <w:rFonts w:ascii="Arial" w:hAnsi="Arial" w:cs="Arial"/>
          <w:sz w:val="24"/>
          <w:szCs w:val="24"/>
        </w:rPr>
        <w:t>occupiers’</w:t>
      </w:r>
      <w:r w:rsidR="004D7897">
        <w:rPr>
          <w:rFonts w:ascii="Arial" w:hAnsi="Arial" w:cs="Arial"/>
          <w:sz w:val="24"/>
          <w:szCs w:val="24"/>
        </w:rPr>
        <w:t xml:space="preserve"> liability.</w:t>
      </w:r>
    </w:p>
    <w:p w14:paraId="1FA5E5D2" w14:textId="63F6D7B1" w:rsidR="001218EC" w:rsidRDefault="001218EC" w:rsidP="006B278C">
      <w:pPr>
        <w:ind w:left="720"/>
        <w:rPr>
          <w:rFonts w:ascii="Arial" w:hAnsi="Arial" w:cs="Arial"/>
          <w:sz w:val="24"/>
          <w:szCs w:val="24"/>
        </w:rPr>
      </w:pPr>
    </w:p>
    <w:p w14:paraId="14BC153E" w14:textId="77777777" w:rsidR="001218EC" w:rsidRDefault="001218EC" w:rsidP="001218EC">
      <w:pPr>
        <w:ind w:left="720"/>
        <w:rPr>
          <w:rFonts w:ascii="Arial" w:hAnsi="Arial" w:cs="Arial"/>
          <w:sz w:val="24"/>
          <w:szCs w:val="24"/>
        </w:rPr>
      </w:pPr>
    </w:p>
    <w:p w14:paraId="0E87AA51" w14:textId="472562E3" w:rsidR="001218EC" w:rsidRPr="00A406E5" w:rsidRDefault="001218EC" w:rsidP="001218EC">
      <w:pPr>
        <w:ind w:left="720"/>
        <w:rPr>
          <w:rFonts w:ascii="Arial" w:hAnsi="Arial" w:cs="Arial"/>
          <w:sz w:val="24"/>
          <w:szCs w:val="24"/>
        </w:rPr>
      </w:pPr>
    </w:p>
    <w:p w14:paraId="0FBD9F55" w14:textId="74323F38" w:rsidR="001218EC" w:rsidRDefault="001218EC" w:rsidP="006B278C">
      <w:pPr>
        <w:ind w:left="720"/>
        <w:rPr>
          <w:rFonts w:ascii="Arial" w:hAnsi="Arial" w:cs="Arial"/>
          <w:sz w:val="24"/>
          <w:szCs w:val="24"/>
        </w:rPr>
      </w:pPr>
    </w:p>
    <w:p w14:paraId="05081781" w14:textId="2F0B228A" w:rsidR="00182192" w:rsidRDefault="003D72DD" w:rsidP="00887279">
      <w:pPr>
        <w:ind w:left="720"/>
        <w:rPr>
          <w:rFonts w:ascii="Arial" w:hAnsi="Arial" w:cs="Arial"/>
          <w:sz w:val="24"/>
          <w:szCs w:val="24"/>
        </w:rPr>
      </w:pPr>
      <w:r>
        <w:rPr>
          <w:rFonts w:ascii="Arial" w:hAnsi="Arial" w:cs="Arial"/>
          <w:noProof/>
          <w:sz w:val="24"/>
          <w:szCs w:val="24"/>
        </w:rPr>
        <w:t>Furthermore,</w:t>
      </w:r>
      <w:r w:rsidR="00E050E5">
        <w:rPr>
          <w:rFonts w:ascii="Arial" w:hAnsi="Arial" w:cs="Arial"/>
          <w:noProof/>
          <w:sz w:val="24"/>
          <w:szCs w:val="24"/>
        </w:rPr>
        <w:t xml:space="preserve"> </w:t>
      </w:r>
      <w:r w:rsidR="00C6162A">
        <w:rPr>
          <w:rFonts w:ascii="Arial" w:hAnsi="Arial" w:cs="Arial"/>
          <w:noProof/>
          <w:sz w:val="24"/>
          <w:szCs w:val="24"/>
        </w:rPr>
        <w:t>S</w:t>
      </w:r>
      <w:r w:rsidR="00E070E3">
        <w:rPr>
          <w:rFonts w:ascii="Arial" w:hAnsi="Arial" w:cs="Arial"/>
          <w:noProof/>
          <w:sz w:val="24"/>
          <w:szCs w:val="24"/>
        </w:rPr>
        <w:t>1</w:t>
      </w:r>
      <w:r w:rsidR="00C30D77">
        <w:rPr>
          <w:rFonts w:ascii="Arial" w:hAnsi="Arial" w:cs="Arial"/>
          <w:noProof/>
          <w:sz w:val="24"/>
          <w:szCs w:val="24"/>
        </w:rPr>
        <w:t xml:space="preserve"> </w:t>
      </w:r>
      <w:r w:rsidR="00E070E3">
        <w:rPr>
          <w:rFonts w:ascii="Arial" w:hAnsi="Arial" w:cs="Arial"/>
          <w:noProof/>
          <w:sz w:val="24"/>
          <w:szCs w:val="24"/>
        </w:rPr>
        <w:t>(</w:t>
      </w:r>
      <w:r w:rsidR="007A7E02">
        <w:rPr>
          <w:rFonts w:ascii="Arial" w:hAnsi="Arial" w:cs="Arial"/>
          <w:noProof/>
          <w:sz w:val="24"/>
          <w:szCs w:val="24"/>
        </w:rPr>
        <w:t>3</w:t>
      </w:r>
      <w:r w:rsidR="006B278C">
        <w:rPr>
          <w:rFonts w:ascii="Arial" w:hAnsi="Arial" w:cs="Arial"/>
          <w:noProof/>
          <w:sz w:val="24"/>
          <w:szCs w:val="24"/>
        </w:rPr>
        <w:t>a</w:t>
      </w:r>
      <w:r w:rsidR="00E070E3">
        <w:rPr>
          <w:rFonts w:ascii="Arial" w:hAnsi="Arial" w:cs="Arial"/>
          <w:noProof/>
          <w:sz w:val="24"/>
          <w:szCs w:val="24"/>
        </w:rPr>
        <w:t>)</w:t>
      </w:r>
      <w:r w:rsidR="000E1507">
        <w:rPr>
          <w:rFonts w:ascii="Arial" w:hAnsi="Arial" w:cs="Arial"/>
          <w:noProof/>
          <w:sz w:val="24"/>
          <w:szCs w:val="24"/>
        </w:rPr>
        <w:t xml:space="preserve"> OLA 19</w:t>
      </w:r>
      <w:r w:rsidR="00A0698D">
        <w:rPr>
          <w:rFonts w:ascii="Arial" w:hAnsi="Arial" w:cs="Arial"/>
          <w:noProof/>
          <w:sz w:val="24"/>
          <w:szCs w:val="24"/>
        </w:rPr>
        <w:t>8</w:t>
      </w:r>
      <w:r w:rsidR="000E1507">
        <w:rPr>
          <w:rFonts w:ascii="Arial" w:hAnsi="Arial" w:cs="Arial"/>
          <w:noProof/>
          <w:sz w:val="24"/>
          <w:szCs w:val="24"/>
        </w:rPr>
        <w:t xml:space="preserve">7 </w:t>
      </w:r>
      <w:r w:rsidR="001126E2">
        <w:rPr>
          <w:rFonts w:ascii="Arial" w:hAnsi="Arial" w:cs="Arial"/>
          <w:noProof/>
          <w:sz w:val="24"/>
          <w:szCs w:val="24"/>
        </w:rPr>
        <w:t xml:space="preserve">provides that </w:t>
      </w:r>
      <w:r w:rsidR="00A424E2">
        <w:rPr>
          <w:rFonts w:ascii="Arial" w:hAnsi="Arial" w:cs="Arial"/>
          <w:noProof/>
          <w:sz w:val="24"/>
          <w:szCs w:val="24"/>
        </w:rPr>
        <w:t>liability is only found when</w:t>
      </w:r>
      <w:r w:rsidR="00E063BF">
        <w:rPr>
          <w:rFonts w:ascii="Arial" w:hAnsi="Arial" w:cs="Arial"/>
          <w:noProof/>
          <w:sz w:val="24"/>
          <w:szCs w:val="24"/>
        </w:rPr>
        <w:t xml:space="preserve"> </w:t>
      </w:r>
      <w:r w:rsidR="00AB28B2">
        <w:rPr>
          <w:rFonts w:ascii="Arial" w:hAnsi="Arial" w:cs="Arial"/>
          <w:noProof/>
          <w:sz w:val="24"/>
          <w:szCs w:val="24"/>
        </w:rPr>
        <w:t>potential danger is known to the occupier or it would be</w:t>
      </w:r>
      <w:r w:rsidR="00BE0310">
        <w:rPr>
          <w:rFonts w:ascii="Arial" w:hAnsi="Arial" w:cs="Arial"/>
          <w:noProof/>
          <w:sz w:val="24"/>
          <w:szCs w:val="24"/>
        </w:rPr>
        <w:t xml:space="preserve"> reasonable to suspect</w:t>
      </w:r>
      <w:r w:rsidR="007F0517">
        <w:rPr>
          <w:rFonts w:ascii="Arial" w:hAnsi="Arial" w:cs="Arial"/>
          <w:noProof/>
          <w:sz w:val="24"/>
          <w:szCs w:val="24"/>
        </w:rPr>
        <w:t xml:space="preserve"> </w:t>
      </w:r>
      <w:r w:rsidR="00556A5E">
        <w:rPr>
          <w:rFonts w:ascii="Arial" w:hAnsi="Arial" w:cs="Arial"/>
          <w:noProof/>
          <w:sz w:val="24"/>
          <w:szCs w:val="24"/>
        </w:rPr>
        <w:t>said danger.</w:t>
      </w:r>
      <w:r w:rsidR="00182192" w:rsidRPr="00182192">
        <w:rPr>
          <w:rFonts w:ascii="Arial" w:hAnsi="Arial" w:cs="Arial"/>
          <w:sz w:val="24"/>
          <w:szCs w:val="24"/>
        </w:rPr>
        <w:t xml:space="preserve"> </w:t>
      </w:r>
      <w:r w:rsidR="00FA67D7">
        <w:rPr>
          <w:rFonts w:ascii="Arial" w:hAnsi="Arial" w:cs="Arial"/>
          <w:sz w:val="24"/>
          <w:szCs w:val="24"/>
        </w:rPr>
        <w:t>This</w:t>
      </w:r>
      <w:r w:rsidR="00C91E10">
        <w:rPr>
          <w:rFonts w:ascii="Arial" w:hAnsi="Arial" w:cs="Arial"/>
          <w:sz w:val="24"/>
          <w:szCs w:val="24"/>
        </w:rPr>
        <w:t xml:space="preserve"> is seen in</w:t>
      </w:r>
      <w:r w:rsidR="00182192">
        <w:rPr>
          <w:rFonts w:ascii="Arial" w:hAnsi="Arial" w:cs="Arial"/>
          <w:sz w:val="24"/>
          <w:szCs w:val="24"/>
        </w:rPr>
        <w:t xml:space="preserve"> </w:t>
      </w:r>
      <w:proofErr w:type="spellStart"/>
      <w:r w:rsidR="00182192">
        <w:rPr>
          <w:rFonts w:ascii="Arial" w:hAnsi="Arial" w:cs="Arial"/>
          <w:sz w:val="24"/>
          <w:szCs w:val="24"/>
        </w:rPr>
        <w:t>Rhind</w:t>
      </w:r>
      <w:proofErr w:type="spellEnd"/>
      <w:r w:rsidR="00182192">
        <w:rPr>
          <w:rFonts w:ascii="Arial" w:hAnsi="Arial" w:cs="Arial"/>
          <w:sz w:val="24"/>
          <w:szCs w:val="24"/>
        </w:rPr>
        <w:t xml:space="preserve"> v Astbury Water Park (2004) </w:t>
      </w:r>
      <w:r w:rsidR="00EB5333">
        <w:rPr>
          <w:rFonts w:ascii="Arial" w:hAnsi="Arial" w:cs="Arial"/>
          <w:sz w:val="24"/>
          <w:szCs w:val="24"/>
        </w:rPr>
        <w:t xml:space="preserve">where </w:t>
      </w:r>
      <w:r w:rsidR="00182192">
        <w:rPr>
          <w:rFonts w:ascii="Arial" w:hAnsi="Arial" w:cs="Arial"/>
          <w:sz w:val="24"/>
          <w:szCs w:val="24"/>
        </w:rPr>
        <w:t xml:space="preserve">the Courts found that an occupier is not liable for danger that </w:t>
      </w:r>
      <w:r w:rsidR="00B66D2C">
        <w:rPr>
          <w:rFonts w:ascii="Arial" w:hAnsi="Arial" w:cs="Arial"/>
          <w:sz w:val="24"/>
          <w:szCs w:val="24"/>
        </w:rPr>
        <w:t>they are</w:t>
      </w:r>
      <w:r w:rsidR="00182192">
        <w:rPr>
          <w:rFonts w:ascii="Arial" w:hAnsi="Arial" w:cs="Arial"/>
          <w:sz w:val="24"/>
          <w:szCs w:val="24"/>
        </w:rPr>
        <w:t xml:space="preserve"> unaware of.</w:t>
      </w:r>
      <w:r w:rsidR="0036533A">
        <w:rPr>
          <w:rFonts w:ascii="Arial" w:hAnsi="Arial" w:cs="Arial"/>
          <w:sz w:val="24"/>
          <w:szCs w:val="24"/>
        </w:rPr>
        <w:t xml:space="preserve"> </w:t>
      </w:r>
      <w:r w:rsidR="00DA19B8">
        <w:rPr>
          <w:rFonts w:ascii="Arial" w:hAnsi="Arial" w:cs="Arial"/>
          <w:sz w:val="24"/>
          <w:szCs w:val="24"/>
        </w:rPr>
        <w:t xml:space="preserve">Introductory observations of </w:t>
      </w:r>
      <w:r w:rsidR="00A77A63">
        <w:rPr>
          <w:rFonts w:ascii="Arial" w:hAnsi="Arial" w:cs="Arial"/>
          <w:sz w:val="24"/>
          <w:szCs w:val="24"/>
        </w:rPr>
        <w:t>s1(3a) would conclude that</w:t>
      </w:r>
      <w:r w:rsidR="00141E24">
        <w:rPr>
          <w:rFonts w:ascii="Arial" w:hAnsi="Arial" w:cs="Arial"/>
          <w:sz w:val="24"/>
          <w:szCs w:val="24"/>
        </w:rPr>
        <w:t xml:space="preserve"> </w:t>
      </w:r>
      <w:r w:rsidR="004114C3">
        <w:rPr>
          <w:rFonts w:ascii="Arial" w:hAnsi="Arial" w:cs="Arial"/>
          <w:sz w:val="24"/>
          <w:szCs w:val="24"/>
        </w:rPr>
        <w:t xml:space="preserve">instances where </w:t>
      </w:r>
      <w:r w:rsidR="008736C1">
        <w:rPr>
          <w:rFonts w:ascii="Arial" w:hAnsi="Arial" w:cs="Arial"/>
          <w:sz w:val="24"/>
          <w:szCs w:val="24"/>
        </w:rPr>
        <w:t>occupiers</w:t>
      </w:r>
      <w:r w:rsidR="004114C3">
        <w:rPr>
          <w:rFonts w:ascii="Arial" w:hAnsi="Arial" w:cs="Arial"/>
          <w:sz w:val="24"/>
          <w:szCs w:val="24"/>
        </w:rPr>
        <w:t xml:space="preserve"> are found to be aware of the danger would </w:t>
      </w:r>
      <w:r w:rsidR="00FD06DD">
        <w:rPr>
          <w:rFonts w:ascii="Arial" w:hAnsi="Arial" w:cs="Arial"/>
          <w:sz w:val="24"/>
          <w:szCs w:val="24"/>
        </w:rPr>
        <w:t xml:space="preserve">push liability, but this is not </w:t>
      </w:r>
      <w:r w:rsidR="008736C1">
        <w:rPr>
          <w:rFonts w:ascii="Arial" w:hAnsi="Arial" w:cs="Arial"/>
          <w:sz w:val="24"/>
          <w:szCs w:val="24"/>
        </w:rPr>
        <w:t xml:space="preserve">always </w:t>
      </w:r>
      <w:r w:rsidR="00FD06DD">
        <w:rPr>
          <w:rFonts w:ascii="Arial" w:hAnsi="Arial" w:cs="Arial"/>
          <w:sz w:val="24"/>
          <w:szCs w:val="24"/>
        </w:rPr>
        <w:t>the case</w:t>
      </w:r>
      <w:sdt>
        <w:sdtPr>
          <w:rPr>
            <w:rFonts w:ascii="Arial" w:hAnsi="Arial" w:cs="Arial"/>
            <w:sz w:val="24"/>
            <w:szCs w:val="24"/>
          </w:rPr>
          <w:id w:val="1657497375"/>
          <w:citation/>
        </w:sdtPr>
        <w:sdtContent>
          <w:r w:rsidR="00997E09">
            <w:rPr>
              <w:rFonts w:ascii="Arial" w:hAnsi="Arial" w:cs="Arial"/>
              <w:sz w:val="24"/>
              <w:szCs w:val="24"/>
            </w:rPr>
            <w:fldChar w:fldCharType="begin"/>
          </w:r>
          <w:r w:rsidR="00997E09">
            <w:rPr>
              <w:rFonts w:ascii="Arial" w:hAnsi="Arial" w:cs="Arial"/>
              <w:sz w:val="24"/>
              <w:szCs w:val="24"/>
            </w:rPr>
            <w:instrText xml:space="preserve"> CITATION JBe02 \l 2057 </w:instrText>
          </w:r>
          <w:r w:rsidR="00997E09">
            <w:rPr>
              <w:rFonts w:ascii="Arial" w:hAnsi="Arial" w:cs="Arial"/>
              <w:sz w:val="24"/>
              <w:szCs w:val="24"/>
            </w:rPr>
            <w:fldChar w:fldCharType="separate"/>
          </w:r>
          <w:r w:rsidR="00997E09">
            <w:rPr>
              <w:rFonts w:ascii="Arial" w:hAnsi="Arial" w:cs="Arial"/>
              <w:noProof/>
              <w:sz w:val="24"/>
              <w:szCs w:val="24"/>
            </w:rPr>
            <w:t xml:space="preserve"> </w:t>
          </w:r>
          <w:r w:rsidR="00997E09" w:rsidRPr="00997E09">
            <w:rPr>
              <w:rFonts w:ascii="Arial" w:hAnsi="Arial" w:cs="Arial"/>
              <w:noProof/>
              <w:sz w:val="24"/>
              <w:szCs w:val="24"/>
            </w:rPr>
            <w:t>(Bell, 2002)</w:t>
          </w:r>
          <w:r w:rsidR="00997E09">
            <w:rPr>
              <w:rFonts w:ascii="Arial" w:hAnsi="Arial" w:cs="Arial"/>
              <w:sz w:val="24"/>
              <w:szCs w:val="24"/>
            </w:rPr>
            <w:fldChar w:fldCharType="end"/>
          </w:r>
        </w:sdtContent>
      </w:sdt>
      <w:r w:rsidR="00FD06DD">
        <w:rPr>
          <w:rFonts w:ascii="Arial" w:hAnsi="Arial" w:cs="Arial"/>
          <w:sz w:val="24"/>
          <w:szCs w:val="24"/>
        </w:rPr>
        <w:t>. S</w:t>
      </w:r>
      <w:r w:rsidR="00600BAC">
        <w:rPr>
          <w:rFonts w:ascii="Arial" w:hAnsi="Arial" w:cs="Arial"/>
          <w:sz w:val="24"/>
          <w:szCs w:val="24"/>
        </w:rPr>
        <w:t>2(4a) OLA 1957</w:t>
      </w:r>
      <w:r w:rsidR="005A69E8">
        <w:rPr>
          <w:rFonts w:ascii="Arial" w:hAnsi="Arial" w:cs="Arial"/>
          <w:sz w:val="24"/>
          <w:szCs w:val="24"/>
        </w:rPr>
        <w:t xml:space="preserve"> along</w:t>
      </w:r>
      <w:r w:rsidR="00E02A12">
        <w:rPr>
          <w:rFonts w:ascii="Arial" w:hAnsi="Arial" w:cs="Arial"/>
          <w:sz w:val="24"/>
          <w:szCs w:val="24"/>
        </w:rPr>
        <w:t>side s1(</w:t>
      </w:r>
      <w:r w:rsidR="000F2E89">
        <w:rPr>
          <w:rFonts w:ascii="Arial" w:hAnsi="Arial" w:cs="Arial"/>
          <w:sz w:val="24"/>
          <w:szCs w:val="24"/>
        </w:rPr>
        <w:t>5) OLA 19</w:t>
      </w:r>
      <w:r w:rsidR="00887279">
        <w:rPr>
          <w:rFonts w:ascii="Arial" w:hAnsi="Arial" w:cs="Arial"/>
          <w:sz w:val="24"/>
          <w:szCs w:val="24"/>
        </w:rPr>
        <w:t>84</w:t>
      </w:r>
      <w:r w:rsidR="00A93AA0">
        <w:rPr>
          <w:rFonts w:ascii="Arial" w:hAnsi="Arial" w:cs="Arial"/>
          <w:sz w:val="24"/>
          <w:szCs w:val="24"/>
        </w:rPr>
        <w:t xml:space="preserve"> provide </w:t>
      </w:r>
      <w:r w:rsidR="00A93AA0">
        <w:rPr>
          <w:rFonts w:ascii="Arial" w:hAnsi="Arial" w:cs="Arial"/>
          <w:sz w:val="24"/>
          <w:szCs w:val="24"/>
        </w:rPr>
        <w:lastRenderedPageBreak/>
        <w:t>that</w:t>
      </w:r>
      <w:r w:rsidR="001671DA">
        <w:rPr>
          <w:rFonts w:ascii="Arial" w:hAnsi="Arial" w:cs="Arial"/>
          <w:sz w:val="24"/>
          <w:szCs w:val="24"/>
        </w:rPr>
        <w:t xml:space="preserve"> an occupier </w:t>
      </w:r>
      <w:r w:rsidR="007041D6">
        <w:rPr>
          <w:rFonts w:ascii="Arial" w:hAnsi="Arial" w:cs="Arial"/>
          <w:sz w:val="24"/>
          <w:szCs w:val="24"/>
        </w:rPr>
        <w:t xml:space="preserve">is provided protection </w:t>
      </w:r>
      <w:r w:rsidR="00190270">
        <w:rPr>
          <w:rFonts w:ascii="Arial" w:hAnsi="Arial" w:cs="Arial"/>
          <w:sz w:val="24"/>
          <w:szCs w:val="24"/>
        </w:rPr>
        <w:t>from liability</w:t>
      </w:r>
      <w:r w:rsidR="001671DA">
        <w:rPr>
          <w:rFonts w:ascii="Arial" w:hAnsi="Arial" w:cs="Arial"/>
          <w:sz w:val="24"/>
          <w:szCs w:val="24"/>
        </w:rPr>
        <w:t xml:space="preserve"> when</w:t>
      </w:r>
      <w:r w:rsidR="007041D6">
        <w:rPr>
          <w:rFonts w:ascii="Arial" w:hAnsi="Arial" w:cs="Arial"/>
          <w:sz w:val="24"/>
          <w:szCs w:val="24"/>
        </w:rPr>
        <w:t xml:space="preserve"> sufficient </w:t>
      </w:r>
      <w:r w:rsidR="00887279">
        <w:rPr>
          <w:rFonts w:ascii="Arial" w:hAnsi="Arial" w:cs="Arial"/>
          <w:sz w:val="24"/>
          <w:szCs w:val="24"/>
        </w:rPr>
        <w:t>warnings</w:t>
      </w:r>
      <w:r w:rsidR="007041D6">
        <w:rPr>
          <w:rFonts w:ascii="Arial" w:hAnsi="Arial" w:cs="Arial"/>
          <w:sz w:val="24"/>
          <w:szCs w:val="24"/>
        </w:rPr>
        <w:t xml:space="preserve"> are provided</w:t>
      </w:r>
      <w:r w:rsidR="008736C1">
        <w:rPr>
          <w:rFonts w:ascii="Arial" w:hAnsi="Arial" w:cs="Arial"/>
          <w:sz w:val="24"/>
          <w:szCs w:val="24"/>
        </w:rPr>
        <w:t xml:space="preserve"> to visitors.</w:t>
      </w:r>
      <w:r w:rsidR="00BA5879">
        <w:rPr>
          <w:rFonts w:ascii="Arial" w:hAnsi="Arial" w:cs="Arial"/>
          <w:sz w:val="24"/>
          <w:szCs w:val="24"/>
        </w:rPr>
        <w:t xml:space="preserve"> </w:t>
      </w:r>
      <w:r w:rsidR="00025122">
        <w:rPr>
          <w:rFonts w:ascii="Arial" w:hAnsi="Arial" w:cs="Arial"/>
          <w:sz w:val="24"/>
          <w:szCs w:val="24"/>
        </w:rPr>
        <w:t>Liability is li</w:t>
      </w:r>
      <w:r w:rsidR="00202B0F">
        <w:rPr>
          <w:rFonts w:ascii="Arial" w:hAnsi="Arial" w:cs="Arial"/>
          <w:sz w:val="24"/>
          <w:szCs w:val="24"/>
        </w:rPr>
        <w:t>mited</w:t>
      </w:r>
      <w:r w:rsidR="00025122">
        <w:rPr>
          <w:rFonts w:ascii="Arial" w:hAnsi="Arial" w:cs="Arial"/>
          <w:sz w:val="24"/>
          <w:szCs w:val="24"/>
        </w:rPr>
        <w:t xml:space="preserve"> further by </w:t>
      </w:r>
      <w:r w:rsidR="003978EA">
        <w:rPr>
          <w:rFonts w:ascii="Arial" w:hAnsi="Arial" w:cs="Arial"/>
          <w:sz w:val="24"/>
          <w:szCs w:val="24"/>
        </w:rPr>
        <w:t xml:space="preserve">caselaw such as Darby v National Trust (2001), </w:t>
      </w:r>
      <w:r w:rsidR="00494391">
        <w:rPr>
          <w:rFonts w:ascii="Arial" w:hAnsi="Arial" w:cs="Arial"/>
          <w:sz w:val="24"/>
          <w:szCs w:val="24"/>
        </w:rPr>
        <w:t>Cotton v Derbyshire Dales District Council (1994)</w:t>
      </w:r>
      <w:r w:rsidR="0067358C">
        <w:rPr>
          <w:rFonts w:ascii="Arial" w:hAnsi="Arial" w:cs="Arial"/>
          <w:sz w:val="24"/>
          <w:szCs w:val="24"/>
        </w:rPr>
        <w:t xml:space="preserve"> and Staples v West Dorset District Council (1995) </w:t>
      </w:r>
      <w:r w:rsidR="002F5A53">
        <w:rPr>
          <w:rFonts w:ascii="Arial" w:hAnsi="Arial" w:cs="Arial"/>
          <w:sz w:val="24"/>
          <w:szCs w:val="24"/>
        </w:rPr>
        <w:t xml:space="preserve">which each found that there to be no duty to provide warning in instances of obvious </w:t>
      </w:r>
      <w:r w:rsidR="008B0B6B">
        <w:rPr>
          <w:rFonts w:ascii="Arial" w:hAnsi="Arial" w:cs="Arial"/>
          <w:sz w:val="24"/>
          <w:szCs w:val="24"/>
        </w:rPr>
        <w:t xml:space="preserve">risk. In the case of </w:t>
      </w:r>
      <w:r w:rsidR="00D62FA2">
        <w:rPr>
          <w:rFonts w:ascii="Arial" w:hAnsi="Arial" w:cs="Arial"/>
          <w:sz w:val="24"/>
          <w:szCs w:val="24"/>
        </w:rPr>
        <w:t xml:space="preserve">Edwards v London Borough of Sutton (2016) </w:t>
      </w:r>
      <w:r w:rsidR="008B0B6B">
        <w:rPr>
          <w:rFonts w:ascii="Arial" w:hAnsi="Arial" w:cs="Arial"/>
          <w:sz w:val="24"/>
          <w:szCs w:val="24"/>
        </w:rPr>
        <w:t>the Courts even considered</w:t>
      </w:r>
      <w:r w:rsidR="00B07B71">
        <w:rPr>
          <w:rFonts w:ascii="Arial" w:hAnsi="Arial" w:cs="Arial"/>
          <w:sz w:val="24"/>
          <w:szCs w:val="24"/>
        </w:rPr>
        <w:t xml:space="preserve"> social harm</w:t>
      </w:r>
      <w:r w:rsidR="00A60C1B">
        <w:rPr>
          <w:rFonts w:ascii="Arial" w:hAnsi="Arial" w:cs="Arial"/>
          <w:sz w:val="24"/>
          <w:szCs w:val="24"/>
        </w:rPr>
        <w:t xml:space="preserve"> in its </w:t>
      </w:r>
      <w:r w:rsidR="009873B5">
        <w:rPr>
          <w:rFonts w:ascii="Arial" w:hAnsi="Arial" w:cs="Arial"/>
          <w:sz w:val="24"/>
          <w:szCs w:val="24"/>
        </w:rPr>
        <w:t xml:space="preserve">judgement </w:t>
      </w:r>
      <w:r w:rsidR="00A60C1B">
        <w:rPr>
          <w:rFonts w:ascii="Arial" w:hAnsi="Arial" w:cs="Arial"/>
          <w:sz w:val="24"/>
          <w:szCs w:val="24"/>
        </w:rPr>
        <w:t>of obvious risk</w:t>
      </w:r>
      <w:r w:rsidR="00041E77">
        <w:rPr>
          <w:rFonts w:ascii="Arial" w:hAnsi="Arial" w:cs="Arial"/>
          <w:sz w:val="24"/>
          <w:szCs w:val="24"/>
        </w:rPr>
        <w:t>, accepting that</w:t>
      </w:r>
      <w:r w:rsidR="007D733A">
        <w:rPr>
          <w:rFonts w:ascii="Arial" w:hAnsi="Arial" w:cs="Arial"/>
          <w:sz w:val="24"/>
          <w:szCs w:val="24"/>
        </w:rPr>
        <w:t xml:space="preserve"> although no warning si</w:t>
      </w:r>
      <w:r w:rsidR="00AF4A85">
        <w:rPr>
          <w:rFonts w:ascii="Arial" w:hAnsi="Arial" w:cs="Arial"/>
          <w:sz w:val="24"/>
          <w:szCs w:val="24"/>
        </w:rPr>
        <w:t>gns or railings</w:t>
      </w:r>
      <w:r w:rsidR="007D733A">
        <w:rPr>
          <w:rFonts w:ascii="Arial" w:hAnsi="Arial" w:cs="Arial"/>
          <w:sz w:val="24"/>
          <w:szCs w:val="24"/>
        </w:rPr>
        <w:t xml:space="preserve"> </w:t>
      </w:r>
      <w:r w:rsidR="00AF4A85">
        <w:rPr>
          <w:rFonts w:ascii="Arial" w:hAnsi="Arial" w:cs="Arial"/>
          <w:sz w:val="24"/>
          <w:szCs w:val="24"/>
        </w:rPr>
        <w:t>were present</w:t>
      </w:r>
      <w:r w:rsidR="00F031C8">
        <w:rPr>
          <w:rFonts w:ascii="Arial" w:hAnsi="Arial" w:cs="Arial"/>
          <w:sz w:val="24"/>
          <w:szCs w:val="24"/>
        </w:rPr>
        <w:t xml:space="preserve"> to protect the claimant from </w:t>
      </w:r>
      <w:r w:rsidR="00960450">
        <w:rPr>
          <w:rFonts w:ascii="Arial" w:hAnsi="Arial" w:cs="Arial"/>
          <w:sz w:val="24"/>
          <w:szCs w:val="24"/>
        </w:rPr>
        <w:t>harm, the</w:t>
      </w:r>
      <w:r w:rsidR="00F031C8">
        <w:rPr>
          <w:rFonts w:ascii="Arial" w:hAnsi="Arial" w:cs="Arial"/>
          <w:sz w:val="24"/>
          <w:szCs w:val="24"/>
        </w:rPr>
        <w:t xml:space="preserve"> provision of such would </w:t>
      </w:r>
      <w:r w:rsidR="00DA7FC3">
        <w:rPr>
          <w:rFonts w:ascii="Arial" w:hAnsi="Arial" w:cs="Arial"/>
          <w:sz w:val="24"/>
          <w:szCs w:val="24"/>
        </w:rPr>
        <w:t>adjust</w:t>
      </w:r>
      <w:r w:rsidR="00393367">
        <w:rPr>
          <w:rFonts w:ascii="Arial" w:hAnsi="Arial" w:cs="Arial"/>
          <w:sz w:val="24"/>
          <w:szCs w:val="24"/>
        </w:rPr>
        <w:t xml:space="preserve"> the ‘character’ of the bridge</w:t>
      </w:r>
      <w:r w:rsidR="00960450">
        <w:rPr>
          <w:rFonts w:ascii="Arial" w:hAnsi="Arial" w:cs="Arial"/>
          <w:sz w:val="24"/>
          <w:szCs w:val="24"/>
        </w:rPr>
        <w:t>.</w:t>
      </w:r>
      <w:r w:rsidR="00335435">
        <w:rPr>
          <w:rFonts w:ascii="Arial" w:hAnsi="Arial" w:cs="Arial"/>
          <w:sz w:val="24"/>
          <w:szCs w:val="24"/>
        </w:rPr>
        <w:t xml:space="preserve"> </w:t>
      </w:r>
    </w:p>
    <w:p w14:paraId="377DCD7D" w14:textId="70410089" w:rsidR="002C3D5A" w:rsidRDefault="002C3D5A" w:rsidP="008B0B6B">
      <w:pPr>
        <w:ind w:left="720"/>
        <w:rPr>
          <w:rFonts w:ascii="Arial" w:hAnsi="Arial" w:cs="Arial"/>
          <w:sz w:val="24"/>
          <w:szCs w:val="24"/>
        </w:rPr>
      </w:pPr>
    </w:p>
    <w:p w14:paraId="08BE7698" w14:textId="77777777" w:rsidR="002C3D5A" w:rsidRDefault="002C3D5A" w:rsidP="008B0B6B">
      <w:pPr>
        <w:ind w:left="720"/>
        <w:rPr>
          <w:rFonts w:ascii="Arial" w:hAnsi="Arial" w:cs="Arial"/>
          <w:sz w:val="24"/>
          <w:szCs w:val="24"/>
        </w:rPr>
      </w:pPr>
    </w:p>
    <w:p w14:paraId="227A5E05" w14:textId="77777777" w:rsidR="00182192" w:rsidRDefault="00182192" w:rsidP="00182192">
      <w:pPr>
        <w:ind w:left="720"/>
        <w:rPr>
          <w:rFonts w:ascii="Arial" w:hAnsi="Arial" w:cs="Arial"/>
          <w:noProof/>
          <w:sz w:val="24"/>
          <w:szCs w:val="24"/>
        </w:rPr>
      </w:pPr>
    </w:p>
    <w:p w14:paraId="1B03F889" w14:textId="4B75BB76" w:rsidR="006B278C" w:rsidRDefault="006B278C" w:rsidP="006B278C">
      <w:pPr>
        <w:ind w:left="720"/>
        <w:rPr>
          <w:rFonts w:ascii="Arial" w:hAnsi="Arial" w:cs="Arial"/>
          <w:noProof/>
          <w:sz w:val="24"/>
          <w:szCs w:val="24"/>
        </w:rPr>
      </w:pPr>
    </w:p>
    <w:p w14:paraId="11964442" w14:textId="77777777" w:rsidR="006B278C" w:rsidRDefault="006B278C" w:rsidP="006B278C">
      <w:pPr>
        <w:ind w:left="720"/>
        <w:rPr>
          <w:rFonts w:ascii="Arial" w:hAnsi="Arial" w:cs="Arial"/>
          <w:noProof/>
          <w:sz w:val="24"/>
          <w:szCs w:val="24"/>
        </w:rPr>
      </w:pPr>
    </w:p>
    <w:p w14:paraId="22F0AB75" w14:textId="4177F40F" w:rsidR="00617995" w:rsidRDefault="008D4654" w:rsidP="00617995">
      <w:pPr>
        <w:ind w:left="720"/>
        <w:rPr>
          <w:rFonts w:ascii="Arial" w:hAnsi="Arial" w:cs="Arial"/>
          <w:sz w:val="24"/>
          <w:szCs w:val="24"/>
        </w:rPr>
      </w:pPr>
      <w:r>
        <w:rPr>
          <w:rFonts w:ascii="Arial" w:hAnsi="Arial" w:cs="Arial"/>
          <w:noProof/>
          <w:sz w:val="24"/>
          <w:szCs w:val="24"/>
        </w:rPr>
        <w:t xml:space="preserve">The </w:t>
      </w:r>
      <w:r w:rsidR="00060196">
        <w:rPr>
          <w:rFonts w:ascii="Arial" w:hAnsi="Arial" w:cs="Arial"/>
          <w:noProof/>
          <w:sz w:val="24"/>
          <w:szCs w:val="24"/>
        </w:rPr>
        <w:t>second condit</w:t>
      </w:r>
      <w:r w:rsidR="00E52A4D">
        <w:rPr>
          <w:rFonts w:ascii="Arial" w:hAnsi="Arial" w:cs="Arial"/>
          <w:noProof/>
          <w:sz w:val="24"/>
          <w:szCs w:val="24"/>
        </w:rPr>
        <w:t>i</w:t>
      </w:r>
      <w:r w:rsidR="00060196">
        <w:rPr>
          <w:rFonts w:ascii="Arial" w:hAnsi="Arial" w:cs="Arial"/>
          <w:noProof/>
          <w:sz w:val="24"/>
          <w:szCs w:val="24"/>
        </w:rPr>
        <w:t xml:space="preserve">on falls within </w:t>
      </w:r>
      <w:r w:rsidR="00EC4AA7">
        <w:rPr>
          <w:rFonts w:ascii="Arial" w:hAnsi="Arial" w:cs="Arial"/>
          <w:noProof/>
          <w:sz w:val="24"/>
          <w:szCs w:val="24"/>
        </w:rPr>
        <w:t xml:space="preserve">s1 (3b) OLA 1984 which </w:t>
      </w:r>
      <w:r w:rsidR="00BE4BF1">
        <w:rPr>
          <w:rFonts w:ascii="Arial" w:hAnsi="Arial" w:cs="Arial"/>
          <w:noProof/>
          <w:sz w:val="24"/>
          <w:szCs w:val="24"/>
        </w:rPr>
        <w:t>clarifies</w:t>
      </w:r>
      <w:r w:rsidR="00E52A4D">
        <w:rPr>
          <w:rFonts w:ascii="Arial" w:hAnsi="Arial" w:cs="Arial"/>
          <w:noProof/>
          <w:sz w:val="24"/>
          <w:szCs w:val="24"/>
        </w:rPr>
        <w:t xml:space="preserve"> </w:t>
      </w:r>
      <w:r w:rsidR="00BE4BF1">
        <w:rPr>
          <w:rFonts w:ascii="Arial" w:hAnsi="Arial" w:cs="Arial"/>
          <w:noProof/>
          <w:sz w:val="24"/>
          <w:szCs w:val="24"/>
        </w:rPr>
        <w:t xml:space="preserve">that </w:t>
      </w:r>
      <w:r w:rsidR="00E52A4D">
        <w:rPr>
          <w:rFonts w:ascii="Arial" w:hAnsi="Arial" w:cs="Arial"/>
          <w:noProof/>
          <w:sz w:val="24"/>
          <w:szCs w:val="24"/>
        </w:rPr>
        <w:t xml:space="preserve">it </w:t>
      </w:r>
      <w:r w:rsidR="00BE4BF1">
        <w:rPr>
          <w:rFonts w:ascii="Arial" w:hAnsi="Arial" w:cs="Arial"/>
          <w:noProof/>
          <w:sz w:val="24"/>
          <w:szCs w:val="24"/>
        </w:rPr>
        <w:t>must be</w:t>
      </w:r>
      <w:r w:rsidR="00F85906">
        <w:rPr>
          <w:rFonts w:ascii="Arial" w:hAnsi="Arial" w:cs="Arial"/>
          <w:noProof/>
          <w:sz w:val="24"/>
          <w:szCs w:val="24"/>
        </w:rPr>
        <w:t xml:space="preserve"> known or </w:t>
      </w:r>
      <w:r w:rsidR="004E230E">
        <w:rPr>
          <w:rFonts w:ascii="Arial" w:hAnsi="Arial" w:cs="Arial"/>
          <w:noProof/>
          <w:sz w:val="24"/>
          <w:szCs w:val="24"/>
        </w:rPr>
        <w:t xml:space="preserve">forseeable </w:t>
      </w:r>
      <w:r w:rsidR="00F85906">
        <w:rPr>
          <w:rFonts w:ascii="Arial" w:hAnsi="Arial" w:cs="Arial"/>
          <w:noProof/>
          <w:sz w:val="24"/>
          <w:szCs w:val="24"/>
        </w:rPr>
        <w:t xml:space="preserve">that the </w:t>
      </w:r>
      <w:r w:rsidR="00F47D9A">
        <w:rPr>
          <w:rFonts w:ascii="Arial" w:hAnsi="Arial" w:cs="Arial"/>
          <w:noProof/>
          <w:sz w:val="24"/>
          <w:szCs w:val="24"/>
        </w:rPr>
        <w:t>visiter may come in to contact with said</w:t>
      </w:r>
      <w:r w:rsidR="00272BF5">
        <w:rPr>
          <w:rFonts w:ascii="Arial" w:hAnsi="Arial" w:cs="Arial"/>
          <w:noProof/>
          <w:sz w:val="24"/>
          <w:szCs w:val="24"/>
        </w:rPr>
        <w:t xml:space="preserve"> </w:t>
      </w:r>
      <w:r w:rsidR="00F47D9A">
        <w:rPr>
          <w:rFonts w:ascii="Arial" w:hAnsi="Arial" w:cs="Arial"/>
          <w:noProof/>
          <w:sz w:val="24"/>
          <w:szCs w:val="24"/>
        </w:rPr>
        <w:t>danger</w:t>
      </w:r>
      <w:r w:rsidR="00650E6D">
        <w:rPr>
          <w:rFonts w:ascii="Arial" w:hAnsi="Arial" w:cs="Arial"/>
          <w:noProof/>
          <w:sz w:val="24"/>
          <w:szCs w:val="24"/>
        </w:rPr>
        <w:t>.</w:t>
      </w:r>
      <w:r w:rsidR="002626A3">
        <w:rPr>
          <w:rFonts w:ascii="Arial" w:hAnsi="Arial" w:cs="Arial"/>
          <w:noProof/>
          <w:sz w:val="24"/>
          <w:szCs w:val="24"/>
        </w:rPr>
        <w:t xml:space="preserve"> </w:t>
      </w:r>
      <w:r w:rsidR="007C1B7B">
        <w:rPr>
          <w:rFonts w:ascii="Arial" w:hAnsi="Arial" w:cs="Arial"/>
          <w:noProof/>
          <w:sz w:val="24"/>
          <w:szCs w:val="24"/>
        </w:rPr>
        <w:t>It’s plausible to infer that</w:t>
      </w:r>
      <w:r w:rsidR="00973E1A">
        <w:rPr>
          <w:rFonts w:ascii="Arial" w:hAnsi="Arial" w:cs="Arial"/>
          <w:noProof/>
          <w:sz w:val="24"/>
          <w:szCs w:val="24"/>
        </w:rPr>
        <w:t xml:space="preserve"> this condit</w:t>
      </w:r>
      <w:r w:rsidR="00E52A4D">
        <w:rPr>
          <w:rFonts w:ascii="Arial" w:hAnsi="Arial" w:cs="Arial"/>
          <w:noProof/>
          <w:sz w:val="24"/>
          <w:szCs w:val="24"/>
        </w:rPr>
        <w:t>i</w:t>
      </w:r>
      <w:r w:rsidR="00973E1A">
        <w:rPr>
          <w:rFonts w:ascii="Arial" w:hAnsi="Arial" w:cs="Arial"/>
          <w:noProof/>
          <w:sz w:val="24"/>
          <w:szCs w:val="24"/>
        </w:rPr>
        <w:t>on is fatal</w:t>
      </w:r>
      <w:r w:rsidR="00B31313">
        <w:rPr>
          <w:rFonts w:ascii="Arial" w:hAnsi="Arial" w:cs="Arial"/>
          <w:noProof/>
          <w:sz w:val="24"/>
          <w:szCs w:val="24"/>
        </w:rPr>
        <w:t xml:space="preserve"> when establi</w:t>
      </w:r>
      <w:r w:rsidR="00877848">
        <w:rPr>
          <w:rFonts w:ascii="Arial" w:hAnsi="Arial" w:cs="Arial"/>
          <w:noProof/>
          <w:sz w:val="24"/>
          <w:szCs w:val="24"/>
        </w:rPr>
        <w:t>shing</w:t>
      </w:r>
      <w:r w:rsidR="00B31313">
        <w:rPr>
          <w:rFonts w:ascii="Arial" w:hAnsi="Arial" w:cs="Arial"/>
          <w:noProof/>
          <w:sz w:val="24"/>
          <w:szCs w:val="24"/>
        </w:rPr>
        <w:t xml:space="preserve"> liability, </w:t>
      </w:r>
      <w:r w:rsidR="00067F0B">
        <w:rPr>
          <w:rFonts w:ascii="Arial" w:hAnsi="Arial" w:cs="Arial"/>
          <w:noProof/>
          <w:sz w:val="24"/>
          <w:szCs w:val="24"/>
        </w:rPr>
        <w:t>with cases such as Young v Kent County Council</w:t>
      </w:r>
      <w:r w:rsidR="009A5C91">
        <w:rPr>
          <w:rFonts w:ascii="Arial" w:hAnsi="Arial" w:cs="Arial"/>
          <w:noProof/>
          <w:sz w:val="24"/>
          <w:szCs w:val="24"/>
        </w:rPr>
        <w:t xml:space="preserve"> (2005)</w:t>
      </w:r>
      <w:r w:rsidR="00BD28F7">
        <w:rPr>
          <w:rFonts w:ascii="Arial" w:hAnsi="Arial" w:cs="Arial"/>
          <w:noProof/>
          <w:sz w:val="24"/>
          <w:szCs w:val="24"/>
        </w:rPr>
        <w:t xml:space="preserve"> finding </w:t>
      </w:r>
      <w:r w:rsidR="000D31F3">
        <w:rPr>
          <w:rFonts w:ascii="Arial" w:hAnsi="Arial" w:cs="Arial"/>
          <w:noProof/>
          <w:sz w:val="24"/>
          <w:szCs w:val="24"/>
        </w:rPr>
        <w:t xml:space="preserve">the occupier liable </w:t>
      </w:r>
      <w:r w:rsidR="00850E7B">
        <w:rPr>
          <w:rFonts w:ascii="Arial" w:hAnsi="Arial" w:cs="Arial"/>
          <w:noProof/>
          <w:sz w:val="24"/>
          <w:szCs w:val="24"/>
        </w:rPr>
        <w:t>citing</w:t>
      </w:r>
      <w:r w:rsidR="000D31F3">
        <w:rPr>
          <w:rFonts w:ascii="Arial" w:hAnsi="Arial" w:cs="Arial"/>
          <w:noProof/>
          <w:sz w:val="24"/>
          <w:szCs w:val="24"/>
        </w:rPr>
        <w:t xml:space="preserve"> their failure to forsee the risk</w:t>
      </w:r>
      <w:r w:rsidR="003C53BC">
        <w:rPr>
          <w:rFonts w:ascii="Arial" w:hAnsi="Arial" w:cs="Arial"/>
          <w:noProof/>
          <w:sz w:val="24"/>
          <w:szCs w:val="24"/>
        </w:rPr>
        <w:t xml:space="preserve"> of tresspass</w:t>
      </w:r>
      <w:sdt>
        <w:sdtPr>
          <w:rPr>
            <w:rFonts w:ascii="Arial" w:hAnsi="Arial" w:cs="Arial"/>
            <w:noProof/>
            <w:sz w:val="24"/>
            <w:szCs w:val="24"/>
          </w:rPr>
          <w:id w:val="1315380147"/>
          <w:citation/>
        </w:sdtPr>
        <w:sdtContent>
          <w:r w:rsidR="00576AC3">
            <w:rPr>
              <w:rFonts w:ascii="Arial" w:hAnsi="Arial" w:cs="Arial"/>
              <w:noProof/>
              <w:sz w:val="24"/>
              <w:szCs w:val="24"/>
            </w:rPr>
            <w:fldChar w:fldCharType="begin"/>
          </w:r>
          <w:r w:rsidR="00576AC3">
            <w:rPr>
              <w:rFonts w:ascii="Arial" w:hAnsi="Arial" w:cs="Arial"/>
              <w:noProof/>
              <w:sz w:val="24"/>
              <w:szCs w:val="24"/>
            </w:rPr>
            <w:instrText xml:space="preserve"> CITATION Rod10 \l 2057 </w:instrText>
          </w:r>
          <w:r w:rsidR="00576AC3">
            <w:rPr>
              <w:rFonts w:ascii="Arial" w:hAnsi="Arial" w:cs="Arial"/>
              <w:noProof/>
              <w:sz w:val="24"/>
              <w:szCs w:val="24"/>
            </w:rPr>
            <w:fldChar w:fldCharType="separate"/>
          </w:r>
          <w:r w:rsidR="00576AC3">
            <w:rPr>
              <w:rFonts w:ascii="Arial" w:hAnsi="Arial" w:cs="Arial"/>
              <w:noProof/>
              <w:sz w:val="24"/>
              <w:szCs w:val="24"/>
            </w:rPr>
            <w:t xml:space="preserve"> </w:t>
          </w:r>
          <w:r w:rsidR="00576AC3" w:rsidRPr="00576AC3">
            <w:rPr>
              <w:rFonts w:ascii="Arial" w:hAnsi="Arial" w:cs="Arial"/>
              <w:noProof/>
              <w:sz w:val="24"/>
              <w:szCs w:val="24"/>
            </w:rPr>
            <w:t>(Macleod, 2010)</w:t>
          </w:r>
          <w:r w:rsidR="00576AC3">
            <w:rPr>
              <w:rFonts w:ascii="Arial" w:hAnsi="Arial" w:cs="Arial"/>
              <w:noProof/>
              <w:sz w:val="24"/>
              <w:szCs w:val="24"/>
            </w:rPr>
            <w:fldChar w:fldCharType="end"/>
          </w:r>
        </w:sdtContent>
      </w:sdt>
      <w:r w:rsidR="000D31F3">
        <w:rPr>
          <w:rFonts w:ascii="Arial" w:hAnsi="Arial" w:cs="Arial"/>
          <w:noProof/>
          <w:sz w:val="24"/>
          <w:szCs w:val="24"/>
        </w:rPr>
        <w:t xml:space="preserve">. Nonetheless, </w:t>
      </w:r>
      <w:r w:rsidR="0050525D">
        <w:rPr>
          <w:rFonts w:ascii="Arial" w:hAnsi="Arial" w:cs="Arial"/>
          <w:noProof/>
          <w:sz w:val="24"/>
          <w:szCs w:val="24"/>
        </w:rPr>
        <w:t xml:space="preserve">other caselaw has </w:t>
      </w:r>
      <w:r w:rsidR="0050525D">
        <w:rPr>
          <w:rFonts w:ascii="Arial" w:hAnsi="Arial" w:cs="Arial"/>
          <w:sz w:val="24"/>
          <w:szCs w:val="24"/>
        </w:rPr>
        <w:t>proven</w:t>
      </w:r>
      <w:r w:rsidR="0050525D">
        <w:rPr>
          <w:rFonts w:ascii="Arial" w:hAnsi="Arial" w:cs="Arial"/>
          <w:noProof/>
          <w:sz w:val="24"/>
          <w:szCs w:val="24"/>
        </w:rPr>
        <w:t xml:space="preserve"> the </w:t>
      </w:r>
      <w:r w:rsidR="00580960">
        <w:rPr>
          <w:rFonts w:ascii="Arial" w:hAnsi="Arial" w:cs="Arial"/>
          <w:noProof/>
          <w:sz w:val="24"/>
          <w:szCs w:val="24"/>
        </w:rPr>
        <w:t>provis</w:t>
      </w:r>
      <w:r w:rsidR="009A11E2">
        <w:rPr>
          <w:rFonts w:ascii="Arial" w:hAnsi="Arial" w:cs="Arial"/>
          <w:noProof/>
          <w:sz w:val="24"/>
          <w:szCs w:val="24"/>
        </w:rPr>
        <w:t>i</w:t>
      </w:r>
      <w:r w:rsidR="00580960">
        <w:rPr>
          <w:rFonts w:ascii="Arial" w:hAnsi="Arial" w:cs="Arial"/>
          <w:noProof/>
          <w:sz w:val="24"/>
          <w:szCs w:val="24"/>
        </w:rPr>
        <w:t xml:space="preserve">on </w:t>
      </w:r>
      <w:r w:rsidR="0050525D">
        <w:rPr>
          <w:rFonts w:ascii="Arial" w:hAnsi="Arial" w:cs="Arial"/>
          <w:noProof/>
          <w:sz w:val="24"/>
          <w:szCs w:val="24"/>
        </w:rPr>
        <w:t>to be c</w:t>
      </w:r>
      <w:r w:rsidR="00617995">
        <w:rPr>
          <w:rFonts w:ascii="Arial" w:hAnsi="Arial" w:cs="Arial"/>
          <w:noProof/>
          <w:sz w:val="24"/>
          <w:szCs w:val="24"/>
        </w:rPr>
        <w:t>ircumstantial</w:t>
      </w:r>
      <w:sdt>
        <w:sdtPr>
          <w:rPr>
            <w:rFonts w:ascii="Arial" w:hAnsi="Arial" w:cs="Arial"/>
            <w:noProof/>
            <w:sz w:val="24"/>
            <w:szCs w:val="24"/>
          </w:rPr>
          <w:id w:val="1232355885"/>
          <w:citation/>
        </w:sdtPr>
        <w:sdtContent>
          <w:r w:rsidR="0084748F">
            <w:rPr>
              <w:rFonts w:ascii="Arial" w:hAnsi="Arial" w:cs="Arial"/>
              <w:noProof/>
              <w:sz w:val="24"/>
              <w:szCs w:val="24"/>
            </w:rPr>
            <w:fldChar w:fldCharType="begin"/>
          </w:r>
          <w:r w:rsidR="0084748F">
            <w:rPr>
              <w:rFonts w:ascii="Arial" w:hAnsi="Arial" w:cs="Arial"/>
              <w:noProof/>
              <w:sz w:val="24"/>
              <w:szCs w:val="24"/>
            </w:rPr>
            <w:instrText xml:space="preserve"> CITATION Ant02 \l 2057 </w:instrText>
          </w:r>
          <w:r w:rsidR="0084748F">
            <w:rPr>
              <w:rFonts w:ascii="Arial" w:hAnsi="Arial" w:cs="Arial"/>
              <w:noProof/>
              <w:sz w:val="24"/>
              <w:szCs w:val="24"/>
            </w:rPr>
            <w:fldChar w:fldCharType="separate"/>
          </w:r>
          <w:r w:rsidR="0084748F">
            <w:rPr>
              <w:rFonts w:ascii="Arial" w:hAnsi="Arial" w:cs="Arial"/>
              <w:noProof/>
              <w:sz w:val="24"/>
              <w:szCs w:val="24"/>
            </w:rPr>
            <w:t xml:space="preserve"> </w:t>
          </w:r>
          <w:r w:rsidR="0084748F" w:rsidRPr="0084748F">
            <w:rPr>
              <w:rFonts w:ascii="Arial" w:hAnsi="Arial" w:cs="Arial"/>
              <w:noProof/>
              <w:sz w:val="24"/>
              <w:szCs w:val="24"/>
            </w:rPr>
            <w:t>(Goldstaub, 2002)</w:t>
          </w:r>
          <w:r w:rsidR="0084748F">
            <w:rPr>
              <w:rFonts w:ascii="Arial" w:hAnsi="Arial" w:cs="Arial"/>
              <w:noProof/>
              <w:sz w:val="24"/>
              <w:szCs w:val="24"/>
            </w:rPr>
            <w:fldChar w:fldCharType="end"/>
          </w:r>
        </w:sdtContent>
      </w:sdt>
      <w:r w:rsidR="0050525D">
        <w:rPr>
          <w:rFonts w:ascii="Arial" w:hAnsi="Arial" w:cs="Arial"/>
          <w:noProof/>
          <w:sz w:val="24"/>
          <w:szCs w:val="24"/>
        </w:rPr>
        <w:t xml:space="preserve">. </w:t>
      </w:r>
      <w:r w:rsidR="00EA5BBB">
        <w:rPr>
          <w:rFonts w:ascii="Arial" w:hAnsi="Arial" w:cs="Arial"/>
          <w:noProof/>
          <w:sz w:val="24"/>
          <w:szCs w:val="24"/>
        </w:rPr>
        <w:t xml:space="preserve">In </w:t>
      </w:r>
      <w:r w:rsidR="00933BC0">
        <w:rPr>
          <w:rFonts w:ascii="Arial" w:hAnsi="Arial" w:cs="Arial"/>
          <w:noProof/>
          <w:sz w:val="24"/>
          <w:szCs w:val="24"/>
        </w:rPr>
        <w:t xml:space="preserve">the factually similar case of </w:t>
      </w:r>
      <w:r w:rsidR="00EA5BBB">
        <w:rPr>
          <w:rFonts w:ascii="Arial" w:hAnsi="Arial" w:cs="Arial"/>
          <w:noProof/>
          <w:sz w:val="24"/>
          <w:szCs w:val="24"/>
        </w:rPr>
        <w:t>Buckett v Staffordshire County Council (2014)</w:t>
      </w:r>
      <w:r w:rsidR="00850E7B">
        <w:rPr>
          <w:rFonts w:ascii="Arial" w:hAnsi="Arial" w:cs="Arial"/>
          <w:noProof/>
          <w:sz w:val="24"/>
          <w:szCs w:val="24"/>
        </w:rPr>
        <w:t xml:space="preserve">, the </w:t>
      </w:r>
      <w:r w:rsidR="000B64BA">
        <w:rPr>
          <w:rFonts w:ascii="Arial" w:hAnsi="Arial" w:cs="Arial"/>
          <w:noProof/>
          <w:sz w:val="24"/>
          <w:szCs w:val="24"/>
        </w:rPr>
        <w:t>Court declined</w:t>
      </w:r>
      <w:r w:rsidR="00A35885">
        <w:rPr>
          <w:rFonts w:ascii="Arial" w:hAnsi="Arial" w:cs="Arial"/>
          <w:noProof/>
          <w:sz w:val="24"/>
          <w:szCs w:val="24"/>
        </w:rPr>
        <w:t xml:space="preserve"> to establish liability</w:t>
      </w:r>
      <w:r w:rsidR="00877848">
        <w:rPr>
          <w:rFonts w:ascii="Arial" w:hAnsi="Arial" w:cs="Arial"/>
          <w:noProof/>
          <w:sz w:val="24"/>
          <w:szCs w:val="24"/>
        </w:rPr>
        <w:t>.</w:t>
      </w:r>
      <w:r w:rsidR="005121F5">
        <w:rPr>
          <w:rFonts w:ascii="Arial" w:hAnsi="Arial" w:cs="Arial"/>
          <w:noProof/>
          <w:sz w:val="24"/>
          <w:szCs w:val="24"/>
        </w:rPr>
        <w:t xml:space="preserve"> </w:t>
      </w:r>
      <w:r w:rsidR="004500D3">
        <w:rPr>
          <w:rFonts w:ascii="Arial" w:hAnsi="Arial" w:cs="Arial"/>
          <w:noProof/>
          <w:sz w:val="24"/>
          <w:szCs w:val="24"/>
        </w:rPr>
        <w:t>A</w:t>
      </w:r>
      <w:r w:rsidR="005121F5">
        <w:rPr>
          <w:rFonts w:ascii="Arial" w:hAnsi="Arial" w:cs="Arial"/>
          <w:noProof/>
          <w:sz w:val="24"/>
          <w:szCs w:val="24"/>
        </w:rPr>
        <w:t xml:space="preserve">nother example is </w:t>
      </w:r>
      <w:r w:rsidR="008806F8">
        <w:rPr>
          <w:rFonts w:ascii="Arial" w:hAnsi="Arial" w:cs="Arial"/>
          <w:noProof/>
          <w:sz w:val="24"/>
          <w:szCs w:val="24"/>
        </w:rPr>
        <w:t xml:space="preserve">demonstrated in Dongoghue v Folkstone Properties (2003) whereby the claimant did not satisfy the criteria set out in s.1(3b), resulting in no established duty of </w:t>
      </w:r>
      <w:r w:rsidR="00EF5851">
        <w:rPr>
          <w:rFonts w:ascii="Arial" w:hAnsi="Arial" w:cs="Arial"/>
          <w:noProof/>
          <w:sz w:val="24"/>
          <w:szCs w:val="24"/>
        </w:rPr>
        <w:t>care</w:t>
      </w:r>
      <w:r w:rsidR="00EF5851">
        <w:rPr>
          <w:rFonts w:ascii="Arial" w:hAnsi="Arial" w:cs="Arial"/>
          <w:sz w:val="24"/>
          <w:szCs w:val="24"/>
        </w:rPr>
        <w:t xml:space="preserve">. </w:t>
      </w:r>
      <w:r w:rsidR="00617995">
        <w:rPr>
          <w:rFonts w:ascii="Arial" w:hAnsi="Arial" w:cs="Arial"/>
          <w:sz w:val="24"/>
          <w:szCs w:val="24"/>
        </w:rPr>
        <w:t>Critics of the law governing occupiers cite this exact issue as the basis of reform</w:t>
      </w:r>
      <w:sdt>
        <w:sdtPr>
          <w:rPr>
            <w:rFonts w:ascii="Arial" w:hAnsi="Arial" w:cs="Arial"/>
            <w:sz w:val="24"/>
            <w:szCs w:val="24"/>
          </w:rPr>
          <w:id w:val="256265090"/>
          <w:citation/>
        </w:sdtPr>
        <w:sdtContent>
          <w:r w:rsidR="00BC19BF">
            <w:rPr>
              <w:rFonts w:ascii="Arial" w:hAnsi="Arial" w:cs="Arial"/>
              <w:sz w:val="24"/>
              <w:szCs w:val="24"/>
            </w:rPr>
            <w:fldChar w:fldCharType="begin"/>
          </w:r>
          <w:r w:rsidR="00BC19BF">
            <w:rPr>
              <w:rFonts w:ascii="Arial" w:hAnsi="Arial" w:cs="Arial"/>
              <w:sz w:val="24"/>
              <w:szCs w:val="24"/>
            </w:rPr>
            <w:instrText xml:space="preserve"> CITATION Kum17 \l 2057 </w:instrText>
          </w:r>
          <w:r w:rsidR="00BC19BF">
            <w:rPr>
              <w:rFonts w:ascii="Arial" w:hAnsi="Arial" w:cs="Arial"/>
              <w:sz w:val="24"/>
              <w:szCs w:val="24"/>
            </w:rPr>
            <w:fldChar w:fldCharType="separate"/>
          </w:r>
          <w:r w:rsidR="00BC19BF">
            <w:rPr>
              <w:rFonts w:ascii="Arial" w:hAnsi="Arial" w:cs="Arial"/>
              <w:noProof/>
              <w:sz w:val="24"/>
              <w:szCs w:val="24"/>
            </w:rPr>
            <w:t xml:space="preserve"> </w:t>
          </w:r>
          <w:r w:rsidR="00BC19BF" w:rsidRPr="00BC19BF">
            <w:rPr>
              <w:rFonts w:ascii="Arial" w:hAnsi="Arial" w:cs="Arial"/>
              <w:noProof/>
              <w:sz w:val="24"/>
              <w:szCs w:val="24"/>
            </w:rPr>
            <w:t>(Amirthalingham, 2017)</w:t>
          </w:r>
          <w:r w:rsidR="00BC19BF">
            <w:rPr>
              <w:rFonts w:ascii="Arial" w:hAnsi="Arial" w:cs="Arial"/>
              <w:sz w:val="24"/>
              <w:szCs w:val="24"/>
            </w:rPr>
            <w:fldChar w:fldCharType="end"/>
          </w:r>
        </w:sdtContent>
      </w:sdt>
      <w:r w:rsidR="00617995">
        <w:rPr>
          <w:rFonts w:ascii="Arial" w:hAnsi="Arial" w:cs="Arial"/>
          <w:sz w:val="24"/>
          <w:szCs w:val="24"/>
        </w:rPr>
        <w:t xml:space="preserve">. The </w:t>
      </w:r>
      <w:r w:rsidR="00AC2C57">
        <w:rPr>
          <w:rFonts w:ascii="Arial" w:hAnsi="Arial" w:cs="Arial"/>
          <w:sz w:val="24"/>
          <w:szCs w:val="24"/>
        </w:rPr>
        <w:t>lack</w:t>
      </w:r>
      <w:r w:rsidR="00CD5331">
        <w:rPr>
          <w:rFonts w:ascii="Arial" w:hAnsi="Arial" w:cs="Arial"/>
          <w:sz w:val="24"/>
          <w:szCs w:val="24"/>
        </w:rPr>
        <w:t xml:space="preserve"> of fluency between cases is</w:t>
      </w:r>
      <w:r w:rsidR="008B2D03">
        <w:rPr>
          <w:rFonts w:ascii="Arial" w:hAnsi="Arial" w:cs="Arial"/>
          <w:sz w:val="24"/>
          <w:szCs w:val="24"/>
        </w:rPr>
        <w:t xml:space="preserve"> what leads the call for clarifying reform with critics calling for a single transferable act providing </w:t>
      </w:r>
      <w:r w:rsidR="00006CDE">
        <w:rPr>
          <w:rFonts w:ascii="Arial" w:hAnsi="Arial" w:cs="Arial"/>
          <w:sz w:val="24"/>
          <w:szCs w:val="24"/>
        </w:rPr>
        <w:t xml:space="preserve">clear </w:t>
      </w:r>
      <w:r w:rsidR="00FC4C2B">
        <w:rPr>
          <w:rFonts w:ascii="Arial" w:hAnsi="Arial" w:cs="Arial"/>
          <w:sz w:val="24"/>
          <w:szCs w:val="24"/>
        </w:rPr>
        <w:t>clarification</w:t>
      </w:r>
      <w:r w:rsidR="003223D1">
        <w:rPr>
          <w:rFonts w:ascii="Arial" w:hAnsi="Arial" w:cs="Arial"/>
          <w:sz w:val="24"/>
          <w:szCs w:val="24"/>
        </w:rPr>
        <w:t xml:space="preserve"> on the extent of </w:t>
      </w:r>
      <w:r w:rsidR="00C5269B">
        <w:rPr>
          <w:rFonts w:ascii="Arial" w:hAnsi="Arial" w:cs="Arial"/>
          <w:sz w:val="24"/>
          <w:szCs w:val="24"/>
        </w:rPr>
        <w:t>occupiers’</w:t>
      </w:r>
      <w:r w:rsidR="003223D1">
        <w:rPr>
          <w:rFonts w:ascii="Arial" w:hAnsi="Arial" w:cs="Arial"/>
          <w:sz w:val="24"/>
          <w:szCs w:val="24"/>
        </w:rPr>
        <w:t xml:space="preserve"> liability.</w:t>
      </w:r>
      <w:r w:rsidR="00FC4C2B">
        <w:rPr>
          <w:rFonts w:ascii="Arial" w:hAnsi="Arial" w:cs="Arial"/>
          <w:sz w:val="24"/>
          <w:szCs w:val="24"/>
        </w:rPr>
        <w:t xml:space="preserve"> </w:t>
      </w:r>
    </w:p>
    <w:p w14:paraId="05EE5C08" w14:textId="77777777" w:rsidR="00617995" w:rsidRDefault="00617995" w:rsidP="00617995">
      <w:pPr>
        <w:ind w:left="720"/>
        <w:rPr>
          <w:rFonts w:ascii="Arial" w:hAnsi="Arial" w:cs="Arial"/>
          <w:noProof/>
          <w:sz w:val="24"/>
          <w:szCs w:val="24"/>
        </w:rPr>
      </w:pPr>
    </w:p>
    <w:p w14:paraId="7B13CFC0" w14:textId="30A20A9A" w:rsidR="00D9765C" w:rsidRDefault="00EF5851" w:rsidP="002967B9">
      <w:pPr>
        <w:ind w:left="720"/>
        <w:rPr>
          <w:rFonts w:ascii="Arial" w:hAnsi="Arial" w:cs="Arial"/>
          <w:noProof/>
          <w:sz w:val="24"/>
          <w:szCs w:val="24"/>
        </w:rPr>
      </w:pPr>
      <w:r>
        <w:rPr>
          <w:rFonts w:ascii="Arial" w:hAnsi="Arial" w:cs="Arial"/>
          <w:sz w:val="24"/>
          <w:szCs w:val="24"/>
        </w:rPr>
        <w:t>The</w:t>
      </w:r>
      <w:r w:rsidR="00D166FA">
        <w:rPr>
          <w:rFonts w:ascii="Arial" w:hAnsi="Arial" w:cs="Arial"/>
          <w:sz w:val="24"/>
          <w:szCs w:val="24"/>
        </w:rPr>
        <w:t xml:space="preserve"> final</w:t>
      </w:r>
      <w:r w:rsidR="002967B9">
        <w:rPr>
          <w:rFonts w:ascii="Arial" w:hAnsi="Arial" w:cs="Arial"/>
          <w:sz w:val="24"/>
          <w:szCs w:val="24"/>
        </w:rPr>
        <w:t xml:space="preserve"> </w:t>
      </w:r>
      <w:r w:rsidR="006000A3">
        <w:rPr>
          <w:rFonts w:ascii="Arial" w:hAnsi="Arial" w:cs="Arial"/>
          <w:sz w:val="24"/>
          <w:szCs w:val="24"/>
        </w:rPr>
        <w:t>c</w:t>
      </w:r>
      <w:r w:rsidR="006E6A3F">
        <w:rPr>
          <w:rFonts w:ascii="Arial" w:hAnsi="Arial" w:cs="Arial"/>
          <w:noProof/>
          <w:sz w:val="24"/>
          <w:szCs w:val="24"/>
        </w:rPr>
        <w:t>ri</w:t>
      </w:r>
      <w:r w:rsidR="006000A3">
        <w:rPr>
          <w:rFonts w:ascii="Arial" w:hAnsi="Arial" w:cs="Arial"/>
          <w:noProof/>
          <w:sz w:val="24"/>
          <w:szCs w:val="24"/>
        </w:rPr>
        <w:t>terion to be satisfied</w:t>
      </w:r>
      <w:r w:rsidR="00D166FA">
        <w:rPr>
          <w:rFonts w:ascii="Arial" w:hAnsi="Arial" w:cs="Arial"/>
          <w:noProof/>
          <w:sz w:val="24"/>
          <w:szCs w:val="24"/>
        </w:rPr>
        <w:t xml:space="preserve"> </w:t>
      </w:r>
      <w:r w:rsidR="009524AF">
        <w:rPr>
          <w:rFonts w:ascii="Arial" w:hAnsi="Arial" w:cs="Arial"/>
          <w:noProof/>
          <w:sz w:val="24"/>
          <w:szCs w:val="24"/>
        </w:rPr>
        <w:t>is</w:t>
      </w:r>
      <w:r w:rsidR="00D166FA">
        <w:rPr>
          <w:rFonts w:ascii="Arial" w:hAnsi="Arial" w:cs="Arial"/>
          <w:noProof/>
          <w:sz w:val="24"/>
          <w:szCs w:val="24"/>
        </w:rPr>
        <w:t xml:space="preserve"> s</w:t>
      </w:r>
      <w:r w:rsidR="004F7E70">
        <w:rPr>
          <w:rFonts w:ascii="Arial" w:hAnsi="Arial" w:cs="Arial"/>
          <w:noProof/>
          <w:sz w:val="24"/>
          <w:szCs w:val="24"/>
        </w:rPr>
        <w:t>1(3</w:t>
      </w:r>
      <w:r w:rsidR="00D9765C">
        <w:rPr>
          <w:rFonts w:ascii="Arial" w:hAnsi="Arial" w:cs="Arial"/>
          <w:noProof/>
          <w:sz w:val="24"/>
          <w:szCs w:val="24"/>
        </w:rPr>
        <w:t>c</w:t>
      </w:r>
      <w:r w:rsidR="004F7E70">
        <w:rPr>
          <w:rFonts w:ascii="Arial" w:hAnsi="Arial" w:cs="Arial"/>
          <w:noProof/>
          <w:sz w:val="24"/>
          <w:szCs w:val="24"/>
        </w:rPr>
        <w:t xml:space="preserve">) </w:t>
      </w:r>
      <w:r w:rsidR="009524AF">
        <w:rPr>
          <w:rFonts w:ascii="Arial" w:hAnsi="Arial" w:cs="Arial"/>
          <w:noProof/>
          <w:sz w:val="24"/>
          <w:szCs w:val="24"/>
        </w:rPr>
        <w:t>which</w:t>
      </w:r>
      <w:r w:rsidR="002B4FEB">
        <w:rPr>
          <w:rFonts w:ascii="Arial" w:hAnsi="Arial" w:cs="Arial"/>
          <w:noProof/>
          <w:sz w:val="24"/>
          <w:szCs w:val="24"/>
        </w:rPr>
        <w:t xml:space="preserve"> questions whether it is reasonable for an occupier to provide </w:t>
      </w:r>
      <w:r w:rsidR="00CA51B0">
        <w:rPr>
          <w:rFonts w:ascii="Arial" w:hAnsi="Arial" w:cs="Arial"/>
          <w:noProof/>
          <w:sz w:val="24"/>
          <w:szCs w:val="24"/>
        </w:rPr>
        <w:t>protection against certain instances.</w:t>
      </w:r>
      <w:r w:rsidR="00166BAA">
        <w:rPr>
          <w:rFonts w:ascii="Arial" w:hAnsi="Arial" w:cs="Arial"/>
          <w:noProof/>
          <w:sz w:val="24"/>
          <w:szCs w:val="24"/>
        </w:rPr>
        <w:t xml:space="preserve"> This provision is in place to manage the expectations of claimants and</w:t>
      </w:r>
      <w:r w:rsidR="00CA1C85">
        <w:rPr>
          <w:rFonts w:ascii="Arial" w:hAnsi="Arial" w:cs="Arial"/>
          <w:noProof/>
          <w:sz w:val="24"/>
          <w:szCs w:val="24"/>
        </w:rPr>
        <w:t xml:space="preserve"> further</w:t>
      </w:r>
      <w:r w:rsidR="00166BAA">
        <w:rPr>
          <w:rFonts w:ascii="Arial" w:hAnsi="Arial" w:cs="Arial"/>
          <w:noProof/>
          <w:sz w:val="24"/>
          <w:szCs w:val="24"/>
        </w:rPr>
        <w:t xml:space="preserve"> </w:t>
      </w:r>
      <w:r w:rsidR="00CA1C85">
        <w:rPr>
          <w:rFonts w:ascii="Arial" w:hAnsi="Arial" w:cs="Arial"/>
          <w:noProof/>
          <w:sz w:val="24"/>
          <w:szCs w:val="24"/>
        </w:rPr>
        <w:t>protect defendants against unreasonable</w:t>
      </w:r>
      <w:r w:rsidR="00BF5137">
        <w:rPr>
          <w:rFonts w:ascii="Arial" w:hAnsi="Arial" w:cs="Arial"/>
          <w:noProof/>
          <w:sz w:val="24"/>
          <w:szCs w:val="24"/>
        </w:rPr>
        <w:t xml:space="preserve"> instances</w:t>
      </w:r>
      <w:sdt>
        <w:sdtPr>
          <w:rPr>
            <w:rFonts w:ascii="Arial" w:hAnsi="Arial" w:cs="Arial"/>
            <w:noProof/>
            <w:sz w:val="24"/>
            <w:szCs w:val="24"/>
          </w:rPr>
          <w:id w:val="2027830374"/>
          <w:citation/>
        </w:sdtPr>
        <w:sdtContent>
          <w:r w:rsidR="009D46F7">
            <w:rPr>
              <w:rFonts w:ascii="Arial" w:hAnsi="Arial" w:cs="Arial"/>
              <w:noProof/>
              <w:sz w:val="24"/>
              <w:szCs w:val="24"/>
            </w:rPr>
            <w:fldChar w:fldCharType="begin"/>
          </w:r>
          <w:r w:rsidR="009D46F7">
            <w:rPr>
              <w:rFonts w:ascii="Arial" w:hAnsi="Arial" w:cs="Arial"/>
              <w:noProof/>
              <w:sz w:val="24"/>
              <w:szCs w:val="24"/>
            </w:rPr>
            <w:instrText xml:space="preserve"> CITATION Sus13 \l 2057 </w:instrText>
          </w:r>
          <w:r w:rsidR="009D46F7">
            <w:rPr>
              <w:rFonts w:ascii="Arial" w:hAnsi="Arial" w:cs="Arial"/>
              <w:noProof/>
              <w:sz w:val="24"/>
              <w:szCs w:val="24"/>
            </w:rPr>
            <w:fldChar w:fldCharType="separate"/>
          </w:r>
          <w:r w:rsidR="009D46F7">
            <w:rPr>
              <w:rFonts w:ascii="Arial" w:hAnsi="Arial" w:cs="Arial"/>
              <w:noProof/>
              <w:sz w:val="24"/>
              <w:szCs w:val="24"/>
            </w:rPr>
            <w:t xml:space="preserve"> </w:t>
          </w:r>
          <w:r w:rsidR="009D46F7" w:rsidRPr="009D46F7">
            <w:rPr>
              <w:rFonts w:ascii="Arial" w:hAnsi="Arial" w:cs="Arial"/>
              <w:noProof/>
              <w:sz w:val="24"/>
              <w:szCs w:val="24"/>
            </w:rPr>
            <w:t>(Ghaiwal, 2013)</w:t>
          </w:r>
          <w:r w:rsidR="009D46F7">
            <w:rPr>
              <w:rFonts w:ascii="Arial" w:hAnsi="Arial" w:cs="Arial"/>
              <w:noProof/>
              <w:sz w:val="24"/>
              <w:szCs w:val="24"/>
            </w:rPr>
            <w:fldChar w:fldCharType="end"/>
          </w:r>
        </w:sdtContent>
      </w:sdt>
      <w:r w:rsidR="00BF5137">
        <w:rPr>
          <w:rFonts w:ascii="Arial" w:hAnsi="Arial" w:cs="Arial"/>
          <w:noProof/>
          <w:sz w:val="24"/>
          <w:szCs w:val="24"/>
        </w:rPr>
        <w:t>. This is detailed in the prior men</w:t>
      </w:r>
      <w:r w:rsidR="00A66A0A">
        <w:rPr>
          <w:rFonts w:ascii="Arial" w:hAnsi="Arial" w:cs="Arial"/>
          <w:noProof/>
          <w:sz w:val="24"/>
          <w:szCs w:val="24"/>
        </w:rPr>
        <w:t>tioned case of Tomlinson v Congleton Borough Council (2003)</w:t>
      </w:r>
      <w:r w:rsidR="007E1104">
        <w:rPr>
          <w:rFonts w:ascii="Arial" w:hAnsi="Arial" w:cs="Arial"/>
          <w:noProof/>
          <w:sz w:val="24"/>
          <w:szCs w:val="24"/>
        </w:rPr>
        <w:t xml:space="preserve"> which </w:t>
      </w:r>
      <w:r w:rsidR="00882E9C">
        <w:rPr>
          <w:rFonts w:ascii="Arial" w:hAnsi="Arial" w:cs="Arial"/>
          <w:noProof/>
          <w:sz w:val="24"/>
          <w:szCs w:val="24"/>
        </w:rPr>
        <w:t xml:space="preserve">concluded that in some instances it is </w:t>
      </w:r>
      <w:r w:rsidR="00F675FE">
        <w:rPr>
          <w:rFonts w:ascii="Arial" w:hAnsi="Arial" w:cs="Arial"/>
          <w:noProof/>
          <w:sz w:val="24"/>
          <w:szCs w:val="24"/>
        </w:rPr>
        <w:t>un</w:t>
      </w:r>
      <w:r w:rsidR="009A11E2">
        <w:rPr>
          <w:rFonts w:ascii="Arial" w:hAnsi="Arial" w:cs="Arial"/>
          <w:noProof/>
          <w:sz w:val="24"/>
          <w:szCs w:val="24"/>
        </w:rPr>
        <w:t>nec</w:t>
      </w:r>
      <w:r>
        <w:rPr>
          <w:rFonts w:ascii="Arial" w:hAnsi="Arial" w:cs="Arial"/>
          <w:noProof/>
          <w:sz w:val="24"/>
          <w:szCs w:val="24"/>
        </w:rPr>
        <w:t>es</w:t>
      </w:r>
      <w:r w:rsidR="009A11E2">
        <w:rPr>
          <w:rFonts w:ascii="Arial" w:hAnsi="Arial" w:cs="Arial"/>
          <w:noProof/>
          <w:sz w:val="24"/>
          <w:szCs w:val="24"/>
        </w:rPr>
        <w:t>sary</w:t>
      </w:r>
      <w:r w:rsidR="00F675FE">
        <w:rPr>
          <w:rFonts w:ascii="Arial" w:hAnsi="Arial" w:cs="Arial"/>
          <w:noProof/>
          <w:sz w:val="24"/>
          <w:szCs w:val="24"/>
        </w:rPr>
        <w:t xml:space="preserve"> </w:t>
      </w:r>
      <w:r w:rsidR="00D334E2">
        <w:rPr>
          <w:rFonts w:ascii="Arial" w:hAnsi="Arial" w:cs="Arial"/>
          <w:noProof/>
          <w:sz w:val="24"/>
          <w:szCs w:val="24"/>
        </w:rPr>
        <w:t xml:space="preserve">to provide complete preventative measures to harm. </w:t>
      </w:r>
      <w:r w:rsidR="00D334E2">
        <w:rPr>
          <w:rFonts w:ascii="Arial" w:hAnsi="Arial" w:cs="Arial"/>
          <w:sz w:val="24"/>
          <w:szCs w:val="24"/>
        </w:rPr>
        <w:t>This is further supported by</w:t>
      </w:r>
      <w:r w:rsidR="00191FD2">
        <w:rPr>
          <w:rFonts w:ascii="Arial" w:hAnsi="Arial" w:cs="Arial"/>
          <w:sz w:val="24"/>
          <w:szCs w:val="24"/>
        </w:rPr>
        <w:t xml:space="preserve"> Simonds v Isle of Wight Council </w:t>
      </w:r>
      <w:r w:rsidR="00775A54">
        <w:rPr>
          <w:rFonts w:ascii="Arial" w:hAnsi="Arial" w:cs="Arial"/>
          <w:sz w:val="24"/>
          <w:szCs w:val="24"/>
        </w:rPr>
        <w:t>(</w:t>
      </w:r>
      <w:r w:rsidR="00191FD2">
        <w:rPr>
          <w:rFonts w:ascii="Arial" w:hAnsi="Arial" w:cs="Arial"/>
          <w:sz w:val="24"/>
          <w:szCs w:val="24"/>
        </w:rPr>
        <w:t>2003</w:t>
      </w:r>
      <w:r w:rsidR="00775A54">
        <w:rPr>
          <w:rFonts w:ascii="Arial" w:hAnsi="Arial" w:cs="Arial"/>
          <w:sz w:val="24"/>
          <w:szCs w:val="24"/>
        </w:rPr>
        <w:t>)</w:t>
      </w:r>
      <w:r w:rsidR="00170414">
        <w:rPr>
          <w:rFonts w:ascii="Arial" w:hAnsi="Arial" w:cs="Arial"/>
          <w:sz w:val="24"/>
          <w:szCs w:val="24"/>
        </w:rPr>
        <w:t xml:space="preserve"> which again concluded that not all risks can be controlled.</w:t>
      </w:r>
      <w:r w:rsidR="009B5467">
        <w:rPr>
          <w:rFonts w:ascii="Arial" w:hAnsi="Arial" w:cs="Arial"/>
          <w:noProof/>
          <w:sz w:val="24"/>
          <w:szCs w:val="24"/>
        </w:rPr>
        <w:t xml:space="preserve"> I</w:t>
      </w:r>
      <w:r w:rsidR="004B68D9">
        <w:rPr>
          <w:rFonts w:ascii="Arial" w:hAnsi="Arial" w:cs="Arial"/>
          <w:noProof/>
          <w:sz w:val="24"/>
          <w:szCs w:val="24"/>
        </w:rPr>
        <w:t xml:space="preserve">t is clear that not all </w:t>
      </w:r>
      <w:r w:rsidR="001B7622">
        <w:rPr>
          <w:rFonts w:ascii="Arial" w:hAnsi="Arial" w:cs="Arial"/>
          <w:noProof/>
          <w:sz w:val="24"/>
          <w:szCs w:val="24"/>
        </w:rPr>
        <w:t>provisions</w:t>
      </w:r>
      <w:r w:rsidR="004B68D9">
        <w:rPr>
          <w:rFonts w:ascii="Arial" w:hAnsi="Arial" w:cs="Arial"/>
          <w:noProof/>
          <w:sz w:val="24"/>
          <w:szCs w:val="24"/>
        </w:rPr>
        <w:t xml:space="preserve"> </w:t>
      </w:r>
      <w:r w:rsidR="00ED3E97">
        <w:rPr>
          <w:rFonts w:ascii="Arial" w:hAnsi="Arial" w:cs="Arial"/>
          <w:noProof/>
          <w:sz w:val="24"/>
          <w:szCs w:val="24"/>
        </w:rPr>
        <w:t xml:space="preserve">of s1(3) </w:t>
      </w:r>
      <w:r w:rsidR="001B7622">
        <w:rPr>
          <w:rFonts w:ascii="Arial" w:hAnsi="Arial" w:cs="Arial"/>
          <w:noProof/>
          <w:sz w:val="24"/>
          <w:szCs w:val="24"/>
        </w:rPr>
        <w:t>would apply in all circumsta</w:t>
      </w:r>
      <w:r w:rsidR="004F57EC">
        <w:rPr>
          <w:rFonts w:ascii="Arial" w:hAnsi="Arial" w:cs="Arial"/>
          <w:noProof/>
          <w:sz w:val="24"/>
          <w:szCs w:val="24"/>
        </w:rPr>
        <w:t>nces</w:t>
      </w:r>
      <w:r w:rsidR="00ED3E97">
        <w:rPr>
          <w:rFonts w:ascii="Arial" w:hAnsi="Arial" w:cs="Arial"/>
          <w:noProof/>
          <w:sz w:val="24"/>
          <w:szCs w:val="24"/>
        </w:rPr>
        <w:t xml:space="preserve">, </w:t>
      </w:r>
      <w:r w:rsidR="005D5C3D">
        <w:rPr>
          <w:rFonts w:ascii="Arial" w:hAnsi="Arial" w:cs="Arial"/>
          <w:noProof/>
          <w:sz w:val="24"/>
          <w:szCs w:val="24"/>
        </w:rPr>
        <w:t xml:space="preserve">heavily suggesting that </w:t>
      </w:r>
      <w:r w:rsidR="000669A4">
        <w:rPr>
          <w:rFonts w:ascii="Arial" w:hAnsi="Arial" w:cs="Arial"/>
          <w:noProof/>
          <w:sz w:val="24"/>
          <w:szCs w:val="24"/>
        </w:rPr>
        <w:t>the extent of occupiers liability is</w:t>
      </w:r>
      <w:r w:rsidR="00926D9E">
        <w:rPr>
          <w:rFonts w:ascii="Arial" w:hAnsi="Arial" w:cs="Arial"/>
          <w:noProof/>
          <w:sz w:val="24"/>
          <w:szCs w:val="24"/>
        </w:rPr>
        <w:t xml:space="preserve"> </w:t>
      </w:r>
      <w:r>
        <w:rPr>
          <w:rFonts w:ascii="Arial" w:hAnsi="Arial" w:cs="Arial"/>
          <w:noProof/>
          <w:sz w:val="24"/>
          <w:szCs w:val="24"/>
        </w:rPr>
        <w:t>finite</w:t>
      </w:r>
      <w:r w:rsidR="00EC54B5">
        <w:rPr>
          <w:rFonts w:ascii="Arial" w:hAnsi="Arial" w:cs="Arial"/>
          <w:noProof/>
          <w:sz w:val="24"/>
          <w:szCs w:val="24"/>
        </w:rPr>
        <w:t>.</w:t>
      </w:r>
      <w:r w:rsidR="00292ACA">
        <w:rPr>
          <w:rFonts w:ascii="Arial" w:hAnsi="Arial" w:cs="Arial"/>
          <w:sz w:val="24"/>
          <w:szCs w:val="24"/>
        </w:rPr>
        <w:t xml:space="preserve"> </w:t>
      </w:r>
    </w:p>
    <w:p w14:paraId="608F13DD" w14:textId="36B19E9F" w:rsidR="00D9765C" w:rsidRDefault="00D9765C" w:rsidP="002967B9">
      <w:pPr>
        <w:ind w:left="720"/>
        <w:rPr>
          <w:rFonts w:ascii="Arial" w:hAnsi="Arial" w:cs="Arial"/>
          <w:sz w:val="24"/>
          <w:szCs w:val="24"/>
        </w:rPr>
      </w:pPr>
    </w:p>
    <w:p w14:paraId="5E97924A" w14:textId="77777777" w:rsidR="005061ED" w:rsidRDefault="00CD06BB" w:rsidP="002967B9">
      <w:pPr>
        <w:ind w:left="720"/>
        <w:rPr>
          <w:rFonts w:ascii="Arial" w:hAnsi="Arial" w:cs="Arial"/>
          <w:sz w:val="24"/>
          <w:szCs w:val="24"/>
        </w:rPr>
      </w:pPr>
      <w:r>
        <w:rPr>
          <w:rFonts w:ascii="Arial" w:hAnsi="Arial" w:cs="Arial"/>
          <w:sz w:val="24"/>
          <w:szCs w:val="24"/>
        </w:rPr>
        <w:t>When considering defences,</w:t>
      </w:r>
      <w:r w:rsidR="006D47E0">
        <w:rPr>
          <w:rFonts w:ascii="Arial" w:hAnsi="Arial" w:cs="Arial"/>
          <w:sz w:val="24"/>
          <w:szCs w:val="24"/>
        </w:rPr>
        <w:t xml:space="preserve"> there </w:t>
      </w:r>
      <w:r w:rsidR="005E1AF5">
        <w:rPr>
          <w:rFonts w:ascii="Arial" w:hAnsi="Arial" w:cs="Arial"/>
          <w:sz w:val="24"/>
          <w:szCs w:val="24"/>
        </w:rPr>
        <w:t>are</w:t>
      </w:r>
      <w:r w:rsidR="00BC49A2">
        <w:rPr>
          <w:rFonts w:ascii="Arial" w:hAnsi="Arial" w:cs="Arial"/>
          <w:sz w:val="24"/>
          <w:szCs w:val="24"/>
        </w:rPr>
        <w:t xml:space="preserve"> </w:t>
      </w:r>
      <w:r w:rsidR="005E1AF5">
        <w:rPr>
          <w:rFonts w:ascii="Arial" w:hAnsi="Arial" w:cs="Arial"/>
          <w:sz w:val="24"/>
          <w:szCs w:val="24"/>
        </w:rPr>
        <w:t>several</w:t>
      </w:r>
      <w:r w:rsidR="006D47E0">
        <w:rPr>
          <w:rFonts w:ascii="Arial" w:hAnsi="Arial" w:cs="Arial"/>
          <w:sz w:val="24"/>
          <w:szCs w:val="24"/>
        </w:rPr>
        <w:t xml:space="preserve"> applicable circumstances which may</w:t>
      </w:r>
      <w:r w:rsidR="00B761F6">
        <w:rPr>
          <w:rFonts w:ascii="Arial" w:hAnsi="Arial" w:cs="Arial"/>
          <w:sz w:val="24"/>
          <w:szCs w:val="24"/>
        </w:rPr>
        <w:t xml:space="preserve"> limit or exclude liability all together.</w:t>
      </w:r>
      <w:r w:rsidR="005E1AF5">
        <w:rPr>
          <w:rFonts w:ascii="Arial" w:hAnsi="Arial" w:cs="Arial"/>
          <w:sz w:val="24"/>
          <w:szCs w:val="24"/>
        </w:rPr>
        <w:t xml:space="preserve"> </w:t>
      </w:r>
      <w:r w:rsidR="006640F6">
        <w:rPr>
          <w:rFonts w:ascii="Arial" w:hAnsi="Arial" w:cs="Arial"/>
          <w:sz w:val="24"/>
          <w:szCs w:val="24"/>
        </w:rPr>
        <w:t>S2(1) OLA 1957</w:t>
      </w:r>
      <w:r w:rsidR="000A398E">
        <w:rPr>
          <w:rFonts w:ascii="Arial" w:hAnsi="Arial" w:cs="Arial"/>
          <w:sz w:val="24"/>
          <w:szCs w:val="24"/>
        </w:rPr>
        <w:t xml:space="preserve"> allows </w:t>
      </w:r>
      <w:r w:rsidR="00F75EBF">
        <w:rPr>
          <w:rFonts w:ascii="Arial" w:hAnsi="Arial" w:cs="Arial"/>
          <w:sz w:val="24"/>
          <w:szCs w:val="24"/>
        </w:rPr>
        <w:t xml:space="preserve">an occupier to restrict </w:t>
      </w:r>
      <w:r w:rsidR="008A645E">
        <w:rPr>
          <w:rFonts w:ascii="Arial" w:hAnsi="Arial" w:cs="Arial"/>
          <w:sz w:val="24"/>
          <w:szCs w:val="24"/>
        </w:rPr>
        <w:t xml:space="preserve">or </w:t>
      </w:r>
      <w:r w:rsidR="00F75EBF">
        <w:rPr>
          <w:rFonts w:ascii="Arial" w:hAnsi="Arial" w:cs="Arial"/>
          <w:sz w:val="24"/>
          <w:szCs w:val="24"/>
        </w:rPr>
        <w:t>even exclude liability</w:t>
      </w:r>
      <w:r w:rsidR="007D1FE1">
        <w:rPr>
          <w:rFonts w:ascii="Arial" w:hAnsi="Arial" w:cs="Arial"/>
          <w:sz w:val="24"/>
          <w:szCs w:val="24"/>
        </w:rPr>
        <w:t xml:space="preserve">. This </w:t>
      </w:r>
      <w:r w:rsidR="00FB3C3F">
        <w:rPr>
          <w:rFonts w:ascii="Arial" w:hAnsi="Arial" w:cs="Arial"/>
          <w:sz w:val="24"/>
          <w:szCs w:val="24"/>
        </w:rPr>
        <w:t xml:space="preserve">can be seen in the case of White v Blackmore (1972) whereby the defendant had clear </w:t>
      </w:r>
      <w:r w:rsidR="0034723B">
        <w:rPr>
          <w:rFonts w:ascii="Arial" w:hAnsi="Arial" w:cs="Arial"/>
          <w:sz w:val="24"/>
          <w:szCs w:val="24"/>
        </w:rPr>
        <w:t xml:space="preserve">protections </w:t>
      </w:r>
      <w:r w:rsidR="00FB3C3F">
        <w:rPr>
          <w:rFonts w:ascii="Arial" w:hAnsi="Arial" w:cs="Arial"/>
          <w:sz w:val="24"/>
          <w:szCs w:val="24"/>
        </w:rPr>
        <w:t xml:space="preserve">in place to </w:t>
      </w:r>
      <w:r w:rsidR="00824D6A">
        <w:rPr>
          <w:rFonts w:ascii="Arial" w:hAnsi="Arial" w:cs="Arial"/>
          <w:sz w:val="24"/>
          <w:szCs w:val="24"/>
        </w:rPr>
        <w:t>warn of risk</w:t>
      </w:r>
      <w:r w:rsidR="006A6781">
        <w:rPr>
          <w:rFonts w:ascii="Arial" w:hAnsi="Arial" w:cs="Arial"/>
          <w:sz w:val="24"/>
          <w:szCs w:val="24"/>
        </w:rPr>
        <w:t xml:space="preserve"> and was excluded from liability</w:t>
      </w:r>
      <w:r w:rsidR="00824D6A">
        <w:rPr>
          <w:rFonts w:ascii="Arial" w:hAnsi="Arial" w:cs="Arial"/>
          <w:sz w:val="24"/>
          <w:szCs w:val="24"/>
        </w:rPr>
        <w:t xml:space="preserve">. </w:t>
      </w:r>
      <w:r w:rsidR="00A32844">
        <w:rPr>
          <w:rFonts w:ascii="Arial" w:hAnsi="Arial" w:cs="Arial"/>
          <w:sz w:val="24"/>
          <w:szCs w:val="24"/>
        </w:rPr>
        <w:t xml:space="preserve">However, </w:t>
      </w:r>
      <w:r w:rsidR="00687A4E">
        <w:rPr>
          <w:rFonts w:ascii="Arial" w:hAnsi="Arial" w:cs="Arial"/>
          <w:sz w:val="24"/>
          <w:szCs w:val="24"/>
        </w:rPr>
        <w:t>there are limitations to this defence.</w:t>
      </w:r>
      <w:r w:rsidR="002E6E11">
        <w:rPr>
          <w:rFonts w:ascii="Arial" w:hAnsi="Arial" w:cs="Arial"/>
          <w:sz w:val="24"/>
          <w:szCs w:val="24"/>
        </w:rPr>
        <w:t xml:space="preserve"> Firstly,</w:t>
      </w:r>
      <w:r w:rsidR="005F592D">
        <w:rPr>
          <w:rFonts w:ascii="Arial" w:hAnsi="Arial" w:cs="Arial"/>
          <w:sz w:val="24"/>
          <w:szCs w:val="24"/>
        </w:rPr>
        <w:t xml:space="preserve"> due to </w:t>
      </w:r>
      <w:r w:rsidR="0034563B">
        <w:rPr>
          <w:rFonts w:ascii="Arial" w:hAnsi="Arial" w:cs="Arial"/>
          <w:sz w:val="24"/>
          <w:szCs w:val="24"/>
        </w:rPr>
        <w:t>s</w:t>
      </w:r>
      <w:r w:rsidR="00857393">
        <w:rPr>
          <w:rFonts w:ascii="Arial" w:hAnsi="Arial" w:cs="Arial"/>
          <w:sz w:val="24"/>
          <w:szCs w:val="24"/>
        </w:rPr>
        <w:t xml:space="preserve">2 (1) </w:t>
      </w:r>
      <w:r w:rsidR="005D192C">
        <w:rPr>
          <w:rFonts w:ascii="Arial" w:hAnsi="Arial" w:cs="Arial"/>
          <w:sz w:val="24"/>
          <w:szCs w:val="24"/>
        </w:rPr>
        <w:t xml:space="preserve">of </w:t>
      </w:r>
      <w:r w:rsidR="005F592D">
        <w:rPr>
          <w:rFonts w:ascii="Arial" w:hAnsi="Arial" w:cs="Arial"/>
          <w:sz w:val="24"/>
          <w:szCs w:val="24"/>
        </w:rPr>
        <w:t>the Unfair Contract Terms Act 1977,</w:t>
      </w:r>
      <w:r w:rsidR="005D192C">
        <w:rPr>
          <w:rFonts w:ascii="Arial" w:hAnsi="Arial" w:cs="Arial"/>
          <w:sz w:val="24"/>
          <w:szCs w:val="24"/>
        </w:rPr>
        <w:t xml:space="preserve"> businesses are excluded from this defence</w:t>
      </w:r>
      <w:r w:rsidR="00ED7123">
        <w:rPr>
          <w:rFonts w:ascii="Arial" w:hAnsi="Arial" w:cs="Arial"/>
          <w:sz w:val="24"/>
          <w:szCs w:val="24"/>
        </w:rPr>
        <w:t xml:space="preserve">. </w:t>
      </w:r>
      <w:r w:rsidR="00152482" w:rsidRPr="00152482">
        <w:rPr>
          <w:rFonts w:ascii="Arial" w:hAnsi="Arial" w:cs="Arial"/>
          <w:noProof/>
          <w:sz w:val="24"/>
          <w:szCs w:val="24"/>
        </w:rPr>
        <w:t xml:space="preserve">Arnull </w:t>
      </w:r>
      <w:r w:rsidR="00152482">
        <w:rPr>
          <w:rFonts w:ascii="Arial" w:hAnsi="Arial" w:cs="Arial"/>
          <w:noProof/>
          <w:sz w:val="24"/>
          <w:szCs w:val="24"/>
        </w:rPr>
        <w:t>(</w:t>
      </w:r>
      <w:r w:rsidR="00152482" w:rsidRPr="00152482">
        <w:rPr>
          <w:rFonts w:ascii="Arial" w:hAnsi="Arial" w:cs="Arial"/>
          <w:noProof/>
          <w:sz w:val="24"/>
          <w:szCs w:val="24"/>
        </w:rPr>
        <w:t>2020)</w:t>
      </w:r>
      <w:r w:rsidR="00616A3E">
        <w:rPr>
          <w:rFonts w:ascii="Arial" w:hAnsi="Arial" w:cs="Arial"/>
          <w:sz w:val="24"/>
          <w:szCs w:val="24"/>
        </w:rPr>
        <w:t xml:space="preserve"> refute</w:t>
      </w:r>
      <w:r w:rsidR="00152482">
        <w:rPr>
          <w:rFonts w:ascii="Arial" w:hAnsi="Arial" w:cs="Arial"/>
          <w:sz w:val="24"/>
          <w:szCs w:val="24"/>
        </w:rPr>
        <w:t>s</w:t>
      </w:r>
      <w:r w:rsidR="00616A3E">
        <w:rPr>
          <w:rFonts w:ascii="Arial" w:hAnsi="Arial" w:cs="Arial"/>
          <w:sz w:val="24"/>
          <w:szCs w:val="24"/>
        </w:rPr>
        <w:t xml:space="preserve"> this, stating it </w:t>
      </w:r>
      <w:r w:rsidR="004217A5">
        <w:rPr>
          <w:rFonts w:ascii="Arial" w:hAnsi="Arial" w:cs="Arial"/>
          <w:sz w:val="24"/>
          <w:szCs w:val="24"/>
        </w:rPr>
        <w:t>enforces</w:t>
      </w:r>
      <w:r w:rsidR="00616A3E">
        <w:rPr>
          <w:rFonts w:ascii="Arial" w:hAnsi="Arial" w:cs="Arial"/>
          <w:sz w:val="24"/>
          <w:szCs w:val="24"/>
        </w:rPr>
        <w:t xml:space="preserve"> an unproportionate vulnerability upon small business owners</w:t>
      </w:r>
      <w:r w:rsidR="00482437">
        <w:rPr>
          <w:rFonts w:ascii="Arial" w:hAnsi="Arial" w:cs="Arial"/>
          <w:sz w:val="24"/>
          <w:szCs w:val="24"/>
        </w:rPr>
        <w:t xml:space="preserve"> when liability is considered.</w:t>
      </w:r>
      <w:r w:rsidR="00616A3E">
        <w:rPr>
          <w:rFonts w:ascii="Arial" w:hAnsi="Arial" w:cs="Arial"/>
          <w:sz w:val="24"/>
          <w:szCs w:val="24"/>
        </w:rPr>
        <w:t xml:space="preserve"> </w:t>
      </w:r>
      <w:r w:rsidR="005D192C">
        <w:rPr>
          <w:rFonts w:ascii="Arial" w:hAnsi="Arial" w:cs="Arial"/>
          <w:sz w:val="24"/>
          <w:szCs w:val="24"/>
        </w:rPr>
        <w:t xml:space="preserve"> </w:t>
      </w:r>
      <w:r w:rsidR="00482437">
        <w:rPr>
          <w:rFonts w:ascii="Arial" w:hAnsi="Arial" w:cs="Arial"/>
          <w:sz w:val="24"/>
          <w:szCs w:val="24"/>
        </w:rPr>
        <w:t>Secondly, the defence only applies to lawful visitors</w:t>
      </w:r>
      <w:r w:rsidR="004217A5">
        <w:rPr>
          <w:rFonts w:ascii="Arial" w:hAnsi="Arial" w:cs="Arial"/>
          <w:sz w:val="24"/>
          <w:szCs w:val="24"/>
        </w:rPr>
        <w:t xml:space="preserve">. </w:t>
      </w:r>
      <w:r w:rsidR="004618F7">
        <w:rPr>
          <w:rFonts w:ascii="Arial" w:hAnsi="Arial" w:cs="Arial"/>
          <w:sz w:val="24"/>
          <w:szCs w:val="24"/>
        </w:rPr>
        <w:t xml:space="preserve">This has been described as problematic again for its </w:t>
      </w:r>
      <w:r w:rsidR="00326060">
        <w:rPr>
          <w:rFonts w:ascii="Arial" w:hAnsi="Arial" w:cs="Arial"/>
          <w:sz w:val="24"/>
          <w:szCs w:val="24"/>
        </w:rPr>
        <w:t>disproportionate impact</w:t>
      </w:r>
      <w:sdt>
        <w:sdtPr>
          <w:rPr>
            <w:rFonts w:ascii="Arial" w:hAnsi="Arial" w:cs="Arial"/>
            <w:sz w:val="24"/>
            <w:szCs w:val="24"/>
          </w:rPr>
          <w:id w:val="-1581286189"/>
          <w:citation/>
        </w:sdtPr>
        <w:sdtContent>
          <w:r w:rsidR="0043092E">
            <w:rPr>
              <w:rFonts w:ascii="Arial" w:hAnsi="Arial" w:cs="Arial"/>
              <w:sz w:val="24"/>
              <w:szCs w:val="24"/>
            </w:rPr>
            <w:fldChar w:fldCharType="begin"/>
          </w:r>
          <w:r w:rsidR="0043092E">
            <w:rPr>
              <w:rFonts w:ascii="Arial" w:hAnsi="Arial" w:cs="Arial"/>
              <w:sz w:val="24"/>
              <w:szCs w:val="24"/>
            </w:rPr>
            <w:instrText xml:space="preserve"> CITATION Car17 \l 2057 </w:instrText>
          </w:r>
          <w:r w:rsidR="0043092E">
            <w:rPr>
              <w:rFonts w:ascii="Arial" w:hAnsi="Arial" w:cs="Arial"/>
              <w:sz w:val="24"/>
              <w:szCs w:val="24"/>
            </w:rPr>
            <w:fldChar w:fldCharType="separate"/>
          </w:r>
          <w:r w:rsidR="0043092E">
            <w:rPr>
              <w:rFonts w:ascii="Arial" w:hAnsi="Arial" w:cs="Arial"/>
              <w:noProof/>
              <w:sz w:val="24"/>
              <w:szCs w:val="24"/>
            </w:rPr>
            <w:t xml:space="preserve"> </w:t>
          </w:r>
          <w:r w:rsidR="0043092E" w:rsidRPr="0043092E">
            <w:rPr>
              <w:rFonts w:ascii="Arial" w:hAnsi="Arial" w:cs="Arial"/>
              <w:noProof/>
              <w:sz w:val="24"/>
              <w:szCs w:val="24"/>
            </w:rPr>
            <w:t>(Silva, 2017)</w:t>
          </w:r>
          <w:r w:rsidR="0043092E">
            <w:rPr>
              <w:rFonts w:ascii="Arial" w:hAnsi="Arial" w:cs="Arial"/>
              <w:sz w:val="24"/>
              <w:szCs w:val="24"/>
            </w:rPr>
            <w:fldChar w:fldCharType="end"/>
          </w:r>
        </w:sdtContent>
      </w:sdt>
      <w:r w:rsidR="00326060">
        <w:rPr>
          <w:rFonts w:ascii="Arial" w:hAnsi="Arial" w:cs="Arial"/>
          <w:sz w:val="24"/>
          <w:szCs w:val="24"/>
        </w:rPr>
        <w:t xml:space="preserve">. </w:t>
      </w:r>
      <w:r w:rsidR="0045504F" w:rsidRPr="00B95AAC">
        <w:rPr>
          <w:rFonts w:ascii="Arial" w:hAnsi="Arial" w:cs="Arial"/>
          <w:noProof/>
          <w:sz w:val="24"/>
          <w:szCs w:val="24"/>
        </w:rPr>
        <w:t>Morgan</w:t>
      </w:r>
      <w:r w:rsidR="0045504F">
        <w:rPr>
          <w:rFonts w:ascii="Arial" w:hAnsi="Arial" w:cs="Arial"/>
          <w:noProof/>
          <w:sz w:val="24"/>
          <w:szCs w:val="24"/>
        </w:rPr>
        <w:t xml:space="preserve"> (</w:t>
      </w:r>
      <w:r w:rsidR="0045504F" w:rsidRPr="00B95AAC">
        <w:rPr>
          <w:rFonts w:ascii="Arial" w:hAnsi="Arial" w:cs="Arial"/>
          <w:noProof/>
          <w:sz w:val="24"/>
          <w:szCs w:val="24"/>
        </w:rPr>
        <w:t>2022)</w:t>
      </w:r>
      <w:r w:rsidR="00326060">
        <w:rPr>
          <w:rFonts w:ascii="Arial" w:hAnsi="Arial" w:cs="Arial"/>
          <w:sz w:val="24"/>
          <w:szCs w:val="24"/>
        </w:rPr>
        <w:t xml:space="preserve"> claim</w:t>
      </w:r>
      <w:r w:rsidR="0045504F">
        <w:rPr>
          <w:rFonts w:ascii="Arial" w:hAnsi="Arial" w:cs="Arial"/>
          <w:sz w:val="24"/>
          <w:szCs w:val="24"/>
        </w:rPr>
        <w:t>s</w:t>
      </w:r>
      <w:r w:rsidR="00326060">
        <w:rPr>
          <w:rFonts w:ascii="Arial" w:hAnsi="Arial" w:cs="Arial"/>
          <w:sz w:val="24"/>
          <w:szCs w:val="24"/>
        </w:rPr>
        <w:t xml:space="preserve"> that</w:t>
      </w:r>
      <w:r w:rsidR="00CA6218">
        <w:rPr>
          <w:rFonts w:ascii="Arial" w:hAnsi="Arial" w:cs="Arial"/>
          <w:sz w:val="24"/>
          <w:szCs w:val="24"/>
        </w:rPr>
        <w:t xml:space="preserve"> this oversight is</w:t>
      </w:r>
      <w:r w:rsidR="00011BF0">
        <w:rPr>
          <w:rFonts w:ascii="Arial" w:hAnsi="Arial" w:cs="Arial"/>
          <w:sz w:val="24"/>
          <w:szCs w:val="24"/>
        </w:rPr>
        <w:t xml:space="preserve"> u</w:t>
      </w:r>
      <w:r w:rsidR="00CA6218">
        <w:rPr>
          <w:rFonts w:ascii="Arial" w:hAnsi="Arial" w:cs="Arial"/>
          <w:sz w:val="24"/>
          <w:szCs w:val="24"/>
        </w:rPr>
        <w:t xml:space="preserve">njust in </w:t>
      </w:r>
      <w:r w:rsidR="0049425A">
        <w:rPr>
          <w:rFonts w:ascii="Arial" w:hAnsi="Arial" w:cs="Arial"/>
          <w:sz w:val="24"/>
          <w:szCs w:val="24"/>
        </w:rPr>
        <w:t xml:space="preserve">cases of trespass by allowing unlawful visitors the </w:t>
      </w:r>
      <w:r w:rsidR="005E3663">
        <w:rPr>
          <w:rFonts w:ascii="Arial" w:hAnsi="Arial" w:cs="Arial"/>
          <w:sz w:val="24"/>
          <w:szCs w:val="24"/>
        </w:rPr>
        <w:t>potential to take advantage of unbeknown occupiers.</w:t>
      </w:r>
      <w:r w:rsidR="00F83214">
        <w:rPr>
          <w:rFonts w:ascii="Arial" w:hAnsi="Arial" w:cs="Arial"/>
          <w:sz w:val="24"/>
          <w:szCs w:val="24"/>
        </w:rPr>
        <w:t xml:space="preserve"> </w:t>
      </w:r>
      <w:r w:rsidR="00DF74D0">
        <w:rPr>
          <w:rFonts w:ascii="Arial" w:hAnsi="Arial" w:cs="Arial"/>
          <w:sz w:val="24"/>
          <w:szCs w:val="24"/>
        </w:rPr>
        <w:t>However, t</w:t>
      </w:r>
      <w:r w:rsidR="00011BF0">
        <w:rPr>
          <w:rFonts w:ascii="Arial" w:hAnsi="Arial" w:cs="Arial"/>
          <w:sz w:val="24"/>
          <w:szCs w:val="24"/>
        </w:rPr>
        <w:t xml:space="preserve">his can be in part remedied by </w:t>
      </w:r>
      <w:r w:rsidR="00EE6C4A">
        <w:rPr>
          <w:rFonts w:ascii="Arial" w:hAnsi="Arial" w:cs="Arial"/>
          <w:sz w:val="24"/>
          <w:szCs w:val="24"/>
        </w:rPr>
        <w:t>the illegality principle</w:t>
      </w:r>
      <w:r w:rsidR="0086792B">
        <w:rPr>
          <w:rFonts w:ascii="Arial" w:hAnsi="Arial" w:cs="Arial"/>
          <w:sz w:val="24"/>
          <w:szCs w:val="24"/>
        </w:rPr>
        <w:t xml:space="preserve">. </w:t>
      </w:r>
      <w:proofErr w:type="spellStart"/>
      <w:r w:rsidR="0086792B">
        <w:rPr>
          <w:rFonts w:ascii="Arial" w:hAnsi="Arial" w:cs="Arial"/>
          <w:sz w:val="24"/>
          <w:szCs w:val="24"/>
        </w:rPr>
        <w:t>Revill</w:t>
      </w:r>
      <w:proofErr w:type="spellEnd"/>
      <w:r w:rsidR="0086792B">
        <w:rPr>
          <w:rFonts w:ascii="Arial" w:hAnsi="Arial" w:cs="Arial"/>
          <w:sz w:val="24"/>
          <w:szCs w:val="24"/>
        </w:rPr>
        <w:t xml:space="preserve"> v Newbury (1996) </w:t>
      </w:r>
      <w:r w:rsidR="00DF74D0">
        <w:rPr>
          <w:rFonts w:ascii="Arial" w:hAnsi="Arial" w:cs="Arial"/>
          <w:sz w:val="24"/>
          <w:szCs w:val="24"/>
        </w:rPr>
        <w:t xml:space="preserve">established that </w:t>
      </w:r>
      <w:r w:rsidR="00E972F2">
        <w:rPr>
          <w:rFonts w:ascii="Arial" w:hAnsi="Arial" w:cs="Arial"/>
          <w:sz w:val="24"/>
          <w:szCs w:val="24"/>
        </w:rPr>
        <w:t xml:space="preserve">with the exclusion of the trespass itself, </w:t>
      </w:r>
      <w:r w:rsidR="00797AFE">
        <w:rPr>
          <w:rFonts w:ascii="Arial" w:hAnsi="Arial" w:cs="Arial"/>
          <w:sz w:val="24"/>
          <w:szCs w:val="24"/>
        </w:rPr>
        <w:t>instances where crime is committed on the property</w:t>
      </w:r>
      <w:r w:rsidR="00B80125">
        <w:rPr>
          <w:rFonts w:ascii="Arial" w:hAnsi="Arial" w:cs="Arial"/>
          <w:sz w:val="24"/>
          <w:szCs w:val="24"/>
        </w:rPr>
        <w:t xml:space="preserve"> negate liability.</w:t>
      </w:r>
      <w:r w:rsidR="007A3DFD">
        <w:rPr>
          <w:rFonts w:ascii="Arial" w:hAnsi="Arial" w:cs="Arial"/>
          <w:sz w:val="24"/>
          <w:szCs w:val="24"/>
        </w:rPr>
        <w:t xml:space="preserve"> </w:t>
      </w:r>
    </w:p>
    <w:p w14:paraId="1B5D3056" w14:textId="77777777" w:rsidR="005061ED" w:rsidRDefault="005061ED" w:rsidP="002967B9">
      <w:pPr>
        <w:ind w:left="720"/>
        <w:rPr>
          <w:rFonts w:ascii="Arial" w:hAnsi="Arial" w:cs="Arial"/>
          <w:sz w:val="24"/>
          <w:szCs w:val="24"/>
        </w:rPr>
      </w:pPr>
    </w:p>
    <w:p w14:paraId="571F158C" w14:textId="77D401FD" w:rsidR="00A20976" w:rsidRDefault="00B80125" w:rsidP="002967B9">
      <w:pPr>
        <w:ind w:left="720"/>
        <w:rPr>
          <w:rFonts w:ascii="Arial" w:hAnsi="Arial" w:cs="Arial"/>
          <w:sz w:val="24"/>
          <w:szCs w:val="24"/>
        </w:rPr>
      </w:pPr>
      <w:r>
        <w:rPr>
          <w:rFonts w:ascii="Arial" w:hAnsi="Arial" w:cs="Arial"/>
          <w:sz w:val="24"/>
          <w:szCs w:val="24"/>
        </w:rPr>
        <w:t xml:space="preserve">Additionally, there are </w:t>
      </w:r>
      <w:r w:rsidR="007A3DFD">
        <w:rPr>
          <w:rFonts w:ascii="Arial" w:hAnsi="Arial" w:cs="Arial"/>
          <w:sz w:val="24"/>
          <w:szCs w:val="24"/>
        </w:rPr>
        <w:t xml:space="preserve">two </w:t>
      </w:r>
      <w:r w:rsidR="009B398B">
        <w:rPr>
          <w:rFonts w:ascii="Arial" w:hAnsi="Arial" w:cs="Arial"/>
          <w:sz w:val="24"/>
          <w:szCs w:val="24"/>
        </w:rPr>
        <w:t>defences wh</w:t>
      </w:r>
      <w:r w:rsidR="006F12CB">
        <w:rPr>
          <w:rFonts w:ascii="Arial" w:hAnsi="Arial" w:cs="Arial"/>
          <w:sz w:val="24"/>
          <w:szCs w:val="24"/>
        </w:rPr>
        <w:t>ich</w:t>
      </w:r>
      <w:r w:rsidR="009B398B">
        <w:rPr>
          <w:rFonts w:ascii="Arial" w:hAnsi="Arial" w:cs="Arial"/>
          <w:sz w:val="24"/>
          <w:szCs w:val="24"/>
        </w:rPr>
        <w:t xml:space="preserve"> commonly restrict and even negate liability </w:t>
      </w:r>
      <w:r w:rsidR="00EE6307">
        <w:rPr>
          <w:rFonts w:ascii="Arial" w:hAnsi="Arial" w:cs="Arial"/>
          <w:sz w:val="24"/>
          <w:szCs w:val="24"/>
        </w:rPr>
        <w:t>for both lawful and unlawful visitors</w:t>
      </w:r>
      <w:sdt>
        <w:sdtPr>
          <w:rPr>
            <w:rFonts w:ascii="Arial" w:hAnsi="Arial" w:cs="Arial"/>
            <w:sz w:val="24"/>
            <w:szCs w:val="24"/>
          </w:rPr>
          <w:id w:val="-712803883"/>
          <w:citation/>
        </w:sdtPr>
        <w:sdtContent>
          <w:r w:rsidR="00131B99">
            <w:rPr>
              <w:rFonts w:ascii="Arial" w:hAnsi="Arial" w:cs="Arial"/>
              <w:sz w:val="24"/>
              <w:szCs w:val="24"/>
            </w:rPr>
            <w:fldChar w:fldCharType="begin"/>
          </w:r>
          <w:r w:rsidR="00131B99">
            <w:rPr>
              <w:rFonts w:ascii="Arial" w:hAnsi="Arial" w:cs="Arial"/>
              <w:sz w:val="24"/>
              <w:szCs w:val="24"/>
            </w:rPr>
            <w:instrText xml:space="preserve"> CITATION Jam12 \l 2057 </w:instrText>
          </w:r>
          <w:r w:rsidR="00131B99">
            <w:rPr>
              <w:rFonts w:ascii="Arial" w:hAnsi="Arial" w:cs="Arial"/>
              <w:sz w:val="24"/>
              <w:szCs w:val="24"/>
            </w:rPr>
            <w:fldChar w:fldCharType="separate"/>
          </w:r>
          <w:r w:rsidR="00131B99">
            <w:rPr>
              <w:rFonts w:ascii="Arial" w:hAnsi="Arial" w:cs="Arial"/>
              <w:noProof/>
              <w:sz w:val="24"/>
              <w:szCs w:val="24"/>
            </w:rPr>
            <w:t xml:space="preserve"> </w:t>
          </w:r>
          <w:r w:rsidR="00131B99" w:rsidRPr="00131B99">
            <w:rPr>
              <w:rFonts w:ascii="Arial" w:hAnsi="Arial" w:cs="Arial"/>
              <w:noProof/>
              <w:sz w:val="24"/>
              <w:szCs w:val="24"/>
            </w:rPr>
            <w:t>(Goudkamp, 2012)</w:t>
          </w:r>
          <w:r w:rsidR="00131B99">
            <w:rPr>
              <w:rFonts w:ascii="Arial" w:hAnsi="Arial" w:cs="Arial"/>
              <w:sz w:val="24"/>
              <w:szCs w:val="24"/>
            </w:rPr>
            <w:fldChar w:fldCharType="end"/>
          </w:r>
        </w:sdtContent>
      </w:sdt>
      <w:r w:rsidR="00EE6307">
        <w:rPr>
          <w:rFonts w:ascii="Arial" w:hAnsi="Arial" w:cs="Arial"/>
          <w:sz w:val="24"/>
          <w:szCs w:val="24"/>
        </w:rPr>
        <w:t>.</w:t>
      </w:r>
      <w:r w:rsidR="006F12CB">
        <w:rPr>
          <w:rFonts w:ascii="Arial" w:hAnsi="Arial" w:cs="Arial"/>
          <w:sz w:val="24"/>
          <w:szCs w:val="24"/>
        </w:rPr>
        <w:t xml:space="preserve"> </w:t>
      </w:r>
      <w:r w:rsidR="00DC7EFC">
        <w:rPr>
          <w:rFonts w:ascii="Arial" w:hAnsi="Arial" w:cs="Arial"/>
          <w:sz w:val="24"/>
          <w:szCs w:val="24"/>
        </w:rPr>
        <w:t>S1</w:t>
      </w:r>
      <w:r w:rsidR="001D605E">
        <w:rPr>
          <w:rFonts w:ascii="Arial" w:hAnsi="Arial" w:cs="Arial"/>
          <w:sz w:val="24"/>
          <w:szCs w:val="24"/>
        </w:rPr>
        <w:t xml:space="preserve">(6) OLA </w:t>
      </w:r>
      <w:r w:rsidR="00425D4F">
        <w:rPr>
          <w:rFonts w:ascii="Arial" w:hAnsi="Arial" w:cs="Arial"/>
          <w:sz w:val="24"/>
          <w:szCs w:val="24"/>
        </w:rPr>
        <w:t>1984 and</w:t>
      </w:r>
      <w:r w:rsidR="0033141D">
        <w:rPr>
          <w:rFonts w:ascii="Arial" w:hAnsi="Arial" w:cs="Arial"/>
          <w:sz w:val="24"/>
          <w:szCs w:val="24"/>
        </w:rPr>
        <w:t xml:space="preserve"> s2(5) OLA 1957</w:t>
      </w:r>
      <w:r w:rsidR="00425D4F">
        <w:rPr>
          <w:rFonts w:ascii="Arial" w:hAnsi="Arial" w:cs="Arial"/>
          <w:sz w:val="24"/>
          <w:szCs w:val="24"/>
        </w:rPr>
        <w:t xml:space="preserve"> </w:t>
      </w:r>
      <w:r w:rsidR="00D61E88">
        <w:rPr>
          <w:rFonts w:ascii="Arial" w:hAnsi="Arial" w:cs="Arial"/>
          <w:sz w:val="24"/>
          <w:szCs w:val="24"/>
        </w:rPr>
        <w:t>contain</w:t>
      </w:r>
      <w:r w:rsidR="00425D4F">
        <w:rPr>
          <w:rFonts w:ascii="Arial" w:hAnsi="Arial" w:cs="Arial"/>
          <w:sz w:val="24"/>
          <w:szCs w:val="24"/>
        </w:rPr>
        <w:t xml:space="preserve"> </w:t>
      </w:r>
      <w:r w:rsidR="00D61E88">
        <w:rPr>
          <w:rFonts w:ascii="Arial" w:hAnsi="Arial" w:cs="Arial"/>
          <w:sz w:val="24"/>
          <w:szCs w:val="24"/>
        </w:rPr>
        <w:t>the defence of consent. This means that in instances</w:t>
      </w:r>
      <w:r w:rsidR="00425D4F">
        <w:rPr>
          <w:rFonts w:ascii="Arial" w:hAnsi="Arial" w:cs="Arial"/>
          <w:sz w:val="24"/>
          <w:szCs w:val="24"/>
        </w:rPr>
        <w:t xml:space="preserve"> where the claimant </w:t>
      </w:r>
      <w:r w:rsidR="00DD2AE9">
        <w:rPr>
          <w:rFonts w:ascii="Arial" w:hAnsi="Arial" w:cs="Arial"/>
          <w:sz w:val="24"/>
          <w:szCs w:val="24"/>
        </w:rPr>
        <w:t>accepts the risk of</w:t>
      </w:r>
      <w:r w:rsidR="00D7139F">
        <w:rPr>
          <w:rFonts w:ascii="Arial" w:hAnsi="Arial" w:cs="Arial"/>
          <w:sz w:val="24"/>
          <w:szCs w:val="24"/>
        </w:rPr>
        <w:t xml:space="preserve"> harm, </w:t>
      </w:r>
      <w:r w:rsidR="00F97874">
        <w:rPr>
          <w:rFonts w:ascii="Arial" w:hAnsi="Arial" w:cs="Arial"/>
          <w:sz w:val="24"/>
          <w:szCs w:val="24"/>
        </w:rPr>
        <w:t>there is no duty of care to be found.</w:t>
      </w:r>
      <w:r w:rsidR="002F24F3">
        <w:rPr>
          <w:rFonts w:ascii="Arial" w:hAnsi="Arial" w:cs="Arial"/>
          <w:sz w:val="24"/>
          <w:szCs w:val="24"/>
        </w:rPr>
        <w:t xml:space="preserve"> </w:t>
      </w:r>
      <w:r w:rsidR="00D33999">
        <w:rPr>
          <w:rFonts w:ascii="Arial" w:hAnsi="Arial" w:cs="Arial"/>
          <w:sz w:val="24"/>
          <w:szCs w:val="24"/>
        </w:rPr>
        <w:t xml:space="preserve">This defence is presented in Geary v </w:t>
      </w:r>
      <w:r w:rsidR="00D33999">
        <w:rPr>
          <w:rFonts w:ascii="Arial" w:hAnsi="Arial" w:cs="Arial"/>
          <w:sz w:val="24"/>
          <w:szCs w:val="24"/>
        </w:rPr>
        <w:lastRenderedPageBreak/>
        <w:t>JD Wetherspoons (2011)</w:t>
      </w:r>
      <w:r w:rsidR="002B60DF">
        <w:rPr>
          <w:rFonts w:ascii="Arial" w:hAnsi="Arial" w:cs="Arial"/>
          <w:sz w:val="24"/>
          <w:szCs w:val="24"/>
        </w:rPr>
        <w:t xml:space="preserve"> </w:t>
      </w:r>
      <w:r w:rsidR="0072101E">
        <w:rPr>
          <w:rFonts w:ascii="Arial" w:hAnsi="Arial" w:cs="Arial"/>
          <w:sz w:val="24"/>
          <w:szCs w:val="24"/>
        </w:rPr>
        <w:t>whereby the defendant admittedly knew of the risks associated with her actions on the premises</w:t>
      </w:r>
      <w:r w:rsidR="00517A6B">
        <w:rPr>
          <w:rFonts w:ascii="Arial" w:hAnsi="Arial" w:cs="Arial"/>
          <w:sz w:val="24"/>
          <w:szCs w:val="24"/>
        </w:rPr>
        <w:t>.</w:t>
      </w:r>
      <w:r w:rsidR="008579A7">
        <w:rPr>
          <w:rFonts w:ascii="Arial" w:hAnsi="Arial" w:cs="Arial"/>
          <w:noProof/>
          <w:sz w:val="24"/>
          <w:szCs w:val="24"/>
        </w:rPr>
        <w:t xml:space="preserve"> </w:t>
      </w:r>
      <w:r w:rsidR="008579A7" w:rsidRPr="00844C36">
        <w:rPr>
          <w:rFonts w:ascii="Arial" w:hAnsi="Arial" w:cs="Arial"/>
          <w:noProof/>
          <w:sz w:val="24"/>
          <w:szCs w:val="24"/>
        </w:rPr>
        <w:t>Gardner</w:t>
      </w:r>
      <w:r w:rsidR="008579A7">
        <w:rPr>
          <w:rFonts w:ascii="Arial" w:hAnsi="Arial" w:cs="Arial"/>
          <w:noProof/>
          <w:sz w:val="24"/>
          <w:szCs w:val="24"/>
        </w:rPr>
        <w:t xml:space="preserve"> (</w:t>
      </w:r>
      <w:r w:rsidR="008579A7" w:rsidRPr="00844C36">
        <w:rPr>
          <w:rFonts w:ascii="Arial" w:hAnsi="Arial" w:cs="Arial"/>
          <w:noProof/>
          <w:sz w:val="24"/>
          <w:szCs w:val="24"/>
        </w:rPr>
        <w:t>2023)</w:t>
      </w:r>
      <w:r w:rsidR="008579A7">
        <w:rPr>
          <w:rFonts w:ascii="Arial" w:hAnsi="Arial" w:cs="Arial"/>
          <w:noProof/>
          <w:sz w:val="24"/>
          <w:szCs w:val="24"/>
        </w:rPr>
        <w:t>, argues that</w:t>
      </w:r>
      <w:r w:rsidR="00993066">
        <w:rPr>
          <w:rFonts w:ascii="Arial" w:hAnsi="Arial" w:cs="Arial"/>
          <w:noProof/>
          <w:sz w:val="24"/>
          <w:szCs w:val="24"/>
        </w:rPr>
        <w:t xml:space="preserve"> there is too much discretion </w:t>
      </w:r>
      <w:r w:rsidR="005B0D9A">
        <w:rPr>
          <w:rFonts w:ascii="Arial" w:hAnsi="Arial" w:cs="Arial"/>
          <w:noProof/>
          <w:sz w:val="24"/>
          <w:szCs w:val="24"/>
        </w:rPr>
        <w:t xml:space="preserve">provided by </w:t>
      </w:r>
      <w:r w:rsidR="00F35A8D">
        <w:rPr>
          <w:rFonts w:ascii="Arial" w:hAnsi="Arial" w:cs="Arial"/>
          <w:noProof/>
          <w:sz w:val="24"/>
          <w:szCs w:val="24"/>
        </w:rPr>
        <w:t>common law when considering this defence</w:t>
      </w:r>
      <w:r w:rsidR="00326A87">
        <w:rPr>
          <w:rFonts w:ascii="Arial" w:hAnsi="Arial" w:cs="Arial"/>
          <w:noProof/>
          <w:sz w:val="24"/>
          <w:szCs w:val="24"/>
        </w:rPr>
        <w:t xml:space="preserve"> which </w:t>
      </w:r>
      <w:r w:rsidR="005F6FF9">
        <w:rPr>
          <w:rFonts w:ascii="Arial" w:hAnsi="Arial" w:cs="Arial"/>
          <w:noProof/>
          <w:sz w:val="24"/>
          <w:szCs w:val="24"/>
        </w:rPr>
        <w:t xml:space="preserve">arguably leads to </w:t>
      </w:r>
      <w:r w:rsidR="00E6733B">
        <w:rPr>
          <w:rFonts w:ascii="Arial" w:hAnsi="Arial" w:cs="Arial"/>
          <w:noProof/>
          <w:sz w:val="24"/>
          <w:szCs w:val="24"/>
        </w:rPr>
        <w:t xml:space="preserve">morally </w:t>
      </w:r>
      <w:r w:rsidR="005F6FF9">
        <w:rPr>
          <w:rFonts w:ascii="Arial" w:hAnsi="Arial" w:cs="Arial"/>
          <w:noProof/>
          <w:sz w:val="24"/>
          <w:szCs w:val="24"/>
        </w:rPr>
        <w:t xml:space="preserve">unfair outcomes. </w:t>
      </w:r>
      <w:r w:rsidR="00961145">
        <w:rPr>
          <w:rFonts w:ascii="Arial" w:hAnsi="Arial" w:cs="Arial"/>
          <w:noProof/>
          <w:sz w:val="24"/>
          <w:szCs w:val="24"/>
        </w:rPr>
        <w:t xml:space="preserve">Gardener </w:t>
      </w:r>
      <w:r w:rsidR="00583C7F">
        <w:rPr>
          <w:rFonts w:ascii="Arial" w:hAnsi="Arial" w:cs="Arial"/>
          <w:noProof/>
          <w:sz w:val="24"/>
          <w:szCs w:val="24"/>
        </w:rPr>
        <w:t xml:space="preserve">also references the </w:t>
      </w:r>
      <w:r w:rsidR="003E3D2F">
        <w:rPr>
          <w:rFonts w:ascii="Arial" w:hAnsi="Arial" w:cs="Arial"/>
          <w:noProof/>
          <w:sz w:val="24"/>
          <w:szCs w:val="24"/>
        </w:rPr>
        <w:t>afore</w:t>
      </w:r>
      <w:r w:rsidR="00F4497B">
        <w:rPr>
          <w:rFonts w:ascii="Arial" w:hAnsi="Arial" w:cs="Arial"/>
          <w:noProof/>
          <w:sz w:val="24"/>
          <w:szCs w:val="24"/>
        </w:rPr>
        <w:t>mentioned view that this discretion is</w:t>
      </w:r>
      <w:r w:rsidR="00FE64AD">
        <w:rPr>
          <w:rFonts w:ascii="Arial" w:hAnsi="Arial" w:cs="Arial"/>
          <w:noProof/>
          <w:sz w:val="24"/>
          <w:szCs w:val="24"/>
        </w:rPr>
        <w:t xml:space="preserve"> </w:t>
      </w:r>
      <w:r w:rsidR="00374835">
        <w:rPr>
          <w:rFonts w:ascii="Arial" w:hAnsi="Arial" w:cs="Arial"/>
          <w:noProof/>
          <w:sz w:val="24"/>
          <w:szCs w:val="24"/>
        </w:rPr>
        <w:t xml:space="preserve">the </w:t>
      </w:r>
      <w:r w:rsidR="00FE64AD">
        <w:rPr>
          <w:rFonts w:ascii="Arial" w:hAnsi="Arial" w:cs="Arial"/>
          <w:noProof/>
          <w:sz w:val="24"/>
          <w:szCs w:val="24"/>
        </w:rPr>
        <w:t xml:space="preserve">predominant </w:t>
      </w:r>
      <w:r w:rsidR="00960184">
        <w:rPr>
          <w:rFonts w:ascii="Arial" w:hAnsi="Arial" w:cs="Arial"/>
          <w:noProof/>
          <w:sz w:val="24"/>
          <w:szCs w:val="24"/>
        </w:rPr>
        <w:t>call</w:t>
      </w:r>
      <w:r w:rsidR="00FE64AD">
        <w:rPr>
          <w:rFonts w:ascii="Arial" w:hAnsi="Arial" w:cs="Arial"/>
          <w:noProof/>
          <w:sz w:val="24"/>
          <w:szCs w:val="24"/>
        </w:rPr>
        <w:t xml:space="preserve"> for reform </w:t>
      </w:r>
      <w:r w:rsidR="005603D2">
        <w:rPr>
          <w:rFonts w:ascii="Arial" w:hAnsi="Arial" w:cs="Arial"/>
          <w:noProof/>
          <w:sz w:val="24"/>
          <w:szCs w:val="24"/>
        </w:rPr>
        <w:t xml:space="preserve">of the governance of occupiers liability. </w:t>
      </w:r>
      <w:r w:rsidR="00374835">
        <w:rPr>
          <w:rFonts w:ascii="Arial" w:hAnsi="Arial" w:cs="Arial"/>
          <w:noProof/>
          <w:sz w:val="24"/>
          <w:szCs w:val="24"/>
        </w:rPr>
        <w:t>Nonetheless</w:t>
      </w:r>
      <w:r w:rsidR="005F6FF9">
        <w:rPr>
          <w:rFonts w:ascii="Arial" w:hAnsi="Arial" w:cs="Arial"/>
          <w:noProof/>
          <w:sz w:val="24"/>
          <w:szCs w:val="24"/>
        </w:rPr>
        <w:t xml:space="preserve">, it is clear to see that </w:t>
      </w:r>
      <w:r w:rsidR="00961145">
        <w:rPr>
          <w:rFonts w:ascii="Arial" w:hAnsi="Arial" w:cs="Arial"/>
          <w:noProof/>
          <w:sz w:val="24"/>
          <w:szCs w:val="24"/>
        </w:rPr>
        <w:t xml:space="preserve">whether </w:t>
      </w:r>
      <w:r w:rsidR="005F6FF9">
        <w:rPr>
          <w:rFonts w:ascii="Arial" w:hAnsi="Arial" w:cs="Arial"/>
          <w:noProof/>
          <w:sz w:val="24"/>
          <w:szCs w:val="24"/>
        </w:rPr>
        <w:t xml:space="preserve">the use of this defence </w:t>
      </w:r>
      <w:r w:rsidR="00E6733B">
        <w:rPr>
          <w:rFonts w:ascii="Arial" w:hAnsi="Arial" w:cs="Arial"/>
          <w:noProof/>
          <w:sz w:val="24"/>
          <w:szCs w:val="24"/>
        </w:rPr>
        <w:t xml:space="preserve">is moral or not, it succeeds in </w:t>
      </w:r>
      <w:r w:rsidR="00E6733B">
        <w:rPr>
          <w:rFonts w:ascii="Arial" w:hAnsi="Arial" w:cs="Arial"/>
          <w:sz w:val="24"/>
          <w:szCs w:val="24"/>
        </w:rPr>
        <w:t>limiting the liability of occupiers.</w:t>
      </w:r>
      <w:r w:rsidR="00C30586">
        <w:rPr>
          <w:rFonts w:ascii="Arial" w:hAnsi="Arial" w:cs="Arial"/>
          <w:sz w:val="24"/>
          <w:szCs w:val="24"/>
        </w:rPr>
        <w:t xml:space="preserve"> Finally, </w:t>
      </w:r>
      <w:r w:rsidR="006D61C5">
        <w:rPr>
          <w:rFonts w:ascii="Arial" w:hAnsi="Arial" w:cs="Arial"/>
          <w:sz w:val="24"/>
          <w:szCs w:val="24"/>
        </w:rPr>
        <w:t>in accordance with the Law Reform (</w:t>
      </w:r>
      <w:r w:rsidR="004625AC">
        <w:rPr>
          <w:rFonts w:ascii="Arial" w:hAnsi="Arial" w:cs="Arial"/>
          <w:sz w:val="24"/>
          <w:szCs w:val="24"/>
        </w:rPr>
        <w:t xml:space="preserve">Contributory Negligence) Act </w:t>
      </w:r>
      <w:r w:rsidR="00486D7A">
        <w:rPr>
          <w:rFonts w:ascii="Arial" w:hAnsi="Arial" w:cs="Arial"/>
          <w:sz w:val="24"/>
          <w:szCs w:val="24"/>
        </w:rPr>
        <w:t xml:space="preserve">1945, </w:t>
      </w:r>
      <w:r w:rsidR="00444B63">
        <w:rPr>
          <w:rFonts w:ascii="Arial" w:hAnsi="Arial" w:cs="Arial"/>
          <w:sz w:val="24"/>
          <w:szCs w:val="24"/>
        </w:rPr>
        <w:t>occupiers</w:t>
      </w:r>
      <w:r w:rsidR="00486D7A">
        <w:rPr>
          <w:rFonts w:ascii="Arial" w:hAnsi="Arial" w:cs="Arial"/>
          <w:sz w:val="24"/>
          <w:szCs w:val="24"/>
        </w:rPr>
        <w:t xml:space="preserve"> can rely on the defence of contributory </w:t>
      </w:r>
      <w:r w:rsidR="00444B63">
        <w:rPr>
          <w:rFonts w:ascii="Arial" w:hAnsi="Arial" w:cs="Arial"/>
          <w:sz w:val="24"/>
          <w:szCs w:val="24"/>
        </w:rPr>
        <w:t>negligence to reduce their liability for damages</w:t>
      </w:r>
      <w:sdt>
        <w:sdtPr>
          <w:rPr>
            <w:rFonts w:ascii="Arial" w:hAnsi="Arial" w:cs="Arial"/>
            <w:sz w:val="24"/>
            <w:szCs w:val="24"/>
          </w:rPr>
          <w:id w:val="-2093920358"/>
          <w:citation/>
        </w:sdtPr>
        <w:sdtContent>
          <w:r w:rsidR="003A7620">
            <w:rPr>
              <w:rFonts w:ascii="Arial" w:hAnsi="Arial" w:cs="Arial"/>
              <w:sz w:val="24"/>
              <w:szCs w:val="24"/>
            </w:rPr>
            <w:fldChar w:fldCharType="begin"/>
          </w:r>
          <w:r w:rsidR="003A7620">
            <w:rPr>
              <w:rFonts w:ascii="Arial" w:hAnsi="Arial" w:cs="Arial"/>
              <w:sz w:val="24"/>
              <w:szCs w:val="24"/>
            </w:rPr>
            <w:instrText xml:space="preserve"> CITATION Jam161 \l 2057 </w:instrText>
          </w:r>
          <w:r w:rsidR="003A7620">
            <w:rPr>
              <w:rFonts w:ascii="Arial" w:hAnsi="Arial" w:cs="Arial"/>
              <w:sz w:val="24"/>
              <w:szCs w:val="24"/>
            </w:rPr>
            <w:fldChar w:fldCharType="separate"/>
          </w:r>
          <w:r w:rsidR="003A7620">
            <w:rPr>
              <w:rFonts w:ascii="Arial" w:hAnsi="Arial" w:cs="Arial"/>
              <w:noProof/>
              <w:sz w:val="24"/>
              <w:szCs w:val="24"/>
            </w:rPr>
            <w:t xml:space="preserve"> </w:t>
          </w:r>
          <w:r w:rsidR="003A7620" w:rsidRPr="003A7620">
            <w:rPr>
              <w:rFonts w:ascii="Arial" w:hAnsi="Arial" w:cs="Arial"/>
              <w:noProof/>
              <w:sz w:val="24"/>
              <w:szCs w:val="24"/>
            </w:rPr>
            <w:t>(Goudkamp, 2016)</w:t>
          </w:r>
          <w:r w:rsidR="003A7620">
            <w:rPr>
              <w:rFonts w:ascii="Arial" w:hAnsi="Arial" w:cs="Arial"/>
              <w:sz w:val="24"/>
              <w:szCs w:val="24"/>
            </w:rPr>
            <w:fldChar w:fldCharType="end"/>
          </w:r>
        </w:sdtContent>
      </w:sdt>
      <w:r w:rsidR="00491991">
        <w:rPr>
          <w:rFonts w:ascii="Arial" w:hAnsi="Arial" w:cs="Arial"/>
          <w:sz w:val="24"/>
          <w:szCs w:val="24"/>
        </w:rPr>
        <w:t xml:space="preserve">. </w:t>
      </w:r>
      <w:r w:rsidR="00DB62D1">
        <w:rPr>
          <w:rFonts w:ascii="Arial" w:hAnsi="Arial" w:cs="Arial"/>
          <w:sz w:val="24"/>
          <w:szCs w:val="24"/>
        </w:rPr>
        <w:t>S1(1)</w:t>
      </w:r>
      <w:r w:rsidR="0036020E">
        <w:rPr>
          <w:rFonts w:ascii="Arial" w:hAnsi="Arial" w:cs="Arial"/>
          <w:sz w:val="24"/>
          <w:szCs w:val="24"/>
        </w:rPr>
        <w:t xml:space="preserve"> </w:t>
      </w:r>
      <w:r w:rsidR="008231DA">
        <w:rPr>
          <w:rFonts w:ascii="Arial" w:hAnsi="Arial" w:cs="Arial"/>
          <w:sz w:val="24"/>
          <w:szCs w:val="24"/>
        </w:rPr>
        <w:t>expresses</w:t>
      </w:r>
      <w:r w:rsidR="003A0591">
        <w:rPr>
          <w:rFonts w:ascii="Arial" w:hAnsi="Arial" w:cs="Arial"/>
          <w:sz w:val="24"/>
          <w:szCs w:val="24"/>
        </w:rPr>
        <w:t xml:space="preserve"> that </w:t>
      </w:r>
      <w:r w:rsidR="004D7505">
        <w:rPr>
          <w:rFonts w:ascii="Arial" w:hAnsi="Arial" w:cs="Arial"/>
          <w:sz w:val="24"/>
          <w:szCs w:val="24"/>
        </w:rPr>
        <w:t>the defence can be used when</w:t>
      </w:r>
      <w:r w:rsidR="00DA7803">
        <w:rPr>
          <w:rFonts w:ascii="Arial" w:hAnsi="Arial" w:cs="Arial"/>
          <w:sz w:val="24"/>
          <w:szCs w:val="24"/>
        </w:rPr>
        <w:t xml:space="preserve"> a visitor is negligent in taking reasonable steps to protect their</w:t>
      </w:r>
      <w:r w:rsidR="00707061">
        <w:rPr>
          <w:rFonts w:ascii="Arial" w:hAnsi="Arial" w:cs="Arial"/>
          <w:sz w:val="24"/>
          <w:szCs w:val="24"/>
        </w:rPr>
        <w:t xml:space="preserve"> own</w:t>
      </w:r>
      <w:r w:rsidR="00DA7803">
        <w:rPr>
          <w:rFonts w:ascii="Arial" w:hAnsi="Arial" w:cs="Arial"/>
          <w:sz w:val="24"/>
          <w:szCs w:val="24"/>
        </w:rPr>
        <w:t xml:space="preserve"> safety</w:t>
      </w:r>
      <w:r w:rsidR="004D7505">
        <w:rPr>
          <w:rFonts w:ascii="Arial" w:hAnsi="Arial" w:cs="Arial"/>
          <w:sz w:val="24"/>
          <w:szCs w:val="24"/>
        </w:rPr>
        <w:t xml:space="preserve">. Although not a complete </w:t>
      </w:r>
      <w:r w:rsidR="00B80DC9">
        <w:rPr>
          <w:rFonts w:ascii="Arial" w:hAnsi="Arial" w:cs="Arial"/>
          <w:sz w:val="24"/>
          <w:szCs w:val="24"/>
        </w:rPr>
        <w:t xml:space="preserve">defence, it is commonly used and </w:t>
      </w:r>
      <w:r w:rsidR="00707061">
        <w:rPr>
          <w:rFonts w:ascii="Arial" w:hAnsi="Arial" w:cs="Arial"/>
          <w:sz w:val="24"/>
          <w:szCs w:val="24"/>
        </w:rPr>
        <w:t>revert</w:t>
      </w:r>
      <w:r w:rsidR="00B80DC9">
        <w:rPr>
          <w:rFonts w:ascii="Arial" w:hAnsi="Arial" w:cs="Arial"/>
          <w:sz w:val="24"/>
          <w:szCs w:val="24"/>
        </w:rPr>
        <w:t xml:space="preserve"> a large portion of </w:t>
      </w:r>
      <w:r w:rsidR="00A464CB">
        <w:rPr>
          <w:rFonts w:ascii="Arial" w:hAnsi="Arial" w:cs="Arial"/>
          <w:sz w:val="24"/>
          <w:szCs w:val="24"/>
        </w:rPr>
        <w:t xml:space="preserve">liability </w:t>
      </w:r>
      <w:r w:rsidR="003D7F18">
        <w:rPr>
          <w:rFonts w:ascii="Arial" w:hAnsi="Arial" w:cs="Arial"/>
          <w:sz w:val="24"/>
          <w:szCs w:val="24"/>
        </w:rPr>
        <w:t>back on to the defendant, in turn limiting damages.</w:t>
      </w:r>
      <w:r w:rsidR="006514BC">
        <w:rPr>
          <w:rFonts w:ascii="Arial" w:hAnsi="Arial" w:cs="Arial"/>
          <w:sz w:val="24"/>
          <w:szCs w:val="24"/>
        </w:rPr>
        <w:t xml:space="preserve"> This is evidenced in </w:t>
      </w:r>
      <w:r w:rsidR="00E13458">
        <w:rPr>
          <w:rFonts w:ascii="Arial" w:hAnsi="Arial" w:cs="Arial"/>
          <w:sz w:val="24"/>
          <w:szCs w:val="24"/>
        </w:rPr>
        <w:t>The White Lion Hotel v James (2021)</w:t>
      </w:r>
      <w:r w:rsidR="00010AD9">
        <w:rPr>
          <w:rFonts w:ascii="Arial" w:hAnsi="Arial" w:cs="Arial"/>
          <w:sz w:val="24"/>
          <w:szCs w:val="24"/>
        </w:rPr>
        <w:t xml:space="preserve"> with the defendant successfully </w:t>
      </w:r>
      <w:r w:rsidR="00E8526C">
        <w:rPr>
          <w:rFonts w:ascii="Arial" w:hAnsi="Arial" w:cs="Arial"/>
          <w:sz w:val="24"/>
          <w:szCs w:val="24"/>
        </w:rPr>
        <w:t xml:space="preserve">denying liability </w:t>
      </w:r>
      <w:r w:rsidR="00FA35AD">
        <w:rPr>
          <w:rFonts w:ascii="Arial" w:hAnsi="Arial" w:cs="Arial"/>
          <w:sz w:val="24"/>
          <w:szCs w:val="24"/>
        </w:rPr>
        <w:t>with the Courts finding</w:t>
      </w:r>
      <w:r w:rsidR="00E8526C">
        <w:rPr>
          <w:rFonts w:ascii="Arial" w:hAnsi="Arial" w:cs="Arial"/>
          <w:sz w:val="24"/>
          <w:szCs w:val="24"/>
        </w:rPr>
        <w:t xml:space="preserve"> 60%</w:t>
      </w:r>
      <w:r w:rsidR="00FA35AD">
        <w:rPr>
          <w:rFonts w:ascii="Arial" w:hAnsi="Arial" w:cs="Arial"/>
          <w:sz w:val="24"/>
          <w:szCs w:val="24"/>
        </w:rPr>
        <w:t xml:space="preserve"> contributory negligence.</w:t>
      </w:r>
    </w:p>
    <w:p w14:paraId="7B40AA4E" w14:textId="77777777" w:rsidR="009A5C91" w:rsidRDefault="009A5C91" w:rsidP="006B278C">
      <w:pPr>
        <w:ind w:left="720"/>
        <w:rPr>
          <w:rFonts w:ascii="Arial" w:hAnsi="Arial" w:cs="Arial"/>
          <w:sz w:val="24"/>
          <w:szCs w:val="24"/>
        </w:rPr>
      </w:pPr>
    </w:p>
    <w:p w14:paraId="69F8A3D9" w14:textId="77777777" w:rsidR="003618E6" w:rsidRDefault="003618E6" w:rsidP="007D39A0">
      <w:pPr>
        <w:ind w:left="720"/>
        <w:rPr>
          <w:rFonts w:ascii="Arial" w:hAnsi="Arial" w:cs="Arial"/>
          <w:noProof/>
          <w:sz w:val="24"/>
          <w:szCs w:val="24"/>
        </w:rPr>
      </w:pPr>
    </w:p>
    <w:p w14:paraId="458DC50E" w14:textId="6ACD8CB0" w:rsidR="004F0CDE" w:rsidRDefault="004F0CDE" w:rsidP="007D39A0">
      <w:pPr>
        <w:ind w:left="720"/>
        <w:rPr>
          <w:rFonts w:ascii="Arial" w:hAnsi="Arial" w:cs="Arial"/>
          <w:noProof/>
          <w:sz w:val="24"/>
          <w:szCs w:val="24"/>
        </w:rPr>
      </w:pPr>
    </w:p>
    <w:p w14:paraId="6A9B3DA3" w14:textId="73272926" w:rsidR="004F0CDE" w:rsidRDefault="00205453" w:rsidP="007D39A0">
      <w:pPr>
        <w:ind w:left="720"/>
        <w:rPr>
          <w:rFonts w:ascii="Arial" w:hAnsi="Arial" w:cs="Arial"/>
          <w:sz w:val="24"/>
          <w:szCs w:val="24"/>
        </w:rPr>
      </w:pPr>
      <w:r>
        <w:rPr>
          <w:rFonts w:ascii="Arial" w:hAnsi="Arial" w:cs="Arial"/>
          <w:sz w:val="24"/>
          <w:szCs w:val="24"/>
        </w:rPr>
        <w:t>Ultimately</w:t>
      </w:r>
      <w:r w:rsidR="00C4011A">
        <w:rPr>
          <w:rFonts w:ascii="Arial" w:hAnsi="Arial" w:cs="Arial"/>
          <w:sz w:val="24"/>
          <w:szCs w:val="24"/>
        </w:rPr>
        <w:t xml:space="preserve">, </w:t>
      </w:r>
      <w:r w:rsidR="00B36F7D">
        <w:rPr>
          <w:rFonts w:ascii="Arial" w:hAnsi="Arial" w:cs="Arial"/>
          <w:sz w:val="24"/>
          <w:szCs w:val="24"/>
        </w:rPr>
        <w:t xml:space="preserve">although </w:t>
      </w:r>
      <w:r w:rsidR="00511F3F">
        <w:rPr>
          <w:rFonts w:ascii="Arial" w:hAnsi="Arial" w:cs="Arial"/>
          <w:sz w:val="24"/>
          <w:szCs w:val="24"/>
        </w:rPr>
        <w:t>it is fairly established that</w:t>
      </w:r>
      <w:r w:rsidR="000F2614">
        <w:rPr>
          <w:rFonts w:ascii="Arial" w:hAnsi="Arial" w:cs="Arial"/>
          <w:sz w:val="24"/>
          <w:szCs w:val="24"/>
        </w:rPr>
        <w:t xml:space="preserve"> </w:t>
      </w:r>
      <w:r w:rsidR="006D6248">
        <w:rPr>
          <w:rFonts w:ascii="Arial" w:hAnsi="Arial" w:cs="Arial"/>
          <w:sz w:val="24"/>
          <w:szCs w:val="24"/>
        </w:rPr>
        <w:t>occupiers</w:t>
      </w:r>
      <w:r w:rsidR="000F2614">
        <w:rPr>
          <w:rFonts w:ascii="Arial" w:hAnsi="Arial" w:cs="Arial"/>
          <w:sz w:val="24"/>
          <w:szCs w:val="24"/>
        </w:rPr>
        <w:t xml:space="preserve"> must adhere to strict provisions to protect </w:t>
      </w:r>
      <w:r w:rsidR="00A8650F">
        <w:rPr>
          <w:rFonts w:ascii="Arial" w:hAnsi="Arial" w:cs="Arial"/>
          <w:sz w:val="24"/>
          <w:szCs w:val="24"/>
        </w:rPr>
        <w:t xml:space="preserve">visitors against harm, </w:t>
      </w:r>
      <w:r w:rsidR="002808DD">
        <w:rPr>
          <w:rFonts w:ascii="Arial" w:hAnsi="Arial" w:cs="Arial"/>
          <w:sz w:val="24"/>
          <w:szCs w:val="24"/>
        </w:rPr>
        <w:t xml:space="preserve">there is undoubtably multiple caveats that </w:t>
      </w:r>
      <w:r w:rsidR="005C20D9">
        <w:rPr>
          <w:rFonts w:ascii="Arial" w:hAnsi="Arial" w:cs="Arial"/>
          <w:sz w:val="24"/>
          <w:szCs w:val="24"/>
        </w:rPr>
        <w:t xml:space="preserve">limit the extent of their liability </w:t>
      </w:r>
      <w:r w:rsidR="00B31DDF">
        <w:rPr>
          <w:rFonts w:ascii="Arial" w:hAnsi="Arial" w:cs="Arial"/>
          <w:sz w:val="24"/>
          <w:szCs w:val="24"/>
        </w:rPr>
        <w:t>for accidents</w:t>
      </w:r>
      <w:sdt>
        <w:sdtPr>
          <w:rPr>
            <w:rFonts w:ascii="Arial" w:hAnsi="Arial" w:cs="Arial"/>
            <w:sz w:val="24"/>
            <w:szCs w:val="24"/>
          </w:rPr>
          <w:id w:val="1906256056"/>
          <w:citation/>
        </w:sdtPr>
        <w:sdtContent>
          <w:r w:rsidR="00B31DDF">
            <w:rPr>
              <w:rFonts w:ascii="Arial" w:hAnsi="Arial" w:cs="Arial"/>
              <w:sz w:val="24"/>
              <w:szCs w:val="24"/>
            </w:rPr>
            <w:fldChar w:fldCharType="begin"/>
          </w:r>
          <w:r w:rsidR="00B31DDF">
            <w:rPr>
              <w:rFonts w:ascii="Arial" w:hAnsi="Arial" w:cs="Arial"/>
              <w:sz w:val="24"/>
              <w:szCs w:val="24"/>
            </w:rPr>
            <w:instrText xml:space="preserve"> CITATION Nig01 \l 2057 </w:instrText>
          </w:r>
          <w:r w:rsidR="00B31DDF">
            <w:rPr>
              <w:rFonts w:ascii="Arial" w:hAnsi="Arial" w:cs="Arial"/>
              <w:sz w:val="24"/>
              <w:szCs w:val="24"/>
            </w:rPr>
            <w:fldChar w:fldCharType="separate"/>
          </w:r>
          <w:r w:rsidR="00B31DDF">
            <w:rPr>
              <w:rFonts w:ascii="Arial" w:hAnsi="Arial" w:cs="Arial"/>
              <w:noProof/>
              <w:sz w:val="24"/>
              <w:szCs w:val="24"/>
            </w:rPr>
            <w:t xml:space="preserve"> </w:t>
          </w:r>
          <w:r w:rsidR="00B31DDF" w:rsidRPr="00B31DDF">
            <w:rPr>
              <w:rFonts w:ascii="Arial" w:hAnsi="Arial" w:cs="Arial"/>
              <w:noProof/>
              <w:sz w:val="24"/>
              <w:szCs w:val="24"/>
            </w:rPr>
            <w:t>(Baker, 2001)</w:t>
          </w:r>
          <w:r w:rsidR="00B31DDF">
            <w:rPr>
              <w:rFonts w:ascii="Arial" w:hAnsi="Arial" w:cs="Arial"/>
              <w:sz w:val="24"/>
              <w:szCs w:val="24"/>
            </w:rPr>
            <w:fldChar w:fldCharType="end"/>
          </w:r>
        </w:sdtContent>
      </w:sdt>
      <w:r w:rsidR="00B31DDF">
        <w:rPr>
          <w:rFonts w:ascii="Arial" w:hAnsi="Arial" w:cs="Arial"/>
          <w:sz w:val="24"/>
          <w:szCs w:val="24"/>
        </w:rPr>
        <w:t>.</w:t>
      </w:r>
      <w:r w:rsidR="00607B17">
        <w:rPr>
          <w:rFonts w:ascii="Arial" w:hAnsi="Arial" w:cs="Arial"/>
          <w:sz w:val="24"/>
          <w:szCs w:val="24"/>
        </w:rPr>
        <w:t xml:space="preserve"> </w:t>
      </w:r>
      <w:r w:rsidR="00D04987">
        <w:rPr>
          <w:rFonts w:ascii="Arial" w:hAnsi="Arial" w:cs="Arial"/>
          <w:sz w:val="24"/>
          <w:szCs w:val="24"/>
        </w:rPr>
        <w:t>The discrepancy between cases brought under</w:t>
      </w:r>
      <w:r w:rsidR="00D65663" w:rsidRPr="00D65663">
        <w:rPr>
          <w:rFonts w:ascii="Arial" w:hAnsi="Arial" w:cs="Arial"/>
          <w:noProof/>
          <w:sz w:val="24"/>
          <w:szCs w:val="24"/>
        </w:rPr>
        <w:t xml:space="preserve"> </w:t>
      </w:r>
      <w:r w:rsidR="00D65663">
        <w:rPr>
          <w:rFonts w:ascii="Arial" w:hAnsi="Arial" w:cs="Arial"/>
          <w:noProof/>
          <w:sz w:val="24"/>
          <w:szCs w:val="24"/>
        </w:rPr>
        <w:t>s1 (3b) OLA 1984</w:t>
      </w:r>
      <w:r w:rsidR="00D65663">
        <w:rPr>
          <w:rFonts w:ascii="Arial" w:hAnsi="Arial" w:cs="Arial"/>
          <w:noProof/>
          <w:sz w:val="24"/>
          <w:szCs w:val="24"/>
        </w:rPr>
        <w:t xml:space="preserve"> alone </w:t>
      </w:r>
      <w:r w:rsidR="00BE03B1">
        <w:rPr>
          <w:rFonts w:ascii="Arial" w:hAnsi="Arial" w:cs="Arial"/>
          <w:noProof/>
          <w:sz w:val="24"/>
          <w:szCs w:val="24"/>
        </w:rPr>
        <w:t xml:space="preserve">show that even in </w:t>
      </w:r>
      <w:r w:rsidR="006F39EE">
        <w:rPr>
          <w:rFonts w:ascii="Arial" w:hAnsi="Arial" w:cs="Arial"/>
          <w:noProof/>
          <w:sz w:val="24"/>
          <w:szCs w:val="24"/>
        </w:rPr>
        <w:t>seemingly clear cut cases,</w:t>
      </w:r>
      <w:r w:rsidR="006F31B5">
        <w:rPr>
          <w:rFonts w:ascii="Arial" w:hAnsi="Arial" w:cs="Arial"/>
          <w:noProof/>
          <w:sz w:val="24"/>
          <w:szCs w:val="24"/>
        </w:rPr>
        <w:t xml:space="preserve"> an occupier is afforded limiting circumstances</w:t>
      </w:r>
      <w:r w:rsidR="00273E68">
        <w:rPr>
          <w:rFonts w:ascii="Arial" w:hAnsi="Arial" w:cs="Arial"/>
          <w:noProof/>
          <w:sz w:val="24"/>
          <w:szCs w:val="24"/>
        </w:rPr>
        <w:t xml:space="preserve"> of established liability.</w:t>
      </w:r>
      <w:r w:rsidR="00E94ACB">
        <w:rPr>
          <w:rFonts w:ascii="Arial" w:hAnsi="Arial" w:cs="Arial"/>
          <w:noProof/>
          <w:sz w:val="24"/>
          <w:szCs w:val="24"/>
        </w:rPr>
        <w:t xml:space="preserve"> </w:t>
      </w:r>
      <w:r w:rsidR="00026FC1">
        <w:rPr>
          <w:rFonts w:ascii="Arial" w:hAnsi="Arial" w:cs="Arial"/>
          <w:noProof/>
          <w:sz w:val="24"/>
          <w:szCs w:val="24"/>
        </w:rPr>
        <w:t>Although not always applicable, the breadth of defences</w:t>
      </w:r>
      <w:r w:rsidR="00D15979">
        <w:rPr>
          <w:rFonts w:ascii="Arial" w:hAnsi="Arial" w:cs="Arial"/>
          <w:noProof/>
          <w:sz w:val="24"/>
          <w:szCs w:val="24"/>
        </w:rPr>
        <w:t xml:space="preserve"> signals that</w:t>
      </w:r>
      <w:r w:rsidR="00E94ACB">
        <w:rPr>
          <w:rFonts w:ascii="Arial" w:hAnsi="Arial" w:cs="Arial"/>
          <w:noProof/>
          <w:sz w:val="24"/>
          <w:szCs w:val="24"/>
        </w:rPr>
        <w:t xml:space="preserve"> are </w:t>
      </w:r>
      <w:r w:rsidR="00D15979">
        <w:rPr>
          <w:rFonts w:ascii="Arial" w:hAnsi="Arial" w:cs="Arial"/>
          <w:noProof/>
          <w:sz w:val="24"/>
          <w:szCs w:val="24"/>
        </w:rPr>
        <w:t>multiple opputunities to lessen liability</w:t>
      </w:r>
      <w:r w:rsidR="00DE1491">
        <w:rPr>
          <w:rFonts w:ascii="Arial" w:hAnsi="Arial" w:cs="Arial"/>
          <w:noProof/>
          <w:sz w:val="24"/>
          <w:szCs w:val="24"/>
        </w:rPr>
        <w:t xml:space="preserve"> </w:t>
      </w:r>
      <w:r w:rsidR="008C27E5">
        <w:rPr>
          <w:rFonts w:ascii="Arial" w:hAnsi="Arial" w:cs="Arial"/>
          <w:noProof/>
          <w:sz w:val="24"/>
          <w:szCs w:val="24"/>
        </w:rPr>
        <w:t xml:space="preserve">and </w:t>
      </w:r>
      <w:r w:rsidR="00DE1491">
        <w:rPr>
          <w:rFonts w:ascii="Arial" w:hAnsi="Arial" w:cs="Arial"/>
          <w:noProof/>
          <w:sz w:val="24"/>
          <w:szCs w:val="24"/>
        </w:rPr>
        <w:t>clear reform is required to provide clarity</w:t>
      </w:r>
      <w:sdt>
        <w:sdtPr>
          <w:rPr>
            <w:rFonts w:ascii="Arial" w:hAnsi="Arial" w:cs="Arial"/>
            <w:noProof/>
            <w:sz w:val="24"/>
            <w:szCs w:val="24"/>
          </w:rPr>
          <w:id w:val="1973550779"/>
          <w:citation/>
        </w:sdtPr>
        <w:sdtContent>
          <w:r w:rsidR="005F3840">
            <w:rPr>
              <w:rFonts w:ascii="Arial" w:hAnsi="Arial" w:cs="Arial"/>
              <w:noProof/>
              <w:sz w:val="24"/>
              <w:szCs w:val="24"/>
            </w:rPr>
            <w:fldChar w:fldCharType="begin"/>
          </w:r>
          <w:r w:rsidR="005F3840">
            <w:rPr>
              <w:rFonts w:ascii="Arial" w:hAnsi="Arial" w:cs="Arial"/>
              <w:noProof/>
              <w:sz w:val="24"/>
              <w:szCs w:val="24"/>
            </w:rPr>
            <w:instrText xml:space="preserve"> CITATION Kum17 \l 2057 </w:instrText>
          </w:r>
          <w:r w:rsidR="005F3840">
            <w:rPr>
              <w:rFonts w:ascii="Arial" w:hAnsi="Arial" w:cs="Arial"/>
              <w:noProof/>
              <w:sz w:val="24"/>
              <w:szCs w:val="24"/>
            </w:rPr>
            <w:fldChar w:fldCharType="separate"/>
          </w:r>
          <w:r w:rsidR="005F3840">
            <w:rPr>
              <w:rFonts w:ascii="Arial" w:hAnsi="Arial" w:cs="Arial"/>
              <w:noProof/>
              <w:sz w:val="24"/>
              <w:szCs w:val="24"/>
            </w:rPr>
            <w:t xml:space="preserve"> </w:t>
          </w:r>
          <w:r w:rsidR="005F3840" w:rsidRPr="005F3840">
            <w:rPr>
              <w:rFonts w:ascii="Arial" w:hAnsi="Arial" w:cs="Arial"/>
              <w:noProof/>
              <w:sz w:val="24"/>
              <w:szCs w:val="24"/>
            </w:rPr>
            <w:t>(Amirthalingham, 2017)</w:t>
          </w:r>
          <w:r w:rsidR="005F3840">
            <w:rPr>
              <w:rFonts w:ascii="Arial" w:hAnsi="Arial" w:cs="Arial"/>
              <w:noProof/>
              <w:sz w:val="24"/>
              <w:szCs w:val="24"/>
            </w:rPr>
            <w:fldChar w:fldCharType="end"/>
          </w:r>
        </w:sdtContent>
      </w:sdt>
      <w:r w:rsidR="00DE1491">
        <w:rPr>
          <w:rFonts w:ascii="Arial" w:hAnsi="Arial" w:cs="Arial"/>
          <w:noProof/>
          <w:sz w:val="24"/>
          <w:szCs w:val="24"/>
        </w:rPr>
        <w:t>.</w:t>
      </w:r>
      <w:r w:rsidR="00273E68">
        <w:rPr>
          <w:rFonts w:ascii="Arial" w:hAnsi="Arial" w:cs="Arial"/>
          <w:noProof/>
          <w:sz w:val="24"/>
          <w:szCs w:val="24"/>
        </w:rPr>
        <w:t>This coupled with</w:t>
      </w:r>
      <w:r w:rsidR="00470C24">
        <w:rPr>
          <w:rFonts w:ascii="Arial" w:hAnsi="Arial" w:cs="Arial"/>
          <w:noProof/>
          <w:sz w:val="24"/>
          <w:szCs w:val="24"/>
        </w:rPr>
        <w:t xml:space="preserve"> the </w:t>
      </w:r>
      <w:r w:rsidR="006B698B">
        <w:rPr>
          <w:rFonts w:ascii="Arial" w:hAnsi="Arial" w:cs="Arial"/>
          <w:sz w:val="24"/>
          <w:szCs w:val="24"/>
        </w:rPr>
        <w:t xml:space="preserve">opportunity </w:t>
      </w:r>
      <w:r w:rsidR="006B698B">
        <w:rPr>
          <w:rFonts w:ascii="Arial" w:hAnsi="Arial" w:cs="Arial"/>
          <w:noProof/>
          <w:sz w:val="24"/>
          <w:szCs w:val="24"/>
        </w:rPr>
        <w:t>to</w:t>
      </w:r>
      <w:r w:rsidR="00470C24">
        <w:rPr>
          <w:rFonts w:ascii="Arial" w:hAnsi="Arial" w:cs="Arial"/>
          <w:noProof/>
          <w:sz w:val="24"/>
          <w:szCs w:val="24"/>
        </w:rPr>
        <w:t xml:space="preserve"> withdraw</w:t>
      </w:r>
      <w:r w:rsidR="00040316">
        <w:rPr>
          <w:rFonts w:ascii="Arial" w:hAnsi="Arial" w:cs="Arial"/>
          <w:noProof/>
          <w:sz w:val="24"/>
          <w:szCs w:val="24"/>
        </w:rPr>
        <w:t xml:space="preserve"> liability all together prove </w:t>
      </w:r>
      <w:r w:rsidR="00D7419D">
        <w:rPr>
          <w:rFonts w:ascii="Arial" w:hAnsi="Arial" w:cs="Arial"/>
          <w:noProof/>
          <w:sz w:val="24"/>
          <w:szCs w:val="24"/>
        </w:rPr>
        <w:t>that the occupiers are certainly not always held liable for accidents occuring on their premises.</w:t>
      </w:r>
    </w:p>
    <w:p w14:paraId="164172EC" w14:textId="77777777" w:rsidR="00FE6735" w:rsidRDefault="00FE6735" w:rsidP="007D39A0">
      <w:pPr>
        <w:ind w:left="720"/>
        <w:rPr>
          <w:rFonts w:ascii="Arial" w:hAnsi="Arial" w:cs="Arial"/>
          <w:noProof/>
          <w:sz w:val="24"/>
          <w:szCs w:val="24"/>
        </w:rPr>
      </w:pPr>
    </w:p>
    <w:p w14:paraId="75B1E2E4" w14:textId="77777777" w:rsidR="00FE6735" w:rsidRDefault="00FE6735" w:rsidP="007D39A0">
      <w:pPr>
        <w:ind w:left="720"/>
        <w:rPr>
          <w:rFonts w:ascii="Arial" w:hAnsi="Arial" w:cs="Arial"/>
          <w:sz w:val="24"/>
          <w:szCs w:val="24"/>
        </w:rPr>
      </w:pPr>
    </w:p>
    <w:p w14:paraId="54EC231A" w14:textId="77777777" w:rsidR="00FE6735" w:rsidRDefault="00FE6735" w:rsidP="007D39A0">
      <w:pPr>
        <w:ind w:left="720"/>
        <w:rPr>
          <w:rFonts w:ascii="Arial" w:hAnsi="Arial" w:cs="Arial"/>
          <w:sz w:val="24"/>
          <w:szCs w:val="24"/>
        </w:rPr>
      </w:pPr>
    </w:p>
    <w:p w14:paraId="0EBCA990" w14:textId="77777777" w:rsidR="00FE6735" w:rsidRDefault="00FE6735" w:rsidP="007D39A0">
      <w:pPr>
        <w:ind w:left="720"/>
        <w:rPr>
          <w:rFonts w:ascii="Arial" w:hAnsi="Arial" w:cs="Arial"/>
          <w:sz w:val="24"/>
          <w:szCs w:val="24"/>
        </w:rPr>
      </w:pPr>
    </w:p>
    <w:p w14:paraId="00257D84" w14:textId="77777777" w:rsidR="00FE6735" w:rsidRDefault="00FE6735" w:rsidP="007D39A0">
      <w:pPr>
        <w:ind w:left="720"/>
        <w:rPr>
          <w:rFonts w:ascii="Arial" w:hAnsi="Arial" w:cs="Arial"/>
          <w:sz w:val="24"/>
          <w:szCs w:val="24"/>
        </w:rPr>
      </w:pPr>
    </w:p>
    <w:p w14:paraId="57D28B64" w14:textId="77777777" w:rsidR="00FE6735" w:rsidRDefault="00FE6735" w:rsidP="007D39A0">
      <w:pPr>
        <w:ind w:left="720"/>
        <w:rPr>
          <w:rFonts w:ascii="Arial" w:hAnsi="Arial" w:cs="Arial"/>
          <w:sz w:val="24"/>
          <w:szCs w:val="24"/>
        </w:rPr>
      </w:pPr>
    </w:p>
    <w:p w14:paraId="6C7F8692" w14:textId="394CF151" w:rsidR="001015ED" w:rsidRDefault="00FA5F0E" w:rsidP="007D39A0">
      <w:pPr>
        <w:ind w:left="720"/>
        <w:rPr>
          <w:rFonts w:ascii="Arial" w:hAnsi="Arial" w:cs="Arial"/>
          <w:sz w:val="24"/>
          <w:szCs w:val="24"/>
        </w:rPr>
      </w:pPr>
      <w:r>
        <w:rPr>
          <w:rFonts w:ascii="Arial" w:hAnsi="Arial" w:cs="Arial"/>
          <w:sz w:val="24"/>
          <w:szCs w:val="24"/>
        </w:rPr>
        <w:t xml:space="preserve">  </w:t>
      </w:r>
    </w:p>
    <w:p w14:paraId="677CB299" w14:textId="77777777" w:rsidR="00A428D2" w:rsidRDefault="00A428D2" w:rsidP="00A67FB1">
      <w:pPr>
        <w:ind w:left="720"/>
        <w:rPr>
          <w:rFonts w:ascii="Arial" w:hAnsi="Arial" w:cs="Arial"/>
          <w:sz w:val="24"/>
          <w:szCs w:val="24"/>
        </w:rPr>
      </w:pPr>
    </w:p>
    <w:p w14:paraId="568B28D3" w14:textId="77777777" w:rsidR="001015ED" w:rsidRPr="00A406E5" w:rsidRDefault="001015E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p w14:paraId="27B96C3E" w14:textId="77777777" w:rsidR="00D22D9C" w:rsidRPr="00A406E5" w:rsidRDefault="00D22D9C" w:rsidP="00D22D9C">
      <w:pPr>
        <w:jc w:val="both"/>
        <w:rPr>
          <w:rFonts w:ascii="Arial" w:hAnsi="Arial" w:cs="Arial"/>
          <w:sz w:val="22"/>
          <w:szCs w:val="22"/>
        </w:rPr>
      </w:pPr>
    </w:p>
    <w:p w14:paraId="01B538F8"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p w14:paraId="1FA0B67E" w14:textId="77777777" w:rsidR="007D5DE2" w:rsidRPr="00D9771E" w:rsidRDefault="007D5DE2" w:rsidP="007D5DE2">
      <w:pPr>
        <w:rPr>
          <w:rFonts w:ascii="Arial" w:hAnsi="Arial" w:cs="Arial"/>
        </w:rPr>
      </w:pPr>
    </w:p>
    <w:p w14:paraId="2977FF78" w14:textId="0C4201FB"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8D9ED" w14:textId="77777777" w:rsidR="00C870AC" w:rsidRDefault="00C870AC">
      <w:r>
        <w:separator/>
      </w:r>
    </w:p>
  </w:endnote>
  <w:endnote w:type="continuationSeparator" w:id="0">
    <w:p w14:paraId="3A55E03D" w14:textId="77777777" w:rsidR="00C870AC" w:rsidRDefault="00C87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0A1C6" w14:textId="77777777" w:rsidR="00C870AC" w:rsidRDefault="00C870AC">
      <w:r>
        <w:separator/>
      </w:r>
    </w:p>
  </w:footnote>
  <w:footnote w:type="continuationSeparator" w:id="0">
    <w:p w14:paraId="5D58A03D" w14:textId="77777777" w:rsidR="00C870AC" w:rsidRDefault="00C870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147B1B"/>
    <w:multiLevelType w:val="multilevel"/>
    <w:tmpl w:val="29A04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05E"/>
    <w:rsid w:val="00002BB2"/>
    <w:rsid w:val="00002CB6"/>
    <w:rsid w:val="00002DEF"/>
    <w:rsid w:val="000036FB"/>
    <w:rsid w:val="00004459"/>
    <w:rsid w:val="00006CDE"/>
    <w:rsid w:val="00010AD9"/>
    <w:rsid w:val="00011666"/>
    <w:rsid w:val="00011BF0"/>
    <w:rsid w:val="00025122"/>
    <w:rsid w:val="0002570A"/>
    <w:rsid w:val="00026B02"/>
    <w:rsid w:val="00026FC1"/>
    <w:rsid w:val="000272C6"/>
    <w:rsid w:val="00032FC2"/>
    <w:rsid w:val="0003354C"/>
    <w:rsid w:val="00034168"/>
    <w:rsid w:val="00040316"/>
    <w:rsid w:val="00041E77"/>
    <w:rsid w:val="0004381C"/>
    <w:rsid w:val="00046480"/>
    <w:rsid w:val="0004778F"/>
    <w:rsid w:val="00051253"/>
    <w:rsid w:val="00052947"/>
    <w:rsid w:val="00054EF9"/>
    <w:rsid w:val="00055244"/>
    <w:rsid w:val="00055F4F"/>
    <w:rsid w:val="0005734D"/>
    <w:rsid w:val="00060196"/>
    <w:rsid w:val="000620A1"/>
    <w:rsid w:val="000669A4"/>
    <w:rsid w:val="00067F0B"/>
    <w:rsid w:val="00071906"/>
    <w:rsid w:val="000729A3"/>
    <w:rsid w:val="00073351"/>
    <w:rsid w:val="000758D2"/>
    <w:rsid w:val="00081820"/>
    <w:rsid w:val="000822E5"/>
    <w:rsid w:val="0008474B"/>
    <w:rsid w:val="000859B4"/>
    <w:rsid w:val="00086690"/>
    <w:rsid w:val="00090084"/>
    <w:rsid w:val="000901E1"/>
    <w:rsid w:val="0009110E"/>
    <w:rsid w:val="00092175"/>
    <w:rsid w:val="0009592E"/>
    <w:rsid w:val="000971FC"/>
    <w:rsid w:val="000976F1"/>
    <w:rsid w:val="000A2A3A"/>
    <w:rsid w:val="000A398E"/>
    <w:rsid w:val="000A3C74"/>
    <w:rsid w:val="000A492A"/>
    <w:rsid w:val="000A5933"/>
    <w:rsid w:val="000A6334"/>
    <w:rsid w:val="000A6383"/>
    <w:rsid w:val="000A7B52"/>
    <w:rsid w:val="000B03E0"/>
    <w:rsid w:val="000B050B"/>
    <w:rsid w:val="000B1A0F"/>
    <w:rsid w:val="000B64BA"/>
    <w:rsid w:val="000C5D84"/>
    <w:rsid w:val="000D2F80"/>
    <w:rsid w:val="000D31F3"/>
    <w:rsid w:val="000D3A22"/>
    <w:rsid w:val="000E1507"/>
    <w:rsid w:val="000E413A"/>
    <w:rsid w:val="000E55B9"/>
    <w:rsid w:val="000F2614"/>
    <w:rsid w:val="000F2E89"/>
    <w:rsid w:val="000F47C0"/>
    <w:rsid w:val="000F5AA3"/>
    <w:rsid w:val="000F6773"/>
    <w:rsid w:val="000F7546"/>
    <w:rsid w:val="000F7FE6"/>
    <w:rsid w:val="00100396"/>
    <w:rsid w:val="00100A2A"/>
    <w:rsid w:val="00100B5C"/>
    <w:rsid w:val="001015ED"/>
    <w:rsid w:val="00101A42"/>
    <w:rsid w:val="00102F12"/>
    <w:rsid w:val="001032BD"/>
    <w:rsid w:val="0010410F"/>
    <w:rsid w:val="0010677E"/>
    <w:rsid w:val="001068EF"/>
    <w:rsid w:val="0010771C"/>
    <w:rsid w:val="0011038A"/>
    <w:rsid w:val="001106E9"/>
    <w:rsid w:val="001126E2"/>
    <w:rsid w:val="00120268"/>
    <w:rsid w:val="00120CAD"/>
    <w:rsid w:val="0012116D"/>
    <w:rsid w:val="001218EC"/>
    <w:rsid w:val="001236D6"/>
    <w:rsid w:val="00124CA5"/>
    <w:rsid w:val="001317DA"/>
    <w:rsid w:val="00131B99"/>
    <w:rsid w:val="00134153"/>
    <w:rsid w:val="0013443E"/>
    <w:rsid w:val="00134F77"/>
    <w:rsid w:val="001363A5"/>
    <w:rsid w:val="001378E6"/>
    <w:rsid w:val="00141D4F"/>
    <w:rsid w:val="00141E24"/>
    <w:rsid w:val="00144437"/>
    <w:rsid w:val="00150E0B"/>
    <w:rsid w:val="00152482"/>
    <w:rsid w:val="00152E9D"/>
    <w:rsid w:val="00154487"/>
    <w:rsid w:val="00156E4C"/>
    <w:rsid w:val="00160E2A"/>
    <w:rsid w:val="00164B24"/>
    <w:rsid w:val="00166BAA"/>
    <w:rsid w:val="001671DA"/>
    <w:rsid w:val="00170414"/>
    <w:rsid w:val="00174726"/>
    <w:rsid w:val="0017512A"/>
    <w:rsid w:val="00175D1A"/>
    <w:rsid w:val="0017653B"/>
    <w:rsid w:val="00177030"/>
    <w:rsid w:val="001779D1"/>
    <w:rsid w:val="00182192"/>
    <w:rsid w:val="00182ADC"/>
    <w:rsid w:val="001840E9"/>
    <w:rsid w:val="00190270"/>
    <w:rsid w:val="00191FD2"/>
    <w:rsid w:val="00194D6E"/>
    <w:rsid w:val="00196958"/>
    <w:rsid w:val="001A0FAB"/>
    <w:rsid w:val="001A1E39"/>
    <w:rsid w:val="001A24F3"/>
    <w:rsid w:val="001A54F0"/>
    <w:rsid w:val="001B1DB3"/>
    <w:rsid w:val="001B27A6"/>
    <w:rsid w:val="001B3D77"/>
    <w:rsid w:val="001B405C"/>
    <w:rsid w:val="001B5F45"/>
    <w:rsid w:val="001B7622"/>
    <w:rsid w:val="001C175B"/>
    <w:rsid w:val="001C17D6"/>
    <w:rsid w:val="001C2956"/>
    <w:rsid w:val="001D605E"/>
    <w:rsid w:val="001D724C"/>
    <w:rsid w:val="001D725D"/>
    <w:rsid w:val="001E1050"/>
    <w:rsid w:val="001E1E1F"/>
    <w:rsid w:val="001E2007"/>
    <w:rsid w:val="001E5339"/>
    <w:rsid w:val="001E57C1"/>
    <w:rsid w:val="001F07EF"/>
    <w:rsid w:val="001F0834"/>
    <w:rsid w:val="001F4E8B"/>
    <w:rsid w:val="001F50B6"/>
    <w:rsid w:val="001F6D7A"/>
    <w:rsid w:val="002008E9"/>
    <w:rsid w:val="00202B0F"/>
    <w:rsid w:val="00205453"/>
    <w:rsid w:val="00207741"/>
    <w:rsid w:val="00207A46"/>
    <w:rsid w:val="002102F6"/>
    <w:rsid w:val="00213DDF"/>
    <w:rsid w:val="002166AE"/>
    <w:rsid w:val="00224849"/>
    <w:rsid w:val="00224C3E"/>
    <w:rsid w:val="0022746E"/>
    <w:rsid w:val="0023168B"/>
    <w:rsid w:val="00231CA1"/>
    <w:rsid w:val="002336CD"/>
    <w:rsid w:val="00235F71"/>
    <w:rsid w:val="002444CA"/>
    <w:rsid w:val="0025121A"/>
    <w:rsid w:val="00253A6A"/>
    <w:rsid w:val="00254504"/>
    <w:rsid w:val="00255F73"/>
    <w:rsid w:val="00260DE6"/>
    <w:rsid w:val="00261EEE"/>
    <w:rsid w:val="002626A3"/>
    <w:rsid w:val="002651C7"/>
    <w:rsid w:val="00272BF5"/>
    <w:rsid w:val="00273E68"/>
    <w:rsid w:val="00273FEE"/>
    <w:rsid w:val="0027656D"/>
    <w:rsid w:val="00277724"/>
    <w:rsid w:val="002808DD"/>
    <w:rsid w:val="0028204E"/>
    <w:rsid w:val="002828B4"/>
    <w:rsid w:val="0028591B"/>
    <w:rsid w:val="002878BF"/>
    <w:rsid w:val="00287CA2"/>
    <w:rsid w:val="00291841"/>
    <w:rsid w:val="00292218"/>
    <w:rsid w:val="00292ACA"/>
    <w:rsid w:val="002967B9"/>
    <w:rsid w:val="002972A4"/>
    <w:rsid w:val="00297571"/>
    <w:rsid w:val="002A68E3"/>
    <w:rsid w:val="002A6B60"/>
    <w:rsid w:val="002A7328"/>
    <w:rsid w:val="002B4FEB"/>
    <w:rsid w:val="002B50AA"/>
    <w:rsid w:val="002B60DF"/>
    <w:rsid w:val="002B66E8"/>
    <w:rsid w:val="002B7AB9"/>
    <w:rsid w:val="002C245C"/>
    <w:rsid w:val="002C3D5A"/>
    <w:rsid w:val="002C449B"/>
    <w:rsid w:val="002C4F5E"/>
    <w:rsid w:val="002C6040"/>
    <w:rsid w:val="002C7AB9"/>
    <w:rsid w:val="002D5B3F"/>
    <w:rsid w:val="002D6158"/>
    <w:rsid w:val="002D698B"/>
    <w:rsid w:val="002E272E"/>
    <w:rsid w:val="002E32C5"/>
    <w:rsid w:val="002E3A19"/>
    <w:rsid w:val="002E6E11"/>
    <w:rsid w:val="002F00BB"/>
    <w:rsid w:val="002F24F3"/>
    <w:rsid w:val="002F476D"/>
    <w:rsid w:val="002F5778"/>
    <w:rsid w:val="002F5A53"/>
    <w:rsid w:val="002F61FD"/>
    <w:rsid w:val="002F6384"/>
    <w:rsid w:val="0030499E"/>
    <w:rsid w:val="00305EC8"/>
    <w:rsid w:val="003079D2"/>
    <w:rsid w:val="00307A82"/>
    <w:rsid w:val="003110EF"/>
    <w:rsid w:val="003117A0"/>
    <w:rsid w:val="00317A60"/>
    <w:rsid w:val="00321EE2"/>
    <w:rsid w:val="003223D1"/>
    <w:rsid w:val="003223E0"/>
    <w:rsid w:val="00326060"/>
    <w:rsid w:val="00326A87"/>
    <w:rsid w:val="00326BB7"/>
    <w:rsid w:val="0033141D"/>
    <w:rsid w:val="00334508"/>
    <w:rsid w:val="00335435"/>
    <w:rsid w:val="0034563B"/>
    <w:rsid w:val="00345E56"/>
    <w:rsid w:val="0034723B"/>
    <w:rsid w:val="00352C4A"/>
    <w:rsid w:val="00352DB1"/>
    <w:rsid w:val="00356D62"/>
    <w:rsid w:val="0036020E"/>
    <w:rsid w:val="003618E6"/>
    <w:rsid w:val="00362560"/>
    <w:rsid w:val="0036300C"/>
    <w:rsid w:val="0036533A"/>
    <w:rsid w:val="003710BF"/>
    <w:rsid w:val="003732FD"/>
    <w:rsid w:val="00374835"/>
    <w:rsid w:val="003753B2"/>
    <w:rsid w:val="00375599"/>
    <w:rsid w:val="00376559"/>
    <w:rsid w:val="00376AD2"/>
    <w:rsid w:val="0037796C"/>
    <w:rsid w:val="00382BAA"/>
    <w:rsid w:val="00384D73"/>
    <w:rsid w:val="00384F03"/>
    <w:rsid w:val="00385A3A"/>
    <w:rsid w:val="00386667"/>
    <w:rsid w:val="00393367"/>
    <w:rsid w:val="00393EB6"/>
    <w:rsid w:val="00396A12"/>
    <w:rsid w:val="003978EA"/>
    <w:rsid w:val="003A0591"/>
    <w:rsid w:val="003A382D"/>
    <w:rsid w:val="003A3CE5"/>
    <w:rsid w:val="003A59AE"/>
    <w:rsid w:val="003A6FAB"/>
    <w:rsid w:val="003A7620"/>
    <w:rsid w:val="003A7A16"/>
    <w:rsid w:val="003B366F"/>
    <w:rsid w:val="003B3F9D"/>
    <w:rsid w:val="003B5784"/>
    <w:rsid w:val="003B69A2"/>
    <w:rsid w:val="003B6C95"/>
    <w:rsid w:val="003C53BC"/>
    <w:rsid w:val="003C6EB2"/>
    <w:rsid w:val="003C7261"/>
    <w:rsid w:val="003D3F71"/>
    <w:rsid w:val="003D6F8F"/>
    <w:rsid w:val="003D7202"/>
    <w:rsid w:val="003D72DD"/>
    <w:rsid w:val="003D7F18"/>
    <w:rsid w:val="003E1CD9"/>
    <w:rsid w:val="003E3D2F"/>
    <w:rsid w:val="003E5751"/>
    <w:rsid w:val="003E789D"/>
    <w:rsid w:val="003F3334"/>
    <w:rsid w:val="003F3E58"/>
    <w:rsid w:val="00401B9D"/>
    <w:rsid w:val="004046A9"/>
    <w:rsid w:val="00404C50"/>
    <w:rsid w:val="004114C3"/>
    <w:rsid w:val="004128C0"/>
    <w:rsid w:val="0041635F"/>
    <w:rsid w:val="00417694"/>
    <w:rsid w:val="004200EA"/>
    <w:rsid w:val="004217A5"/>
    <w:rsid w:val="00423934"/>
    <w:rsid w:val="00425D4F"/>
    <w:rsid w:val="00426244"/>
    <w:rsid w:val="0043092E"/>
    <w:rsid w:val="00435D78"/>
    <w:rsid w:val="00436268"/>
    <w:rsid w:val="00437852"/>
    <w:rsid w:val="0044134C"/>
    <w:rsid w:val="00444B63"/>
    <w:rsid w:val="004500D3"/>
    <w:rsid w:val="00451810"/>
    <w:rsid w:val="004537B2"/>
    <w:rsid w:val="00453C33"/>
    <w:rsid w:val="0045504F"/>
    <w:rsid w:val="004553F5"/>
    <w:rsid w:val="00457B1F"/>
    <w:rsid w:val="004603F3"/>
    <w:rsid w:val="004618F7"/>
    <w:rsid w:val="004625AC"/>
    <w:rsid w:val="00463323"/>
    <w:rsid w:val="00470A38"/>
    <w:rsid w:val="00470C24"/>
    <w:rsid w:val="004741F6"/>
    <w:rsid w:val="00474C95"/>
    <w:rsid w:val="00475687"/>
    <w:rsid w:val="00477880"/>
    <w:rsid w:val="00481C25"/>
    <w:rsid w:val="00482437"/>
    <w:rsid w:val="00485734"/>
    <w:rsid w:val="00485EEF"/>
    <w:rsid w:val="00486D7A"/>
    <w:rsid w:val="004874DE"/>
    <w:rsid w:val="00490C0A"/>
    <w:rsid w:val="00491991"/>
    <w:rsid w:val="00492202"/>
    <w:rsid w:val="0049361E"/>
    <w:rsid w:val="0049425A"/>
    <w:rsid w:val="00494391"/>
    <w:rsid w:val="0049799A"/>
    <w:rsid w:val="004A3F3A"/>
    <w:rsid w:val="004B2C95"/>
    <w:rsid w:val="004B3D0F"/>
    <w:rsid w:val="004B4056"/>
    <w:rsid w:val="004B5334"/>
    <w:rsid w:val="004B5E14"/>
    <w:rsid w:val="004B68D9"/>
    <w:rsid w:val="004B6C14"/>
    <w:rsid w:val="004C0761"/>
    <w:rsid w:val="004C24F1"/>
    <w:rsid w:val="004C5B3B"/>
    <w:rsid w:val="004C739E"/>
    <w:rsid w:val="004D5E9B"/>
    <w:rsid w:val="004D63D9"/>
    <w:rsid w:val="004D6870"/>
    <w:rsid w:val="004D7505"/>
    <w:rsid w:val="004D7897"/>
    <w:rsid w:val="004E230E"/>
    <w:rsid w:val="004E37CF"/>
    <w:rsid w:val="004E57A1"/>
    <w:rsid w:val="004E6585"/>
    <w:rsid w:val="004E75C6"/>
    <w:rsid w:val="004E7C5F"/>
    <w:rsid w:val="004F0CDE"/>
    <w:rsid w:val="004F1AAE"/>
    <w:rsid w:val="004F24FC"/>
    <w:rsid w:val="004F38B4"/>
    <w:rsid w:val="004F4E91"/>
    <w:rsid w:val="004F57EC"/>
    <w:rsid w:val="004F5A86"/>
    <w:rsid w:val="004F7E70"/>
    <w:rsid w:val="005008F8"/>
    <w:rsid w:val="0050249F"/>
    <w:rsid w:val="0050525D"/>
    <w:rsid w:val="005061ED"/>
    <w:rsid w:val="00507484"/>
    <w:rsid w:val="00511629"/>
    <w:rsid w:val="00511F3F"/>
    <w:rsid w:val="005121F5"/>
    <w:rsid w:val="005124FB"/>
    <w:rsid w:val="00514E11"/>
    <w:rsid w:val="00517A6B"/>
    <w:rsid w:val="00524566"/>
    <w:rsid w:val="0052466F"/>
    <w:rsid w:val="0052677B"/>
    <w:rsid w:val="00527E60"/>
    <w:rsid w:val="00530BEF"/>
    <w:rsid w:val="005311EF"/>
    <w:rsid w:val="0053444A"/>
    <w:rsid w:val="0053454E"/>
    <w:rsid w:val="00540B40"/>
    <w:rsid w:val="00552351"/>
    <w:rsid w:val="005531E5"/>
    <w:rsid w:val="00556A5E"/>
    <w:rsid w:val="005603D2"/>
    <w:rsid w:val="0056054F"/>
    <w:rsid w:val="00561F00"/>
    <w:rsid w:val="005622CB"/>
    <w:rsid w:val="00562C4E"/>
    <w:rsid w:val="00562DEC"/>
    <w:rsid w:val="005636DD"/>
    <w:rsid w:val="0056406F"/>
    <w:rsid w:val="0056555B"/>
    <w:rsid w:val="005713EC"/>
    <w:rsid w:val="00576818"/>
    <w:rsid w:val="00576AB4"/>
    <w:rsid w:val="00576AC3"/>
    <w:rsid w:val="00577917"/>
    <w:rsid w:val="0058048A"/>
    <w:rsid w:val="00580960"/>
    <w:rsid w:val="0058175F"/>
    <w:rsid w:val="00581AC9"/>
    <w:rsid w:val="00583C7F"/>
    <w:rsid w:val="005859B9"/>
    <w:rsid w:val="00590667"/>
    <w:rsid w:val="0059357F"/>
    <w:rsid w:val="005969E2"/>
    <w:rsid w:val="005A0068"/>
    <w:rsid w:val="005A1689"/>
    <w:rsid w:val="005A3465"/>
    <w:rsid w:val="005A622C"/>
    <w:rsid w:val="005A69E8"/>
    <w:rsid w:val="005A6AAB"/>
    <w:rsid w:val="005B0D9A"/>
    <w:rsid w:val="005B10A8"/>
    <w:rsid w:val="005B2FFA"/>
    <w:rsid w:val="005B61CD"/>
    <w:rsid w:val="005B6B40"/>
    <w:rsid w:val="005B7848"/>
    <w:rsid w:val="005C20D9"/>
    <w:rsid w:val="005C36BE"/>
    <w:rsid w:val="005C3B6C"/>
    <w:rsid w:val="005C3D07"/>
    <w:rsid w:val="005C4E1B"/>
    <w:rsid w:val="005C579E"/>
    <w:rsid w:val="005C6D62"/>
    <w:rsid w:val="005D192C"/>
    <w:rsid w:val="005D1D58"/>
    <w:rsid w:val="005D432C"/>
    <w:rsid w:val="005D46A5"/>
    <w:rsid w:val="005D489E"/>
    <w:rsid w:val="005D49CA"/>
    <w:rsid w:val="005D5C3D"/>
    <w:rsid w:val="005E090E"/>
    <w:rsid w:val="005E0EAE"/>
    <w:rsid w:val="005E1AF5"/>
    <w:rsid w:val="005E285E"/>
    <w:rsid w:val="005E3346"/>
    <w:rsid w:val="005E3663"/>
    <w:rsid w:val="005E72F8"/>
    <w:rsid w:val="005E7977"/>
    <w:rsid w:val="005E7C21"/>
    <w:rsid w:val="005F0527"/>
    <w:rsid w:val="005F0579"/>
    <w:rsid w:val="005F09F4"/>
    <w:rsid w:val="005F1EC7"/>
    <w:rsid w:val="005F3840"/>
    <w:rsid w:val="005F3A53"/>
    <w:rsid w:val="005F592D"/>
    <w:rsid w:val="005F6FF9"/>
    <w:rsid w:val="005F72BF"/>
    <w:rsid w:val="005F7E2B"/>
    <w:rsid w:val="006000A3"/>
    <w:rsid w:val="00600BAC"/>
    <w:rsid w:val="0060117B"/>
    <w:rsid w:val="00605F4E"/>
    <w:rsid w:val="006062A3"/>
    <w:rsid w:val="00607B17"/>
    <w:rsid w:val="00610268"/>
    <w:rsid w:val="00610E08"/>
    <w:rsid w:val="006115E7"/>
    <w:rsid w:val="00613263"/>
    <w:rsid w:val="006140BF"/>
    <w:rsid w:val="00614ECB"/>
    <w:rsid w:val="006161BE"/>
    <w:rsid w:val="00616A3E"/>
    <w:rsid w:val="00617995"/>
    <w:rsid w:val="00620787"/>
    <w:rsid w:val="006233D6"/>
    <w:rsid w:val="006258AC"/>
    <w:rsid w:val="00632434"/>
    <w:rsid w:val="0063478F"/>
    <w:rsid w:val="00635351"/>
    <w:rsid w:val="006366EA"/>
    <w:rsid w:val="006368BC"/>
    <w:rsid w:val="00641FDE"/>
    <w:rsid w:val="00644256"/>
    <w:rsid w:val="00645FBE"/>
    <w:rsid w:val="00650E6D"/>
    <w:rsid w:val="006514BC"/>
    <w:rsid w:val="006528BC"/>
    <w:rsid w:val="00652C56"/>
    <w:rsid w:val="00654D5B"/>
    <w:rsid w:val="00655F49"/>
    <w:rsid w:val="00656C2B"/>
    <w:rsid w:val="006600F2"/>
    <w:rsid w:val="00661D5D"/>
    <w:rsid w:val="00661D6F"/>
    <w:rsid w:val="006628E9"/>
    <w:rsid w:val="0066335D"/>
    <w:rsid w:val="006640F6"/>
    <w:rsid w:val="006661FE"/>
    <w:rsid w:val="0066725E"/>
    <w:rsid w:val="00667CE4"/>
    <w:rsid w:val="006716C7"/>
    <w:rsid w:val="00672300"/>
    <w:rsid w:val="0067358C"/>
    <w:rsid w:val="00676625"/>
    <w:rsid w:val="00677A8F"/>
    <w:rsid w:val="006807F7"/>
    <w:rsid w:val="00681208"/>
    <w:rsid w:val="00681FA9"/>
    <w:rsid w:val="00687A4E"/>
    <w:rsid w:val="00690ACF"/>
    <w:rsid w:val="00691EA9"/>
    <w:rsid w:val="006934D4"/>
    <w:rsid w:val="006A36EA"/>
    <w:rsid w:val="006A6781"/>
    <w:rsid w:val="006A6B61"/>
    <w:rsid w:val="006A6DC3"/>
    <w:rsid w:val="006B278C"/>
    <w:rsid w:val="006B698B"/>
    <w:rsid w:val="006B6BF5"/>
    <w:rsid w:val="006B78DB"/>
    <w:rsid w:val="006C7655"/>
    <w:rsid w:val="006D07D7"/>
    <w:rsid w:val="006D47E0"/>
    <w:rsid w:val="006D49ED"/>
    <w:rsid w:val="006D55CE"/>
    <w:rsid w:val="006D5EA2"/>
    <w:rsid w:val="006D61C5"/>
    <w:rsid w:val="006D6248"/>
    <w:rsid w:val="006D637A"/>
    <w:rsid w:val="006D6F24"/>
    <w:rsid w:val="006E5262"/>
    <w:rsid w:val="006E6A3F"/>
    <w:rsid w:val="006E7660"/>
    <w:rsid w:val="006F0CEF"/>
    <w:rsid w:val="006F0F95"/>
    <w:rsid w:val="006F12CB"/>
    <w:rsid w:val="006F12E7"/>
    <w:rsid w:val="006F31B5"/>
    <w:rsid w:val="006F39EE"/>
    <w:rsid w:val="006F45BF"/>
    <w:rsid w:val="006F488E"/>
    <w:rsid w:val="006F5811"/>
    <w:rsid w:val="006F60E0"/>
    <w:rsid w:val="00702F71"/>
    <w:rsid w:val="007041D6"/>
    <w:rsid w:val="00706207"/>
    <w:rsid w:val="00707061"/>
    <w:rsid w:val="007077BF"/>
    <w:rsid w:val="007115D1"/>
    <w:rsid w:val="00712309"/>
    <w:rsid w:val="00713F98"/>
    <w:rsid w:val="00714B85"/>
    <w:rsid w:val="00716938"/>
    <w:rsid w:val="0072101E"/>
    <w:rsid w:val="00721FEA"/>
    <w:rsid w:val="00723E55"/>
    <w:rsid w:val="00724CB0"/>
    <w:rsid w:val="00725D4F"/>
    <w:rsid w:val="0072782B"/>
    <w:rsid w:val="00727A60"/>
    <w:rsid w:val="00731B4E"/>
    <w:rsid w:val="00731C7B"/>
    <w:rsid w:val="00734216"/>
    <w:rsid w:val="00734CBA"/>
    <w:rsid w:val="007366DF"/>
    <w:rsid w:val="007405D7"/>
    <w:rsid w:val="00741D81"/>
    <w:rsid w:val="00743600"/>
    <w:rsid w:val="00743E54"/>
    <w:rsid w:val="00746026"/>
    <w:rsid w:val="00747AB8"/>
    <w:rsid w:val="00757839"/>
    <w:rsid w:val="00766C80"/>
    <w:rsid w:val="00770C81"/>
    <w:rsid w:val="007735CC"/>
    <w:rsid w:val="00773FC8"/>
    <w:rsid w:val="007750BD"/>
    <w:rsid w:val="00775A54"/>
    <w:rsid w:val="007764F5"/>
    <w:rsid w:val="00776D48"/>
    <w:rsid w:val="00791024"/>
    <w:rsid w:val="00793F0A"/>
    <w:rsid w:val="00794BA5"/>
    <w:rsid w:val="007960CA"/>
    <w:rsid w:val="007971FB"/>
    <w:rsid w:val="00797AFE"/>
    <w:rsid w:val="007A2657"/>
    <w:rsid w:val="007A3DFD"/>
    <w:rsid w:val="007A4CB5"/>
    <w:rsid w:val="007A5569"/>
    <w:rsid w:val="007A7E02"/>
    <w:rsid w:val="007B134A"/>
    <w:rsid w:val="007B21AE"/>
    <w:rsid w:val="007B36C6"/>
    <w:rsid w:val="007B59DF"/>
    <w:rsid w:val="007C089D"/>
    <w:rsid w:val="007C1B7B"/>
    <w:rsid w:val="007C227E"/>
    <w:rsid w:val="007C31A7"/>
    <w:rsid w:val="007C3CD8"/>
    <w:rsid w:val="007C682C"/>
    <w:rsid w:val="007D1FE1"/>
    <w:rsid w:val="007D2385"/>
    <w:rsid w:val="007D3691"/>
    <w:rsid w:val="007D39A0"/>
    <w:rsid w:val="007D546E"/>
    <w:rsid w:val="007D5DE2"/>
    <w:rsid w:val="007D733A"/>
    <w:rsid w:val="007E0610"/>
    <w:rsid w:val="007E1104"/>
    <w:rsid w:val="007E2430"/>
    <w:rsid w:val="007E35DD"/>
    <w:rsid w:val="007E3F8C"/>
    <w:rsid w:val="007E7BE3"/>
    <w:rsid w:val="007F0517"/>
    <w:rsid w:val="007F214F"/>
    <w:rsid w:val="007F6261"/>
    <w:rsid w:val="007F663F"/>
    <w:rsid w:val="007F72F5"/>
    <w:rsid w:val="00800069"/>
    <w:rsid w:val="0080176F"/>
    <w:rsid w:val="0080300F"/>
    <w:rsid w:val="008042F0"/>
    <w:rsid w:val="008101DF"/>
    <w:rsid w:val="00810EC6"/>
    <w:rsid w:val="00815F81"/>
    <w:rsid w:val="00817324"/>
    <w:rsid w:val="008217DE"/>
    <w:rsid w:val="008231DA"/>
    <w:rsid w:val="008248FD"/>
    <w:rsid w:val="00824D6A"/>
    <w:rsid w:val="00826279"/>
    <w:rsid w:val="00827283"/>
    <w:rsid w:val="008310A0"/>
    <w:rsid w:val="0083133E"/>
    <w:rsid w:val="00832449"/>
    <w:rsid w:val="008325B3"/>
    <w:rsid w:val="00835D29"/>
    <w:rsid w:val="0083603D"/>
    <w:rsid w:val="00837BDF"/>
    <w:rsid w:val="00842D35"/>
    <w:rsid w:val="00842E7F"/>
    <w:rsid w:val="00844049"/>
    <w:rsid w:val="00844C36"/>
    <w:rsid w:val="0084748F"/>
    <w:rsid w:val="00850E7B"/>
    <w:rsid w:val="00852933"/>
    <w:rsid w:val="00854E9C"/>
    <w:rsid w:val="008566E5"/>
    <w:rsid w:val="008566FE"/>
    <w:rsid w:val="00857393"/>
    <w:rsid w:val="008573E7"/>
    <w:rsid w:val="008579A7"/>
    <w:rsid w:val="00860139"/>
    <w:rsid w:val="0086032A"/>
    <w:rsid w:val="0086082C"/>
    <w:rsid w:val="008636FB"/>
    <w:rsid w:val="00865B46"/>
    <w:rsid w:val="0086792B"/>
    <w:rsid w:val="008736C1"/>
    <w:rsid w:val="00873F23"/>
    <w:rsid w:val="00877848"/>
    <w:rsid w:val="008803C6"/>
    <w:rsid w:val="008806F8"/>
    <w:rsid w:val="00882E9C"/>
    <w:rsid w:val="00886AF7"/>
    <w:rsid w:val="00887279"/>
    <w:rsid w:val="00891035"/>
    <w:rsid w:val="00896134"/>
    <w:rsid w:val="008A2ACD"/>
    <w:rsid w:val="008A526A"/>
    <w:rsid w:val="008A62BC"/>
    <w:rsid w:val="008A645E"/>
    <w:rsid w:val="008A7FD4"/>
    <w:rsid w:val="008B0B6B"/>
    <w:rsid w:val="008B2D03"/>
    <w:rsid w:val="008B43E7"/>
    <w:rsid w:val="008C27E5"/>
    <w:rsid w:val="008C4982"/>
    <w:rsid w:val="008C6831"/>
    <w:rsid w:val="008D1536"/>
    <w:rsid w:val="008D16EE"/>
    <w:rsid w:val="008D4654"/>
    <w:rsid w:val="008D481A"/>
    <w:rsid w:val="008D763F"/>
    <w:rsid w:val="008E3464"/>
    <w:rsid w:val="008E3545"/>
    <w:rsid w:val="008E57C5"/>
    <w:rsid w:val="008E7DAB"/>
    <w:rsid w:val="008F036F"/>
    <w:rsid w:val="008F0EF1"/>
    <w:rsid w:val="008F1308"/>
    <w:rsid w:val="008F2BA5"/>
    <w:rsid w:val="008F5783"/>
    <w:rsid w:val="008F78C2"/>
    <w:rsid w:val="00903084"/>
    <w:rsid w:val="00903F06"/>
    <w:rsid w:val="00904568"/>
    <w:rsid w:val="009064FD"/>
    <w:rsid w:val="00907BB9"/>
    <w:rsid w:val="00911394"/>
    <w:rsid w:val="00911982"/>
    <w:rsid w:val="00913C70"/>
    <w:rsid w:val="0091447B"/>
    <w:rsid w:val="0092201C"/>
    <w:rsid w:val="00923EF2"/>
    <w:rsid w:val="00924F35"/>
    <w:rsid w:val="00926D25"/>
    <w:rsid w:val="00926D9E"/>
    <w:rsid w:val="00926E9D"/>
    <w:rsid w:val="00926F59"/>
    <w:rsid w:val="009276AE"/>
    <w:rsid w:val="009315A0"/>
    <w:rsid w:val="00932C6E"/>
    <w:rsid w:val="00933BC0"/>
    <w:rsid w:val="00933F10"/>
    <w:rsid w:val="0093675D"/>
    <w:rsid w:val="00937FB7"/>
    <w:rsid w:val="009426A1"/>
    <w:rsid w:val="00942A15"/>
    <w:rsid w:val="00942D22"/>
    <w:rsid w:val="00942FED"/>
    <w:rsid w:val="009433C5"/>
    <w:rsid w:val="009436DE"/>
    <w:rsid w:val="00943B75"/>
    <w:rsid w:val="009450DA"/>
    <w:rsid w:val="009524AF"/>
    <w:rsid w:val="00952D2B"/>
    <w:rsid w:val="00952D54"/>
    <w:rsid w:val="009572FD"/>
    <w:rsid w:val="0095742B"/>
    <w:rsid w:val="00960184"/>
    <w:rsid w:val="00960186"/>
    <w:rsid w:val="00960450"/>
    <w:rsid w:val="00961145"/>
    <w:rsid w:val="00964CC3"/>
    <w:rsid w:val="00965881"/>
    <w:rsid w:val="009660EE"/>
    <w:rsid w:val="00966E38"/>
    <w:rsid w:val="009713DE"/>
    <w:rsid w:val="00972AC4"/>
    <w:rsid w:val="00973E1A"/>
    <w:rsid w:val="0097625B"/>
    <w:rsid w:val="00985204"/>
    <w:rsid w:val="00986551"/>
    <w:rsid w:val="009871FF"/>
    <w:rsid w:val="009873B5"/>
    <w:rsid w:val="0099071C"/>
    <w:rsid w:val="00990799"/>
    <w:rsid w:val="0099096C"/>
    <w:rsid w:val="00991B4E"/>
    <w:rsid w:val="00992796"/>
    <w:rsid w:val="00993066"/>
    <w:rsid w:val="00995D51"/>
    <w:rsid w:val="00997E09"/>
    <w:rsid w:val="009A0631"/>
    <w:rsid w:val="009A11E2"/>
    <w:rsid w:val="009A5C91"/>
    <w:rsid w:val="009B092D"/>
    <w:rsid w:val="009B10ED"/>
    <w:rsid w:val="009B1F76"/>
    <w:rsid w:val="009B398B"/>
    <w:rsid w:val="009B5467"/>
    <w:rsid w:val="009B6542"/>
    <w:rsid w:val="009C0337"/>
    <w:rsid w:val="009C1A57"/>
    <w:rsid w:val="009C33B5"/>
    <w:rsid w:val="009C348F"/>
    <w:rsid w:val="009D02F5"/>
    <w:rsid w:val="009D29F1"/>
    <w:rsid w:val="009D3EA4"/>
    <w:rsid w:val="009D41F3"/>
    <w:rsid w:val="009D46F7"/>
    <w:rsid w:val="009D649C"/>
    <w:rsid w:val="009E1C77"/>
    <w:rsid w:val="009E4494"/>
    <w:rsid w:val="009E4BC1"/>
    <w:rsid w:val="009E5AD5"/>
    <w:rsid w:val="009F5CB2"/>
    <w:rsid w:val="00A00FB6"/>
    <w:rsid w:val="00A03BB8"/>
    <w:rsid w:val="00A0547D"/>
    <w:rsid w:val="00A06039"/>
    <w:rsid w:val="00A060A8"/>
    <w:rsid w:val="00A0698D"/>
    <w:rsid w:val="00A111BD"/>
    <w:rsid w:val="00A16E98"/>
    <w:rsid w:val="00A17983"/>
    <w:rsid w:val="00A2069D"/>
    <w:rsid w:val="00A20976"/>
    <w:rsid w:val="00A234E4"/>
    <w:rsid w:val="00A27B93"/>
    <w:rsid w:val="00A32844"/>
    <w:rsid w:val="00A342A4"/>
    <w:rsid w:val="00A3505D"/>
    <w:rsid w:val="00A35352"/>
    <w:rsid w:val="00A35885"/>
    <w:rsid w:val="00A374A9"/>
    <w:rsid w:val="00A4036F"/>
    <w:rsid w:val="00A406E5"/>
    <w:rsid w:val="00A423D0"/>
    <w:rsid w:val="00A424E2"/>
    <w:rsid w:val="00A428D2"/>
    <w:rsid w:val="00A4641C"/>
    <w:rsid w:val="00A464CB"/>
    <w:rsid w:val="00A47650"/>
    <w:rsid w:val="00A52F94"/>
    <w:rsid w:val="00A53516"/>
    <w:rsid w:val="00A53BAD"/>
    <w:rsid w:val="00A5427F"/>
    <w:rsid w:val="00A5554C"/>
    <w:rsid w:val="00A55876"/>
    <w:rsid w:val="00A55BAD"/>
    <w:rsid w:val="00A561FB"/>
    <w:rsid w:val="00A57578"/>
    <w:rsid w:val="00A60C1B"/>
    <w:rsid w:val="00A61F56"/>
    <w:rsid w:val="00A66A0A"/>
    <w:rsid w:val="00A67FB1"/>
    <w:rsid w:val="00A71954"/>
    <w:rsid w:val="00A73D6D"/>
    <w:rsid w:val="00A73E3F"/>
    <w:rsid w:val="00A770C0"/>
    <w:rsid w:val="00A772C4"/>
    <w:rsid w:val="00A77A63"/>
    <w:rsid w:val="00A852D0"/>
    <w:rsid w:val="00A85BFE"/>
    <w:rsid w:val="00A8650F"/>
    <w:rsid w:val="00A87DF9"/>
    <w:rsid w:val="00A93AA0"/>
    <w:rsid w:val="00A93EB5"/>
    <w:rsid w:val="00A969A3"/>
    <w:rsid w:val="00AA0E9E"/>
    <w:rsid w:val="00AA107C"/>
    <w:rsid w:val="00AA2866"/>
    <w:rsid w:val="00AA2965"/>
    <w:rsid w:val="00AB1A43"/>
    <w:rsid w:val="00AB28B2"/>
    <w:rsid w:val="00AB3EBA"/>
    <w:rsid w:val="00AB6FE7"/>
    <w:rsid w:val="00AB7AD7"/>
    <w:rsid w:val="00AC0468"/>
    <w:rsid w:val="00AC0CA0"/>
    <w:rsid w:val="00AC2C57"/>
    <w:rsid w:val="00AC6156"/>
    <w:rsid w:val="00AD0728"/>
    <w:rsid w:val="00AD2430"/>
    <w:rsid w:val="00AD78B5"/>
    <w:rsid w:val="00AE2756"/>
    <w:rsid w:val="00AE41A6"/>
    <w:rsid w:val="00AE46B8"/>
    <w:rsid w:val="00AE5A53"/>
    <w:rsid w:val="00AE6DE0"/>
    <w:rsid w:val="00AF0E34"/>
    <w:rsid w:val="00AF20E7"/>
    <w:rsid w:val="00AF271D"/>
    <w:rsid w:val="00AF2BAC"/>
    <w:rsid w:val="00AF4A85"/>
    <w:rsid w:val="00AF56C2"/>
    <w:rsid w:val="00AF5EE5"/>
    <w:rsid w:val="00AF660D"/>
    <w:rsid w:val="00AF6A86"/>
    <w:rsid w:val="00B004E6"/>
    <w:rsid w:val="00B02443"/>
    <w:rsid w:val="00B02E61"/>
    <w:rsid w:val="00B06ACA"/>
    <w:rsid w:val="00B0744D"/>
    <w:rsid w:val="00B07565"/>
    <w:rsid w:val="00B07B71"/>
    <w:rsid w:val="00B07E34"/>
    <w:rsid w:val="00B11F5E"/>
    <w:rsid w:val="00B14D63"/>
    <w:rsid w:val="00B15223"/>
    <w:rsid w:val="00B224A2"/>
    <w:rsid w:val="00B24167"/>
    <w:rsid w:val="00B30A7E"/>
    <w:rsid w:val="00B31313"/>
    <w:rsid w:val="00B31DDF"/>
    <w:rsid w:val="00B36F7D"/>
    <w:rsid w:val="00B41F08"/>
    <w:rsid w:val="00B45C85"/>
    <w:rsid w:val="00B50BDF"/>
    <w:rsid w:val="00B50EA8"/>
    <w:rsid w:val="00B52DAC"/>
    <w:rsid w:val="00B52F3A"/>
    <w:rsid w:val="00B56CE4"/>
    <w:rsid w:val="00B64082"/>
    <w:rsid w:val="00B66D2C"/>
    <w:rsid w:val="00B7041B"/>
    <w:rsid w:val="00B71FD5"/>
    <w:rsid w:val="00B72325"/>
    <w:rsid w:val="00B72CD8"/>
    <w:rsid w:val="00B761F6"/>
    <w:rsid w:val="00B7650F"/>
    <w:rsid w:val="00B80125"/>
    <w:rsid w:val="00B80DC9"/>
    <w:rsid w:val="00B819BB"/>
    <w:rsid w:val="00B81AD3"/>
    <w:rsid w:val="00B81D05"/>
    <w:rsid w:val="00B829D8"/>
    <w:rsid w:val="00B848FF"/>
    <w:rsid w:val="00B84B5B"/>
    <w:rsid w:val="00B85657"/>
    <w:rsid w:val="00B86446"/>
    <w:rsid w:val="00B8716D"/>
    <w:rsid w:val="00B92985"/>
    <w:rsid w:val="00B95AAC"/>
    <w:rsid w:val="00B960D4"/>
    <w:rsid w:val="00B963CB"/>
    <w:rsid w:val="00BA1176"/>
    <w:rsid w:val="00BA131F"/>
    <w:rsid w:val="00BA2090"/>
    <w:rsid w:val="00BA2FEA"/>
    <w:rsid w:val="00BA5879"/>
    <w:rsid w:val="00BA6D4B"/>
    <w:rsid w:val="00BB0548"/>
    <w:rsid w:val="00BB0A0C"/>
    <w:rsid w:val="00BB5D16"/>
    <w:rsid w:val="00BB65F0"/>
    <w:rsid w:val="00BC02CC"/>
    <w:rsid w:val="00BC19BF"/>
    <w:rsid w:val="00BC39B8"/>
    <w:rsid w:val="00BC4232"/>
    <w:rsid w:val="00BC49A2"/>
    <w:rsid w:val="00BC5847"/>
    <w:rsid w:val="00BC7452"/>
    <w:rsid w:val="00BD0C6B"/>
    <w:rsid w:val="00BD1AFA"/>
    <w:rsid w:val="00BD28F7"/>
    <w:rsid w:val="00BD54B7"/>
    <w:rsid w:val="00BD7B99"/>
    <w:rsid w:val="00BE0310"/>
    <w:rsid w:val="00BE03B1"/>
    <w:rsid w:val="00BE0B01"/>
    <w:rsid w:val="00BE250F"/>
    <w:rsid w:val="00BE4BF1"/>
    <w:rsid w:val="00BE507C"/>
    <w:rsid w:val="00BE6302"/>
    <w:rsid w:val="00BE79C7"/>
    <w:rsid w:val="00BF24C0"/>
    <w:rsid w:val="00BF35EC"/>
    <w:rsid w:val="00BF3CB5"/>
    <w:rsid w:val="00BF5137"/>
    <w:rsid w:val="00C01445"/>
    <w:rsid w:val="00C01A3F"/>
    <w:rsid w:val="00C073F1"/>
    <w:rsid w:val="00C122BE"/>
    <w:rsid w:val="00C127C7"/>
    <w:rsid w:val="00C1285B"/>
    <w:rsid w:val="00C1361B"/>
    <w:rsid w:val="00C14E1F"/>
    <w:rsid w:val="00C21802"/>
    <w:rsid w:val="00C30586"/>
    <w:rsid w:val="00C30D77"/>
    <w:rsid w:val="00C312A5"/>
    <w:rsid w:val="00C315AF"/>
    <w:rsid w:val="00C325AB"/>
    <w:rsid w:val="00C32D9B"/>
    <w:rsid w:val="00C34734"/>
    <w:rsid w:val="00C35557"/>
    <w:rsid w:val="00C36D9A"/>
    <w:rsid w:val="00C37EF1"/>
    <w:rsid w:val="00C4011A"/>
    <w:rsid w:val="00C42A3B"/>
    <w:rsid w:val="00C44A72"/>
    <w:rsid w:val="00C5023B"/>
    <w:rsid w:val="00C51289"/>
    <w:rsid w:val="00C51E78"/>
    <w:rsid w:val="00C5215F"/>
    <w:rsid w:val="00C5269B"/>
    <w:rsid w:val="00C530A1"/>
    <w:rsid w:val="00C5386E"/>
    <w:rsid w:val="00C6162A"/>
    <w:rsid w:val="00C61FC2"/>
    <w:rsid w:val="00C63810"/>
    <w:rsid w:val="00C666C5"/>
    <w:rsid w:val="00C705F9"/>
    <w:rsid w:val="00C707EA"/>
    <w:rsid w:val="00C710C5"/>
    <w:rsid w:val="00C76D8D"/>
    <w:rsid w:val="00C80F0F"/>
    <w:rsid w:val="00C83F05"/>
    <w:rsid w:val="00C84F86"/>
    <w:rsid w:val="00C8667A"/>
    <w:rsid w:val="00C870AC"/>
    <w:rsid w:val="00C91E10"/>
    <w:rsid w:val="00C9399F"/>
    <w:rsid w:val="00C93BCB"/>
    <w:rsid w:val="00CA139A"/>
    <w:rsid w:val="00CA1C85"/>
    <w:rsid w:val="00CA28E7"/>
    <w:rsid w:val="00CA51B0"/>
    <w:rsid w:val="00CA6218"/>
    <w:rsid w:val="00CA64EB"/>
    <w:rsid w:val="00CA661C"/>
    <w:rsid w:val="00CC05C9"/>
    <w:rsid w:val="00CC241A"/>
    <w:rsid w:val="00CC5719"/>
    <w:rsid w:val="00CC63B1"/>
    <w:rsid w:val="00CD06BB"/>
    <w:rsid w:val="00CD27AF"/>
    <w:rsid w:val="00CD5331"/>
    <w:rsid w:val="00CE37D4"/>
    <w:rsid w:val="00CE4035"/>
    <w:rsid w:val="00CE65AB"/>
    <w:rsid w:val="00CE70A0"/>
    <w:rsid w:val="00CE7515"/>
    <w:rsid w:val="00CF4266"/>
    <w:rsid w:val="00CF436B"/>
    <w:rsid w:val="00CF456D"/>
    <w:rsid w:val="00CF6CEE"/>
    <w:rsid w:val="00CF761F"/>
    <w:rsid w:val="00D04987"/>
    <w:rsid w:val="00D0790A"/>
    <w:rsid w:val="00D101DD"/>
    <w:rsid w:val="00D1096F"/>
    <w:rsid w:val="00D15979"/>
    <w:rsid w:val="00D166FA"/>
    <w:rsid w:val="00D21AFE"/>
    <w:rsid w:val="00D22A65"/>
    <w:rsid w:val="00D22D9C"/>
    <w:rsid w:val="00D23340"/>
    <w:rsid w:val="00D23DE0"/>
    <w:rsid w:val="00D241F1"/>
    <w:rsid w:val="00D24941"/>
    <w:rsid w:val="00D25B71"/>
    <w:rsid w:val="00D275CB"/>
    <w:rsid w:val="00D30DFA"/>
    <w:rsid w:val="00D334E2"/>
    <w:rsid w:val="00D33999"/>
    <w:rsid w:val="00D400DA"/>
    <w:rsid w:val="00D416E4"/>
    <w:rsid w:val="00D441F1"/>
    <w:rsid w:val="00D45382"/>
    <w:rsid w:val="00D4639E"/>
    <w:rsid w:val="00D463A5"/>
    <w:rsid w:val="00D4710D"/>
    <w:rsid w:val="00D47D25"/>
    <w:rsid w:val="00D500B3"/>
    <w:rsid w:val="00D50EE9"/>
    <w:rsid w:val="00D55BD0"/>
    <w:rsid w:val="00D55F78"/>
    <w:rsid w:val="00D61E88"/>
    <w:rsid w:val="00D62ACD"/>
    <w:rsid w:val="00D62FA2"/>
    <w:rsid w:val="00D639C6"/>
    <w:rsid w:val="00D63CE2"/>
    <w:rsid w:val="00D65663"/>
    <w:rsid w:val="00D66CA5"/>
    <w:rsid w:val="00D7139F"/>
    <w:rsid w:val="00D7419D"/>
    <w:rsid w:val="00D87554"/>
    <w:rsid w:val="00D87A0D"/>
    <w:rsid w:val="00D90955"/>
    <w:rsid w:val="00D90BC3"/>
    <w:rsid w:val="00D91B57"/>
    <w:rsid w:val="00D92861"/>
    <w:rsid w:val="00D94F59"/>
    <w:rsid w:val="00D9765C"/>
    <w:rsid w:val="00DA080C"/>
    <w:rsid w:val="00DA19B8"/>
    <w:rsid w:val="00DA1B47"/>
    <w:rsid w:val="00DA36EE"/>
    <w:rsid w:val="00DA3716"/>
    <w:rsid w:val="00DA556B"/>
    <w:rsid w:val="00DA6B7D"/>
    <w:rsid w:val="00DA7803"/>
    <w:rsid w:val="00DA7FC3"/>
    <w:rsid w:val="00DB0845"/>
    <w:rsid w:val="00DB0888"/>
    <w:rsid w:val="00DB116D"/>
    <w:rsid w:val="00DB5A4E"/>
    <w:rsid w:val="00DB62D1"/>
    <w:rsid w:val="00DC25EC"/>
    <w:rsid w:val="00DC2C10"/>
    <w:rsid w:val="00DC58BC"/>
    <w:rsid w:val="00DC7EFC"/>
    <w:rsid w:val="00DD17CC"/>
    <w:rsid w:val="00DD2AE9"/>
    <w:rsid w:val="00DE1491"/>
    <w:rsid w:val="00DE217A"/>
    <w:rsid w:val="00DE348E"/>
    <w:rsid w:val="00DE67C2"/>
    <w:rsid w:val="00DF0811"/>
    <w:rsid w:val="00DF1781"/>
    <w:rsid w:val="00DF2220"/>
    <w:rsid w:val="00DF2476"/>
    <w:rsid w:val="00DF2A39"/>
    <w:rsid w:val="00DF321B"/>
    <w:rsid w:val="00DF681C"/>
    <w:rsid w:val="00DF74D0"/>
    <w:rsid w:val="00E02A12"/>
    <w:rsid w:val="00E050E5"/>
    <w:rsid w:val="00E063BF"/>
    <w:rsid w:val="00E070E3"/>
    <w:rsid w:val="00E07A0A"/>
    <w:rsid w:val="00E13458"/>
    <w:rsid w:val="00E230E0"/>
    <w:rsid w:val="00E23B9B"/>
    <w:rsid w:val="00E25F51"/>
    <w:rsid w:val="00E27F15"/>
    <w:rsid w:val="00E30DB5"/>
    <w:rsid w:val="00E36E21"/>
    <w:rsid w:val="00E37602"/>
    <w:rsid w:val="00E47112"/>
    <w:rsid w:val="00E506DE"/>
    <w:rsid w:val="00E51AAC"/>
    <w:rsid w:val="00E52A4D"/>
    <w:rsid w:val="00E54B46"/>
    <w:rsid w:val="00E577D3"/>
    <w:rsid w:val="00E605CE"/>
    <w:rsid w:val="00E66CC0"/>
    <w:rsid w:val="00E6733B"/>
    <w:rsid w:val="00E728A9"/>
    <w:rsid w:val="00E745EF"/>
    <w:rsid w:val="00E77673"/>
    <w:rsid w:val="00E805C8"/>
    <w:rsid w:val="00E807D9"/>
    <w:rsid w:val="00E80BAA"/>
    <w:rsid w:val="00E80CBC"/>
    <w:rsid w:val="00E81470"/>
    <w:rsid w:val="00E8526C"/>
    <w:rsid w:val="00E86BB0"/>
    <w:rsid w:val="00E87421"/>
    <w:rsid w:val="00E87A63"/>
    <w:rsid w:val="00E90865"/>
    <w:rsid w:val="00E94005"/>
    <w:rsid w:val="00E94ACB"/>
    <w:rsid w:val="00E972F2"/>
    <w:rsid w:val="00EA0F4E"/>
    <w:rsid w:val="00EA295B"/>
    <w:rsid w:val="00EA3B9B"/>
    <w:rsid w:val="00EA4672"/>
    <w:rsid w:val="00EA5BBB"/>
    <w:rsid w:val="00EA60E2"/>
    <w:rsid w:val="00EA6801"/>
    <w:rsid w:val="00EB19AE"/>
    <w:rsid w:val="00EB28CB"/>
    <w:rsid w:val="00EB4F96"/>
    <w:rsid w:val="00EB5333"/>
    <w:rsid w:val="00EB6B94"/>
    <w:rsid w:val="00EB7523"/>
    <w:rsid w:val="00EC020D"/>
    <w:rsid w:val="00EC4AA7"/>
    <w:rsid w:val="00EC54B5"/>
    <w:rsid w:val="00ED3E97"/>
    <w:rsid w:val="00ED5354"/>
    <w:rsid w:val="00ED620A"/>
    <w:rsid w:val="00ED7072"/>
    <w:rsid w:val="00ED7123"/>
    <w:rsid w:val="00EE12E0"/>
    <w:rsid w:val="00EE3132"/>
    <w:rsid w:val="00EE3D9D"/>
    <w:rsid w:val="00EE6307"/>
    <w:rsid w:val="00EE6C4A"/>
    <w:rsid w:val="00EE6F25"/>
    <w:rsid w:val="00EF1EA3"/>
    <w:rsid w:val="00EF203D"/>
    <w:rsid w:val="00EF5532"/>
    <w:rsid w:val="00EF5851"/>
    <w:rsid w:val="00F02126"/>
    <w:rsid w:val="00F031C8"/>
    <w:rsid w:val="00F0390E"/>
    <w:rsid w:val="00F03A60"/>
    <w:rsid w:val="00F03D85"/>
    <w:rsid w:val="00F073F2"/>
    <w:rsid w:val="00F07C8C"/>
    <w:rsid w:val="00F12D57"/>
    <w:rsid w:val="00F16765"/>
    <w:rsid w:val="00F17234"/>
    <w:rsid w:val="00F23A6E"/>
    <w:rsid w:val="00F249F1"/>
    <w:rsid w:val="00F252DA"/>
    <w:rsid w:val="00F25B9D"/>
    <w:rsid w:val="00F2601E"/>
    <w:rsid w:val="00F2664E"/>
    <w:rsid w:val="00F30311"/>
    <w:rsid w:val="00F304DA"/>
    <w:rsid w:val="00F31163"/>
    <w:rsid w:val="00F311D9"/>
    <w:rsid w:val="00F31859"/>
    <w:rsid w:val="00F31C04"/>
    <w:rsid w:val="00F35A8D"/>
    <w:rsid w:val="00F442A7"/>
    <w:rsid w:val="00F4497B"/>
    <w:rsid w:val="00F44CB7"/>
    <w:rsid w:val="00F471B4"/>
    <w:rsid w:val="00F47D9A"/>
    <w:rsid w:val="00F521B7"/>
    <w:rsid w:val="00F55D4F"/>
    <w:rsid w:val="00F55ED6"/>
    <w:rsid w:val="00F56BF2"/>
    <w:rsid w:val="00F57A89"/>
    <w:rsid w:val="00F6049D"/>
    <w:rsid w:val="00F61A20"/>
    <w:rsid w:val="00F63921"/>
    <w:rsid w:val="00F63DD9"/>
    <w:rsid w:val="00F658F4"/>
    <w:rsid w:val="00F675FE"/>
    <w:rsid w:val="00F67644"/>
    <w:rsid w:val="00F67C55"/>
    <w:rsid w:val="00F67D6A"/>
    <w:rsid w:val="00F74F64"/>
    <w:rsid w:val="00F75D22"/>
    <w:rsid w:val="00F75EBF"/>
    <w:rsid w:val="00F8205E"/>
    <w:rsid w:val="00F83214"/>
    <w:rsid w:val="00F8381F"/>
    <w:rsid w:val="00F847F3"/>
    <w:rsid w:val="00F85906"/>
    <w:rsid w:val="00F877AE"/>
    <w:rsid w:val="00F973FC"/>
    <w:rsid w:val="00F97874"/>
    <w:rsid w:val="00FA04CD"/>
    <w:rsid w:val="00FA25F5"/>
    <w:rsid w:val="00FA2810"/>
    <w:rsid w:val="00FA28DC"/>
    <w:rsid w:val="00FA35AD"/>
    <w:rsid w:val="00FA5F0E"/>
    <w:rsid w:val="00FA67D7"/>
    <w:rsid w:val="00FA68F8"/>
    <w:rsid w:val="00FB1DC0"/>
    <w:rsid w:val="00FB3B4E"/>
    <w:rsid w:val="00FB3C3F"/>
    <w:rsid w:val="00FB4521"/>
    <w:rsid w:val="00FB4F84"/>
    <w:rsid w:val="00FB5A80"/>
    <w:rsid w:val="00FB5CF8"/>
    <w:rsid w:val="00FB6503"/>
    <w:rsid w:val="00FB68A3"/>
    <w:rsid w:val="00FC2C8C"/>
    <w:rsid w:val="00FC4B0B"/>
    <w:rsid w:val="00FC4C2B"/>
    <w:rsid w:val="00FC71BB"/>
    <w:rsid w:val="00FD06DD"/>
    <w:rsid w:val="00FD230B"/>
    <w:rsid w:val="00FD3051"/>
    <w:rsid w:val="00FD487B"/>
    <w:rsid w:val="00FE30DB"/>
    <w:rsid w:val="00FE317E"/>
    <w:rsid w:val="00FE419A"/>
    <w:rsid w:val="00FE51A3"/>
    <w:rsid w:val="00FE64AD"/>
    <w:rsid w:val="00FE6735"/>
    <w:rsid w:val="00FF273B"/>
    <w:rsid w:val="00FF375A"/>
    <w:rsid w:val="00FF3DE6"/>
    <w:rsid w:val="00FF564C"/>
    <w:rsid w:val="00FF5AAD"/>
    <w:rsid w:val="00FF5BE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xmsonormal">
    <w:name w:val="x_msonormal"/>
    <w:basedOn w:val="Normal"/>
    <w:rsid w:val="006528BC"/>
    <w:pPr>
      <w:spacing w:before="100" w:beforeAutospacing="1" w:after="100" w:afterAutospacing="1"/>
    </w:pPr>
    <w:rPr>
      <w:sz w:val="24"/>
      <w:szCs w:val="24"/>
      <w:lang w:eastAsia="zh-CN"/>
    </w:rPr>
  </w:style>
  <w:style w:type="paragraph" w:customStyle="1" w:styleId="xcontentpasted0">
    <w:name w:val="x_contentpasted0"/>
    <w:basedOn w:val="Normal"/>
    <w:rsid w:val="006528BC"/>
    <w:pPr>
      <w:spacing w:before="100" w:beforeAutospacing="1" w:after="100" w:afterAutospacing="1"/>
    </w:pPr>
    <w:rPr>
      <w:sz w:val="24"/>
      <w:szCs w:val="24"/>
      <w:lang w:eastAsia="zh-CN"/>
    </w:rPr>
  </w:style>
  <w:style w:type="paragraph" w:styleId="Revision">
    <w:name w:val="Revision"/>
    <w:hidden/>
    <w:uiPriority w:val="71"/>
    <w:semiHidden/>
    <w:rsid w:val="0053454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82207">
      <w:bodyDiv w:val="1"/>
      <w:marLeft w:val="0"/>
      <w:marRight w:val="0"/>
      <w:marTop w:val="0"/>
      <w:marBottom w:val="0"/>
      <w:divBdr>
        <w:top w:val="none" w:sz="0" w:space="0" w:color="auto"/>
        <w:left w:val="none" w:sz="0" w:space="0" w:color="auto"/>
        <w:bottom w:val="none" w:sz="0" w:space="0" w:color="auto"/>
        <w:right w:val="none" w:sz="0" w:space="0" w:color="auto"/>
      </w:divBdr>
    </w:div>
    <w:div w:id="158497182">
      <w:bodyDiv w:val="1"/>
      <w:marLeft w:val="0"/>
      <w:marRight w:val="0"/>
      <w:marTop w:val="0"/>
      <w:marBottom w:val="0"/>
      <w:divBdr>
        <w:top w:val="none" w:sz="0" w:space="0" w:color="auto"/>
        <w:left w:val="none" w:sz="0" w:space="0" w:color="auto"/>
        <w:bottom w:val="none" w:sz="0" w:space="0" w:color="auto"/>
        <w:right w:val="none" w:sz="0" w:space="0" w:color="auto"/>
      </w:divBdr>
    </w:div>
    <w:div w:id="182671909">
      <w:bodyDiv w:val="1"/>
      <w:marLeft w:val="0"/>
      <w:marRight w:val="0"/>
      <w:marTop w:val="0"/>
      <w:marBottom w:val="0"/>
      <w:divBdr>
        <w:top w:val="none" w:sz="0" w:space="0" w:color="auto"/>
        <w:left w:val="none" w:sz="0" w:space="0" w:color="auto"/>
        <w:bottom w:val="none" w:sz="0" w:space="0" w:color="auto"/>
        <w:right w:val="none" w:sz="0" w:space="0" w:color="auto"/>
      </w:divBdr>
    </w:div>
    <w:div w:id="188377816">
      <w:bodyDiv w:val="1"/>
      <w:marLeft w:val="0"/>
      <w:marRight w:val="0"/>
      <w:marTop w:val="0"/>
      <w:marBottom w:val="0"/>
      <w:divBdr>
        <w:top w:val="none" w:sz="0" w:space="0" w:color="auto"/>
        <w:left w:val="none" w:sz="0" w:space="0" w:color="auto"/>
        <w:bottom w:val="none" w:sz="0" w:space="0" w:color="auto"/>
        <w:right w:val="none" w:sz="0" w:space="0" w:color="auto"/>
      </w:divBdr>
    </w:div>
    <w:div w:id="210582143">
      <w:bodyDiv w:val="1"/>
      <w:marLeft w:val="0"/>
      <w:marRight w:val="0"/>
      <w:marTop w:val="0"/>
      <w:marBottom w:val="0"/>
      <w:divBdr>
        <w:top w:val="none" w:sz="0" w:space="0" w:color="auto"/>
        <w:left w:val="none" w:sz="0" w:space="0" w:color="auto"/>
        <w:bottom w:val="none" w:sz="0" w:space="0" w:color="auto"/>
        <w:right w:val="none" w:sz="0" w:space="0" w:color="auto"/>
      </w:divBdr>
    </w:div>
    <w:div w:id="223948524">
      <w:bodyDiv w:val="1"/>
      <w:marLeft w:val="0"/>
      <w:marRight w:val="0"/>
      <w:marTop w:val="0"/>
      <w:marBottom w:val="0"/>
      <w:divBdr>
        <w:top w:val="none" w:sz="0" w:space="0" w:color="auto"/>
        <w:left w:val="none" w:sz="0" w:space="0" w:color="auto"/>
        <w:bottom w:val="none" w:sz="0" w:space="0" w:color="auto"/>
        <w:right w:val="none" w:sz="0" w:space="0" w:color="auto"/>
      </w:divBdr>
    </w:div>
    <w:div w:id="23274365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896833">
      <w:bodyDiv w:val="1"/>
      <w:marLeft w:val="0"/>
      <w:marRight w:val="0"/>
      <w:marTop w:val="0"/>
      <w:marBottom w:val="0"/>
      <w:divBdr>
        <w:top w:val="none" w:sz="0" w:space="0" w:color="auto"/>
        <w:left w:val="none" w:sz="0" w:space="0" w:color="auto"/>
        <w:bottom w:val="none" w:sz="0" w:space="0" w:color="auto"/>
        <w:right w:val="none" w:sz="0" w:space="0" w:color="auto"/>
      </w:divBdr>
    </w:div>
    <w:div w:id="412703277">
      <w:bodyDiv w:val="1"/>
      <w:marLeft w:val="0"/>
      <w:marRight w:val="0"/>
      <w:marTop w:val="0"/>
      <w:marBottom w:val="0"/>
      <w:divBdr>
        <w:top w:val="none" w:sz="0" w:space="0" w:color="auto"/>
        <w:left w:val="none" w:sz="0" w:space="0" w:color="auto"/>
        <w:bottom w:val="none" w:sz="0" w:space="0" w:color="auto"/>
        <w:right w:val="none" w:sz="0" w:space="0" w:color="auto"/>
      </w:divBdr>
    </w:div>
    <w:div w:id="449318572">
      <w:bodyDiv w:val="1"/>
      <w:marLeft w:val="0"/>
      <w:marRight w:val="0"/>
      <w:marTop w:val="0"/>
      <w:marBottom w:val="0"/>
      <w:divBdr>
        <w:top w:val="none" w:sz="0" w:space="0" w:color="auto"/>
        <w:left w:val="none" w:sz="0" w:space="0" w:color="auto"/>
        <w:bottom w:val="none" w:sz="0" w:space="0" w:color="auto"/>
        <w:right w:val="none" w:sz="0" w:space="0" w:color="auto"/>
      </w:divBdr>
    </w:div>
    <w:div w:id="454448332">
      <w:bodyDiv w:val="1"/>
      <w:marLeft w:val="0"/>
      <w:marRight w:val="0"/>
      <w:marTop w:val="0"/>
      <w:marBottom w:val="0"/>
      <w:divBdr>
        <w:top w:val="none" w:sz="0" w:space="0" w:color="auto"/>
        <w:left w:val="none" w:sz="0" w:space="0" w:color="auto"/>
        <w:bottom w:val="none" w:sz="0" w:space="0" w:color="auto"/>
        <w:right w:val="none" w:sz="0" w:space="0" w:color="auto"/>
      </w:divBdr>
    </w:div>
    <w:div w:id="493421135">
      <w:bodyDiv w:val="1"/>
      <w:marLeft w:val="0"/>
      <w:marRight w:val="0"/>
      <w:marTop w:val="0"/>
      <w:marBottom w:val="0"/>
      <w:divBdr>
        <w:top w:val="none" w:sz="0" w:space="0" w:color="auto"/>
        <w:left w:val="none" w:sz="0" w:space="0" w:color="auto"/>
        <w:bottom w:val="none" w:sz="0" w:space="0" w:color="auto"/>
        <w:right w:val="none" w:sz="0" w:space="0" w:color="auto"/>
      </w:divBdr>
    </w:div>
    <w:div w:id="531460297">
      <w:bodyDiv w:val="1"/>
      <w:marLeft w:val="0"/>
      <w:marRight w:val="0"/>
      <w:marTop w:val="0"/>
      <w:marBottom w:val="0"/>
      <w:divBdr>
        <w:top w:val="none" w:sz="0" w:space="0" w:color="auto"/>
        <w:left w:val="none" w:sz="0" w:space="0" w:color="auto"/>
        <w:bottom w:val="none" w:sz="0" w:space="0" w:color="auto"/>
        <w:right w:val="none" w:sz="0" w:space="0" w:color="auto"/>
      </w:divBdr>
    </w:div>
    <w:div w:id="639647834">
      <w:bodyDiv w:val="1"/>
      <w:marLeft w:val="0"/>
      <w:marRight w:val="0"/>
      <w:marTop w:val="0"/>
      <w:marBottom w:val="0"/>
      <w:divBdr>
        <w:top w:val="none" w:sz="0" w:space="0" w:color="auto"/>
        <w:left w:val="none" w:sz="0" w:space="0" w:color="auto"/>
        <w:bottom w:val="none" w:sz="0" w:space="0" w:color="auto"/>
        <w:right w:val="none" w:sz="0" w:space="0" w:color="auto"/>
      </w:divBdr>
    </w:div>
    <w:div w:id="670957671">
      <w:bodyDiv w:val="1"/>
      <w:marLeft w:val="0"/>
      <w:marRight w:val="0"/>
      <w:marTop w:val="0"/>
      <w:marBottom w:val="0"/>
      <w:divBdr>
        <w:top w:val="none" w:sz="0" w:space="0" w:color="auto"/>
        <w:left w:val="none" w:sz="0" w:space="0" w:color="auto"/>
        <w:bottom w:val="none" w:sz="0" w:space="0" w:color="auto"/>
        <w:right w:val="none" w:sz="0" w:space="0" w:color="auto"/>
      </w:divBdr>
    </w:div>
    <w:div w:id="952514530">
      <w:bodyDiv w:val="1"/>
      <w:marLeft w:val="0"/>
      <w:marRight w:val="0"/>
      <w:marTop w:val="0"/>
      <w:marBottom w:val="0"/>
      <w:divBdr>
        <w:top w:val="none" w:sz="0" w:space="0" w:color="auto"/>
        <w:left w:val="none" w:sz="0" w:space="0" w:color="auto"/>
        <w:bottom w:val="none" w:sz="0" w:space="0" w:color="auto"/>
        <w:right w:val="none" w:sz="0" w:space="0" w:color="auto"/>
      </w:divBdr>
    </w:div>
    <w:div w:id="1040399699">
      <w:bodyDiv w:val="1"/>
      <w:marLeft w:val="0"/>
      <w:marRight w:val="0"/>
      <w:marTop w:val="0"/>
      <w:marBottom w:val="0"/>
      <w:divBdr>
        <w:top w:val="none" w:sz="0" w:space="0" w:color="auto"/>
        <w:left w:val="none" w:sz="0" w:space="0" w:color="auto"/>
        <w:bottom w:val="none" w:sz="0" w:space="0" w:color="auto"/>
        <w:right w:val="none" w:sz="0" w:space="0" w:color="auto"/>
      </w:divBdr>
    </w:div>
    <w:div w:id="1094940610">
      <w:bodyDiv w:val="1"/>
      <w:marLeft w:val="0"/>
      <w:marRight w:val="0"/>
      <w:marTop w:val="0"/>
      <w:marBottom w:val="0"/>
      <w:divBdr>
        <w:top w:val="none" w:sz="0" w:space="0" w:color="auto"/>
        <w:left w:val="none" w:sz="0" w:space="0" w:color="auto"/>
        <w:bottom w:val="none" w:sz="0" w:space="0" w:color="auto"/>
        <w:right w:val="none" w:sz="0" w:space="0" w:color="auto"/>
      </w:divBdr>
    </w:div>
    <w:div w:id="1135873227">
      <w:bodyDiv w:val="1"/>
      <w:marLeft w:val="0"/>
      <w:marRight w:val="0"/>
      <w:marTop w:val="0"/>
      <w:marBottom w:val="0"/>
      <w:divBdr>
        <w:top w:val="none" w:sz="0" w:space="0" w:color="auto"/>
        <w:left w:val="none" w:sz="0" w:space="0" w:color="auto"/>
        <w:bottom w:val="none" w:sz="0" w:space="0" w:color="auto"/>
        <w:right w:val="none" w:sz="0" w:space="0" w:color="auto"/>
      </w:divBdr>
    </w:div>
    <w:div w:id="1155149512">
      <w:bodyDiv w:val="1"/>
      <w:marLeft w:val="0"/>
      <w:marRight w:val="0"/>
      <w:marTop w:val="0"/>
      <w:marBottom w:val="0"/>
      <w:divBdr>
        <w:top w:val="none" w:sz="0" w:space="0" w:color="auto"/>
        <w:left w:val="none" w:sz="0" w:space="0" w:color="auto"/>
        <w:bottom w:val="none" w:sz="0" w:space="0" w:color="auto"/>
        <w:right w:val="none" w:sz="0" w:space="0" w:color="auto"/>
      </w:divBdr>
    </w:div>
    <w:div w:id="1156530000">
      <w:bodyDiv w:val="1"/>
      <w:marLeft w:val="0"/>
      <w:marRight w:val="0"/>
      <w:marTop w:val="0"/>
      <w:marBottom w:val="0"/>
      <w:divBdr>
        <w:top w:val="none" w:sz="0" w:space="0" w:color="auto"/>
        <w:left w:val="none" w:sz="0" w:space="0" w:color="auto"/>
        <w:bottom w:val="none" w:sz="0" w:space="0" w:color="auto"/>
        <w:right w:val="none" w:sz="0" w:space="0" w:color="auto"/>
      </w:divBdr>
    </w:div>
    <w:div w:id="1275559810">
      <w:bodyDiv w:val="1"/>
      <w:marLeft w:val="0"/>
      <w:marRight w:val="0"/>
      <w:marTop w:val="0"/>
      <w:marBottom w:val="0"/>
      <w:divBdr>
        <w:top w:val="none" w:sz="0" w:space="0" w:color="auto"/>
        <w:left w:val="none" w:sz="0" w:space="0" w:color="auto"/>
        <w:bottom w:val="none" w:sz="0" w:space="0" w:color="auto"/>
        <w:right w:val="none" w:sz="0" w:space="0" w:color="auto"/>
      </w:divBdr>
    </w:div>
    <w:div w:id="1372338934">
      <w:bodyDiv w:val="1"/>
      <w:marLeft w:val="0"/>
      <w:marRight w:val="0"/>
      <w:marTop w:val="0"/>
      <w:marBottom w:val="0"/>
      <w:divBdr>
        <w:top w:val="none" w:sz="0" w:space="0" w:color="auto"/>
        <w:left w:val="none" w:sz="0" w:space="0" w:color="auto"/>
        <w:bottom w:val="none" w:sz="0" w:space="0" w:color="auto"/>
        <w:right w:val="none" w:sz="0" w:space="0" w:color="auto"/>
      </w:divBdr>
    </w:div>
    <w:div w:id="1430587274">
      <w:bodyDiv w:val="1"/>
      <w:marLeft w:val="0"/>
      <w:marRight w:val="0"/>
      <w:marTop w:val="0"/>
      <w:marBottom w:val="0"/>
      <w:divBdr>
        <w:top w:val="none" w:sz="0" w:space="0" w:color="auto"/>
        <w:left w:val="none" w:sz="0" w:space="0" w:color="auto"/>
        <w:bottom w:val="none" w:sz="0" w:space="0" w:color="auto"/>
        <w:right w:val="none" w:sz="0" w:space="0" w:color="auto"/>
      </w:divBdr>
    </w:div>
    <w:div w:id="144167739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813736">
      <w:bodyDiv w:val="1"/>
      <w:marLeft w:val="0"/>
      <w:marRight w:val="0"/>
      <w:marTop w:val="0"/>
      <w:marBottom w:val="0"/>
      <w:divBdr>
        <w:top w:val="none" w:sz="0" w:space="0" w:color="auto"/>
        <w:left w:val="none" w:sz="0" w:space="0" w:color="auto"/>
        <w:bottom w:val="none" w:sz="0" w:space="0" w:color="auto"/>
        <w:right w:val="none" w:sz="0" w:space="0" w:color="auto"/>
      </w:divBdr>
    </w:div>
    <w:div w:id="1497644675">
      <w:bodyDiv w:val="1"/>
      <w:marLeft w:val="0"/>
      <w:marRight w:val="0"/>
      <w:marTop w:val="0"/>
      <w:marBottom w:val="0"/>
      <w:divBdr>
        <w:top w:val="none" w:sz="0" w:space="0" w:color="auto"/>
        <w:left w:val="none" w:sz="0" w:space="0" w:color="auto"/>
        <w:bottom w:val="none" w:sz="0" w:space="0" w:color="auto"/>
        <w:right w:val="none" w:sz="0" w:space="0" w:color="auto"/>
      </w:divBdr>
    </w:div>
    <w:div w:id="1498377579">
      <w:bodyDiv w:val="1"/>
      <w:marLeft w:val="0"/>
      <w:marRight w:val="0"/>
      <w:marTop w:val="0"/>
      <w:marBottom w:val="0"/>
      <w:divBdr>
        <w:top w:val="none" w:sz="0" w:space="0" w:color="auto"/>
        <w:left w:val="none" w:sz="0" w:space="0" w:color="auto"/>
        <w:bottom w:val="none" w:sz="0" w:space="0" w:color="auto"/>
        <w:right w:val="none" w:sz="0" w:space="0" w:color="auto"/>
      </w:divBdr>
    </w:div>
    <w:div w:id="152555477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055843">
      <w:bodyDiv w:val="1"/>
      <w:marLeft w:val="0"/>
      <w:marRight w:val="0"/>
      <w:marTop w:val="0"/>
      <w:marBottom w:val="0"/>
      <w:divBdr>
        <w:top w:val="none" w:sz="0" w:space="0" w:color="auto"/>
        <w:left w:val="none" w:sz="0" w:space="0" w:color="auto"/>
        <w:bottom w:val="none" w:sz="0" w:space="0" w:color="auto"/>
        <w:right w:val="none" w:sz="0" w:space="0" w:color="auto"/>
      </w:divBdr>
    </w:div>
    <w:div w:id="1643849806">
      <w:bodyDiv w:val="1"/>
      <w:marLeft w:val="0"/>
      <w:marRight w:val="0"/>
      <w:marTop w:val="0"/>
      <w:marBottom w:val="0"/>
      <w:divBdr>
        <w:top w:val="none" w:sz="0" w:space="0" w:color="auto"/>
        <w:left w:val="none" w:sz="0" w:space="0" w:color="auto"/>
        <w:bottom w:val="none" w:sz="0" w:space="0" w:color="auto"/>
        <w:right w:val="none" w:sz="0" w:space="0" w:color="auto"/>
      </w:divBdr>
    </w:div>
    <w:div w:id="1648777343">
      <w:bodyDiv w:val="1"/>
      <w:marLeft w:val="0"/>
      <w:marRight w:val="0"/>
      <w:marTop w:val="0"/>
      <w:marBottom w:val="0"/>
      <w:divBdr>
        <w:top w:val="none" w:sz="0" w:space="0" w:color="auto"/>
        <w:left w:val="none" w:sz="0" w:space="0" w:color="auto"/>
        <w:bottom w:val="none" w:sz="0" w:space="0" w:color="auto"/>
        <w:right w:val="none" w:sz="0" w:space="0" w:color="auto"/>
      </w:divBdr>
    </w:div>
    <w:div w:id="1674063694">
      <w:bodyDiv w:val="1"/>
      <w:marLeft w:val="0"/>
      <w:marRight w:val="0"/>
      <w:marTop w:val="0"/>
      <w:marBottom w:val="0"/>
      <w:divBdr>
        <w:top w:val="none" w:sz="0" w:space="0" w:color="auto"/>
        <w:left w:val="none" w:sz="0" w:space="0" w:color="auto"/>
        <w:bottom w:val="none" w:sz="0" w:space="0" w:color="auto"/>
        <w:right w:val="none" w:sz="0" w:space="0" w:color="auto"/>
      </w:divBdr>
    </w:div>
    <w:div w:id="1765615300">
      <w:bodyDiv w:val="1"/>
      <w:marLeft w:val="0"/>
      <w:marRight w:val="0"/>
      <w:marTop w:val="0"/>
      <w:marBottom w:val="0"/>
      <w:divBdr>
        <w:top w:val="none" w:sz="0" w:space="0" w:color="auto"/>
        <w:left w:val="none" w:sz="0" w:space="0" w:color="auto"/>
        <w:bottom w:val="none" w:sz="0" w:space="0" w:color="auto"/>
        <w:right w:val="none" w:sz="0" w:space="0" w:color="auto"/>
      </w:divBdr>
    </w:div>
    <w:div w:id="1969236150">
      <w:bodyDiv w:val="1"/>
      <w:marLeft w:val="0"/>
      <w:marRight w:val="0"/>
      <w:marTop w:val="0"/>
      <w:marBottom w:val="0"/>
      <w:divBdr>
        <w:top w:val="none" w:sz="0" w:space="0" w:color="auto"/>
        <w:left w:val="none" w:sz="0" w:space="0" w:color="auto"/>
        <w:bottom w:val="none" w:sz="0" w:space="0" w:color="auto"/>
        <w:right w:val="none" w:sz="0" w:space="0" w:color="auto"/>
      </w:divBdr>
    </w:div>
    <w:div w:id="2024866283">
      <w:bodyDiv w:val="1"/>
      <w:marLeft w:val="0"/>
      <w:marRight w:val="0"/>
      <w:marTop w:val="0"/>
      <w:marBottom w:val="0"/>
      <w:divBdr>
        <w:top w:val="none" w:sz="0" w:space="0" w:color="auto"/>
        <w:left w:val="none" w:sz="0" w:space="0" w:color="auto"/>
        <w:bottom w:val="none" w:sz="0" w:space="0" w:color="auto"/>
        <w:right w:val="none" w:sz="0" w:space="0" w:color="auto"/>
      </w:divBdr>
    </w:div>
    <w:div w:id="2057389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Mic84</b:Tag>
    <b:SourceType>JournalArticle</b:SourceType>
    <b:Guid>{B2BBEE7A-12A2-804F-8A72-B73CC85911FB}</b:Guid>
    <b:Author>
      <b:Author>
        <b:NameList>
          <b:Person>
            <b:Last>Jones</b:Last>
            <b:First>Michael</b:First>
            <b:Middle>A</b:Middle>
          </b:Person>
        </b:NameList>
      </b:Author>
    </b:Author>
    <b:Title>The Occupiers' Liability Act 1984</b:Title>
    <b:JournalName>The Modern Law Review</b:JournalName>
    <b:Year>1984</b:Year>
    <b:Volume>47</b:Volume>
    <b:Issue>6</b:Issue>
    <b:Pages>713-726</b:Pages>
    <b:RefOrder>1</b:RefOrder>
  </b:Source>
  <b:Source>
    <b:Tag>Mul97</b:Tag>
    <b:SourceType>JournalArticle</b:SourceType>
    <b:Guid>{D2F559FC-A974-BC41-A56A-50AD0860DB12}</b:Guid>
    <b:Author>
      <b:Author>
        <b:NameList>
          <b:Person>
            <b:Last>Mullis</b:Last>
            <b:First>Alastair</b:First>
          </b:Person>
          <b:Person>
            <b:Last>Olliphant</b:Last>
            <b:First>Ken</b:First>
          </b:Person>
        </b:NameList>
      </b:Author>
    </b:Author>
    <b:Title>Occupiers Liability</b:Title>
    <b:JournalName>Torts</b:JournalName>
    <b:Year>1997</b:Year>
    <b:Pages>155-168</b:Pages>
    <b:RefOrder>2</b:RefOrder>
  </b:Source>
  <b:Source>
    <b:Tag>Qui16</b:Tag>
    <b:SourceType>Book</b:SourceType>
    <b:Guid>{C60BE707-5CB6-A640-B404-42235259C572}</b:Guid>
    <b:Title>Damages and Compensation Culture: Comparative Perspectives</b:Title>
    <b:Year>2016</b:Year>
    <b:City>London</b:City>
    <b:Publisher>Bloomsbury</b:Publisher>
    <b:Edition>1</b:Edition>
    <b:Author>
      <b:Author>
        <b:NameList>
          <b:Person>
            <b:Last>Quill</b:Last>
            <b:First>Eoin</b:First>
          </b:Person>
          <b:Person>
            <b:Last>Friel</b:Last>
            <b:Middle>J</b:Middle>
            <b:First>Raymond</b:First>
          </b:Person>
        </b:NameList>
      </b:Author>
    </b:Author>
    <b:RefOrder>3</b:RefOrder>
  </b:Source>
  <b:Source>
    <b:Tag>Dou58</b:Tag>
    <b:SourceType>JournalArticle</b:SourceType>
    <b:Guid>{1407ECC5-1C17-1C42-BC82-96B71143473E}</b:Guid>
    <b:Title>The Occupiers' Liability Act</b:Title>
    <b:Year>1958</b:Year>
    <b:Author>
      <b:Author>
        <b:NameList>
          <b:Person>
            <b:Last>Payne</b:Last>
            <b:First>Douglas</b:First>
          </b:Person>
        </b:NameList>
      </b:Author>
    </b:Author>
    <b:JournalName>The Modern Law Review</b:JournalName>
    <b:Volume>21</b:Volume>
    <b:Issue>4</b:Issue>
    <b:Pages>359-374</b:Pages>
    <b:RefOrder>4</b:RefOrder>
  </b:Source>
  <b:Source>
    <b:Tag>FJO57</b:Tag>
    <b:SourceType>JournalArticle</b:SourceType>
    <b:Guid>{94D75490-B244-2C41-8A8E-D1708A63F478}</b:Guid>
    <b:Author>
      <b:Author>
        <b:NameList>
          <b:Person>
            <b:Last>Odgers</b:Last>
            <b:First>F</b:First>
            <b:Middle>J</b:Middle>
          </b:Person>
        </b:NameList>
      </b:Author>
    </b:Author>
    <b:Title>Occupiers' Liabiloty: A Further Comment</b:Title>
    <b:JournalName>Cambridge Law Journal</b:JournalName>
    <b:Year>1957</b:Year>
    <b:Volume>15</b:Volume>
    <b:Issue>1</b:Issue>
    <b:Pages>39-54</b:Pages>
    <b:RefOrder>8</b:RefOrder>
  </b:Source>
  <b:Source>
    <b:Tag>Bar95</b:Tag>
    <b:SourceType>JournalArticle</b:SourceType>
    <b:Guid>{405F8EEB-3B5F-694D-90AB-DD1C306E80CE}</b:Guid>
    <b:Title>Private Property, Public access and Occupiers Liability</b:Title>
    <b:JournalName>Legal Studies</b:JournalName>
    <b:Year>1995</b:Year>
    <b:Volume>15</b:Volume>
    <b:Issue>3</b:Issue>
    <b:Pages>335-355</b:Pages>
    <b:Author>
      <b:Author>
        <b:NameList>
          <b:Person>
            <b:Last>Barker</b:Last>
            <b:Middle>R</b:Middle>
            <b:First>F</b:First>
          </b:Person>
          <b:Person>
            <b:Last>Parry</b:Last>
            <b:Middle>M</b:Middle>
            <b:First> N D</b:First>
          </b:Person>
        </b:NameList>
      </b:Author>
    </b:Author>
    <b:RefOrder>9</b:RefOrder>
  </b:Source>
  <b:Source>
    <b:Tag>Bri94</b:Tag>
    <b:SourceType>JournalArticle</b:SourceType>
    <b:Guid>{AE7971E9-9201-D245-A197-88A6AD9CFC35}</b:Guid>
    <b:Author>
      <b:Author>
        <b:NameList>
          <b:Person>
            <b:Last>Hogan</b:Last>
            <b:First>Brian</b:First>
          </b:Person>
        </b:NameList>
      </b:Author>
    </b:Author>
    <b:Title>Defence of Property</b:Title>
    <b:JournalName>The New Law Journal</b:JournalName>
    <b:Year>1994</b:Year>
    <b:Volume>144</b:Volume>
    <b:Issue>6642</b:Issue>
    <b:Pages>446</b:Pages>
    <b:RefOrder>10</b:RefOrder>
  </b:Source>
  <b:Source>
    <b:Tag>Law11</b:Tag>
    <b:SourceType>JournalArticle</b:SourceType>
    <b:Guid>{8CBA8830-3DFF-1949-8D21-39426B1A36BC}</b:Guid>
    <b:Author>
      <b:Author>
        <b:NameList>
          <b:Person>
            <b:Last>Bamber</b:Last>
            <b:First>Lawrence</b:First>
          </b:Person>
        </b:NameList>
      </b:Author>
    </b:Author>
    <b:Title>Within these walls</b:Title>
    <b:JournalName>Tolley's Health and Safety at Work</b:JournalName>
    <b:Year>2011</b:Year>
    <b:Volume>33</b:Volume>
    <b:Issue>6</b:Issue>
    <b:Pages>37</b:Pages>
    <b:RefOrder>5</b:RefOrder>
  </b:Source>
  <b:Source>
    <b:Tag>Luk11</b:Tag>
    <b:SourceType>JournalArticle</b:SourceType>
    <b:Guid>{60E3C883-B530-B148-8318-DD65D37FA12A}</b:Guid>
    <b:Author>
      <b:Author>
        <b:NameList>
          <b:Person>
            <b:Last>Bennett</b:Last>
            <b:First>Luke</b:First>
          </b:Person>
        </b:NameList>
      </b:Author>
    </b:Author>
    <b:Title>Judgers, child tresspassers and occupiers' liabilty</b:Title>
    <b:JournalName>International Journal of Law in the Build Environment</b:JournalName>
    <b:Year>2011</b:Year>
    <b:Volume>3</b:Volume>
    <b:Issue>2</b:Issue>
    <b:Pages>126-145</b:Pages>
    <b:RefOrder>6</b:RefOrder>
  </b:Source>
  <b:Source>
    <b:Tag>Bri941</b:Tag>
    <b:SourceType>JournalArticle</b:SourceType>
    <b:Guid>{4CE6D564-14E1-C04A-817D-F87A2B5ADB30}</b:Guid>
    <b:Author>
      <b:Author>
        <b:NameList>
          <b:Person>
            <b:Last>Hogan</b:Last>
            <b:First>Brian</b:First>
          </b:Person>
        </b:NameList>
      </b:Author>
    </b:Author>
    <b:Title>Defence of property</b:Title>
    <b:JournalName>The New Law Journal</b:JournalName>
    <b:Year>1994</b:Year>
    <b:Volume>144</b:Volume>
    <b:Issue>6642</b:Issue>
    <b:Pages>466</b:Pages>
    <b:RefOrder>12</b:RefOrder>
  </b:Source>
  <b:Source>
    <b:Tag>Nic04</b:Tag>
    <b:SourceType>JournalArticle</b:SourceType>
    <b:Guid>{B3D748EF-5287-2243-9C34-40D3605A5EA3}</b:Guid>
    <b:Author>
      <b:Author>
        <b:NameList>
          <b:Person>
            <b:Last>Mcbride</b:Last>
            <b:First>Nicholas</b:First>
            <b:Middle>J</b:Middle>
          </b:Person>
        </b:NameList>
      </b:Author>
    </b:Author>
    <b:Title>Duties of Care- do they really exist?</b:Title>
    <b:JournalName>Oxford Journal of Legal Studies</b:JournalName>
    <b:Year>2004</b:Year>
    <b:Volume>24</b:Volume>
    <b:Issue>3</b:Issue>
    <b:Pages>417-441</b:Pages>
    <b:RefOrder>13</b:RefOrder>
  </b:Source>
  <b:Source>
    <b:Tag>Chr05</b:Tag>
    <b:SourceType>JournalArticle</b:SourceType>
    <b:Guid>{7810042A-3A8B-5544-A243-C73E748B3E53}</b:Guid>
    <b:Author>
      <b:Author>
        <b:NameList>
          <b:Person>
            <b:Last>Witting</b:Last>
            <b:First>Christian</b:First>
          </b:Person>
        </b:NameList>
      </b:Author>
    </b:Author>
    <b:Title>Duty of Care: an analytical approach</b:Title>
    <b:JournalName>Oxford Journal of Legal Studies</b:JournalName>
    <b:Year>2005</b:Year>
    <b:Volume>25</b:Volume>
    <b:Issue>1</b:Issue>
    <b:Pages>33-63</b:Pages>
    <b:RefOrder>23</b:RefOrder>
  </b:Source>
  <b:Source>
    <b:Tag>RAB06</b:Tag>
    <b:SourceType>JournalArticle</b:SourceType>
    <b:Guid>{B3A6AECB-08C1-1A4C-8E73-A374ABC73441}</b:Guid>
    <b:Author>
      <b:Author>
        <b:NameList>
          <b:Person>
            <b:Last>Buckley</b:Last>
            <b:First>R</b:First>
            <b:Middle>A</b:Middle>
          </b:Person>
        </b:NameList>
      </b:Author>
    </b:Author>
    <b:Title>Occupiers' Liability in England and Canada</b:Title>
    <b:JournalName>Common Law World Review</b:JournalName>
    <b:Year>2006</b:Year>
    <b:Volume>35</b:Volume>
    <b:Issue>3</b:Issue>
    <b:Pages>197</b:Pages>
    <b:RefOrder>24</b:RefOrder>
  </b:Source>
  <b:Source>
    <b:Tag>Jod23</b:Tag>
    <b:SourceType>JournalArticle</b:SourceType>
    <b:Guid>{55D507D8-8D6D-E943-BDF8-88F53D2A0F4E}</b:Guid>
    <b:Author>
      <b:Author>
        <b:NameList>
          <b:Person>
            <b:Last>Gardner</b:Last>
            <b:First>Jodi</b:First>
          </b:Person>
        </b:NameList>
      </b:Author>
    </b:Author>
    <b:Title>Rethinking risk taking: the death of volenti?</b:Title>
    <b:JournalName>The Cambridge Law Journal</b:JournalName>
    <b:Year>2023</b:Year>
    <b:Volume>82</b:Volume>
    <b:Issue>1</b:Issue>
    <b:RefOrder>25</b:RefOrder>
  </b:Source>
  <b:Source>
    <b:Tag>Jam161</b:Tag>
    <b:SourceType>JournalArticle</b:SourceType>
    <b:Guid>{730B6F42-3348-3B40-A4FD-15FA75948BE3}</b:Guid>
    <b:Author>
      <b:Author>
        <b:NameList>
          <b:Person>
            <b:Last>Goudkamp</b:Last>
            <b:First>James</b:First>
          </b:Person>
        </b:NameList>
      </b:Author>
    </b:Author>
    <b:Title>Contributory Negligence in the twenty first century: an empirical study of first instance decisions</b:Title>
    <b:JournalName>Modern Law Review</b:JournalName>
    <b:Year>2016</b:Year>
    <b:Volume>79</b:Volume>
    <b:Issue>4</b:Issue>
    <b:Pages>575-622</b:Pages>
    <b:RefOrder>22</b:RefOrder>
  </b:Source>
  <b:Source>
    <b:Tag>Jam12</b:Tag>
    <b:SourceType>JournalArticle</b:SourceType>
    <b:Guid>{D6F21CC2-7F22-7E4A-BA52-6611AC7AB5A6}</b:Guid>
    <b:Author>
      <b:Author>
        <b:NameList>
          <b:Person>
            <b:Last>Goudkamp</b:Last>
            <b:First>James</b:First>
          </b:Person>
        </b:NameList>
      </b:Author>
    </b:Author>
    <b:Title>The young report: an Austrailian perspective on the latest response to Britain's 'compensation culture'</b:Title>
    <b:JournalName>Journal of Professional Negligence</b:JournalName>
    <b:Year>2012</b:Year>
    <b:Volume>28</b:Volume>
    <b:Issue>1</b:Issue>
    <b:Pages>4-26</b:Pages>
    <b:RefOrder>21</b:RefOrder>
  </b:Source>
  <b:Source>
    <b:Tag>Car17</b:Tag>
    <b:SourceType>JournalArticle</b:SourceType>
    <b:Guid>{C2A2775A-EDF6-4144-8A89-7429F063724F}</b:Guid>
    <b:Author>
      <b:Author>
        <b:NameList>
          <b:Person>
            <b:Last>Silva</b:Last>
            <b:First>Carrie</b:First>
            <b:Middle>de</b:Middle>
          </b:Person>
        </b:NameList>
      </b:Author>
    </b:Author>
    <b:Title>Before and after Mirvahedy v Henley: the history, controversy and practice of strict liability regarding damage by horses </b:Title>
    <b:JournalName>Contemporary Issues in Law</b:JournalName>
    <b:Year>2017</b:Year>
    <b:Volume>14</b:Volume>
    <b:Issue>3</b:Issue>
    <b:Pages>167-190</b:Pages>
    <b:RefOrder>20</b:RefOrder>
  </b:Source>
  <b:Source>
    <b:Tag>Jon221</b:Tag>
    <b:SourceType>JournalArticle</b:SourceType>
    <b:Guid>{64B068BE-2ACD-2C4B-885D-06C5486377ED}</b:Guid>
    <b:Author>
      <b:Author>
        <b:NameList>
          <b:Person>
            <b:Last>Morgan</b:Last>
            <b:First>Jonathon</b:First>
          </b:Person>
        </b:NameList>
      </b:Author>
    </b:Author>
    <b:Title>Equality at the contract-tort boundary: levelling up of levelling down?</b:Title>
    <b:JournalName>Journal of Professional Negligence</b:JournalName>
    <b:Year>2022</b:Year>
    <b:Volume>38</b:Volume>
    <b:Issue>3</b:Issue>
    <b:Pages>135-161</b:Pages>
    <b:RefOrder>26</b:RefOrder>
  </b:Source>
  <b:Source>
    <b:Tag>Chr20</b:Tag>
    <b:SourceType>JournalArticle</b:SourceType>
    <b:Guid>{054DA14B-7872-C548-A7C6-E48272A3F9D4}</b:Guid>
    <b:Author>
      <b:Author>
        <b:NameList>
          <b:Person>
            <b:Last>Arnull</b:Last>
            <b:First>Christopher</b:First>
            <b:Middle>J</b:Middle>
          </b:Person>
        </b:NameList>
      </b:Author>
    </b:Author>
    <b:Title>A sterile and semantic debate about negligence</b:Title>
    <b:JournalName>Journal of Professional Negligence</b:JournalName>
    <b:Year>2020</b:Year>
    <b:Volume>36</b:Volume>
    <b:Issue>1</b:Issue>
    <b:Pages>19-32</b:Pages>
    <b:RefOrder>27</b:RefOrder>
  </b:Source>
  <b:Source>
    <b:Tag>Kum17</b:Tag>
    <b:SourceType>JournalArticle</b:SourceType>
    <b:Guid>{83AAC436-62DB-7C44-A8F4-B7FF4D77DE8A}</b:Guid>
    <b:Author>
      <b:Author>
        <b:NameList>
          <b:Person>
            <b:Last>Amirthalingham</b:Last>
            <b:First>Kumarlingham</b:First>
          </b:Person>
        </b:NameList>
      </b:Author>
    </b:Author>
    <b:Title>Occupiers' liability in England: time for some house keeping?</b:Title>
    <b:JournalName>Journal of Professional Negligence</b:JournalName>
    <b:Year>2017</b:Year>
    <b:Volume>33</b:Volume>
    <b:Issue>1</b:Issue>
    <b:Pages>46-50</b:Pages>
    <b:RefOrder>18</b:RefOrder>
  </b:Source>
  <b:Source>
    <b:Tag>Sus13</b:Tag>
    <b:SourceType>JournalArticle</b:SourceType>
    <b:Guid>{089CA77E-0DE7-624B-B399-61104B87E2A1}</b:Guid>
    <b:Author>
      <b:Author>
        <b:NameList>
          <b:Person>
            <b:Last>Ghaiwal</b:Last>
            <b:First>Susan</b:First>
          </b:Person>
        </b:NameList>
      </b:Author>
    </b:Author>
    <b:Title>When tresapssers are injured</b:Title>
    <b:JournalName>Health and Safety at Work Newsletter</b:JournalName>
    <b:Year>2013</b:Year>
    <b:Volume>19</b:Volume>
    <b:Issue>1</b:Issue>
    <b:Pages>1-3</b:Pages>
    <b:RefOrder>19</b:RefOrder>
  </b:Source>
  <b:Source>
    <b:Tag>Ant02</b:Tag>
    <b:SourceType>JournalArticle</b:SourceType>
    <b:Guid>{B51D8F03-148E-FA46-837B-284BA9B58233}</b:Guid>
    <b:Author>
      <b:Author>
        <b:NameList>
          <b:Person>
            <b:Last>Goldstaub</b:Last>
            <b:First>Anthony</b:First>
          </b:Person>
        </b:NameList>
      </b:Author>
    </b:Author>
    <b:Title>Occupiers' liability to trespassers: revised or revisited?</b:Title>
    <b:JournalName>The New Law Journal</b:JournalName>
    <b:Year>2002</b:Year>
    <b:Volume>152</b:Volume>
    <b:Issue>7045</b:Issue>
    <b:Pages>152</b:Pages>
    <b:RefOrder>17</b:RefOrder>
  </b:Source>
  <b:Source>
    <b:Tag>Rod10</b:Tag>
    <b:SourceType>JournalArticle</b:SourceType>
    <b:Guid>{A331F83B-3B91-A042-9F83-F72DD169BE6B}</b:Guid>
    <b:Author>
      <b:Author>
        <b:NameList>
          <b:Person>
            <b:Last>Macleod</b:Last>
            <b:First>Roddy</b:First>
          </b:Person>
        </b:NameList>
      </b:Author>
    </b:Author>
    <b:Title>Personal injury / occupiers liability: what do you mean it's my fault?</b:Title>
    <b:JournalName>The New Law Journal</b:JournalName>
    <b:Year>2010</b:Year>
    <b:Volume>160</b:Volume>
    <b:Issue>7414</b:Issue>
    <b:Pages>567</b:Pages>
    <b:RefOrder>16</b:RefOrder>
  </b:Source>
  <b:Source>
    <b:Tag>JBe02</b:Tag>
    <b:SourceType>JournalArticle</b:SourceType>
    <b:Guid>{3B21C7AC-DBAD-4C41-8906-B700B553E7D3}</b:Guid>
    <b:Author>
      <b:Author>
        <b:NameList>
          <b:Person>
            <b:Last>Bell</b:Last>
            <b:First>J</b:First>
          </b:Person>
        </b:NameList>
      </b:Author>
    </b:Author>
    <b:Title>Case and comment</b:Title>
    <b:JournalName>The Cambridge Law Journal</b:JournalName>
    <b:Year>2002</b:Year>
    <b:Volume>61</b:Volume>
    <b:Issue>3</b:Issue>
    <b:Pages>499-543</b:Pages>
    <b:RefOrder>15</b:RefOrder>
  </b:Source>
  <b:Source>
    <b:Tag>Ric061</b:Tag>
    <b:SourceType>JournalArticle</b:SourceType>
    <b:Guid>{1B9928EF-829E-0C48-BD0D-2B0DD7B21421}</b:Guid>
    <b:Author>
      <b:Author>
        <b:NameList>
          <b:Person>
            <b:Last>Mullender</b:Last>
            <b:First>Richard</b:First>
          </b:Person>
        </b:NameList>
      </b:Author>
    </b:Author>
    <b:Title>Negligence law and blame culture: a critical response to a possible problem</b:Title>
    <b:JournalName>Journal of Professional Negligence</b:JournalName>
    <b:Year>2006</b:Year>
    <b:Volume>22</b:Volume>
    <b:Issue>1</b:Issue>
    <b:Pages>2-31</b:Pages>
    <b:RefOrder>14</b:RefOrder>
  </b:Source>
  <b:Source>
    <b:Tag>Nig01</b:Tag>
    <b:SourceType>JournalArticle</b:SourceType>
    <b:Guid>{D6DEBCBE-0F80-7744-9203-78A150630C52}</b:Guid>
    <b:Author>
      <b:Author>
        <b:NameList>
          <b:Person>
            <b:Last>Baker</b:Last>
            <b:First>Nigel</b:First>
          </b:Person>
        </b:NameList>
      </b:Author>
    </b:Author>
    <b:Title>Occupiers' Liability</b:Title>
    <b:JournalName>Tolleys Employment Law Newsletter</b:JournalName>
    <b:Year>2001</b:Year>
    <b:Volume>8</b:Volume>
    <b:Issue>1</b:Issue>
    <b:RefOrder>11</b:RefOrder>
  </b:Source>
  <b:Source>
    <b:Tag>Jam01</b:Tag>
    <b:SourceType>JournalArticle</b:SourceType>
    <b:Guid>{E3496C06-73B4-394C-A05C-29F6E1D83AE1}</b:Guid>
    <b:Author>
      <b:Author>
        <b:NameList>
          <b:Person>
            <b:Last>Watt</b:Last>
            <b:First>James</b:First>
          </b:Person>
        </b:NameList>
      </b:Author>
    </b:Author>
    <b:Title>Jolley v Sutton Borough Council</b:Title>
    <b:JournalName>Journal of Patient Safety and Risk Management</b:JournalName>
    <b:Year>2001</b:Year>
    <b:Volume>7</b:Volume>
    <b:Issue>4</b:Issue>
    <b:RefOrder>7</b:RefOrder>
  </b:Source>
</b:Sources>
</file>

<file path=customXml/itemProps1.xml><?xml version="1.0" encoding="utf-8"?>
<ds:datastoreItem xmlns:ds="http://schemas.openxmlformats.org/officeDocument/2006/customXml" ds:itemID="{8BA2F1D0-0832-474B-AA5E-C081F55E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5534</TotalTime>
  <Pages>7</Pages>
  <Words>2190</Words>
  <Characters>12484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14645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Alisha Ashmole (2223229)</cp:lastModifiedBy>
  <cp:revision>971</cp:revision>
  <cp:lastPrinted>2014-10-10T07:42:00Z</cp:lastPrinted>
  <dcterms:created xsi:type="dcterms:W3CDTF">2023-10-29T11:27:00Z</dcterms:created>
  <dcterms:modified xsi:type="dcterms:W3CDTF">2023-11-09T23:03:00Z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