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113505" wp14:paraId="5E5787A5" wp14:textId="06DF6DF8">
      <w:pPr>
        <w:rPr>
          <w:rFonts w:ascii="Arial Nova" w:hAnsi="Arial Nova" w:eastAsia="Arial Nova" w:cs="Arial Nova" w:asciiTheme="minorAscii" w:hAnsiTheme="minorAscii" w:eastAsiaTheme="minorAscii" w:cstheme="minorAscii"/>
          <w:b w:val="1"/>
          <w:bCs w:val="1"/>
          <w:sz w:val="28"/>
          <w:szCs w:val="28"/>
        </w:rPr>
      </w:pPr>
      <w:r w:rsidR="6D7191E1">
        <w:rPr/>
        <w:t xml:space="preserve">                                </w:t>
      </w:r>
      <w:r w:rsidR="3081DCF0">
        <w:rPr/>
        <w:t xml:space="preserve">         </w:t>
      </w:r>
      <w:r w:rsidR="6D7191E1">
        <w:rPr/>
        <w:t xml:space="preserve">        </w:t>
      </w:r>
      <w:r w:rsidRPr="4C113505" w:rsidR="6D7191E1">
        <w:rPr>
          <w:rFonts w:ascii="Arial Nova" w:hAnsi="Arial Nova" w:eastAsia="Arial Nova" w:cs="Arial Nova" w:asciiTheme="minorAscii" w:hAnsiTheme="minorAscii" w:eastAsiaTheme="minorAscii" w:cstheme="minorAscii"/>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Naziea Younis  </w:t>
      </w:r>
    </w:p>
    <w:p w:rsidR="6D7191E1" w:rsidP="4C113505" w:rsidRDefault="6D7191E1" w14:paraId="13B77A56" w14:textId="76B45B3C">
      <w:pPr>
        <w:rPr>
          <w:rFonts w:ascii="Arial Nova" w:hAnsi="Arial Nova" w:eastAsia="Arial Nova" w:cs="Arial Nova" w:asciiTheme="minorAscii" w:hAnsiTheme="minorAscii" w:eastAsiaTheme="minorAscii" w:cstheme="minorAscii"/>
          <w:b w:val="1"/>
          <w:bCs w:val="1"/>
          <w:sz w:val="28"/>
          <w:szCs w:val="28"/>
        </w:rPr>
      </w:pP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05080C29">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        2410916 </w:t>
      </w:r>
    </w:p>
    <w:p w:rsidR="6D7191E1" w:rsidP="4C113505" w:rsidRDefault="6D7191E1" w14:paraId="1529CC95" w14:textId="08146C05">
      <w:pPr>
        <w:pStyle w:val="Normal"/>
        <w:rPr>
          <w:rFonts w:ascii="Arial Nova" w:hAnsi="Arial Nova" w:eastAsia="Arial Nova" w:cs="Arial Nova" w:asciiTheme="minorAscii" w:hAnsiTheme="minorAscii" w:eastAsiaTheme="minorAscii" w:cstheme="minorAscii"/>
          <w:b w:val="1"/>
          <w:bCs w:val="1"/>
          <w:noProof w:val="0"/>
          <w:sz w:val="28"/>
          <w:szCs w:val="28"/>
          <w:lang w:val="en-GB"/>
        </w:rPr>
      </w:pP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68DA996B">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195AC156">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48C77512">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sz w:val="28"/>
          <w:szCs w:val="28"/>
        </w:rPr>
        <w:t xml:space="preserve">  </w:t>
      </w:r>
      <w:r w:rsidRPr="4C113505" w:rsidR="6D7191E1">
        <w:rPr>
          <w:rFonts w:ascii="Arial Nova" w:hAnsi="Arial Nova" w:eastAsia="Arial Nova" w:cs="Arial Nova" w:asciiTheme="minorAscii" w:hAnsiTheme="minorAscii" w:eastAsiaTheme="minorAscii" w:cstheme="minorAscii"/>
          <w:b w:val="1"/>
          <w:bCs w:val="1"/>
          <w:noProof w:val="0"/>
          <w:sz w:val="28"/>
          <w:szCs w:val="28"/>
          <w:lang w:val="en-GB"/>
        </w:rPr>
        <w:t xml:space="preserve">BSc Health and Social Care </w:t>
      </w:r>
    </w:p>
    <w:p w:rsidR="0E3B9B2C" w:rsidP="4C113505" w:rsidRDefault="0E3B9B2C" w14:paraId="417DCE31" w14:textId="35AACF6F">
      <w:pPr>
        <w:pStyle w:val="Normal"/>
        <w:rPr>
          <w:rFonts w:ascii="Arial Nova" w:hAnsi="Arial Nova" w:eastAsia="Arial Nova" w:cs="Arial Nova" w:asciiTheme="minorAscii" w:hAnsiTheme="minorAscii" w:eastAsiaTheme="minorAscii" w:cstheme="minorAscii"/>
          <w:b w:val="1"/>
          <w:bCs w:val="1"/>
          <w:noProof w:val="0"/>
          <w:sz w:val="28"/>
          <w:szCs w:val="28"/>
          <w:lang w:val="en-GB"/>
        </w:rPr>
      </w:pP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5019E6D3">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375B717F">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Principles of Health and Social Care Practice </w:t>
      </w:r>
    </w:p>
    <w:p w:rsidR="0E3B9B2C" w:rsidP="4C113505" w:rsidRDefault="0E3B9B2C" w14:paraId="17D5CEF3" w14:textId="5838A896">
      <w:pPr>
        <w:pStyle w:val="Normal"/>
        <w:rPr>
          <w:rFonts w:ascii="Arial Nova" w:hAnsi="Arial Nova" w:eastAsia="Arial Nova" w:cs="Arial Nova" w:asciiTheme="minorAscii" w:hAnsiTheme="minorAscii" w:eastAsiaTheme="minorAscii" w:cstheme="minorAscii"/>
          <w:b w:val="1"/>
          <w:bCs w:val="1"/>
          <w:noProof w:val="0"/>
          <w:sz w:val="28"/>
          <w:szCs w:val="28"/>
          <w:lang w:val="en-GB"/>
        </w:rPr>
      </w:pP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642DBDA2">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160949DB">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0E3B9B2C">
        <w:rPr>
          <w:rFonts w:ascii="Arial Nova" w:hAnsi="Arial Nova" w:eastAsia="Arial Nova" w:cs="Arial Nova" w:asciiTheme="minorAscii" w:hAnsiTheme="minorAscii" w:eastAsiaTheme="minorAscii" w:cstheme="minorAscii"/>
          <w:b w:val="1"/>
          <w:bCs w:val="1"/>
          <w:noProof w:val="0"/>
          <w:sz w:val="28"/>
          <w:szCs w:val="28"/>
          <w:lang w:val="en-GB"/>
        </w:rPr>
        <w:t xml:space="preserve">         BMHP5016 </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 xml:space="preserve"> </w:t>
      </w:r>
    </w:p>
    <w:p w:rsidR="4ACC571F" w:rsidP="4C113505" w:rsidRDefault="4ACC571F" w14:paraId="57CB5264" w14:textId="03A681E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r w:rsidRPr="4C113505" w:rsidR="4ACC571F">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14FAB7FA">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2ECD9634">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 xml:space="preserve">  </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Component</w:t>
      </w:r>
      <w:r w:rsidRPr="4C113505" w:rsidR="652A15D5">
        <w:rPr>
          <w:rFonts w:ascii="Arial Nova" w:hAnsi="Arial Nova" w:eastAsia="Arial Nova" w:cs="Arial Nova" w:asciiTheme="minorAscii" w:hAnsiTheme="minorAscii" w:eastAsiaTheme="minorAscii" w:cstheme="minorAscii"/>
          <w:b w:val="1"/>
          <w:bCs w:val="1"/>
          <w:noProof w:val="0"/>
          <w:sz w:val="28"/>
          <w:szCs w:val="28"/>
          <w:lang w:val="en-GB"/>
        </w:rPr>
        <w:t xml:space="preserve"> 1: Written Assignment (Reflective Report)</w:t>
      </w:r>
      <w:r w:rsidRPr="4C113505" w:rsidR="652A15D5">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w:rsidR="4C113505" w:rsidP="4C113505" w:rsidRDefault="4C113505" w14:paraId="5FC6FFC1" w14:textId="3CABD3FE">
      <w:pPr>
        <w:pStyle w:val="Normal"/>
        <w:rPr>
          <w:rFonts w:ascii="Arial Nova" w:hAnsi="Arial Nova" w:eastAsia="Arial Nova" w:cs="Arial Nova" w:asciiTheme="minorAscii" w:hAnsiTheme="minorAscii" w:eastAsiaTheme="minorAscii" w:cstheme="minorAscii"/>
          <w:b w:val="1"/>
          <w:bCs w:val="1"/>
          <w:noProof w:val="0"/>
          <w:sz w:val="22"/>
          <w:szCs w:val="22"/>
          <w:lang w:val="en-GB"/>
        </w:rPr>
      </w:pPr>
    </w:p>
    <w:p w:rsidR="4C113505" w:rsidP="4C113505" w:rsidRDefault="4C113505" w14:paraId="40CAEB63" w14:textId="349F9C6D">
      <w:pPr>
        <w:pStyle w:val="Normal"/>
        <w:rPr>
          <w:rFonts w:ascii="Arial" w:hAnsi="Arial" w:eastAsia="Arial" w:cs="Arial"/>
          <w:b w:val="1"/>
          <w:bCs w:val="1"/>
          <w:noProof w:val="0"/>
          <w:sz w:val="22"/>
          <w:szCs w:val="22"/>
          <w:lang w:val="en-GB"/>
        </w:rPr>
      </w:pPr>
    </w:p>
    <w:p w:rsidR="4C113505" w:rsidP="4C113505" w:rsidRDefault="4C113505" w14:paraId="52CF9289" w14:textId="0748D5F8">
      <w:pPr>
        <w:pStyle w:val="Normal"/>
        <w:rPr>
          <w:rFonts w:ascii="Arial" w:hAnsi="Arial" w:eastAsia="Arial" w:cs="Arial"/>
          <w:b w:val="1"/>
          <w:bCs w:val="1"/>
          <w:noProof w:val="0"/>
          <w:sz w:val="22"/>
          <w:szCs w:val="22"/>
          <w:lang w:val="en-GB"/>
        </w:rPr>
      </w:pPr>
    </w:p>
    <w:p w:rsidR="4C113505" w:rsidP="4C113505" w:rsidRDefault="4C113505" w14:paraId="62C5FC6E" w14:textId="207CF148">
      <w:pPr>
        <w:pStyle w:val="Normal"/>
        <w:rPr>
          <w:rFonts w:ascii="Arial" w:hAnsi="Arial" w:eastAsia="Arial" w:cs="Arial"/>
          <w:b w:val="1"/>
          <w:bCs w:val="1"/>
          <w:noProof w:val="0"/>
          <w:sz w:val="22"/>
          <w:szCs w:val="22"/>
          <w:lang w:val="en-GB"/>
        </w:rPr>
      </w:pPr>
    </w:p>
    <w:p w:rsidR="4C113505" w:rsidP="4C113505" w:rsidRDefault="4C113505" w14:paraId="277A8B47" w14:textId="5C5A3C95">
      <w:pPr>
        <w:pStyle w:val="Normal"/>
        <w:rPr>
          <w:rFonts w:ascii="Arial" w:hAnsi="Arial" w:eastAsia="Arial" w:cs="Arial"/>
          <w:b w:val="1"/>
          <w:bCs w:val="1"/>
          <w:noProof w:val="0"/>
          <w:sz w:val="22"/>
          <w:szCs w:val="22"/>
          <w:lang w:val="en-GB"/>
        </w:rPr>
      </w:pPr>
    </w:p>
    <w:p w:rsidR="4C113505" w:rsidP="4C113505" w:rsidRDefault="4C113505" w14:paraId="2C3F412E" w14:textId="72FC30ED">
      <w:pPr>
        <w:pStyle w:val="Normal"/>
        <w:rPr>
          <w:rFonts w:ascii="Arial" w:hAnsi="Arial" w:eastAsia="Arial" w:cs="Arial"/>
          <w:b w:val="1"/>
          <w:bCs w:val="1"/>
          <w:noProof w:val="0"/>
          <w:sz w:val="22"/>
          <w:szCs w:val="22"/>
          <w:lang w:val="en-GB"/>
        </w:rPr>
      </w:pPr>
    </w:p>
    <w:p w:rsidR="4C113505" w:rsidP="4C113505" w:rsidRDefault="4C113505" w14:paraId="37718485" w14:textId="5D114045">
      <w:pPr>
        <w:pStyle w:val="Normal"/>
        <w:rPr>
          <w:rFonts w:ascii="Arial" w:hAnsi="Arial" w:eastAsia="Arial" w:cs="Arial"/>
          <w:b w:val="1"/>
          <w:bCs w:val="1"/>
          <w:noProof w:val="0"/>
          <w:sz w:val="22"/>
          <w:szCs w:val="22"/>
          <w:lang w:val="en-GB"/>
        </w:rPr>
      </w:pPr>
    </w:p>
    <w:p w:rsidR="4C113505" w:rsidP="4C113505" w:rsidRDefault="4C113505" w14:paraId="4E67E84A" w14:textId="2033BD4C">
      <w:pPr>
        <w:pStyle w:val="Normal"/>
        <w:rPr>
          <w:rFonts w:ascii="Arial" w:hAnsi="Arial" w:eastAsia="Arial" w:cs="Arial"/>
          <w:b w:val="1"/>
          <w:bCs w:val="1"/>
          <w:noProof w:val="0"/>
          <w:sz w:val="22"/>
          <w:szCs w:val="22"/>
          <w:lang w:val="en-GB"/>
        </w:rPr>
      </w:pPr>
    </w:p>
    <w:p w:rsidR="4C113505" w:rsidP="4C113505" w:rsidRDefault="4C113505" w14:paraId="7F5396EC" w14:textId="341A668A">
      <w:pPr>
        <w:pStyle w:val="Normal"/>
        <w:rPr>
          <w:rFonts w:ascii="Arial" w:hAnsi="Arial" w:eastAsia="Arial" w:cs="Arial"/>
          <w:b w:val="1"/>
          <w:bCs w:val="1"/>
          <w:noProof w:val="0"/>
          <w:sz w:val="22"/>
          <w:szCs w:val="22"/>
          <w:lang w:val="en-GB"/>
        </w:rPr>
      </w:pPr>
    </w:p>
    <w:p w:rsidR="4C113505" w:rsidP="4C113505" w:rsidRDefault="4C113505" w14:paraId="0256511D" w14:textId="68D1AE21">
      <w:pPr>
        <w:pStyle w:val="Normal"/>
        <w:rPr>
          <w:rFonts w:ascii="Arial" w:hAnsi="Arial" w:eastAsia="Arial" w:cs="Arial"/>
          <w:b w:val="1"/>
          <w:bCs w:val="1"/>
          <w:noProof w:val="0"/>
          <w:sz w:val="22"/>
          <w:szCs w:val="22"/>
          <w:lang w:val="en-GB"/>
        </w:rPr>
      </w:pPr>
    </w:p>
    <w:p w:rsidR="4C113505" w:rsidP="4C113505" w:rsidRDefault="4C113505" w14:paraId="71B9B9D0" w14:textId="2674BE6B">
      <w:pPr>
        <w:pStyle w:val="Normal"/>
        <w:rPr>
          <w:rFonts w:ascii="Arial" w:hAnsi="Arial" w:eastAsia="Arial" w:cs="Arial"/>
          <w:b w:val="1"/>
          <w:bCs w:val="1"/>
          <w:noProof w:val="0"/>
          <w:sz w:val="22"/>
          <w:szCs w:val="22"/>
          <w:lang w:val="en-GB"/>
        </w:rPr>
      </w:pPr>
    </w:p>
    <w:p w:rsidR="4C113505" w:rsidP="4C113505" w:rsidRDefault="4C113505" w14:paraId="676B5B5F" w14:textId="0D8AA307">
      <w:pPr>
        <w:pStyle w:val="Normal"/>
        <w:rPr>
          <w:rFonts w:ascii="Arial" w:hAnsi="Arial" w:eastAsia="Arial" w:cs="Arial"/>
          <w:b w:val="1"/>
          <w:bCs w:val="1"/>
          <w:noProof w:val="0"/>
          <w:sz w:val="22"/>
          <w:szCs w:val="22"/>
          <w:lang w:val="en-GB"/>
        </w:rPr>
      </w:pPr>
    </w:p>
    <w:p w:rsidR="4C113505" w:rsidP="4C113505" w:rsidRDefault="4C113505" w14:paraId="7E56757C" w14:textId="58EBAF8A">
      <w:pPr>
        <w:pStyle w:val="Normal"/>
        <w:rPr>
          <w:rFonts w:ascii="Arial" w:hAnsi="Arial" w:eastAsia="Arial" w:cs="Arial"/>
          <w:b w:val="1"/>
          <w:bCs w:val="1"/>
          <w:noProof w:val="0"/>
          <w:sz w:val="22"/>
          <w:szCs w:val="22"/>
          <w:lang w:val="en-GB"/>
        </w:rPr>
      </w:pPr>
    </w:p>
    <w:p w:rsidR="4C113505" w:rsidP="4C113505" w:rsidRDefault="4C113505" w14:paraId="01CA1EB5" w14:textId="6A7022CD">
      <w:pPr>
        <w:pStyle w:val="Normal"/>
        <w:rPr>
          <w:rFonts w:ascii="Arial" w:hAnsi="Arial" w:eastAsia="Arial" w:cs="Arial"/>
          <w:b w:val="1"/>
          <w:bCs w:val="1"/>
          <w:noProof w:val="0"/>
          <w:sz w:val="22"/>
          <w:szCs w:val="22"/>
          <w:lang w:val="en-GB"/>
        </w:rPr>
      </w:pPr>
    </w:p>
    <w:p w:rsidR="4C113505" w:rsidP="4C113505" w:rsidRDefault="4C113505" w14:paraId="28E92A5E" w14:textId="77BBA8EF">
      <w:pPr>
        <w:pStyle w:val="Normal"/>
        <w:rPr>
          <w:rFonts w:ascii="Arial" w:hAnsi="Arial" w:eastAsia="Arial" w:cs="Arial"/>
          <w:b w:val="1"/>
          <w:bCs w:val="1"/>
          <w:noProof w:val="0"/>
          <w:sz w:val="22"/>
          <w:szCs w:val="22"/>
          <w:lang w:val="en-GB"/>
        </w:rPr>
      </w:pPr>
    </w:p>
    <w:p w:rsidR="4C113505" w:rsidP="4C113505" w:rsidRDefault="4C113505" w14:paraId="32D8EF22" w14:textId="781EC5DA">
      <w:pPr>
        <w:pStyle w:val="Normal"/>
        <w:rPr>
          <w:rFonts w:ascii="Arial" w:hAnsi="Arial" w:eastAsia="Arial" w:cs="Arial"/>
          <w:b w:val="1"/>
          <w:bCs w:val="1"/>
          <w:noProof w:val="0"/>
          <w:sz w:val="22"/>
          <w:szCs w:val="22"/>
          <w:lang w:val="en-GB"/>
        </w:rPr>
      </w:pPr>
    </w:p>
    <w:p w:rsidR="4C113505" w:rsidP="4C113505" w:rsidRDefault="4C113505" w14:paraId="7D5EA3DC" w14:textId="7C4CFCC2">
      <w:pPr>
        <w:pStyle w:val="Normal"/>
        <w:rPr>
          <w:rFonts w:ascii="Arial" w:hAnsi="Arial" w:eastAsia="Arial" w:cs="Arial"/>
          <w:b w:val="1"/>
          <w:bCs w:val="1"/>
          <w:noProof w:val="0"/>
          <w:sz w:val="22"/>
          <w:szCs w:val="22"/>
          <w:lang w:val="en-GB"/>
        </w:rPr>
      </w:pPr>
    </w:p>
    <w:p w:rsidR="4C113505" w:rsidP="4C113505" w:rsidRDefault="4C113505" w14:paraId="272CFA79" w14:textId="2AC4987B">
      <w:pPr>
        <w:pStyle w:val="Normal"/>
        <w:rPr>
          <w:rFonts w:ascii="Arial" w:hAnsi="Arial" w:eastAsia="Arial" w:cs="Arial"/>
          <w:b w:val="1"/>
          <w:bCs w:val="1"/>
          <w:noProof w:val="0"/>
          <w:sz w:val="22"/>
          <w:szCs w:val="22"/>
          <w:lang w:val="en-GB"/>
        </w:rPr>
      </w:pPr>
    </w:p>
    <w:p w:rsidR="4C113505" w:rsidP="4C113505" w:rsidRDefault="4C113505" w14:paraId="62BAF63D" w14:textId="54195658">
      <w:pPr>
        <w:pStyle w:val="Normal"/>
        <w:rPr>
          <w:rFonts w:ascii="Arial" w:hAnsi="Arial" w:eastAsia="Arial" w:cs="Arial"/>
          <w:b w:val="1"/>
          <w:bCs w:val="1"/>
          <w:noProof w:val="0"/>
          <w:sz w:val="22"/>
          <w:szCs w:val="22"/>
          <w:lang w:val="en-GB"/>
        </w:rPr>
      </w:pPr>
    </w:p>
    <w:p w:rsidR="4C113505" w:rsidP="4C113505" w:rsidRDefault="4C113505" w14:paraId="5BAB052B" w14:textId="5AF830CB">
      <w:pPr>
        <w:pStyle w:val="Normal"/>
        <w:rPr>
          <w:rFonts w:ascii="Arial" w:hAnsi="Arial" w:eastAsia="Arial" w:cs="Arial"/>
          <w:b w:val="1"/>
          <w:bCs w:val="1"/>
          <w:noProof w:val="0"/>
          <w:sz w:val="22"/>
          <w:szCs w:val="22"/>
          <w:lang w:val="en-GB"/>
        </w:rPr>
      </w:pPr>
    </w:p>
    <w:p w:rsidR="4C113505" w:rsidP="4C113505" w:rsidRDefault="4C113505" w14:paraId="670568E8" w14:textId="5C880FB8">
      <w:pPr>
        <w:pStyle w:val="Normal"/>
        <w:rPr>
          <w:rFonts w:ascii="Arial" w:hAnsi="Arial" w:eastAsia="Arial" w:cs="Arial"/>
          <w:b w:val="1"/>
          <w:bCs w:val="1"/>
          <w:noProof w:val="0"/>
          <w:sz w:val="22"/>
          <w:szCs w:val="22"/>
          <w:lang w:val="en-GB"/>
        </w:rPr>
      </w:pPr>
    </w:p>
    <w:p w:rsidR="4C113505" w:rsidP="4C113505" w:rsidRDefault="4C113505" w14:paraId="42F6C637" w14:textId="1CC80DF8">
      <w:pPr>
        <w:pStyle w:val="Normal"/>
        <w:rPr>
          <w:rFonts w:ascii="Arial" w:hAnsi="Arial" w:eastAsia="Arial" w:cs="Arial"/>
          <w:b w:val="1"/>
          <w:bCs w:val="1"/>
          <w:noProof w:val="0"/>
          <w:sz w:val="22"/>
          <w:szCs w:val="22"/>
          <w:lang w:val="en-GB"/>
        </w:rPr>
      </w:pPr>
    </w:p>
    <w:p w:rsidR="4C113505" w:rsidP="4C113505" w:rsidRDefault="4C113505" w14:paraId="09754BCA" w14:textId="79246D52">
      <w:pPr>
        <w:pStyle w:val="Normal"/>
        <w:rPr>
          <w:rFonts w:ascii="Arial" w:hAnsi="Arial" w:eastAsia="Arial" w:cs="Arial"/>
          <w:b w:val="1"/>
          <w:bCs w:val="1"/>
          <w:noProof w:val="0"/>
          <w:sz w:val="22"/>
          <w:szCs w:val="22"/>
          <w:lang w:val="en-GB"/>
        </w:rPr>
      </w:pPr>
    </w:p>
    <w:p w:rsidR="7EDD5D82" w:rsidP="4C113505" w:rsidRDefault="7EDD5D82" w14:paraId="5A0F75B7" w14:textId="6EF21161">
      <w:pPr>
        <w:pStyle w:val="Normal"/>
      </w:pPr>
      <w:r w:rsidRPr="4C113505" w:rsidR="7EDD5D82">
        <w:rPr>
          <w:rFonts w:ascii="Arial" w:hAnsi="Arial" w:eastAsia="Arial" w:cs="Arial"/>
          <w:b w:val="1"/>
          <w:bCs w:val="1"/>
          <w:noProof w:val="0"/>
          <w:sz w:val="24"/>
          <w:szCs w:val="24"/>
          <w:lang w:val="en-GB"/>
        </w:rPr>
        <w:t>Reflection on the Importance of Principles of Health and Social Care</w:t>
      </w:r>
      <w:r w:rsidRPr="4C113505" w:rsidR="7EDD5D82">
        <w:rPr>
          <w:rFonts w:ascii="Arial" w:hAnsi="Arial" w:eastAsia="Arial" w:cs="Arial"/>
          <w:noProof w:val="0"/>
          <w:sz w:val="22"/>
          <w:szCs w:val="22"/>
          <w:lang w:val="en-GB"/>
        </w:rPr>
        <w:t xml:space="preserve"> </w:t>
      </w:r>
    </w:p>
    <w:p w:rsidR="7EDD5D82" w:rsidP="4C113505" w:rsidRDefault="7EDD5D82" w14:paraId="57F82804" w14:textId="65D9AAF0">
      <w:pPr>
        <w:spacing w:before="240" w:beforeAutospacing="off" w:after="240" w:afterAutospacing="off" w:line="360" w:lineRule="auto"/>
      </w:pPr>
      <w:r w:rsidRPr="4C113505" w:rsidR="7EDD5D82">
        <w:rPr>
          <w:rFonts w:ascii="Arial" w:hAnsi="Arial" w:eastAsia="Arial" w:cs="Arial"/>
          <w:noProof w:val="0"/>
          <w:sz w:val="22"/>
          <w:szCs w:val="22"/>
          <w:lang w:val="en-GB"/>
        </w:rPr>
        <w:t>In the UK health and social care, principles are not simply abstract ideals they shape everyday decisions about how professionals relate to people, coordinate support, and justify actions. Person-centred care, partnership working, and ethics are particularly significant because they influence both the experience of care for the individua</w:t>
      </w:r>
      <w:r w:rsidRPr="4C113505" w:rsidR="7539CCCD">
        <w:rPr>
          <w:rFonts w:ascii="Arial" w:hAnsi="Arial" w:eastAsia="Arial" w:cs="Arial"/>
          <w:noProof w:val="0"/>
          <w:sz w:val="22"/>
          <w:szCs w:val="22"/>
          <w:lang w:val="en-GB"/>
        </w:rPr>
        <w:t>l</w:t>
      </w:r>
      <w:r w:rsidRPr="4C113505" w:rsidR="7EDD5D82">
        <w:rPr>
          <w:rFonts w:ascii="Arial" w:hAnsi="Arial" w:eastAsia="Arial" w:cs="Arial"/>
          <w:noProof w:val="0"/>
          <w:sz w:val="22"/>
          <w:szCs w:val="22"/>
          <w:lang w:val="en-GB"/>
        </w:rPr>
        <w:t xml:space="preserve"> and the safety and effectiveness of systems across services. Critically, these principles are strongly promoted in legislation and policy, yet they can be difficult to apply consistently in practice due to workforce, funding, and organisational pressures.</w:t>
      </w:r>
    </w:p>
    <w:p w:rsidR="7EDD5D82" w:rsidP="4C113505" w:rsidRDefault="7EDD5D82" w14:paraId="15AD053C" w14:textId="7577742E">
      <w:pPr>
        <w:spacing w:before="240" w:beforeAutospacing="off" w:after="240" w:afterAutospacing="off" w:line="360" w:lineRule="auto"/>
      </w:pPr>
      <w:r w:rsidRPr="4C113505" w:rsidR="7EDD5D82">
        <w:rPr>
          <w:rFonts w:ascii="Arial" w:hAnsi="Arial" w:eastAsia="Arial" w:cs="Arial"/>
          <w:noProof w:val="0"/>
          <w:sz w:val="22"/>
          <w:szCs w:val="22"/>
          <w:lang w:val="en-GB"/>
        </w:rPr>
        <w:t xml:space="preserve">Person-centred care prioritises the individual’s values, preferences, and goals, emphasising dignity, respect, and involvement in decision-making (McCormack and McCance, 2017). The Care Act 2014 reinforces this focus through its wellbeing principle, encouraging personalised assessment and care planning. The approach can be supported theoretically by Maslow’s Hierarchy of Needs, which suggests that wellbeing requires attention to fundamental physical needs </w:t>
      </w:r>
      <w:r w:rsidRPr="4C113505" w:rsidR="7EDD5D82">
        <w:rPr>
          <w:rFonts w:ascii="Arial" w:hAnsi="Arial" w:eastAsia="Arial" w:cs="Arial"/>
          <w:noProof w:val="0"/>
          <w:sz w:val="22"/>
          <w:szCs w:val="22"/>
          <w:lang w:val="en-GB"/>
        </w:rPr>
        <w:t>and</w:t>
      </w:r>
      <w:r w:rsidRPr="4C113505" w:rsidR="7EDD5D82">
        <w:rPr>
          <w:rFonts w:ascii="Arial" w:hAnsi="Arial" w:eastAsia="Arial" w:cs="Arial"/>
          <w:noProof w:val="0"/>
          <w:sz w:val="22"/>
          <w:szCs w:val="22"/>
          <w:lang w:val="en-GB"/>
        </w:rPr>
        <w:t xml:space="preserve"> social belonging, esteem, and meaning (Maslow, 1943). However, a key critique is the gap between policy expectations and operational reality. High caseloads, time-limited appointments, and target-driven cultures can lead to interactions that become task-focused rather than genuinely responsive, reducing the person’s sense of control and potentially weakening trust.</w:t>
      </w:r>
    </w:p>
    <w:p w:rsidR="7EDD5D82" w:rsidP="4C113505" w:rsidRDefault="7EDD5D82" w14:paraId="2A07310E" w14:textId="0FC38F5D">
      <w:pPr>
        <w:spacing w:before="240" w:beforeAutospacing="off" w:after="240" w:afterAutospacing="off" w:line="360" w:lineRule="auto"/>
      </w:pPr>
      <w:r w:rsidRPr="4C113505" w:rsidR="7EDD5D82">
        <w:rPr>
          <w:rFonts w:ascii="Arial" w:hAnsi="Arial" w:eastAsia="Arial" w:cs="Arial"/>
          <w:noProof w:val="0"/>
          <w:sz w:val="22"/>
          <w:szCs w:val="22"/>
          <w:lang w:val="en-GB"/>
        </w:rPr>
        <w:t xml:space="preserve">Partnership working is vital because many people’s needs span health, social care, housing, and community support. Collaboration between professionals and organisations can reduce fragmented care, improve continuity, and strengthen safeguarding by ensuring concerns are shared appropriately (Glasby and Dickinson, 2014). The Health and Care Act 2022 </w:t>
      </w:r>
      <w:r w:rsidRPr="4C113505" w:rsidR="386C2042">
        <w:rPr>
          <w:rFonts w:ascii="Arial" w:hAnsi="Arial" w:eastAsia="Arial" w:cs="Arial"/>
          <w:noProof w:val="0"/>
          <w:sz w:val="22"/>
          <w:szCs w:val="22"/>
          <w:lang w:val="en-GB"/>
        </w:rPr>
        <w:t>promote</w:t>
      </w:r>
      <w:r w:rsidRPr="4C113505" w:rsidR="7EDD5D82">
        <w:rPr>
          <w:rFonts w:ascii="Arial" w:hAnsi="Arial" w:eastAsia="Arial" w:cs="Arial"/>
          <w:noProof w:val="0"/>
          <w:sz w:val="22"/>
          <w:szCs w:val="22"/>
          <w:lang w:val="en-GB"/>
        </w:rPr>
        <w:t xml:space="preserve"> system-level integration through Integrated Care Systems, aiming to improve coordination and population health outcomes. Yet partnership working can be more complex than policy suggests. Differing professional values, organisational priorities, and information governance rules may restrict </w:t>
      </w:r>
      <w:r w:rsidRPr="4C113505" w:rsidR="7EDD5D82">
        <w:rPr>
          <w:rFonts w:ascii="Arial" w:hAnsi="Arial" w:eastAsia="Arial" w:cs="Arial"/>
          <w:noProof w:val="0"/>
          <w:sz w:val="22"/>
          <w:szCs w:val="22"/>
          <w:lang w:val="en-GB"/>
        </w:rPr>
        <w:t>timely</w:t>
      </w:r>
      <w:r w:rsidRPr="4C113505" w:rsidR="7EDD5D82">
        <w:rPr>
          <w:rFonts w:ascii="Arial" w:hAnsi="Arial" w:eastAsia="Arial" w:cs="Arial"/>
          <w:noProof w:val="0"/>
          <w:sz w:val="22"/>
          <w:szCs w:val="22"/>
          <w:lang w:val="en-GB"/>
        </w:rPr>
        <w:t xml:space="preserve"> communication. In addition, “partnership” can sometimes be claimed without meaningful shared responsibility, particularly where power imbalances exist between organisations or where service users are not genuinely included in planning.</w:t>
      </w:r>
    </w:p>
    <w:p w:rsidR="7EDD5D82" w:rsidP="4C113505" w:rsidRDefault="7EDD5D82" w14:paraId="72C5A6E3" w14:textId="1ABB3DF8">
      <w:pPr>
        <w:spacing w:before="240" w:beforeAutospacing="off" w:after="240" w:afterAutospacing="off" w:line="360" w:lineRule="auto"/>
      </w:pPr>
      <w:r w:rsidRPr="4C113505" w:rsidR="7EDD5D82">
        <w:rPr>
          <w:rFonts w:ascii="Arial" w:hAnsi="Arial" w:eastAsia="Arial" w:cs="Arial"/>
          <w:noProof w:val="0"/>
          <w:sz w:val="22"/>
          <w:szCs w:val="22"/>
          <w:lang w:val="en-GB"/>
        </w:rPr>
        <w:t xml:space="preserve">Ethical principles </w:t>
      </w:r>
      <w:r w:rsidRPr="4C113505" w:rsidR="7EDD5D82">
        <w:rPr>
          <w:rFonts w:ascii="Arial" w:hAnsi="Arial" w:eastAsia="Arial" w:cs="Arial"/>
          <w:noProof w:val="0"/>
          <w:sz w:val="22"/>
          <w:szCs w:val="22"/>
          <w:lang w:val="en-GB"/>
        </w:rPr>
        <w:t>provide</w:t>
      </w:r>
      <w:r w:rsidRPr="4C113505" w:rsidR="7EDD5D82">
        <w:rPr>
          <w:rFonts w:ascii="Arial" w:hAnsi="Arial" w:eastAsia="Arial" w:cs="Arial"/>
          <w:noProof w:val="0"/>
          <w:sz w:val="22"/>
          <w:szCs w:val="22"/>
          <w:lang w:val="en-GB"/>
        </w:rPr>
        <w:t xml:space="preserve"> a structured way to consider </w:t>
      </w:r>
      <w:r w:rsidRPr="4C113505" w:rsidR="3236E7CF">
        <w:rPr>
          <w:rFonts w:ascii="Arial" w:hAnsi="Arial" w:eastAsia="Arial" w:cs="Arial"/>
          <w:noProof w:val="0"/>
          <w:sz w:val="22"/>
          <w:szCs w:val="22"/>
          <w:lang w:val="en-GB"/>
        </w:rPr>
        <w:t>complex decisions</w:t>
      </w:r>
      <w:r w:rsidRPr="4C113505" w:rsidR="7EDD5D82">
        <w:rPr>
          <w:rFonts w:ascii="Arial" w:hAnsi="Arial" w:eastAsia="Arial" w:cs="Arial"/>
          <w:noProof w:val="0"/>
          <w:sz w:val="22"/>
          <w:szCs w:val="22"/>
          <w:lang w:val="en-GB"/>
        </w:rPr>
        <w:t>, especially when there are competing rights, risks, or limited resources. Beauchamp and Childress’ (2019) principles</w:t>
      </w:r>
      <w:r w:rsidRPr="4C113505" w:rsidR="3C0976E4">
        <w:rPr>
          <w:rFonts w:ascii="Arial" w:hAnsi="Arial" w:eastAsia="Arial" w:cs="Arial"/>
          <w:noProof w:val="0"/>
          <w:sz w:val="22"/>
          <w:szCs w:val="22"/>
          <w:lang w:val="en-GB"/>
        </w:rPr>
        <w:t xml:space="preserve"> </w:t>
      </w:r>
      <w:r w:rsidRPr="4C113505" w:rsidR="7EDD5D82">
        <w:rPr>
          <w:rFonts w:ascii="Arial" w:hAnsi="Arial" w:eastAsia="Arial" w:cs="Arial"/>
          <w:noProof w:val="0"/>
          <w:sz w:val="22"/>
          <w:szCs w:val="22"/>
          <w:lang w:val="en-GB"/>
        </w:rPr>
        <w:t>autonomy, beneficence, non-maleficence, and justice</w:t>
      </w:r>
      <w:r w:rsidRPr="4C113505" w:rsidR="096F48BD">
        <w:rPr>
          <w:rFonts w:ascii="Arial" w:hAnsi="Arial" w:eastAsia="Arial" w:cs="Arial"/>
          <w:noProof w:val="0"/>
          <w:sz w:val="22"/>
          <w:szCs w:val="22"/>
          <w:lang w:val="en-GB"/>
        </w:rPr>
        <w:t xml:space="preserve"> </w:t>
      </w:r>
      <w:r w:rsidRPr="4C113505" w:rsidR="7EDD5D82">
        <w:rPr>
          <w:rFonts w:ascii="Arial" w:hAnsi="Arial" w:eastAsia="Arial" w:cs="Arial"/>
          <w:noProof w:val="0"/>
          <w:sz w:val="22"/>
          <w:szCs w:val="22"/>
          <w:lang w:val="en-GB"/>
        </w:rPr>
        <w:t xml:space="preserve">are </w:t>
      </w:r>
      <w:r w:rsidRPr="4C113505" w:rsidR="7EDD5D82">
        <w:rPr>
          <w:rFonts w:ascii="Arial" w:hAnsi="Arial" w:eastAsia="Arial" w:cs="Arial"/>
          <w:noProof w:val="0"/>
          <w:sz w:val="22"/>
          <w:szCs w:val="22"/>
          <w:lang w:val="en-GB"/>
        </w:rPr>
        <w:t>frequently</w:t>
      </w:r>
      <w:r w:rsidRPr="4C113505" w:rsidR="7EDD5D82">
        <w:rPr>
          <w:rFonts w:ascii="Arial" w:hAnsi="Arial" w:eastAsia="Arial" w:cs="Arial"/>
          <w:noProof w:val="0"/>
          <w:sz w:val="22"/>
          <w:szCs w:val="22"/>
          <w:lang w:val="en-GB"/>
        </w:rPr>
        <w:t xml:space="preserve"> used to evaluate decisions such as capacity and consent, risk management, and fair allocation of care</w:t>
      </w:r>
      <w:r w:rsidRPr="4C113505" w:rsidR="61B4D3D1">
        <w:rPr>
          <w:rFonts w:ascii="Arial" w:hAnsi="Arial" w:eastAsia="Arial" w:cs="Arial"/>
          <w:noProof w:val="0"/>
          <w:sz w:val="22"/>
          <w:szCs w:val="22"/>
          <w:lang w:val="en-GB"/>
        </w:rPr>
        <w:t xml:space="preserve">. </w:t>
      </w:r>
      <w:r w:rsidRPr="4C113505" w:rsidR="7EDD5D82">
        <w:rPr>
          <w:rFonts w:ascii="Arial" w:hAnsi="Arial" w:eastAsia="Arial" w:cs="Arial"/>
          <w:noProof w:val="0"/>
          <w:sz w:val="22"/>
          <w:szCs w:val="22"/>
          <w:lang w:val="en-GB"/>
        </w:rPr>
        <w:t xml:space="preserve">Ethical practice is also reinforced through professional codes of conduct that set expectations for accountability, confidentiality, and respect. A critical issue, however, is that ethical decision-making often occurs within constraints: professionals may face tension between what is ethically desirable for an individual and what is </w:t>
      </w:r>
      <w:r w:rsidRPr="4C113505" w:rsidR="7EDD5D82">
        <w:rPr>
          <w:rFonts w:ascii="Arial" w:hAnsi="Arial" w:eastAsia="Arial" w:cs="Arial"/>
          <w:noProof w:val="0"/>
          <w:sz w:val="22"/>
          <w:szCs w:val="22"/>
          <w:lang w:val="en-GB"/>
        </w:rPr>
        <w:t>feasible</w:t>
      </w:r>
      <w:r w:rsidRPr="4C113505" w:rsidR="7EDD5D82">
        <w:rPr>
          <w:rFonts w:ascii="Arial" w:hAnsi="Arial" w:eastAsia="Arial" w:cs="Arial"/>
          <w:noProof w:val="0"/>
          <w:sz w:val="22"/>
          <w:szCs w:val="22"/>
          <w:lang w:val="en-GB"/>
        </w:rPr>
        <w:t xml:space="preserve"> within service thresholds, eligibility criteria, or resource limitations. This makes reflective practice essential, as professionals must be able to justify decisions using ethical reasoning while recognising systemic influences on care.</w:t>
      </w:r>
      <w:r w:rsidRPr="4C113505" w:rsidR="24AE4DAC">
        <w:rPr>
          <w:rFonts w:ascii="Arial" w:hAnsi="Arial" w:eastAsia="Arial" w:cs="Arial"/>
          <w:noProof w:val="0"/>
          <w:sz w:val="22"/>
          <w:szCs w:val="22"/>
          <w:lang w:val="en-GB"/>
        </w:rPr>
        <w:t xml:space="preserve"> </w:t>
      </w:r>
    </w:p>
    <w:p w:rsidR="24AE4DAC" w:rsidP="4C113505" w:rsidRDefault="24AE4DAC" w14:paraId="5A7BF3F1" w14:textId="39CC7C3D">
      <w:pPr>
        <w:pStyle w:val="Normal"/>
        <w:spacing w:before="240" w:beforeAutospacing="off" w:after="240" w:afterAutospacing="off" w:line="360" w:lineRule="auto"/>
      </w:pPr>
      <w:r w:rsidRPr="4C113505" w:rsidR="24AE4DAC">
        <w:rPr>
          <w:rFonts w:ascii="Arial" w:hAnsi="Arial" w:eastAsia="Arial" w:cs="Arial"/>
          <w:noProof w:val="0"/>
          <w:sz w:val="22"/>
          <w:szCs w:val="22"/>
          <w:lang w:val="en-GB"/>
        </w:rPr>
        <w:t xml:space="preserve">In addition, the principles of health and social care are </w:t>
      </w:r>
      <w:r w:rsidRPr="4C113505" w:rsidR="5B067958">
        <w:rPr>
          <w:rFonts w:ascii="Arial" w:hAnsi="Arial" w:eastAsia="Arial" w:cs="Arial"/>
          <w:noProof w:val="0"/>
          <w:sz w:val="22"/>
          <w:szCs w:val="22"/>
          <w:lang w:val="en-GB"/>
        </w:rPr>
        <w:t>intricately linked</w:t>
      </w:r>
      <w:r w:rsidRPr="4C113505" w:rsidR="24AE4DAC">
        <w:rPr>
          <w:rFonts w:ascii="Arial" w:hAnsi="Arial" w:eastAsia="Arial" w:cs="Arial"/>
          <w:noProof w:val="0"/>
          <w:sz w:val="22"/>
          <w:szCs w:val="22"/>
          <w:lang w:val="en-GB"/>
        </w:rPr>
        <w:t xml:space="preserve"> to the concept of quality and safety within service delivery. Person-centred care supports quality by ensuring that care is responsive to individual needs rather than based solely on standardised interventions. However, research suggests that quality can be compromised when organisational priorities focus heavily on efficiency and performance targets, limiting flexibility in care delivery (McCormack and McCance, 2017). Partnership working further contributes to quality and safety by enabling shared responsibility and </w:t>
      </w:r>
      <w:r w:rsidRPr="4C113505" w:rsidR="24AE4DAC">
        <w:rPr>
          <w:rFonts w:ascii="Arial" w:hAnsi="Arial" w:eastAsia="Arial" w:cs="Arial"/>
          <w:noProof w:val="0"/>
          <w:sz w:val="22"/>
          <w:szCs w:val="22"/>
          <w:lang w:val="en-GB"/>
        </w:rPr>
        <w:t>timely</w:t>
      </w:r>
      <w:r w:rsidRPr="4C113505" w:rsidR="24AE4DAC">
        <w:rPr>
          <w:rFonts w:ascii="Arial" w:hAnsi="Arial" w:eastAsia="Arial" w:cs="Arial"/>
          <w:noProof w:val="0"/>
          <w:sz w:val="22"/>
          <w:szCs w:val="22"/>
          <w:lang w:val="en-GB"/>
        </w:rPr>
        <w:t xml:space="preserve"> information exchange between services, which is particularly important in safeguarding contexts. Ethical principles also play a key role in </w:t>
      </w:r>
      <w:r w:rsidRPr="4C113505" w:rsidR="24AE4DAC">
        <w:rPr>
          <w:rFonts w:ascii="Arial" w:hAnsi="Arial" w:eastAsia="Arial" w:cs="Arial"/>
          <w:noProof w:val="0"/>
          <w:sz w:val="22"/>
          <w:szCs w:val="22"/>
          <w:lang w:val="en-GB"/>
        </w:rPr>
        <w:t>maintaining</w:t>
      </w:r>
      <w:r w:rsidRPr="4C113505" w:rsidR="24AE4DAC">
        <w:rPr>
          <w:rFonts w:ascii="Arial" w:hAnsi="Arial" w:eastAsia="Arial" w:cs="Arial"/>
          <w:noProof w:val="0"/>
          <w:sz w:val="22"/>
          <w:szCs w:val="22"/>
          <w:lang w:val="en-GB"/>
        </w:rPr>
        <w:t xml:space="preserve"> safe practice by guiding professionals to act in ways that minimise harm and promote fairness. When these principles are applied critically and reflectively, they strengthen professional judgement and accountability. Conversely, failure to apply them consistently can increase the risk of fragmented care, ethical breaches, and reduced trust in health and social care services. This highlights the importance of ongoing reflection and organisational commitment in translating principles into effective practice. </w:t>
      </w:r>
    </w:p>
    <w:p w:rsidR="7EDD5D82" w:rsidP="4C113505" w:rsidRDefault="7EDD5D82" w14:paraId="7C95940C" w14:textId="54DA4737">
      <w:pPr>
        <w:spacing w:before="240" w:beforeAutospacing="off" w:after="240" w:afterAutospacing="off" w:line="360" w:lineRule="auto"/>
      </w:pPr>
      <w:r w:rsidRPr="4C113505" w:rsidR="7EDD5D82">
        <w:rPr>
          <w:rFonts w:ascii="Arial" w:hAnsi="Arial" w:eastAsia="Arial" w:cs="Arial"/>
          <w:noProof w:val="0"/>
          <w:sz w:val="22"/>
          <w:szCs w:val="22"/>
          <w:lang w:val="en-GB"/>
        </w:rPr>
        <w:t>Overall, these principles support higher quality and safer care in the UK, but critical reflection shows that consistent implementation depends on leadership, resources, and professional confidence in applying theory, legislation, and ethical frameworks in real situations.</w:t>
      </w:r>
      <w:r w:rsidRPr="4C113505" w:rsidR="6881E2F8">
        <w:rPr>
          <w:rFonts w:ascii="Arial" w:hAnsi="Arial" w:eastAsia="Arial" w:cs="Arial"/>
          <w:noProof w:val="0"/>
          <w:sz w:val="22"/>
          <w:szCs w:val="22"/>
          <w:lang w:val="en-GB"/>
        </w:rPr>
        <w:t xml:space="preserve"> </w:t>
      </w:r>
    </w:p>
    <w:p w:rsidR="10119F5C" w:rsidP="4C113505" w:rsidRDefault="10119F5C" w14:paraId="42668BF5" w14:textId="43A8B904">
      <w:pPr>
        <w:pStyle w:val="Normal"/>
        <w:spacing w:before="240" w:beforeAutospacing="off" w:after="240" w:afterAutospacing="off" w:line="360" w:lineRule="auto"/>
        <w:rPr>
          <w:rFonts w:ascii="Arial" w:hAnsi="Arial" w:eastAsia="Arial" w:cs="Arial"/>
          <w:b w:val="1"/>
          <w:bCs w:val="1"/>
          <w:noProof w:val="0"/>
          <w:sz w:val="24"/>
          <w:szCs w:val="24"/>
          <w:lang w:val="en-GB"/>
        </w:rPr>
      </w:pPr>
      <w:r w:rsidRPr="4C113505" w:rsidR="10119F5C">
        <w:rPr>
          <w:rFonts w:ascii="Arial" w:hAnsi="Arial" w:eastAsia="Arial" w:cs="Arial"/>
          <w:b w:val="1"/>
          <w:bCs w:val="1"/>
          <w:noProof w:val="0"/>
          <w:sz w:val="24"/>
          <w:szCs w:val="24"/>
          <w:lang w:val="en-GB"/>
        </w:rPr>
        <w:t xml:space="preserve">Practical Examples of Concepts in Practice </w:t>
      </w:r>
    </w:p>
    <w:p w:rsidR="10119F5C" w:rsidP="4C113505" w:rsidRDefault="10119F5C" w14:paraId="66453722" w14:textId="72FEAD42">
      <w:pPr>
        <w:spacing w:before="240" w:beforeAutospacing="off" w:after="240" w:afterAutospacing="off" w:line="360" w:lineRule="auto"/>
      </w:pPr>
      <w:r w:rsidRPr="4C113505" w:rsidR="10119F5C">
        <w:rPr>
          <w:rFonts w:ascii="Arial" w:hAnsi="Arial" w:eastAsia="Arial" w:cs="Arial"/>
          <w:noProof w:val="0"/>
          <w:sz w:val="22"/>
          <w:szCs w:val="22"/>
          <w:lang w:val="en-GB"/>
        </w:rPr>
        <w:t xml:space="preserve">The application of person-centred care, partnership working, and ethics can be illustrated through a community-based care scenario involving an older adult living with multiple long-term conditions, including diabetes, limited mobility, and early-stage dementia. The individual required support from NHS services, local authority social care, and voluntary sector organisations to </w:t>
      </w:r>
      <w:r w:rsidRPr="4C113505" w:rsidR="10119F5C">
        <w:rPr>
          <w:rFonts w:ascii="Arial" w:hAnsi="Arial" w:eastAsia="Arial" w:cs="Arial"/>
          <w:noProof w:val="0"/>
          <w:sz w:val="22"/>
          <w:szCs w:val="22"/>
          <w:lang w:val="en-GB"/>
        </w:rPr>
        <w:t>maintain</w:t>
      </w:r>
      <w:r w:rsidRPr="4C113505" w:rsidR="10119F5C">
        <w:rPr>
          <w:rFonts w:ascii="Arial" w:hAnsi="Arial" w:eastAsia="Arial" w:cs="Arial"/>
          <w:noProof w:val="0"/>
          <w:sz w:val="22"/>
          <w:szCs w:val="22"/>
          <w:lang w:val="en-GB"/>
        </w:rPr>
        <w:t xml:space="preserve"> independence and prevent hospital admission.</w:t>
      </w:r>
    </w:p>
    <w:p w:rsidR="10119F5C" w:rsidP="4C113505" w:rsidRDefault="10119F5C" w14:paraId="4319207C" w14:textId="1A6C216E">
      <w:pPr>
        <w:spacing w:before="240" w:beforeAutospacing="off" w:after="240" w:afterAutospacing="off" w:line="360" w:lineRule="auto"/>
      </w:pPr>
      <w:r w:rsidRPr="4C113505" w:rsidR="10119F5C">
        <w:rPr>
          <w:rFonts w:ascii="Arial" w:hAnsi="Arial" w:eastAsia="Arial" w:cs="Arial"/>
          <w:noProof w:val="0"/>
          <w:sz w:val="22"/>
          <w:szCs w:val="22"/>
          <w:lang w:val="en-GB"/>
        </w:rPr>
        <w:t xml:space="preserve">Person-centred care was </w:t>
      </w:r>
      <w:r w:rsidRPr="4C113505" w:rsidR="10119F5C">
        <w:rPr>
          <w:rFonts w:ascii="Arial" w:hAnsi="Arial" w:eastAsia="Arial" w:cs="Arial"/>
          <w:noProof w:val="0"/>
          <w:sz w:val="22"/>
          <w:szCs w:val="22"/>
          <w:lang w:val="en-GB"/>
        </w:rPr>
        <w:t>demonstrated</w:t>
      </w:r>
      <w:r w:rsidRPr="4C113505" w:rsidR="10119F5C">
        <w:rPr>
          <w:rFonts w:ascii="Arial" w:hAnsi="Arial" w:eastAsia="Arial" w:cs="Arial"/>
          <w:noProof w:val="0"/>
          <w:sz w:val="22"/>
          <w:szCs w:val="22"/>
          <w:lang w:val="en-GB"/>
        </w:rPr>
        <w:t xml:space="preserve"> through a comprehensive needs assessment that actively involved the service user and their family in care planning. Rather than focusing solely on medical treatment, professionals considered emotional wellbeing, social isolation, and the individual’s preference to remain living at home. This approach aligns with the Care Act 2014, which emphasises wellbeing, choice, and personalised support. Practical measures included adapting the home environment, arranging community physiotherapy, and supporting social engagement through local services. Research suggests that person-centred approaches improve satisfaction and reduce unnecessary service use (NHS England, 2022). However, a challenge </w:t>
      </w:r>
      <w:r w:rsidRPr="4C113505" w:rsidR="10119F5C">
        <w:rPr>
          <w:rFonts w:ascii="Arial" w:hAnsi="Arial" w:eastAsia="Arial" w:cs="Arial"/>
          <w:noProof w:val="0"/>
          <w:sz w:val="22"/>
          <w:szCs w:val="22"/>
          <w:lang w:val="en-GB"/>
        </w:rPr>
        <w:t>observed</w:t>
      </w:r>
      <w:r w:rsidRPr="4C113505" w:rsidR="10119F5C">
        <w:rPr>
          <w:rFonts w:ascii="Arial" w:hAnsi="Arial" w:eastAsia="Arial" w:cs="Arial"/>
          <w:noProof w:val="0"/>
          <w:sz w:val="22"/>
          <w:szCs w:val="22"/>
          <w:lang w:val="en-GB"/>
        </w:rPr>
        <w:t xml:space="preserve"> in practice was limited time for meaningful discussions, which risked reducing care planning to a tick-box exercise rather than a genuinely collaborative process.</w:t>
      </w:r>
    </w:p>
    <w:p w:rsidR="10119F5C" w:rsidP="4C113505" w:rsidRDefault="10119F5C" w14:paraId="21EB42E0" w14:textId="7B6116B6">
      <w:pPr>
        <w:spacing w:before="240" w:beforeAutospacing="off" w:after="240" w:afterAutospacing="off" w:line="360" w:lineRule="auto"/>
      </w:pPr>
      <w:r w:rsidRPr="4C113505" w:rsidR="10119F5C">
        <w:rPr>
          <w:rFonts w:ascii="Arial" w:hAnsi="Arial" w:eastAsia="Arial" w:cs="Arial"/>
          <w:noProof w:val="0"/>
          <w:sz w:val="22"/>
          <w:szCs w:val="22"/>
          <w:lang w:val="en-GB"/>
        </w:rPr>
        <w:t xml:space="preserve">Partnership working played </w:t>
      </w:r>
      <w:r w:rsidRPr="4C113505" w:rsidR="67236743">
        <w:rPr>
          <w:rFonts w:ascii="Arial" w:hAnsi="Arial" w:eastAsia="Arial" w:cs="Arial"/>
          <w:noProof w:val="0"/>
          <w:sz w:val="22"/>
          <w:szCs w:val="22"/>
          <w:lang w:val="en-GB"/>
        </w:rPr>
        <w:t>a significant role</w:t>
      </w:r>
      <w:r w:rsidRPr="4C113505" w:rsidR="10119F5C">
        <w:rPr>
          <w:rFonts w:ascii="Arial" w:hAnsi="Arial" w:eastAsia="Arial" w:cs="Arial"/>
          <w:noProof w:val="0"/>
          <w:sz w:val="22"/>
          <w:szCs w:val="22"/>
          <w:lang w:val="en-GB"/>
        </w:rPr>
        <w:t xml:space="preserve"> in coordinating care across multiple services. District nurses managed clinical needs, social workers arranged home care support, and voluntary organisations provided befriending services. This reflects the integrated care approach promoted by the Health and Care Act 2022, which aims to improve coordination between health and social care systems. Regular multidisciplinary meetings supported information sharing and joint decision-making, reducing duplication and improving continuity of care. Despite these benefits, difficulties arose due to delayed communication between services and differing eligibility thresholds, which temporarily delayed support provision. This highlights a common limitation of partnership working, where organisational boundaries can undermine </w:t>
      </w:r>
      <w:r w:rsidRPr="4C113505" w:rsidR="10119F5C">
        <w:rPr>
          <w:rFonts w:ascii="Arial" w:hAnsi="Arial" w:eastAsia="Arial" w:cs="Arial"/>
          <w:noProof w:val="0"/>
          <w:sz w:val="22"/>
          <w:szCs w:val="22"/>
          <w:lang w:val="en-GB"/>
        </w:rPr>
        <w:t>timely</w:t>
      </w:r>
      <w:r w:rsidRPr="4C113505" w:rsidR="10119F5C">
        <w:rPr>
          <w:rFonts w:ascii="Arial" w:hAnsi="Arial" w:eastAsia="Arial" w:cs="Arial"/>
          <w:noProof w:val="0"/>
          <w:sz w:val="22"/>
          <w:szCs w:val="22"/>
          <w:lang w:val="en-GB"/>
        </w:rPr>
        <w:t xml:space="preserve"> and effective care (Glasby and Dickinson, 2014).</w:t>
      </w:r>
    </w:p>
    <w:p w:rsidR="10119F5C" w:rsidP="4C113505" w:rsidRDefault="10119F5C" w14:paraId="3EA10CEA" w14:textId="331DE73D">
      <w:pPr>
        <w:spacing w:before="240" w:beforeAutospacing="off" w:after="240" w:afterAutospacing="off" w:line="360" w:lineRule="auto"/>
      </w:pPr>
      <w:r w:rsidRPr="4C113505" w:rsidR="10119F5C">
        <w:rPr>
          <w:rFonts w:ascii="Arial" w:hAnsi="Arial" w:eastAsia="Arial" w:cs="Arial"/>
          <w:noProof w:val="0"/>
          <w:sz w:val="22"/>
          <w:szCs w:val="22"/>
          <w:lang w:val="en-GB"/>
        </w:rPr>
        <w:t xml:space="preserve">Ethical considerations were particularly important when addressing issues of consent and risk management. As the individual’s cognitive capacity fluctuated, professionals had to assess decision-making ability in line with the Mental Capacity Act 2005. Ethical principles of autonomy and beneficence guided efforts to involve the individual in decisions wherever possible, while also ensuring safety. For example, although the person wished to continue cooking independently, concerns about fire risk required a balanced approach that respected independence while introducing safety measures such as </w:t>
      </w:r>
      <w:r w:rsidRPr="4C113505" w:rsidR="10119F5C">
        <w:rPr>
          <w:rFonts w:ascii="Arial" w:hAnsi="Arial" w:eastAsia="Arial" w:cs="Arial"/>
          <w:noProof w:val="0"/>
          <w:sz w:val="22"/>
          <w:szCs w:val="22"/>
          <w:lang w:val="en-GB"/>
        </w:rPr>
        <w:t>monitored</w:t>
      </w:r>
      <w:r w:rsidRPr="4C113505" w:rsidR="10119F5C">
        <w:rPr>
          <w:rFonts w:ascii="Arial" w:hAnsi="Arial" w:eastAsia="Arial" w:cs="Arial"/>
          <w:noProof w:val="0"/>
          <w:sz w:val="22"/>
          <w:szCs w:val="22"/>
          <w:lang w:val="en-GB"/>
        </w:rPr>
        <w:t xml:space="preserve"> appliances. Beauchamp and Childress’ (2019) ethical framework supported these decisions by encouraging proportionate risk management rather than overly restrictive practices.</w:t>
      </w:r>
      <w:r w:rsidRPr="4C113505" w:rsidR="4B88500E">
        <w:rPr>
          <w:rFonts w:ascii="Arial" w:hAnsi="Arial" w:eastAsia="Arial" w:cs="Arial"/>
          <w:noProof w:val="0"/>
          <w:sz w:val="22"/>
          <w:szCs w:val="22"/>
          <w:lang w:val="en-GB"/>
        </w:rPr>
        <w:t xml:space="preserve"> </w:t>
      </w:r>
    </w:p>
    <w:p w:rsidR="4B88500E" w:rsidP="4C113505" w:rsidRDefault="4B88500E" w14:paraId="233D6A93" w14:textId="7F04818C">
      <w:pPr>
        <w:pStyle w:val="Normal"/>
        <w:spacing w:before="240" w:beforeAutospacing="off" w:after="240" w:afterAutospacing="off" w:line="360" w:lineRule="auto"/>
      </w:pPr>
      <w:r w:rsidRPr="4C113505" w:rsidR="4B88500E">
        <w:rPr>
          <w:rFonts w:ascii="Arial" w:hAnsi="Arial" w:eastAsia="Arial" w:cs="Arial"/>
          <w:noProof w:val="0"/>
          <w:sz w:val="22"/>
          <w:szCs w:val="22"/>
          <w:lang w:val="en-GB"/>
        </w:rPr>
        <w:t xml:space="preserve">A further benefit of applying these principles in practice is their contribution to reducing inequalities in access to care. Person-centred approaches enable professionals to </w:t>
      </w:r>
      <w:r w:rsidRPr="4C113505" w:rsidR="4B88500E">
        <w:rPr>
          <w:rFonts w:ascii="Arial" w:hAnsi="Arial" w:eastAsia="Arial" w:cs="Arial"/>
          <w:noProof w:val="0"/>
          <w:sz w:val="22"/>
          <w:szCs w:val="22"/>
          <w:lang w:val="en-GB"/>
        </w:rPr>
        <w:t>identify</w:t>
      </w:r>
      <w:r w:rsidRPr="4C113505" w:rsidR="4B88500E">
        <w:rPr>
          <w:rFonts w:ascii="Arial" w:hAnsi="Arial" w:eastAsia="Arial" w:cs="Arial"/>
          <w:noProof w:val="0"/>
          <w:sz w:val="22"/>
          <w:szCs w:val="22"/>
          <w:lang w:val="en-GB"/>
        </w:rPr>
        <w:t xml:space="preserve"> barriers such as mobility issues, communication needs, or social isolation, allowing support to be tailored accordingly. Partnership working supports this by linking individuals with </w:t>
      </w:r>
      <w:r w:rsidRPr="4C113505" w:rsidR="4B88500E">
        <w:rPr>
          <w:rFonts w:ascii="Arial" w:hAnsi="Arial" w:eastAsia="Arial" w:cs="Arial"/>
          <w:noProof w:val="0"/>
          <w:sz w:val="22"/>
          <w:szCs w:val="22"/>
          <w:lang w:val="en-GB"/>
        </w:rPr>
        <w:t>appropriate community</w:t>
      </w:r>
      <w:r w:rsidRPr="4C113505" w:rsidR="4B88500E">
        <w:rPr>
          <w:rFonts w:ascii="Arial" w:hAnsi="Arial" w:eastAsia="Arial" w:cs="Arial"/>
          <w:noProof w:val="0"/>
          <w:sz w:val="22"/>
          <w:szCs w:val="22"/>
          <w:lang w:val="en-GB"/>
        </w:rPr>
        <w:t xml:space="preserve"> and voluntary services, extending support beyond statutory provision (NHS England, 2022). Ethical considerations are also essential when addressing inequality, as professionals must ensure that decisions about service provision are fair and proportionate. However, challenges </w:t>
      </w:r>
      <w:r w:rsidRPr="4C113505" w:rsidR="4B88500E">
        <w:rPr>
          <w:rFonts w:ascii="Arial" w:hAnsi="Arial" w:eastAsia="Arial" w:cs="Arial"/>
          <w:noProof w:val="0"/>
          <w:sz w:val="22"/>
          <w:szCs w:val="22"/>
          <w:lang w:val="en-GB"/>
        </w:rPr>
        <w:t>remain</w:t>
      </w:r>
      <w:r w:rsidRPr="4C113505" w:rsidR="4B88500E">
        <w:rPr>
          <w:rFonts w:ascii="Arial" w:hAnsi="Arial" w:eastAsia="Arial" w:cs="Arial"/>
          <w:noProof w:val="0"/>
          <w:sz w:val="22"/>
          <w:szCs w:val="22"/>
          <w:lang w:val="en-GB"/>
        </w:rPr>
        <w:t xml:space="preserve">, particularly where resources are limited or services are overstretched, which can result in delays or inconsistent support. This example </w:t>
      </w:r>
      <w:r w:rsidRPr="4C113505" w:rsidR="4B88500E">
        <w:rPr>
          <w:rFonts w:ascii="Arial" w:hAnsi="Arial" w:eastAsia="Arial" w:cs="Arial"/>
          <w:noProof w:val="0"/>
          <w:sz w:val="22"/>
          <w:szCs w:val="22"/>
          <w:lang w:val="en-GB"/>
        </w:rPr>
        <w:t>demonstrates</w:t>
      </w:r>
      <w:r w:rsidRPr="4C113505" w:rsidR="4B88500E">
        <w:rPr>
          <w:rFonts w:ascii="Arial" w:hAnsi="Arial" w:eastAsia="Arial" w:cs="Arial"/>
          <w:noProof w:val="0"/>
          <w:sz w:val="22"/>
          <w:szCs w:val="22"/>
          <w:lang w:val="en-GB"/>
        </w:rPr>
        <w:t xml:space="preserve"> that while person-centred care, partnership working, and ethics can significantly improve outcomes, their effectiveness depends on </w:t>
      </w:r>
      <w:r w:rsidRPr="4C113505" w:rsidR="4B88500E">
        <w:rPr>
          <w:rFonts w:ascii="Arial" w:hAnsi="Arial" w:eastAsia="Arial" w:cs="Arial"/>
          <w:noProof w:val="0"/>
          <w:sz w:val="22"/>
          <w:szCs w:val="22"/>
          <w:lang w:val="en-GB"/>
        </w:rPr>
        <w:t>timely</w:t>
      </w:r>
      <w:r w:rsidRPr="4C113505" w:rsidR="4B88500E">
        <w:rPr>
          <w:rFonts w:ascii="Arial" w:hAnsi="Arial" w:eastAsia="Arial" w:cs="Arial"/>
          <w:noProof w:val="0"/>
          <w:sz w:val="22"/>
          <w:szCs w:val="22"/>
          <w:lang w:val="en-GB"/>
        </w:rPr>
        <w:t xml:space="preserve"> access to services, clear communication between professionals, and adequate resourcing. </w:t>
      </w:r>
    </w:p>
    <w:p w:rsidR="10119F5C" w:rsidP="4C113505" w:rsidRDefault="10119F5C" w14:paraId="4E78BF75" w14:textId="42A598DA">
      <w:pPr>
        <w:spacing w:before="240" w:beforeAutospacing="off" w:after="240" w:afterAutospacing="off" w:line="360" w:lineRule="auto"/>
        <w:rPr>
          <w:rFonts w:ascii="Arial" w:hAnsi="Arial" w:eastAsia="Arial" w:cs="Arial"/>
          <w:noProof w:val="0"/>
          <w:sz w:val="22"/>
          <w:szCs w:val="22"/>
          <w:lang w:val="en-GB"/>
        </w:rPr>
      </w:pPr>
      <w:r w:rsidRPr="4C113505" w:rsidR="10119F5C">
        <w:rPr>
          <w:rFonts w:ascii="Arial" w:hAnsi="Arial" w:eastAsia="Arial" w:cs="Arial"/>
          <w:noProof w:val="0"/>
          <w:sz w:val="22"/>
          <w:szCs w:val="22"/>
          <w:lang w:val="en-GB"/>
        </w:rPr>
        <w:t xml:space="preserve">This example </w:t>
      </w:r>
      <w:r w:rsidRPr="4C113505" w:rsidR="10119F5C">
        <w:rPr>
          <w:rFonts w:ascii="Arial" w:hAnsi="Arial" w:eastAsia="Arial" w:cs="Arial"/>
          <w:noProof w:val="0"/>
          <w:sz w:val="22"/>
          <w:szCs w:val="22"/>
          <w:lang w:val="en-GB"/>
        </w:rPr>
        <w:t>demonstrates</w:t>
      </w:r>
      <w:r w:rsidRPr="4C113505" w:rsidR="10119F5C">
        <w:rPr>
          <w:rFonts w:ascii="Arial" w:hAnsi="Arial" w:eastAsia="Arial" w:cs="Arial"/>
          <w:noProof w:val="0"/>
          <w:sz w:val="22"/>
          <w:szCs w:val="22"/>
          <w:lang w:val="en-GB"/>
        </w:rPr>
        <w:t xml:space="preserve"> how person-centred care, partnership working, and ethics can improve outcomes by promoting independence, coordinated support, and respectful decision-making. However, it also highlights persistent challenges, including time pressures, communication barriers, and resource limitations. While policy strongly promotes integrated and personalised care, effective implementation depends on organisational commitment, professional collaboration, and sufficient resourcing</w:t>
      </w:r>
      <w:r w:rsidRPr="4C113505" w:rsidR="056E1E88">
        <w:rPr>
          <w:rFonts w:ascii="Arial" w:hAnsi="Arial" w:eastAsia="Arial" w:cs="Arial"/>
          <w:noProof w:val="0"/>
          <w:sz w:val="22"/>
          <w:szCs w:val="22"/>
          <w:lang w:val="en-GB"/>
        </w:rPr>
        <w:t xml:space="preserve">. </w:t>
      </w:r>
      <w:r w:rsidRPr="4C113505" w:rsidR="3FE3BC5E">
        <w:rPr>
          <w:rFonts w:ascii="Arial" w:hAnsi="Arial" w:eastAsia="Arial" w:cs="Arial"/>
          <w:noProof w:val="0"/>
          <w:sz w:val="22"/>
          <w:szCs w:val="22"/>
          <w:lang w:val="en-GB"/>
        </w:rPr>
        <w:t xml:space="preserve"> </w:t>
      </w:r>
    </w:p>
    <w:p w:rsidR="3FE3BC5E" w:rsidP="4C113505" w:rsidRDefault="3FE3BC5E" w14:paraId="6152AC04" w14:textId="6D7DD805">
      <w:pPr>
        <w:pStyle w:val="Normal"/>
        <w:spacing w:before="240" w:beforeAutospacing="off" w:after="240" w:afterAutospacing="off" w:line="360" w:lineRule="auto"/>
        <w:rPr>
          <w:rFonts w:ascii="Arial" w:hAnsi="Arial" w:eastAsia="Arial" w:cs="Arial"/>
          <w:b w:val="1"/>
          <w:bCs w:val="1"/>
          <w:noProof w:val="0"/>
          <w:sz w:val="24"/>
          <w:szCs w:val="24"/>
          <w:lang w:val="en-GB"/>
        </w:rPr>
      </w:pPr>
      <w:r w:rsidRPr="4C113505" w:rsidR="3FE3BC5E">
        <w:rPr>
          <w:rFonts w:ascii="Arial" w:hAnsi="Arial" w:eastAsia="Arial" w:cs="Arial"/>
          <w:b w:val="1"/>
          <w:bCs w:val="1"/>
          <w:noProof w:val="0"/>
          <w:sz w:val="24"/>
          <w:szCs w:val="24"/>
          <w:lang w:val="en-GB"/>
        </w:rPr>
        <w:t xml:space="preserve">Self-Reflection as a Health and Social Care Professional </w:t>
      </w:r>
    </w:p>
    <w:p w:rsidR="3FE3BC5E" w:rsidP="4C113505" w:rsidRDefault="3FE3BC5E" w14:paraId="54C45413" w14:textId="3C39F16E">
      <w:pPr>
        <w:spacing w:before="240" w:beforeAutospacing="off" w:after="240" w:afterAutospacing="off" w:line="360" w:lineRule="auto"/>
      </w:pPr>
      <w:r w:rsidRPr="4C113505" w:rsidR="3FE3BC5E">
        <w:rPr>
          <w:rFonts w:ascii="Arial" w:hAnsi="Arial" w:eastAsia="Arial" w:cs="Arial"/>
          <w:noProof w:val="0"/>
          <w:sz w:val="22"/>
          <w:szCs w:val="22"/>
          <w:lang w:val="en-GB"/>
        </w:rPr>
        <w:t>Reflecting on the principles of person-centred care, partnership working, and ethics has significantly shaped my understanding of effective professional practice within UK health and social care. These principles influence how I communicate with individuals, engage with professionals across services, and make decisions that align with legal responsibilities and ethical standards. Policy frameworks such as the Care Act 2014 and the Health and Care Act 2022 highlight the importance of personalised care and integrated service delivery, reinforcing the relevance of these principles in everyday practice.</w:t>
      </w:r>
    </w:p>
    <w:p w:rsidR="3FE3BC5E" w:rsidP="4C113505" w:rsidRDefault="3FE3BC5E" w14:paraId="2CD8B04C" w14:textId="6C60E0A1">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Person-centred care has encouraged me to recognise individuals as active participants in their own care rather than passive recipients of support. This aligns with McCormack and McCance’s (2017) emphasis on dignity, respect, and shared decision-making. In my daily work, I aim to listen attentively to service users’ concerns and adapt care to reflect their preferences, promoting autonomy as supported by ethical theory (Beauchamp and Childress, 2019). Maslow’s Hierarchy of Needs has also influenced my understanding of holistic care, highlighting the importance of addressing emotional wellbeing and social belonging alongside physical health (Maslow, 1943). For example, I have </w:t>
      </w:r>
      <w:r w:rsidRPr="4C113505" w:rsidR="3FE3BC5E">
        <w:rPr>
          <w:rFonts w:ascii="Arial" w:hAnsi="Arial" w:eastAsia="Arial" w:cs="Arial"/>
          <w:noProof w:val="0"/>
          <w:sz w:val="22"/>
          <w:szCs w:val="22"/>
          <w:lang w:val="en-GB"/>
        </w:rPr>
        <w:t>observed</w:t>
      </w:r>
      <w:r w:rsidRPr="4C113505" w:rsidR="3FE3BC5E">
        <w:rPr>
          <w:rFonts w:ascii="Arial" w:hAnsi="Arial" w:eastAsia="Arial" w:cs="Arial"/>
          <w:noProof w:val="0"/>
          <w:sz w:val="22"/>
          <w:szCs w:val="22"/>
          <w:lang w:val="en-GB"/>
        </w:rPr>
        <w:t xml:space="preserve"> that individuals who feel socially isolated often experience poorer mental health, which can negatively affect physical recovery. One of my strengths is developing trusting relationships that encourage open communication; however, time pressures can restrict meaningful engagement. To address this, I intend to prioritise focused interactions and utilise structured communication tools to enhance person-centred practice (NHS England, 2022).</w:t>
      </w:r>
    </w:p>
    <w:p w:rsidR="3FE3BC5E" w:rsidP="4C113505" w:rsidRDefault="3FE3BC5E" w14:paraId="3955E43C" w14:textId="37D99514">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Partnership working is essential in supporting individuals with complex needs that span health and social care services. Glasby and Dickinson (2014) emphasise that coordinated approaches improve continuity and reduce service fragmentation. In my experience, working within multidisciplinary teams has </w:t>
      </w:r>
      <w:r w:rsidRPr="4C113505" w:rsidR="3FE3BC5E">
        <w:rPr>
          <w:rFonts w:ascii="Arial" w:hAnsi="Arial" w:eastAsia="Arial" w:cs="Arial"/>
          <w:noProof w:val="0"/>
          <w:sz w:val="22"/>
          <w:szCs w:val="22"/>
          <w:lang w:val="en-GB"/>
        </w:rPr>
        <w:t>demonstrated</w:t>
      </w:r>
      <w:r w:rsidRPr="4C113505" w:rsidR="3FE3BC5E">
        <w:rPr>
          <w:rFonts w:ascii="Arial" w:hAnsi="Arial" w:eastAsia="Arial" w:cs="Arial"/>
          <w:noProof w:val="0"/>
          <w:sz w:val="22"/>
          <w:szCs w:val="22"/>
          <w:lang w:val="en-GB"/>
        </w:rPr>
        <w:t xml:space="preserve"> how information-sharing and joint planning can enhance care outcomes. The Health and Care Act 2022 </w:t>
      </w:r>
      <w:r w:rsidRPr="4C113505" w:rsidR="55CC4379">
        <w:rPr>
          <w:rFonts w:ascii="Arial" w:hAnsi="Arial" w:eastAsia="Arial" w:cs="Arial"/>
          <w:noProof w:val="0"/>
          <w:sz w:val="22"/>
          <w:szCs w:val="22"/>
          <w:lang w:val="en-GB"/>
        </w:rPr>
        <w:t>promote</w:t>
      </w:r>
      <w:r w:rsidRPr="4C113505" w:rsidR="3FE3BC5E">
        <w:rPr>
          <w:rFonts w:ascii="Arial" w:hAnsi="Arial" w:eastAsia="Arial" w:cs="Arial"/>
          <w:noProof w:val="0"/>
          <w:sz w:val="22"/>
          <w:szCs w:val="22"/>
          <w:lang w:val="en-GB"/>
        </w:rPr>
        <w:t xml:space="preserve"> Integrated Care Systems designed to strengthen service coordination and population health management. A strength I bring to partnership working is clear and respectful communication, ensuring relevant information is shared appropriately while </w:t>
      </w:r>
      <w:r w:rsidRPr="4C113505" w:rsidR="3FE3BC5E">
        <w:rPr>
          <w:rFonts w:ascii="Arial" w:hAnsi="Arial" w:eastAsia="Arial" w:cs="Arial"/>
          <w:noProof w:val="0"/>
          <w:sz w:val="22"/>
          <w:szCs w:val="22"/>
          <w:lang w:val="en-GB"/>
        </w:rPr>
        <w:t>maintaining</w:t>
      </w:r>
      <w:r w:rsidRPr="4C113505" w:rsidR="3FE3BC5E">
        <w:rPr>
          <w:rFonts w:ascii="Arial" w:hAnsi="Arial" w:eastAsia="Arial" w:cs="Arial"/>
          <w:noProof w:val="0"/>
          <w:sz w:val="22"/>
          <w:szCs w:val="22"/>
          <w:lang w:val="en-GB"/>
        </w:rPr>
        <w:t xml:space="preserve"> confidentiality in line with professional standards. However, challenges such as referral delays and organisational boundaries can disrupt care provision. Recognising these barriers has highlighted the need to better understand local care pathways and professional roles. To improve this, I plan to actively </w:t>
      </w:r>
      <w:r w:rsidRPr="4C113505" w:rsidR="3FE3BC5E">
        <w:rPr>
          <w:rFonts w:ascii="Arial" w:hAnsi="Arial" w:eastAsia="Arial" w:cs="Arial"/>
          <w:noProof w:val="0"/>
          <w:sz w:val="22"/>
          <w:szCs w:val="22"/>
          <w:lang w:val="en-GB"/>
        </w:rPr>
        <w:t>participate</w:t>
      </w:r>
      <w:r w:rsidRPr="4C113505" w:rsidR="3FE3BC5E">
        <w:rPr>
          <w:rFonts w:ascii="Arial" w:hAnsi="Arial" w:eastAsia="Arial" w:cs="Arial"/>
          <w:noProof w:val="0"/>
          <w:sz w:val="22"/>
          <w:szCs w:val="22"/>
          <w:lang w:val="en-GB"/>
        </w:rPr>
        <w:t xml:space="preserve"> in multidisciplinary meetings and engage in interprofessional training opportunities.</w:t>
      </w:r>
    </w:p>
    <w:p w:rsidR="3FE3BC5E" w:rsidP="4C113505" w:rsidRDefault="3FE3BC5E" w14:paraId="56E64B7F" w14:textId="47C18AC3">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Ethical practice plays </w:t>
      </w:r>
      <w:r w:rsidRPr="4C113505" w:rsidR="59BBBBF2">
        <w:rPr>
          <w:rFonts w:ascii="Arial" w:hAnsi="Arial" w:eastAsia="Arial" w:cs="Arial"/>
          <w:noProof w:val="0"/>
          <w:sz w:val="22"/>
          <w:szCs w:val="22"/>
          <w:lang w:val="en-GB"/>
        </w:rPr>
        <w:t>a significant role</w:t>
      </w:r>
      <w:r w:rsidRPr="4C113505" w:rsidR="3FE3BC5E">
        <w:rPr>
          <w:rFonts w:ascii="Arial" w:hAnsi="Arial" w:eastAsia="Arial" w:cs="Arial"/>
          <w:noProof w:val="0"/>
          <w:sz w:val="22"/>
          <w:szCs w:val="22"/>
          <w:lang w:val="en-GB"/>
        </w:rPr>
        <w:t xml:space="preserve"> in my professional development, particularly when managing issues of consent, safeguarding, and risk. The Mental Capacity Act 2005 provides a legal framework for supporting individuals to make decisions while ensuring protection when capacity is impaired. Ethical principles of autonomy and beneficence have guided my approach to balancing independence with safety (Beauchamp and Childress, 2019). For instance, I have </w:t>
      </w:r>
      <w:r w:rsidRPr="4C113505" w:rsidR="3FE3BC5E">
        <w:rPr>
          <w:rFonts w:ascii="Arial" w:hAnsi="Arial" w:eastAsia="Arial" w:cs="Arial"/>
          <w:noProof w:val="0"/>
          <w:sz w:val="22"/>
          <w:szCs w:val="22"/>
          <w:lang w:val="en-GB"/>
        </w:rPr>
        <w:t>encountered</w:t>
      </w:r>
      <w:r w:rsidRPr="4C113505" w:rsidR="3FE3BC5E">
        <w:rPr>
          <w:rFonts w:ascii="Arial" w:hAnsi="Arial" w:eastAsia="Arial" w:cs="Arial"/>
          <w:noProof w:val="0"/>
          <w:sz w:val="22"/>
          <w:szCs w:val="22"/>
          <w:lang w:val="en-GB"/>
        </w:rPr>
        <w:t xml:space="preserve"> situations where individuals wished to </w:t>
      </w:r>
      <w:r w:rsidRPr="4C113505" w:rsidR="3FE3BC5E">
        <w:rPr>
          <w:rFonts w:ascii="Arial" w:hAnsi="Arial" w:eastAsia="Arial" w:cs="Arial"/>
          <w:noProof w:val="0"/>
          <w:sz w:val="22"/>
          <w:szCs w:val="22"/>
          <w:lang w:val="en-GB"/>
        </w:rPr>
        <w:t>maintain</w:t>
      </w:r>
      <w:r w:rsidRPr="4C113505" w:rsidR="3FE3BC5E">
        <w:rPr>
          <w:rFonts w:ascii="Arial" w:hAnsi="Arial" w:eastAsia="Arial" w:cs="Arial"/>
          <w:noProof w:val="0"/>
          <w:sz w:val="22"/>
          <w:szCs w:val="22"/>
          <w:lang w:val="en-GB"/>
        </w:rPr>
        <w:t xml:space="preserve"> daily activities that involved potential risks. Rather than imposing restrictions, I have learned to conduct proportionate risk assessments and introduce supportive measures that respect individual choice while reducing harm. An area for improvement is strengthening my confidence in documenting ethical decisions clearly and consistently, which is essential for accountability and professional reflection (Nursing and Midwifery Council, 2018).</w:t>
      </w:r>
    </w:p>
    <w:p w:rsidR="3FE3BC5E" w:rsidP="4C113505" w:rsidRDefault="3FE3BC5E" w14:paraId="6F94E07D" w14:textId="3ADF8AC4">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Through reflection, I have </w:t>
      </w:r>
      <w:r w:rsidRPr="4C113505" w:rsidR="3FE3BC5E">
        <w:rPr>
          <w:rFonts w:ascii="Arial" w:hAnsi="Arial" w:eastAsia="Arial" w:cs="Arial"/>
          <w:noProof w:val="0"/>
          <w:sz w:val="22"/>
          <w:szCs w:val="22"/>
          <w:lang w:val="en-GB"/>
        </w:rPr>
        <w:t>identified</w:t>
      </w:r>
      <w:r w:rsidRPr="4C113505" w:rsidR="3FE3BC5E">
        <w:rPr>
          <w:rFonts w:ascii="Arial" w:hAnsi="Arial" w:eastAsia="Arial" w:cs="Arial"/>
          <w:noProof w:val="0"/>
          <w:sz w:val="22"/>
          <w:szCs w:val="22"/>
          <w:lang w:val="en-GB"/>
        </w:rPr>
        <w:t xml:space="preserve"> strengths such as empathy, effective communication, and a strong commitment to dignity and respect, all of which support high-quality person-centred care. However, I also recognise areas requiring development, including workload management, inter-service coordination, and deeper knowledge of policy frameworks. Continuous professional development is vital in </w:t>
      </w:r>
      <w:r w:rsidRPr="4C113505" w:rsidR="3FE3BC5E">
        <w:rPr>
          <w:rFonts w:ascii="Arial" w:hAnsi="Arial" w:eastAsia="Arial" w:cs="Arial"/>
          <w:noProof w:val="0"/>
          <w:sz w:val="22"/>
          <w:szCs w:val="22"/>
          <w:lang w:val="en-GB"/>
        </w:rPr>
        <w:t>maintaining</w:t>
      </w:r>
      <w:r w:rsidRPr="4C113505" w:rsidR="3FE3BC5E">
        <w:rPr>
          <w:rFonts w:ascii="Arial" w:hAnsi="Arial" w:eastAsia="Arial" w:cs="Arial"/>
          <w:noProof w:val="0"/>
          <w:sz w:val="22"/>
          <w:szCs w:val="22"/>
          <w:lang w:val="en-GB"/>
        </w:rPr>
        <w:t xml:space="preserve"> professional competence and adapting to evolving health and social care demands (Skills for Care, 2023). My future learning plan includes attending relevant training programmes, engaging with academic literature, and </w:t>
      </w:r>
      <w:r w:rsidRPr="4C113505" w:rsidR="3FE3BC5E">
        <w:rPr>
          <w:rFonts w:ascii="Arial" w:hAnsi="Arial" w:eastAsia="Arial" w:cs="Arial"/>
          <w:noProof w:val="0"/>
          <w:sz w:val="22"/>
          <w:szCs w:val="22"/>
          <w:lang w:val="en-GB"/>
        </w:rPr>
        <w:t>participating</w:t>
      </w:r>
      <w:r w:rsidRPr="4C113505" w:rsidR="3FE3BC5E">
        <w:rPr>
          <w:rFonts w:ascii="Arial" w:hAnsi="Arial" w:eastAsia="Arial" w:cs="Arial"/>
          <w:noProof w:val="0"/>
          <w:sz w:val="22"/>
          <w:szCs w:val="22"/>
          <w:lang w:val="en-GB"/>
        </w:rPr>
        <w:t xml:space="preserve"> in reflective supervision to strengthen my professional practice.</w:t>
      </w:r>
    </w:p>
    <w:p w:rsidR="3FE3BC5E" w:rsidP="4C113505" w:rsidRDefault="3FE3BC5E" w14:paraId="7D5D67F0" w14:textId="6F3A91E1">
      <w:pPr>
        <w:spacing w:before="240" w:beforeAutospacing="off" w:after="240" w:afterAutospacing="off" w:line="360" w:lineRule="auto"/>
      </w:pPr>
      <w:r w:rsidRPr="4C113505" w:rsidR="3FE3BC5E">
        <w:rPr>
          <w:rFonts w:ascii="Arial" w:hAnsi="Arial" w:eastAsia="Arial" w:cs="Arial"/>
          <w:noProof w:val="0"/>
          <w:sz w:val="22"/>
          <w:szCs w:val="22"/>
          <w:lang w:val="en-GB"/>
        </w:rPr>
        <w:t xml:space="preserve">Looking ahead, I aim to integrate person-centred care, partnership working, and ethical principles more consistently within my daily role. This includes advocating for personalised care approaches, contributing positively to joint working practices, and </w:t>
      </w:r>
      <w:r w:rsidRPr="4C113505" w:rsidR="3FE3BC5E">
        <w:rPr>
          <w:rFonts w:ascii="Arial" w:hAnsi="Arial" w:eastAsia="Arial" w:cs="Arial"/>
          <w:noProof w:val="0"/>
          <w:sz w:val="22"/>
          <w:szCs w:val="22"/>
          <w:lang w:val="en-GB"/>
        </w:rPr>
        <w:t>maintaining</w:t>
      </w:r>
      <w:r w:rsidRPr="4C113505" w:rsidR="3FE3BC5E">
        <w:rPr>
          <w:rFonts w:ascii="Arial" w:hAnsi="Arial" w:eastAsia="Arial" w:cs="Arial"/>
          <w:noProof w:val="0"/>
          <w:sz w:val="22"/>
          <w:szCs w:val="22"/>
          <w:lang w:val="en-GB"/>
        </w:rPr>
        <w:t xml:space="preserve"> high ethical standards in all decision-making processes. By aligning my professional development with current legislation, policy guidance, and ethical frameworks, I can continue to enhance care quality and support improved outcomes for individuals using health and social care services.</w:t>
      </w:r>
    </w:p>
    <w:p w:rsidR="3FE3BC5E" w:rsidP="4C113505" w:rsidRDefault="3FE3BC5E" w14:paraId="61A64006" w14:textId="63CE99F0">
      <w:pPr>
        <w:pStyle w:val="Normal"/>
        <w:spacing w:before="240" w:beforeAutospacing="off" w:after="240" w:afterAutospacing="off" w:line="360" w:lineRule="auto"/>
        <w:rPr>
          <w:rFonts w:ascii="Arial" w:hAnsi="Arial" w:eastAsia="Arial" w:cs="Arial"/>
          <w:b w:val="0"/>
          <w:bCs w:val="0"/>
          <w:noProof w:val="0"/>
          <w:sz w:val="22"/>
          <w:szCs w:val="22"/>
          <w:lang w:val="en-GB"/>
        </w:rPr>
      </w:pPr>
      <w:r w:rsidRPr="4C113505" w:rsidR="3FE3BC5E">
        <w:rPr>
          <w:rFonts w:ascii="Arial" w:hAnsi="Arial" w:eastAsia="Arial" w:cs="Arial"/>
          <w:b w:val="0"/>
          <w:bCs w:val="0"/>
          <w:noProof w:val="0"/>
          <w:sz w:val="22"/>
          <w:szCs w:val="22"/>
          <w:lang w:val="en-GB"/>
        </w:rPr>
        <w:t xml:space="preserve"> </w:t>
      </w:r>
    </w:p>
    <w:p w:rsidR="10119F5C" w:rsidP="4C113505" w:rsidRDefault="10119F5C" w14:paraId="46108325" w14:textId="13F1698E">
      <w:pPr>
        <w:pStyle w:val="Normal"/>
        <w:spacing w:before="240" w:beforeAutospacing="off" w:after="240" w:afterAutospacing="off" w:line="360" w:lineRule="auto"/>
        <w:rPr>
          <w:rFonts w:ascii="Arial" w:hAnsi="Arial" w:eastAsia="Arial" w:cs="Arial"/>
          <w:b w:val="0"/>
          <w:bCs w:val="0"/>
          <w:noProof w:val="0"/>
          <w:sz w:val="22"/>
          <w:szCs w:val="22"/>
          <w:lang w:val="en-GB"/>
        </w:rPr>
      </w:pPr>
      <w:r w:rsidRPr="4C113505" w:rsidR="10119F5C">
        <w:rPr>
          <w:rFonts w:ascii="Arial" w:hAnsi="Arial" w:eastAsia="Arial" w:cs="Arial"/>
          <w:b w:val="0"/>
          <w:bCs w:val="0"/>
          <w:noProof w:val="0"/>
          <w:sz w:val="22"/>
          <w:szCs w:val="22"/>
          <w:lang w:val="en-GB"/>
        </w:rPr>
        <w:t xml:space="preserve"> </w:t>
      </w:r>
    </w:p>
    <w:p w:rsidR="4C113505" w:rsidP="4C113505" w:rsidRDefault="4C113505" w14:paraId="2E69BB58" w14:textId="14CED416">
      <w:pPr>
        <w:pStyle w:val="Normal"/>
        <w:rPr>
          <w:rFonts w:ascii="Arial" w:hAnsi="Arial" w:eastAsia="Arial" w:cs="Arial"/>
          <w:noProof w:val="0"/>
          <w:sz w:val="22"/>
          <w:szCs w:val="22"/>
          <w:lang w:val="en-GB"/>
        </w:rPr>
      </w:pPr>
    </w:p>
    <w:p w:rsidR="4C113505" w:rsidP="4C113505" w:rsidRDefault="4C113505" w14:paraId="649160EB" w14:textId="0CBE8560">
      <w:pPr>
        <w:pStyle w:val="Normal"/>
        <w:rPr>
          <w:rFonts w:ascii="Arial" w:hAnsi="Arial" w:eastAsia="Arial" w:cs="Arial"/>
          <w:b w:val="1"/>
          <w:bCs w:val="1"/>
          <w:noProof w:val="0"/>
          <w:sz w:val="28"/>
          <w:szCs w:val="28"/>
          <w:lang w:val="en-GB"/>
        </w:rPr>
      </w:pPr>
    </w:p>
    <w:p w:rsidR="4C113505" w:rsidP="4C113505" w:rsidRDefault="4C113505" w14:paraId="74180B0B" w14:textId="4AA2BEE5">
      <w:pPr>
        <w:pStyle w:val="Normal"/>
        <w:rPr>
          <w:rFonts w:ascii="Arial" w:hAnsi="Arial" w:eastAsia="Arial" w:cs="Arial"/>
          <w:b w:val="1"/>
          <w:bCs w:val="1"/>
          <w:noProof w:val="0"/>
          <w:sz w:val="28"/>
          <w:szCs w:val="28"/>
          <w:lang w:val="en-GB"/>
        </w:rPr>
      </w:pPr>
    </w:p>
    <w:p w:rsidR="4C113505" w:rsidP="4C113505" w:rsidRDefault="4C113505" w14:paraId="3559D669" w14:textId="23C3331E">
      <w:pPr>
        <w:pStyle w:val="Normal"/>
        <w:rPr>
          <w:rFonts w:ascii="Arial" w:hAnsi="Arial" w:eastAsia="Arial" w:cs="Arial"/>
          <w:b w:val="1"/>
          <w:bCs w:val="1"/>
          <w:noProof w:val="0"/>
          <w:sz w:val="28"/>
          <w:szCs w:val="28"/>
          <w:lang w:val="en-GB"/>
        </w:rPr>
      </w:pPr>
    </w:p>
    <w:p w:rsidR="4C113505" w:rsidP="4C113505" w:rsidRDefault="4C113505" w14:paraId="061AC76B" w14:textId="2831EA7C">
      <w:pPr>
        <w:pStyle w:val="Normal"/>
        <w:rPr>
          <w:rFonts w:ascii="Arial" w:hAnsi="Arial" w:eastAsia="Arial" w:cs="Arial"/>
          <w:b w:val="1"/>
          <w:bCs w:val="1"/>
          <w:noProof w:val="0"/>
          <w:sz w:val="28"/>
          <w:szCs w:val="28"/>
          <w:lang w:val="en-GB"/>
        </w:rPr>
      </w:pPr>
    </w:p>
    <w:p w:rsidR="4C113505" w:rsidP="4C113505" w:rsidRDefault="4C113505" w14:paraId="0FC2C040" w14:textId="3E278211">
      <w:pPr>
        <w:pStyle w:val="Normal"/>
        <w:rPr>
          <w:rFonts w:ascii="Arial" w:hAnsi="Arial" w:eastAsia="Arial" w:cs="Arial"/>
          <w:b w:val="1"/>
          <w:bCs w:val="1"/>
          <w:noProof w:val="0"/>
          <w:sz w:val="28"/>
          <w:szCs w:val="28"/>
          <w:lang w:val="en-GB"/>
        </w:rPr>
      </w:pPr>
    </w:p>
    <w:p w:rsidR="4C113505" w:rsidP="4C113505" w:rsidRDefault="4C113505" w14:paraId="31083A1C" w14:textId="775FD8F1">
      <w:pPr>
        <w:pStyle w:val="Normal"/>
        <w:rPr>
          <w:rFonts w:ascii="Arial" w:hAnsi="Arial" w:eastAsia="Arial" w:cs="Arial"/>
          <w:b w:val="1"/>
          <w:bCs w:val="1"/>
          <w:noProof w:val="0"/>
          <w:sz w:val="28"/>
          <w:szCs w:val="28"/>
          <w:lang w:val="en-GB"/>
        </w:rPr>
      </w:pPr>
    </w:p>
    <w:p w:rsidR="4C113505" w:rsidP="4C113505" w:rsidRDefault="4C113505" w14:paraId="3CE0182F" w14:textId="2139F0F2">
      <w:pPr>
        <w:pStyle w:val="Normal"/>
        <w:rPr>
          <w:rFonts w:ascii="Arial" w:hAnsi="Arial" w:eastAsia="Arial" w:cs="Arial"/>
          <w:b w:val="1"/>
          <w:bCs w:val="1"/>
          <w:noProof w:val="0"/>
          <w:sz w:val="28"/>
          <w:szCs w:val="28"/>
          <w:lang w:val="en-GB"/>
        </w:rPr>
      </w:pPr>
    </w:p>
    <w:p w:rsidR="4C113505" w:rsidP="4C113505" w:rsidRDefault="4C113505" w14:paraId="5BCF2524" w14:textId="72201D59">
      <w:pPr>
        <w:pStyle w:val="Normal"/>
        <w:rPr>
          <w:rFonts w:ascii="Arial" w:hAnsi="Arial" w:eastAsia="Arial" w:cs="Arial"/>
          <w:b w:val="1"/>
          <w:bCs w:val="1"/>
          <w:noProof w:val="0"/>
          <w:sz w:val="28"/>
          <w:szCs w:val="28"/>
          <w:lang w:val="en-GB"/>
        </w:rPr>
      </w:pPr>
    </w:p>
    <w:p w:rsidR="4C113505" w:rsidP="4C113505" w:rsidRDefault="4C113505" w14:paraId="07270784" w14:textId="0BC01723">
      <w:pPr>
        <w:pStyle w:val="Normal"/>
        <w:rPr>
          <w:rFonts w:ascii="Arial" w:hAnsi="Arial" w:eastAsia="Arial" w:cs="Arial"/>
          <w:b w:val="1"/>
          <w:bCs w:val="1"/>
          <w:noProof w:val="0"/>
          <w:sz w:val="28"/>
          <w:szCs w:val="28"/>
          <w:lang w:val="en-GB"/>
        </w:rPr>
      </w:pPr>
    </w:p>
    <w:p w:rsidR="4C113505" w:rsidP="4C113505" w:rsidRDefault="4C113505" w14:paraId="6018EABE" w14:textId="66C6195D">
      <w:pPr>
        <w:pStyle w:val="Normal"/>
        <w:rPr>
          <w:rFonts w:ascii="Arial" w:hAnsi="Arial" w:eastAsia="Arial" w:cs="Arial"/>
          <w:b w:val="1"/>
          <w:bCs w:val="1"/>
          <w:noProof w:val="0"/>
          <w:sz w:val="28"/>
          <w:szCs w:val="28"/>
          <w:lang w:val="en-GB"/>
        </w:rPr>
      </w:pPr>
    </w:p>
    <w:p w:rsidR="4C113505" w:rsidP="4C113505" w:rsidRDefault="4C113505" w14:paraId="2FDA8B58" w14:textId="50D5C5AA">
      <w:pPr>
        <w:pStyle w:val="Normal"/>
        <w:rPr>
          <w:rFonts w:ascii="Arial" w:hAnsi="Arial" w:eastAsia="Arial" w:cs="Arial"/>
          <w:b w:val="1"/>
          <w:bCs w:val="1"/>
          <w:noProof w:val="0"/>
          <w:sz w:val="28"/>
          <w:szCs w:val="28"/>
          <w:lang w:val="en-GB"/>
        </w:rPr>
      </w:pPr>
    </w:p>
    <w:p w:rsidR="4C113505" w:rsidP="4C113505" w:rsidRDefault="4C113505" w14:paraId="19EDA42B" w14:textId="18B19A69">
      <w:pPr>
        <w:pStyle w:val="Normal"/>
        <w:rPr>
          <w:rFonts w:ascii="Arial" w:hAnsi="Arial" w:eastAsia="Arial" w:cs="Arial"/>
          <w:b w:val="1"/>
          <w:bCs w:val="1"/>
          <w:noProof w:val="0"/>
          <w:sz w:val="28"/>
          <w:szCs w:val="28"/>
          <w:lang w:val="en-GB"/>
        </w:rPr>
      </w:pPr>
    </w:p>
    <w:p w:rsidR="4C113505" w:rsidP="4C113505" w:rsidRDefault="4C113505" w14:paraId="0557BCED" w14:textId="4EB0EB74">
      <w:pPr>
        <w:pStyle w:val="Normal"/>
        <w:rPr>
          <w:rFonts w:ascii="Arial" w:hAnsi="Arial" w:eastAsia="Arial" w:cs="Arial"/>
          <w:b w:val="1"/>
          <w:bCs w:val="1"/>
          <w:noProof w:val="0"/>
          <w:sz w:val="28"/>
          <w:szCs w:val="28"/>
          <w:lang w:val="en-GB"/>
        </w:rPr>
      </w:pPr>
    </w:p>
    <w:p w:rsidR="4C113505" w:rsidP="4C113505" w:rsidRDefault="4C113505" w14:paraId="657AA4E6" w14:textId="01C05807">
      <w:pPr>
        <w:pStyle w:val="Normal"/>
        <w:rPr>
          <w:rFonts w:ascii="Arial" w:hAnsi="Arial" w:eastAsia="Arial" w:cs="Arial"/>
          <w:b w:val="1"/>
          <w:bCs w:val="1"/>
          <w:noProof w:val="0"/>
          <w:sz w:val="28"/>
          <w:szCs w:val="28"/>
          <w:lang w:val="en-GB"/>
        </w:rPr>
      </w:pPr>
    </w:p>
    <w:p w:rsidR="4C113505" w:rsidP="4C113505" w:rsidRDefault="4C113505" w14:paraId="748E42EA" w14:textId="039689A2">
      <w:pPr>
        <w:pStyle w:val="Normal"/>
        <w:rPr>
          <w:rFonts w:ascii="Arial" w:hAnsi="Arial" w:eastAsia="Arial" w:cs="Arial"/>
          <w:b w:val="1"/>
          <w:bCs w:val="1"/>
          <w:noProof w:val="0"/>
          <w:sz w:val="28"/>
          <w:szCs w:val="28"/>
          <w:lang w:val="en-GB"/>
        </w:rPr>
      </w:pPr>
    </w:p>
    <w:p w:rsidR="4C113505" w:rsidP="4C113505" w:rsidRDefault="4C113505" w14:paraId="4443572B" w14:textId="3780C213">
      <w:pPr>
        <w:pStyle w:val="Normal"/>
        <w:rPr>
          <w:rFonts w:ascii="Arial" w:hAnsi="Arial" w:eastAsia="Arial" w:cs="Arial"/>
          <w:b w:val="1"/>
          <w:bCs w:val="1"/>
          <w:noProof w:val="0"/>
          <w:sz w:val="28"/>
          <w:szCs w:val="28"/>
          <w:lang w:val="en-GB"/>
        </w:rPr>
      </w:pPr>
    </w:p>
    <w:p w:rsidR="4C113505" w:rsidP="4C113505" w:rsidRDefault="4C113505" w14:paraId="19CDEC87" w14:textId="4C7DD8EF">
      <w:pPr>
        <w:pStyle w:val="Normal"/>
        <w:rPr>
          <w:rFonts w:ascii="Arial" w:hAnsi="Arial" w:eastAsia="Arial" w:cs="Arial"/>
          <w:b w:val="1"/>
          <w:bCs w:val="1"/>
          <w:noProof w:val="0"/>
          <w:sz w:val="28"/>
          <w:szCs w:val="28"/>
          <w:lang w:val="en-GB"/>
        </w:rPr>
      </w:pPr>
    </w:p>
    <w:p w:rsidR="4C113505" w:rsidP="4C113505" w:rsidRDefault="4C113505" w14:paraId="6CBCE361" w14:textId="31644DD9">
      <w:pPr>
        <w:pStyle w:val="Normal"/>
        <w:rPr>
          <w:rFonts w:ascii="Arial" w:hAnsi="Arial" w:eastAsia="Arial" w:cs="Arial"/>
          <w:b w:val="1"/>
          <w:bCs w:val="1"/>
          <w:noProof w:val="0"/>
          <w:sz w:val="28"/>
          <w:szCs w:val="28"/>
          <w:lang w:val="en-GB"/>
        </w:rPr>
      </w:pPr>
    </w:p>
    <w:p w:rsidR="4C113505" w:rsidP="4C113505" w:rsidRDefault="4C113505" w14:paraId="027EE576" w14:textId="1EEF1960">
      <w:pPr>
        <w:pStyle w:val="Normal"/>
        <w:rPr>
          <w:rFonts w:ascii="Arial" w:hAnsi="Arial" w:eastAsia="Arial" w:cs="Arial"/>
          <w:b w:val="1"/>
          <w:bCs w:val="1"/>
          <w:noProof w:val="0"/>
          <w:sz w:val="28"/>
          <w:szCs w:val="28"/>
          <w:lang w:val="en-GB"/>
        </w:rPr>
      </w:pPr>
    </w:p>
    <w:p w:rsidR="4C113505" w:rsidP="4C113505" w:rsidRDefault="4C113505" w14:paraId="193B0660" w14:textId="646DEFE7">
      <w:pPr>
        <w:pStyle w:val="Normal"/>
        <w:rPr>
          <w:rFonts w:ascii="Arial" w:hAnsi="Arial" w:eastAsia="Arial" w:cs="Arial"/>
          <w:b w:val="1"/>
          <w:bCs w:val="1"/>
          <w:noProof w:val="0"/>
          <w:sz w:val="28"/>
          <w:szCs w:val="28"/>
          <w:lang w:val="en-GB"/>
        </w:rPr>
      </w:pPr>
    </w:p>
    <w:p w:rsidR="53494127" w:rsidP="4C113505" w:rsidRDefault="53494127" w14:paraId="4D7BADBF" w14:textId="2231624A">
      <w:pPr>
        <w:pStyle w:val="Normal"/>
        <w:rPr>
          <w:rFonts w:ascii="Arial" w:hAnsi="Arial" w:eastAsia="Arial" w:cs="Arial"/>
          <w:b w:val="1"/>
          <w:bCs w:val="1"/>
          <w:noProof w:val="0"/>
          <w:sz w:val="28"/>
          <w:szCs w:val="28"/>
          <w:lang w:val="en-GB"/>
        </w:rPr>
      </w:pPr>
      <w:r w:rsidRPr="4C113505" w:rsidR="53494127">
        <w:rPr>
          <w:rFonts w:ascii="Arial" w:hAnsi="Arial" w:eastAsia="Arial" w:cs="Arial"/>
          <w:b w:val="1"/>
          <w:bCs w:val="1"/>
          <w:noProof w:val="0"/>
          <w:sz w:val="28"/>
          <w:szCs w:val="28"/>
          <w:lang w:val="en-GB"/>
        </w:rPr>
        <w:t xml:space="preserve">References </w:t>
      </w:r>
    </w:p>
    <w:p w:rsidR="53494127" w:rsidP="4C113505" w:rsidRDefault="53494127" w14:paraId="1AED8632" w14:textId="7F005293">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Beauchamp, T.L. and Childress, J.F. (2019) </w:t>
      </w:r>
      <w:r w:rsidRPr="4C113505" w:rsidR="53494127">
        <w:rPr>
          <w:rFonts w:ascii="Arial" w:hAnsi="Arial" w:eastAsia="Arial" w:cs="Arial"/>
          <w:i w:val="1"/>
          <w:iCs w:val="1"/>
          <w:noProof w:val="0"/>
          <w:color w:val="auto"/>
          <w:sz w:val="22"/>
          <w:szCs w:val="22"/>
          <w:lang w:val="en-GB"/>
        </w:rPr>
        <w:t>Principles of Biomedical Ethics</w:t>
      </w:r>
      <w:r w:rsidRPr="4C113505" w:rsidR="53494127">
        <w:rPr>
          <w:rFonts w:ascii="Arial" w:hAnsi="Arial" w:eastAsia="Arial" w:cs="Arial"/>
          <w:noProof w:val="0"/>
          <w:color w:val="auto"/>
          <w:sz w:val="22"/>
          <w:szCs w:val="22"/>
          <w:lang w:val="en-GB"/>
        </w:rPr>
        <w:t xml:space="preserve">. 8th </w:t>
      </w:r>
      <w:r w:rsidRPr="4C113505" w:rsidR="53494127">
        <w:rPr>
          <w:rFonts w:ascii="Arial" w:hAnsi="Arial" w:eastAsia="Arial" w:cs="Arial"/>
          <w:noProof w:val="0"/>
          <w:color w:val="auto"/>
          <w:sz w:val="22"/>
          <w:szCs w:val="22"/>
          <w:lang w:val="en-GB"/>
        </w:rPr>
        <w:t>edn</w:t>
      </w:r>
      <w:r w:rsidRPr="4C113505" w:rsidR="53494127">
        <w:rPr>
          <w:rFonts w:ascii="Arial" w:hAnsi="Arial" w:eastAsia="Arial" w:cs="Arial"/>
          <w:noProof w:val="0"/>
          <w:color w:val="auto"/>
          <w:sz w:val="22"/>
          <w:szCs w:val="22"/>
          <w:lang w:val="en-GB"/>
        </w:rPr>
        <w:t>. Oxford: Oxford University Press.</w:t>
      </w:r>
    </w:p>
    <w:p w:rsidR="53494127" w:rsidP="4C113505" w:rsidRDefault="53494127" w14:paraId="0884976D" w14:textId="63506B0E">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Care Act 2014. (c.23). London: The Stationery Office.</w:t>
      </w:r>
    </w:p>
    <w:p w:rsidR="53494127" w:rsidP="4C113505" w:rsidRDefault="53494127" w14:paraId="1C269B8D" w14:textId="16697056">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Department of Health and Social Care (2021) </w:t>
      </w:r>
      <w:r w:rsidRPr="4C113505" w:rsidR="53494127">
        <w:rPr>
          <w:rFonts w:ascii="Arial" w:hAnsi="Arial" w:eastAsia="Arial" w:cs="Arial"/>
          <w:i w:val="1"/>
          <w:iCs w:val="1"/>
          <w:noProof w:val="0"/>
          <w:color w:val="auto"/>
          <w:sz w:val="22"/>
          <w:szCs w:val="22"/>
          <w:lang w:val="en-GB"/>
        </w:rPr>
        <w:t>Integration and Innovation: Working Together to Improve Health and Social Care for All</w:t>
      </w:r>
      <w:r w:rsidRPr="4C113505" w:rsidR="53494127">
        <w:rPr>
          <w:rFonts w:ascii="Arial" w:hAnsi="Arial" w:eastAsia="Arial" w:cs="Arial"/>
          <w:noProof w:val="0"/>
          <w:color w:val="auto"/>
          <w:sz w:val="22"/>
          <w:szCs w:val="22"/>
          <w:lang w:val="en-GB"/>
        </w:rPr>
        <w:t>. London: DHSC.</w:t>
      </w:r>
    </w:p>
    <w:p w:rsidR="53494127" w:rsidP="4C113505" w:rsidRDefault="53494127" w14:paraId="0AC8BE2B" w14:textId="691DB78D">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Department of Health and Social Care (2022) </w:t>
      </w:r>
      <w:r w:rsidRPr="4C113505" w:rsidR="53494127">
        <w:rPr>
          <w:rFonts w:ascii="Arial" w:hAnsi="Arial" w:eastAsia="Arial" w:cs="Arial"/>
          <w:i w:val="1"/>
          <w:iCs w:val="1"/>
          <w:noProof w:val="0"/>
          <w:color w:val="auto"/>
          <w:sz w:val="22"/>
          <w:szCs w:val="22"/>
          <w:lang w:val="en-GB"/>
        </w:rPr>
        <w:t>Health and Care Act 2022: Policy Paper</w:t>
      </w:r>
      <w:r w:rsidRPr="4C113505" w:rsidR="53494127">
        <w:rPr>
          <w:rFonts w:ascii="Arial" w:hAnsi="Arial" w:eastAsia="Arial" w:cs="Arial"/>
          <w:noProof w:val="0"/>
          <w:color w:val="auto"/>
          <w:sz w:val="22"/>
          <w:szCs w:val="22"/>
          <w:lang w:val="en-GB"/>
        </w:rPr>
        <w:t>. London: DHSC.</w:t>
      </w:r>
    </w:p>
    <w:p w:rsidR="53494127" w:rsidP="4C113505" w:rsidRDefault="53494127" w14:paraId="43E112D1" w14:textId="1F4291CF">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Glasby, J. and Dickinson, H. (2014) </w:t>
      </w:r>
      <w:r w:rsidRPr="4C113505" w:rsidR="53494127">
        <w:rPr>
          <w:rFonts w:ascii="Arial" w:hAnsi="Arial" w:eastAsia="Arial" w:cs="Arial"/>
          <w:i w:val="1"/>
          <w:iCs w:val="1"/>
          <w:noProof w:val="0"/>
          <w:color w:val="auto"/>
          <w:sz w:val="22"/>
          <w:szCs w:val="22"/>
          <w:lang w:val="en-GB"/>
        </w:rPr>
        <w:t>Partnership Working in Health and Social Care: What Is Integrated Care and How Can We Deliver It?</w:t>
      </w:r>
      <w:r w:rsidRPr="4C113505" w:rsidR="53494127">
        <w:rPr>
          <w:rFonts w:ascii="Arial" w:hAnsi="Arial" w:eastAsia="Arial" w:cs="Arial"/>
          <w:noProof w:val="0"/>
          <w:color w:val="auto"/>
          <w:sz w:val="22"/>
          <w:szCs w:val="22"/>
          <w:lang w:val="en-GB"/>
        </w:rPr>
        <w:t xml:space="preserve"> 2nd </w:t>
      </w:r>
      <w:r w:rsidRPr="4C113505" w:rsidR="53494127">
        <w:rPr>
          <w:rFonts w:ascii="Arial" w:hAnsi="Arial" w:eastAsia="Arial" w:cs="Arial"/>
          <w:noProof w:val="0"/>
          <w:color w:val="auto"/>
          <w:sz w:val="22"/>
          <w:szCs w:val="22"/>
          <w:lang w:val="en-GB"/>
        </w:rPr>
        <w:t>edn</w:t>
      </w:r>
      <w:r w:rsidRPr="4C113505" w:rsidR="53494127">
        <w:rPr>
          <w:rFonts w:ascii="Arial" w:hAnsi="Arial" w:eastAsia="Arial" w:cs="Arial"/>
          <w:noProof w:val="0"/>
          <w:color w:val="auto"/>
          <w:sz w:val="22"/>
          <w:szCs w:val="22"/>
          <w:lang w:val="en-GB"/>
        </w:rPr>
        <w:t>. Bristol: Policy Press.</w:t>
      </w:r>
    </w:p>
    <w:p w:rsidR="53494127" w:rsidP="4C113505" w:rsidRDefault="53494127" w14:paraId="5964C59A" w14:textId="0EC36B6C">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Health and Care Act 2022. (c.31). London: The Stationery Office.</w:t>
      </w:r>
    </w:p>
    <w:p w:rsidR="53494127" w:rsidP="4C113505" w:rsidRDefault="53494127" w14:paraId="608E39B6" w14:textId="22A7FA34">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Maslow, A.H. (1943) ‘A theory of human motivation’, </w:t>
      </w:r>
      <w:r w:rsidRPr="4C113505" w:rsidR="53494127">
        <w:rPr>
          <w:rFonts w:ascii="Arial" w:hAnsi="Arial" w:eastAsia="Arial" w:cs="Arial"/>
          <w:i w:val="1"/>
          <w:iCs w:val="1"/>
          <w:noProof w:val="0"/>
          <w:color w:val="auto"/>
          <w:sz w:val="22"/>
          <w:szCs w:val="22"/>
          <w:lang w:val="en-GB"/>
        </w:rPr>
        <w:t>Psychological Review</w:t>
      </w:r>
      <w:r w:rsidRPr="4C113505" w:rsidR="53494127">
        <w:rPr>
          <w:rFonts w:ascii="Arial" w:hAnsi="Arial" w:eastAsia="Arial" w:cs="Arial"/>
          <w:noProof w:val="0"/>
          <w:color w:val="auto"/>
          <w:sz w:val="22"/>
          <w:szCs w:val="22"/>
          <w:lang w:val="en-GB"/>
        </w:rPr>
        <w:t>, 50(4), pp. 370–396.</w:t>
      </w:r>
    </w:p>
    <w:p w:rsidR="53494127" w:rsidP="4C113505" w:rsidRDefault="53494127" w14:paraId="1876006C" w14:textId="1F911EC9">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McCormack, B. and McCance, T. (2017) </w:t>
      </w:r>
      <w:r w:rsidRPr="4C113505" w:rsidR="53494127">
        <w:rPr>
          <w:rFonts w:ascii="Arial" w:hAnsi="Arial" w:eastAsia="Arial" w:cs="Arial"/>
          <w:i w:val="1"/>
          <w:iCs w:val="1"/>
          <w:noProof w:val="0"/>
          <w:color w:val="auto"/>
          <w:sz w:val="22"/>
          <w:szCs w:val="22"/>
          <w:lang w:val="en-GB"/>
        </w:rPr>
        <w:t>Person-Centred Practice in Nursing and Health Care: Theory and Practice</w:t>
      </w:r>
      <w:r w:rsidRPr="4C113505" w:rsidR="53494127">
        <w:rPr>
          <w:rFonts w:ascii="Arial" w:hAnsi="Arial" w:eastAsia="Arial" w:cs="Arial"/>
          <w:noProof w:val="0"/>
          <w:color w:val="auto"/>
          <w:sz w:val="22"/>
          <w:szCs w:val="22"/>
          <w:lang w:val="en-GB"/>
        </w:rPr>
        <w:t xml:space="preserve">. 2nd </w:t>
      </w:r>
      <w:r w:rsidRPr="4C113505" w:rsidR="53494127">
        <w:rPr>
          <w:rFonts w:ascii="Arial" w:hAnsi="Arial" w:eastAsia="Arial" w:cs="Arial"/>
          <w:noProof w:val="0"/>
          <w:color w:val="auto"/>
          <w:sz w:val="22"/>
          <w:szCs w:val="22"/>
          <w:lang w:val="en-GB"/>
        </w:rPr>
        <w:t>edn</w:t>
      </w:r>
      <w:r w:rsidRPr="4C113505" w:rsidR="53494127">
        <w:rPr>
          <w:rFonts w:ascii="Arial" w:hAnsi="Arial" w:eastAsia="Arial" w:cs="Arial"/>
          <w:noProof w:val="0"/>
          <w:color w:val="auto"/>
          <w:sz w:val="22"/>
          <w:szCs w:val="22"/>
          <w:lang w:val="en-GB"/>
        </w:rPr>
        <w:t>. Oxford: Wiley Blackwell.</w:t>
      </w:r>
    </w:p>
    <w:p w:rsidR="53494127" w:rsidP="4C113505" w:rsidRDefault="53494127" w14:paraId="6C594739" w14:textId="58AC1997">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Mental Capacity Act 2005. (c.9). London: The Stationery Office.</w:t>
      </w:r>
    </w:p>
    <w:p w:rsidR="53494127" w:rsidP="4C113505" w:rsidRDefault="53494127" w14:paraId="1809DF69" w14:textId="3331EDE5">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National Institute for Health and Care Excellence (2018) </w:t>
      </w:r>
      <w:r w:rsidRPr="4C113505" w:rsidR="53494127">
        <w:rPr>
          <w:rFonts w:ascii="Arial" w:hAnsi="Arial" w:eastAsia="Arial" w:cs="Arial"/>
          <w:i w:val="1"/>
          <w:iCs w:val="1"/>
          <w:noProof w:val="0"/>
          <w:color w:val="auto"/>
          <w:sz w:val="22"/>
          <w:szCs w:val="22"/>
          <w:lang w:val="en-GB"/>
        </w:rPr>
        <w:t>Patient Experience in Adult NHS Services (QS15)</w:t>
      </w:r>
      <w:r w:rsidRPr="4C113505" w:rsidR="53494127">
        <w:rPr>
          <w:rFonts w:ascii="Arial" w:hAnsi="Arial" w:eastAsia="Arial" w:cs="Arial"/>
          <w:noProof w:val="0"/>
          <w:color w:val="auto"/>
          <w:sz w:val="22"/>
          <w:szCs w:val="22"/>
          <w:lang w:val="en-GB"/>
        </w:rPr>
        <w:t>. London: NICE.</w:t>
      </w:r>
    </w:p>
    <w:p w:rsidR="53494127" w:rsidP="4C113505" w:rsidRDefault="53494127" w14:paraId="5A4A30E4" w14:textId="4D6555AE">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National Institute for Health and Care Excellence (2022) </w:t>
      </w:r>
      <w:r w:rsidRPr="4C113505" w:rsidR="53494127">
        <w:rPr>
          <w:rFonts w:ascii="Arial" w:hAnsi="Arial" w:eastAsia="Arial" w:cs="Arial"/>
          <w:i w:val="1"/>
          <w:iCs w:val="1"/>
          <w:noProof w:val="0"/>
          <w:color w:val="auto"/>
          <w:sz w:val="22"/>
          <w:szCs w:val="22"/>
          <w:lang w:val="en-GB"/>
        </w:rPr>
        <w:t>Integrated Health and Social Care for People with Long-Term Conditions</w:t>
      </w:r>
      <w:r w:rsidRPr="4C113505" w:rsidR="53494127">
        <w:rPr>
          <w:rFonts w:ascii="Arial" w:hAnsi="Arial" w:eastAsia="Arial" w:cs="Arial"/>
          <w:noProof w:val="0"/>
          <w:color w:val="auto"/>
          <w:sz w:val="22"/>
          <w:szCs w:val="22"/>
          <w:lang w:val="en-GB"/>
        </w:rPr>
        <w:t>. London: NICE.</w:t>
      </w:r>
    </w:p>
    <w:p w:rsidR="53494127" w:rsidP="4C113505" w:rsidRDefault="53494127" w14:paraId="3EB62896" w14:textId="50FD0F10">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NHS England (2022) </w:t>
      </w:r>
      <w:r w:rsidRPr="4C113505" w:rsidR="53494127">
        <w:rPr>
          <w:rFonts w:ascii="Arial" w:hAnsi="Arial" w:eastAsia="Arial" w:cs="Arial"/>
          <w:i w:val="1"/>
          <w:iCs w:val="1"/>
          <w:noProof w:val="0"/>
          <w:color w:val="auto"/>
          <w:sz w:val="22"/>
          <w:szCs w:val="22"/>
          <w:lang w:val="en-GB"/>
        </w:rPr>
        <w:t>Personalised Care: Implementing the Comprehensive Model</w:t>
      </w:r>
      <w:r w:rsidRPr="4C113505" w:rsidR="53494127">
        <w:rPr>
          <w:rFonts w:ascii="Arial" w:hAnsi="Arial" w:eastAsia="Arial" w:cs="Arial"/>
          <w:noProof w:val="0"/>
          <w:color w:val="auto"/>
          <w:sz w:val="22"/>
          <w:szCs w:val="22"/>
          <w:lang w:val="en-GB"/>
        </w:rPr>
        <w:t>. London: NHS England.</w:t>
      </w:r>
    </w:p>
    <w:p w:rsidR="53494127" w:rsidP="4C113505" w:rsidRDefault="53494127" w14:paraId="61692878" w14:textId="0BFE6858">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NHS England (2023) </w:t>
      </w:r>
      <w:r w:rsidRPr="4C113505" w:rsidR="53494127">
        <w:rPr>
          <w:rFonts w:ascii="Arial" w:hAnsi="Arial" w:eastAsia="Arial" w:cs="Arial"/>
          <w:i w:val="1"/>
          <w:iCs w:val="1"/>
          <w:noProof w:val="0"/>
          <w:color w:val="auto"/>
          <w:sz w:val="22"/>
          <w:szCs w:val="22"/>
          <w:lang w:val="en-GB"/>
        </w:rPr>
        <w:t>Integrated Care Systems: Design Framework</w:t>
      </w:r>
      <w:r w:rsidRPr="4C113505" w:rsidR="53494127">
        <w:rPr>
          <w:rFonts w:ascii="Arial" w:hAnsi="Arial" w:eastAsia="Arial" w:cs="Arial"/>
          <w:noProof w:val="0"/>
          <w:color w:val="auto"/>
          <w:sz w:val="22"/>
          <w:szCs w:val="22"/>
          <w:lang w:val="en-GB"/>
        </w:rPr>
        <w:t>. London: NHS England.</w:t>
      </w:r>
    </w:p>
    <w:p w:rsidR="53494127" w:rsidP="4C113505" w:rsidRDefault="53494127" w14:paraId="25E06AAD" w14:textId="71C2415F">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Nursing and Midwifery Council (2018) </w:t>
      </w:r>
      <w:r w:rsidRPr="4C113505" w:rsidR="53494127">
        <w:rPr>
          <w:rFonts w:ascii="Arial" w:hAnsi="Arial" w:eastAsia="Arial" w:cs="Arial"/>
          <w:i w:val="1"/>
          <w:iCs w:val="1"/>
          <w:noProof w:val="0"/>
          <w:color w:val="auto"/>
          <w:sz w:val="22"/>
          <w:szCs w:val="22"/>
          <w:lang w:val="en-GB"/>
        </w:rPr>
        <w:t>The Code: Professional Standards of Practice and Behaviour for Nurses, Midwives and Nursing Associates</w:t>
      </w:r>
      <w:r w:rsidRPr="4C113505" w:rsidR="53494127">
        <w:rPr>
          <w:rFonts w:ascii="Arial" w:hAnsi="Arial" w:eastAsia="Arial" w:cs="Arial"/>
          <w:noProof w:val="0"/>
          <w:color w:val="auto"/>
          <w:sz w:val="22"/>
          <w:szCs w:val="22"/>
          <w:lang w:val="en-GB"/>
        </w:rPr>
        <w:t>. London: NMC.</w:t>
      </w:r>
    </w:p>
    <w:p w:rsidR="53494127" w:rsidP="4C113505" w:rsidRDefault="53494127" w14:paraId="5D918344" w14:textId="2ED12033">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Royal College of Nursing (2021) </w:t>
      </w:r>
      <w:r w:rsidRPr="4C113505" w:rsidR="53494127">
        <w:rPr>
          <w:rFonts w:ascii="Arial" w:hAnsi="Arial" w:eastAsia="Arial" w:cs="Arial"/>
          <w:i w:val="1"/>
          <w:iCs w:val="1"/>
          <w:noProof w:val="0"/>
          <w:color w:val="auto"/>
          <w:sz w:val="22"/>
          <w:szCs w:val="22"/>
          <w:lang w:val="en-GB"/>
        </w:rPr>
        <w:t>Person-Centred Care</w:t>
      </w:r>
      <w:r w:rsidRPr="4C113505" w:rsidR="53494127">
        <w:rPr>
          <w:rFonts w:ascii="Arial" w:hAnsi="Arial" w:eastAsia="Arial" w:cs="Arial"/>
          <w:noProof w:val="0"/>
          <w:color w:val="auto"/>
          <w:sz w:val="22"/>
          <w:szCs w:val="22"/>
          <w:lang w:val="en-GB"/>
        </w:rPr>
        <w:t>. London: RCN.</w:t>
      </w:r>
    </w:p>
    <w:p w:rsidR="53494127" w:rsidP="4C113505" w:rsidRDefault="53494127" w14:paraId="530B0430" w14:textId="24BF8817">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Skills for Care (2023) </w:t>
      </w:r>
      <w:r w:rsidRPr="4C113505" w:rsidR="53494127">
        <w:rPr>
          <w:rFonts w:ascii="Arial" w:hAnsi="Arial" w:eastAsia="Arial" w:cs="Arial"/>
          <w:i w:val="1"/>
          <w:iCs w:val="1"/>
          <w:noProof w:val="0"/>
          <w:color w:val="auto"/>
          <w:sz w:val="22"/>
          <w:szCs w:val="22"/>
          <w:lang w:val="en-GB"/>
        </w:rPr>
        <w:t>Continuing Professional Development for the Adult Social Care Workforce</w:t>
      </w:r>
      <w:r w:rsidRPr="4C113505" w:rsidR="53494127">
        <w:rPr>
          <w:rFonts w:ascii="Arial" w:hAnsi="Arial" w:eastAsia="Arial" w:cs="Arial"/>
          <w:noProof w:val="0"/>
          <w:color w:val="auto"/>
          <w:sz w:val="22"/>
          <w:szCs w:val="22"/>
          <w:lang w:val="en-GB"/>
        </w:rPr>
        <w:t>. Leeds: Skills for Care.</w:t>
      </w:r>
    </w:p>
    <w:p w:rsidR="53494127" w:rsidP="4C113505" w:rsidRDefault="53494127" w14:paraId="1339765C" w14:textId="7962E25B">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Social Care Institute for Excellence (2019) </w:t>
      </w:r>
      <w:r w:rsidRPr="4C113505" w:rsidR="53494127">
        <w:rPr>
          <w:rFonts w:ascii="Arial" w:hAnsi="Arial" w:eastAsia="Arial" w:cs="Arial"/>
          <w:i w:val="1"/>
          <w:iCs w:val="1"/>
          <w:noProof w:val="0"/>
          <w:color w:val="auto"/>
          <w:sz w:val="22"/>
          <w:szCs w:val="22"/>
          <w:lang w:val="en-GB"/>
        </w:rPr>
        <w:t>Co-Production in Social Care: What It Is and How to Do It</w:t>
      </w:r>
      <w:r w:rsidRPr="4C113505" w:rsidR="53494127">
        <w:rPr>
          <w:rFonts w:ascii="Arial" w:hAnsi="Arial" w:eastAsia="Arial" w:cs="Arial"/>
          <w:noProof w:val="0"/>
          <w:color w:val="auto"/>
          <w:sz w:val="22"/>
          <w:szCs w:val="22"/>
          <w:lang w:val="en-GB"/>
        </w:rPr>
        <w:t>. London: SCIE.</w:t>
      </w:r>
    </w:p>
    <w:p w:rsidR="53494127" w:rsidP="4C113505" w:rsidRDefault="53494127" w14:paraId="2A4D1329" w14:textId="05C7E802">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Social Care Institute for Excellence (2022) </w:t>
      </w:r>
      <w:r w:rsidRPr="4C113505" w:rsidR="53494127">
        <w:rPr>
          <w:rFonts w:ascii="Arial" w:hAnsi="Arial" w:eastAsia="Arial" w:cs="Arial"/>
          <w:i w:val="1"/>
          <w:iCs w:val="1"/>
          <w:noProof w:val="0"/>
          <w:color w:val="auto"/>
          <w:sz w:val="22"/>
          <w:szCs w:val="22"/>
          <w:lang w:val="en-GB"/>
        </w:rPr>
        <w:t>Strengths-Based Approaches in Social Care</w:t>
      </w:r>
      <w:r w:rsidRPr="4C113505" w:rsidR="53494127">
        <w:rPr>
          <w:rFonts w:ascii="Arial" w:hAnsi="Arial" w:eastAsia="Arial" w:cs="Arial"/>
          <w:noProof w:val="0"/>
          <w:color w:val="auto"/>
          <w:sz w:val="22"/>
          <w:szCs w:val="22"/>
          <w:lang w:val="en-GB"/>
        </w:rPr>
        <w:t>. London: SCIE.</w:t>
      </w:r>
    </w:p>
    <w:p w:rsidR="53494127" w:rsidP="4C113505" w:rsidRDefault="53494127" w14:paraId="4C978BC1" w14:textId="63B50D98">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World Health Organization (2016) </w:t>
      </w:r>
      <w:r w:rsidRPr="4C113505" w:rsidR="53494127">
        <w:rPr>
          <w:rFonts w:ascii="Arial" w:hAnsi="Arial" w:eastAsia="Arial" w:cs="Arial"/>
          <w:i w:val="1"/>
          <w:iCs w:val="1"/>
          <w:noProof w:val="0"/>
          <w:color w:val="auto"/>
          <w:sz w:val="22"/>
          <w:szCs w:val="22"/>
          <w:lang w:val="en-GB"/>
        </w:rPr>
        <w:t>Framework on Integrated, People-Centred Health Services</w:t>
      </w:r>
      <w:r w:rsidRPr="4C113505" w:rsidR="53494127">
        <w:rPr>
          <w:rFonts w:ascii="Arial" w:hAnsi="Arial" w:eastAsia="Arial" w:cs="Arial"/>
          <w:noProof w:val="0"/>
          <w:color w:val="auto"/>
          <w:sz w:val="22"/>
          <w:szCs w:val="22"/>
          <w:lang w:val="en-GB"/>
        </w:rPr>
        <w:t>. Geneva: WHO.</w:t>
      </w:r>
    </w:p>
    <w:p w:rsidR="53494127" w:rsidP="4C113505" w:rsidRDefault="53494127" w14:paraId="3C82E47D" w14:textId="5AFABA67">
      <w:pPr>
        <w:spacing w:before="240" w:beforeAutospacing="off" w:after="240" w:afterAutospacing="off"/>
        <w:rPr>
          <w:rFonts w:ascii="Arial" w:hAnsi="Arial" w:eastAsia="Arial" w:cs="Arial"/>
          <w:noProof w:val="0"/>
          <w:color w:val="auto"/>
          <w:sz w:val="22"/>
          <w:szCs w:val="22"/>
          <w:lang w:val="en-GB"/>
        </w:rPr>
      </w:pPr>
      <w:r w:rsidRPr="4C113505" w:rsidR="53494127">
        <w:rPr>
          <w:rFonts w:ascii="Arial" w:hAnsi="Arial" w:eastAsia="Arial" w:cs="Arial"/>
          <w:noProof w:val="0"/>
          <w:color w:val="auto"/>
          <w:sz w:val="22"/>
          <w:szCs w:val="22"/>
          <w:lang w:val="en-GB"/>
        </w:rPr>
        <w:t xml:space="preserve">World Health Organization (2021) </w:t>
      </w:r>
      <w:r w:rsidRPr="4C113505" w:rsidR="53494127">
        <w:rPr>
          <w:rFonts w:ascii="Arial" w:hAnsi="Arial" w:eastAsia="Arial" w:cs="Arial"/>
          <w:i w:val="1"/>
          <w:iCs w:val="1"/>
          <w:noProof w:val="0"/>
          <w:color w:val="auto"/>
          <w:sz w:val="22"/>
          <w:szCs w:val="22"/>
          <w:lang w:val="en-GB"/>
        </w:rPr>
        <w:t>Ethics and COVID-19: Resource Allocation and Priority-Setting</w:t>
      </w:r>
      <w:r w:rsidRPr="4C113505" w:rsidR="53494127">
        <w:rPr>
          <w:rFonts w:ascii="Arial" w:hAnsi="Arial" w:eastAsia="Arial" w:cs="Arial"/>
          <w:noProof w:val="0"/>
          <w:color w:val="auto"/>
          <w:sz w:val="22"/>
          <w:szCs w:val="22"/>
          <w:lang w:val="en-GB"/>
        </w:rPr>
        <w:t>. Geneva: WHO.</w:t>
      </w:r>
    </w:p>
    <w:p w:rsidR="53494127" w:rsidP="4C113505" w:rsidRDefault="53494127" w14:paraId="4CA51D86" w14:textId="181C4985">
      <w:pPr>
        <w:pStyle w:val="Normal"/>
        <w:rPr>
          <w:rFonts w:ascii="Arial" w:hAnsi="Arial" w:eastAsia="Arial" w:cs="Arial"/>
          <w:b w:val="0"/>
          <w:bCs w:val="0"/>
          <w:noProof w:val="0"/>
          <w:sz w:val="22"/>
          <w:szCs w:val="22"/>
          <w:lang w:val="en-GB"/>
        </w:rPr>
      </w:pPr>
      <w:r w:rsidRPr="4C113505" w:rsidR="53494127">
        <w:rPr>
          <w:rFonts w:ascii="Arial" w:hAnsi="Arial" w:eastAsia="Arial" w:cs="Arial"/>
          <w:b w:val="0"/>
          <w:bCs w:val="0"/>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6RO2iHzh">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EF4524"/>
    <w:rsid w:val="02E10BA1"/>
    <w:rsid w:val="04B90A08"/>
    <w:rsid w:val="05080C29"/>
    <w:rsid w:val="056E1E88"/>
    <w:rsid w:val="0646BCA8"/>
    <w:rsid w:val="08ED4ABC"/>
    <w:rsid w:val="096F48BD"/>
    <w:rsid w:val="09A17BC7"/>
    <w:rsid w:val="09B1D38E"/>
    <w:rsid w:val="0D2AA798"/>
    <w:rsid w:val="0E3B9B2C"/>
    <w:rsid w:val="10119F5C"/>
    <w:rsid w:val="1180395B"/>
    <w:rsid w:val="13EF4524"/>
    <w:rsid w:val="14FAB7FA"/>
    <w:rsid w:val="160949DB"/>
    <w:rsid w:val="189AAF9C"/>
    <w:rsid w:val="195AC156"/>
    <w:rsid w:val="1DE19172"/>
    <w:rsid w:val="24AE4DAC"/>
    <w:rsid w:val="289F66B0"/>
    <w:rsid w:val="28BD7E33"/>
    <w:rsid w:val="2A8E86F2"/>
    <w:rsid w:val="2BA628CB"/>
    <w:rsid w:val="2ECD9634"/>
    <w:rsid w:val="3081DCF0"/>
    <w:rsid w:val="3236E7CF"/>
    <w:rsid w:val="33A0CEC0"/>
    <w:rsid w:val="375B717F"/>
    <w:rsid w:val="386C2042"/>
    <w:rsid w:val="3920D04F"/>
    <w:rsid w:val="3BE69016"/>
    <w:rsid w:val="3C0976E4"/>
    <w:rsid w:val="3FE3BC5E"/>
    <w:rsid w:val="464769AA"/>
    <w:rsid w:val="464D31B1"/>
    <w:rsid w:val="48C77512"/>
    <w:rsid w:val="4ACC571F"/>
    <w:rsid w:val="4B88500E"/>
    <w:rsid w:val="4C113505"/>
    <w:rsid w:val="4C341877"/>
    <w:rsid w:val="4CCA0BA3"/>
    <w:rsid w:val="5019E6D3"/>
    <w:rsid w:val="53494127"/>
    <w:rsid w:val="53E2A7EA"/>
    <w:rsid w:val="55CC4379"/>
    <w:rsid w:val="59BBBBF2"/>
    <w:rsid w:val="5A0C60C4"/>
    <w:rsid w:val="5B067958"/>
    <w:rsid w:val="5CCAEEE3"/>
    <w:rsid w:val="61B4D3D1"/>
    <w:rsid w:val="636CC1F0"/>
    <w:rsid w:val="642DBDA2"/>
    <w:rsid w:val="652A15D5"/>
    <w:rsid w:val="67236743"/>
    <w:rsid w:val="6881E2F8"/>
    <w:rsid w:val="68DA996B"/>
    <w:rsid w:val="695B3FEB"/>
    <w:rsid w:val="6AAC888E"/>
    <w:rsid w:val="6D7191E1"/>
    <w:rsid w:val="71500667"/>
    <w:rsid w:val="72F37DEA"/>
    <w:rsid w:val="7539CCCD"/>
    <w:rsid w:val="753C97C5"/>
    <w:rsid w:val="767C6D0C"/>
    <w:rsid w:val="7A1B2601"/>
    <w:rsid w:val="7C1CD12D"/>
    <w:rsid w:val="7EDD5D82"/>
    <w:rsid w:val="7F046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F4524"/>
  <w15:chartTrackingRefBased/>
  <w15:docId w15:val="{77CC5AC2-EE66-4A61-BA45-F52FE5CB8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76dd72f10a64f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Naziea Yasmin Younis (2410916)</dc:creator>
  <keywords/>
  <dc:description/>
  <lastModifiedBy>Naziea Yasmin Younis (2410916)</lastModifiedBy>
  <revision>2</revision>
  <dcterms:created xsi:type="dcterms:W3CDTF">2026-02-09T21:43:28.1704998Z</dcterms:created>
  <dcterms:modified xsi:type="dcterms:W3CDTF">2026-02-09T22:40:27.4201744Z</dcterms:modified>
</coreProperties>
</file>