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09A6" w:rsidRPr="00B209A6" w:rsidRDefault="00B209A6">
      <w:pPr>
        <w:pStyle w:val="normal0"/>
        <w:rPr>
          <w:b/>
          <w:sz w:val="24"/>
        </w:rPr>
      </w:pPr>
      <w:r w:rsidRPr="00B209A6">
        <w:rPr>
          <w:b/>
          <w:sz w:val="24"/>
        </w:rPr>
        <w:t>Does the example of the Ship of Theseus resolve issues about the continuing identity of persons?</w:t>
      </w:r>
    </w:p>
    <w:p w:rsidR="00B209A6" w:rsidRDefault="00B209A6">
      <w:pPr>
        <w:pStyle w:val="normal0"/>
      </w:pPr>
    </w:p>
    <w:p w:rsidR="00DD79FC" w:rsidRDefault="0050288B">
      <w:pPr>
        <w:pStyle w:val="normal0"/>
      </w:pPr>
      <w:r>
        <w:t xml:space="preserve">The Ship of Theseus is an ancient Greek allegory that highlights various issues surrounding </w:t>
      </w:r>
      <w:r w:rsidR="00B209A6">
        <w:t>identity. In the allegory, the S</w:t>
      </w:r>
      <w:r>
        <w:t xml:space="preserve">hip of Theseus leaves port to sail the world. Over the years of travel, parts of the ship are damaged and replaced until, none of the ship remains. The question that comes out of this is whether or not this </w:t>
      </w:r>
      <w:r w:rsidR="00B209A6">
        <w:t>Ship</w:t>
      </w:r>
      <w:r>
        <w:t xml:space="preserve"> of Theseus is the same ship as the original ship that first set out from port. This question can be transposed on to practically everything, including human beings and our ideas of personal identity. It is these questions and ideas that I will explore in this essay with the aim of providing some insight.</w:t>
      </w:r>
    </w:p>
    <w:p w:rsidR="00DD79FC" w:rsidRDefault="00DD79FC">
      <w:pPr>
        <w:pStyle w:val="normal0"/>
      </w:pPr>
    </w:p>
    <w:p w:rsidR="00DD79FC" w:rsidRDefault="0050288B">
      <w:pPr>
        <w:pStyle w:val="normal0"/>
      </w:pPr>
      <w:r>
        <w:t>The ship not only brings up the issue of continuous identity, but forces us to ask what in particular makes an identity and then would removing that thing remove the identity. In the case of Theseus, we might ask whether it is the hull, or the sails, or even the crew that makes the ship the ship, but in the case of a human being we might ask which part of ourselves definitively makes us who we are such as certain parts of our bodies or our minds.</w:t>
      </w:r>
    </w:p>
    <w:p w:rsidR="00DD79FC" w:rsidRDefault="00DD79FC">
      <w:pPr>
        <w:pStyle w:val="normal0"/>
      </w:pPr>
    </w:p>
    <w:p w:rsidR="00DD79FC" w:rsidRDefault="0050288B">
      <w:pPr>
        <w:pStyle w:val="normal0"/>
      </w:pPr>
      <w:r>
        <w:t xml:space="preserve">Most of us naturally think we are the same person all through their lives; from day to day we look the same, we have the same beliefs and the same memories of previous points in our lives. However, much like the </w:t>
      </w:r>
      <w:r w:rsidR="00B209A6">
        <w:t>Ship</w:t>
      </w:r>
      <w:r>
        <w:t xml:space="preserve"> of Theseus, these aspects of a person are subject to change over time. </w:t>
      </w:r>
    </w:p>
    <w:p w:rsidR="00DD79FC" w:rsidRDefault="0050288B">
      <w:pPr>
        <w:pStyle w:val="normal0"/>
        <w:ind w:firstLine="720"/>
      </w:pPr>
      <w:r>
        <w:t>Physically we are most subjective to change. Our bodies constantly replace cells, eventually reaching the point where every cell of your body is physically different to what it was perhaps 10 years before. Furthermore, it can be argued that our physical body is not even integral to our continued identity; body parts can be replaced or even in some cases lost entirely, and the person still remains the same person. However in this system, a certain amount of our body has to remain, not because it is an integral part of our personal identity, but simply because our brain stores our mind, and the brain in turn is kept alive by our other vital organs and so on and so forth.</w:t>
      </w:r>
    </w:p>
    <w:p w:rsidR="00DD79FC" w:rsidRDefault="0050288B">
      <w:pPr>
        <w:pStyle w:val="normal0"/>
        <w:ind w:firstLine="720"/>
      </w:pPr>
      <w:r>
        <w:t>Mentally, we are also subject to change, though it is possible to maintain some degree of continuity throughout. With regard to memory, we don’t remember everything about our past, and some of what we do remember might not be an accurate representation of who we actually were. At the same time, our beliefs, our knowledge, our ideas are also subject to change. A quick example of this is that red used to be my favourite colour, but now it is blue.</w:t>
      </w:r>
    </w:p>
    <w:p w:rsidR="00DD79FC" w:rsidRDefault="00DD79FC">
      <w:pPr>
        <w:pStyle w:val="normal0"/>
        <w:ind w:firstLine="720"/>
      </w:pPr>
    </w:p>
    <w:p w:rsidR="00DD79FC" w:rsidRDefault="0050288B">
      <w:pPr>
        <w:pStyle w:val="normal0"/>
      </w:pPr>
      <w:r>
        <w:t>This idea of our personalities (as well as everything else) being ever changing was expressed by the ancient Greek philosopher Heraclitus who presented the analogy of a flowing river, stating that one could not bathe in the same river twice</w:t>
      </w:r>
      <w:r w:rsidR="001A5709">
        <w:rPr>
          <w:rStyle w:val="FootnoteReference"/>
        </w:rPr>
        <w:footnoteReference w:id="2"/>
      </w:r>
      <w:r>
        <w:t>. What was meant by this was that because the water in a river is ever flowing, the water that one bathed in the first time is different to the water of a second bathing, therefore completely different water means that it is a completely different river. The idea is that like the river, everything about us in mind and body changes and is replace by something new, and so with each replacement, we are a different person.</w:t>
      </w:r>
    </w:p>
    <w:p w:rsidR="00DD79FC" w:rsidRDefault="0050288B">
      <w:pPr>
        <w:pStyle w:val="normal0"/>
      </w:pPr>
      <w:r>
        <w:lastRenderedPageBreak/>
        <w:tab/>
        <w:t>David Hume gives us something similar, arguing that we are a collection of ever changing ideas, emotions and knowledge or as he puts it:</w:t>
      </w:r>
    </w:p>
    <w:p w:rsidR="00DD79FC" w:rsidRDefault="0050288B">
      <w:pPr>
        <w:pStyle w:val="normal0"/>
        <w:ind w:left="720"/>
        <w:rPr>
          <w:i/>
        </w:rPr>
      </w:pPr>
      <w:r>
        <w:rPr>
          <w:i/>
        </w:rPr>
        <w:t>If any impression gives rise to the idea of self, that impression must continue invariably the same, thro' the whole course of our lives; since self is suppos'd to exist after that manner. But there is no impression constant and invariable. Pain and pleasure, grief and joy, passions and sensations succeed each other, and never all exist at the same time. It cannot, therefore, be from any of these impressions, or from any other, that the idea of self is deriv'd; and consequently there is no such idea</w:t>
      </w:r>
      <w:r>
        <w:rPr>
          <w:i/>
          <w:vertAlign w:val="superscript"/>
        </w:rPr>
        <w:footnoteReference w:id="3"/>
      </w:r>
      <w:r>
        <w:rPr>
          <w:i/>
        </w:rPr>
        <w:t>.</w:t>
      </w:r>
    </w:p>
    <w:p w:rsidR="00DD79FC" w:rsidRDefault="00DD79FC">
      <w:pPr>
        <w:pStyle w:val="normal0"/>
        <w:ind w:left="720"/>
        <w:rPr>
          <w:i/>
        </w:rPr>
      </w:pPr>
    </w:p>
    <w:p w:rsidR="00DD79FC" w:rsidRDefault="0050288B">
      <w:pPr>
        <w:pStyle w:val="normal0"/>
      </w:pPr>
      <w:r>
        <w:t>Once again, like the flowing river, or the Ship of Theseus, Hume gives us the idea that we are a collection of ideas and that that collection is constantly changing contradictory to the idea of a continual self. However he goes a step further stating that there isn’t a single internal quality or impression that binds these ideas together, even in a single instance.</w:t>
      </w:r>
    </w:p>
    <w:p w:rsidR="00DD79FC" w:rsidRDefault="0050288B">
      <w:pPr>
        <w:pStyle w:val="normal0"/>
        <w:ind w:firstLine="720"/>
      </w:pPr>
      <w:r>
        <w:t>The idea that mentally we contain a collection of ideas is something that I can agree with. Not just ideas, but emotions, opinions etc are all subject to change over time and can affect your perception of yourself and the world. However I would argue that there is continuity in our mental collection despite individual ideas being temporary as every thought and experience is connected to a previous experience or idea, both by the ideas themselves as well as well as our awareness of these ideas.</w:t>
      </w:r>
    </w:p>
    <w:p w:rsidR="00DD79FC" w:rsidRDefault="00DD79FC">
      <w:pPr>
        <w:pStyle w:val="normal0"/>
        <w:ind w:firstLine="720"/>
      </w:pPr>
    </w:p>
    <w:p w:rsidR="00DD79FC" w:rsidRDefault="0050288B">
      <w:pPr>
        <w:pStyle w:val="normal0"/>
      </w:pPr>
      <w:r>
        <w:t xml:space="preserve">Let us imagine our mental collection as a house filled with objects that we have collected over the course of our life. Our awareness is like the person living in the house, that is surrounded by the house. Over time things are removed, or changed while more things are added, but we remain the same in the house to view this, aware of the changes that occur. The one exception to this would be if you left the house, something which is akin to sleep. This does present a problem as it severs the continuous awareness that exists. This is also a problem that again Hume presents stating ‘when my perceptions are remov'd for any time, as by sound sleep; so long am I insensible of </w:t>
      </w:r>
      <w:r>
        <w:rPr>
          <w:i/>
        </w:rPr>
        <w:t>myself</w:t>
      </w:r>
      <w:r>
        <w:t>, and may truly be said not to exist</w:t>
      </w:r>
      <w:r>
        <w:rPr>
          <w:vertAlign w:val="superscript"/>
        </w:rPr>
        <w:footnoteReference w:id="4"/>
      </w:r>
      <w:r>
        <w:t>.’</w:t>
      </w:r>
    </w:p>
    <w:p w:rsidR="00DD79FC" w:rsidRDefault="0050288B">
      <w:pPr>
        <w:pStyle w:val="normal0"/>
        <w:ind w:firstLine="720"/>
      </w:pPr>
      <w:r>
        <w:t>I would make two arguments against this. First is that while in sleep we are not aware, there is still some psychological activity in the brain (hence how we get dreams). However, I cannot take this argument any further, as my understanding of science relating to the brain is limited. My second argument is that even though there is a break in the stream of consciousness, there is still a connection between that which is going to sleep and that which is waking up as the former directly transposes itself onto the latter.</w:t>
      </w:r>
    </w:p>
    <w:p w:rsidR="00DD79FC" w:rsidRDefault="0050288B">
      <w:pPr>
        <w:pStyle w:val="normal0"/>
        <w:ind w:firstLine="720"/>
      </w:pPr>
      <w:r>
        <w:t xml:space="preserve">Parfit presents an even greater problem to this severing of consciousness with his split brain problem. In the problem, Parfit describes a person’s brain being split and placed in two different bodies. Each new individual (brain-body)  retains the memories of the original person but have separate consciousnesses which poses the question ‘are they both the same person as the </w:t>
      </w:r>
      <w:r>
        <w:lastRenderedPageBreak/>
        <w:t>original person?’ and ‘are they the same as each other?’</w:t>
      </w:r>
      <w:r>
        <w:rPr>
          <w:vertAlign w:val="superscript"/>
        </w:rPr>
        <w:footnoteReference w:id="5"/>
      </w:r>
      <w:r>
        <w:t>. Parfit does point out the contradiction in how the two brain-bodies can’t be the same people and yet both are the same person as the original as that would mean they would have to be the same person as each other as well. Parfit does provide some kind of solution to this by saying that we must drop the idea of personal identity associated with a single stable conscious being and instead think of the two brain-bodies as being separate consciousnesses but sharing in the the same personhood</w:t>
      </w:r>
      <w:r>
        <w:rPr>
          <w:vertAlign w:val="superscript"/>
        </w:rPr>
        <w:footnoteReference w:id="6"/>
      </w:r>
      <w:r>
        <w:t xml:space="preserve">. It is this solution that I agree with to some extent, though I would make some slight adjustments. </w:t>
      </w:r>
    </w:p>
    <w:p w:rsidR="00DD79FC" w:rsidRDefault="0050288B">
      <w:pPr>
        <w:pStyle w:val="normal0"/>
        <w:ind w:firstLine="720"/>
      </w:pPr>
      <w:r>
        <w:t>Unlike Parfit, I would say that the two brain bodies do, along with the OG retain some degree of individual identity, but share a commonality as the same person. While I recognise this is a somewhat crude comparison, one way of thinking about this might be to imagine Arthur who is the father of two sons, Fred and George. Fred and George both came from Arthur and all of them are individuals, but they all share in a commonality of being human. In this same way, going back to our two brain-bodies we could describe them as having individuality from each other, though less so from the original as they were directly transposed from the original but still have some individuality from them as their creation has created a divergence in consciousness. However, they do still share a commonality as their conciousnesses have both been transposed from the same original consciousness.</w:t>
      </w:r>
    </w:p>
    <w:p w:rsidR="00DD79FC" w:rsidRDefault="00DD79FC">
      <w:pPr>
        <w:pStyle w:val="normal0"/>
      </w:pPr>
    </w:p>
    <w:p w:rsidR="00DD79FC" w:rsidRDefault="0050288B">
      <w:pPr>
        <w:pStyle w:val="normal0"/>
      </w:pPr>
      <w:r>
        <w:t xml:space="preserve">In conclusion, the Ship of Theseus allegory does not resolve the issue of personal identity but instead presents the various problems that arise from it. Having discussed the various issues around the topic, I stand with the idea that we are only partially continuous; there is no definitive, stable version of everything that we are, but instead, we our a collection of ever changing ideas in an ever changing body. </w:t>
      </w:r>
    </w:p>
    <w:p w:rsidR="00DD79FC" w:rsidRDefault="0050288B">
      <w:pPr>
        <w:pStyle w:val="normal0"/>
        <w:ind w:firstLine="720"/>
      </w:pPr>
      <w:r>
        <w:t>However, those ever changing parts do share an identity because they occupy the same position relative to each other as well as subsequent ideas being connected to previous ideas by being forged in part by said previous ideas, and bolstered by the fact that we are to some degree aware of this change. As one of my favourite characters from fiction put it, moments before undergoing a drastic change</w:t>
      </w:r>
      <w:r w:rsidR="001A5709">
        <w:t xml:space="preserve"> himself</w:t>
      </w:r>
      <w:r>
        <w:t>:</w:t>
      </w:r>
    </w:p>
    <w:p w:rsidR="00DD79FC" w:rsidRDefault="00DD79FC">
      <w:pPr>
        <w:pStyle w:val="normal0"/>
        <w:ind w:left="720"/>
      </w:pPr>
    </w:p>
    <w:p w:rsidR="001A5709" w:rsidRDefault="0050288B">
      <w:pPr>
        <w:pStyle w:val="normal0"/>
        <w:ind w:left="720"/>
        <w:rPr>
          <w:i/>
        </w:rPr>
      </w:pPr>
      <w:r>
        <w:rPr>
          <w:i/>
        </w:rPr>
        <w:t>We all change. When you think about it, we’re all different people, all through our lives. And that’s okay, that’s good, you gotta keep moving, so long as you remember all the people that you used to be</w:t>
      </w:r>
      <w:r>
        <w:rPr>
          <w:i/>
          <w:vertAlign w:val="superscript"/>
        </w:rPr>
        <w:footnoteReference w:id="7"/>
      </w:r>
      <w:r w:rsidR="000A40C5">
        <w:rPr>
          <w:i/>
        </w:rPr>
        <w:t>.</w:t>
      </w:r>
    </w:p>
    <w:p w:rsidR="001A5709" w:rsidRDefault="001A5709">
      <w:pPr>
        <w:rPr>
          <w:i/>
        </w:rPr>
      </w:pPr>
      <w:r>
        <w:rPr>
          <w:i/>
        </w:rPr>
        <w:br w:type="page"/>
      </w:r>
    </w:p>
    <w:p w:rsidR="00DD79FC" w:rsidRPr="001A5709" w:rsidRDefault="001A5709" w:rsidP="001A5709">
      <w:pPr>
        <w:pStyle w:val="normal0"/>
        <w:rPr>
          <w:b/>
        </w:rPr>
      </w:pPr>
      <w:r w:rsidRPr="001A5709">
        <w:rPr>
          <w:b/>
        </w:rPr>
        <w:lastRenderedPageBreak/>
        <w:t>Bibliography</w:t>
      </w:r>
    </w:p>
    <w:p w:rsidR="00686E6A" w:rsidRDefault="00686E6A" w:rsidP="001A5709">
      <w:pPr>
        <w:pStyle w:val="normal0"/>
      </w:pPr>
    </w:p>
    <w:p w:rsidR="001A5709" w:rsidRPr="001A5709" w:rsidRDefault="001A5709" w:rsidP="00686E6A">
      <w:pPr>
        <w:pStyle w:val="normal0"/>
      </w:pPr>
      <w:r w:rsidRPr="001A5709">
        <w:t xml:space="preserve">D.W.Graham, </w:t>
      </w:r>
      <w:r>
        <w:t>‘</w:t>
      </w:r>
      <w:r w:rsidRPr="001A5709">
        <w:t>Heraclitus</w:t>
      </w:r>
      <w:r>
        <w:t>’</w:t>
      </w:r>
      <w:r w:rsidRPr="001A5709">
        <w:t xml:space="preserve">, </w:t>
      </w:r>
      <w:r w:rsidRPr="001A5709">
        <w:rPr>
          <w:i/>
        </w:rPr>
        <w:t>The Stanford Encyclopedia of Philosophy</w:t>
      </w:r>
      <w:r w:rsidRPr="001A5709">
        <w:t xml:space="preserve"> (Fall 2015 Edition), Edward N. Zalta (ed.), available at https://plato.stanford.edu/archives/fall2015/entries/heraclitus/, accessed on, 06/11/2017].</w:t>
      </w:r>
    </w:p>
    <w:p w:rsidR="00686E6A" w:rsidRDefault="00686E6A" w:rsidP="00686E6A">
      <w:pPr>
        <w:pStyle w:val="normal0"/>
        <w:rPr>
          <w:szCs w:val="20"/>
        </w:rPr>
      </w:pPr>
    </w:p>
    <w:p w:rsidR="00686E6A" w:rsidRDefault="00686E6A" w:rsidP="00686E6A">
      <w:pPr>
        <w:pStyle w:val="normal0"/>
        <w:rPr>
          <w:szCs w:val="20"/>
        </w:rPr>
      </w:pPr>
      <w:r w:rsidRPr="001A5709">
        <w:rPr>
          <w:szCs w:val="20"/>
        </w:rPr>
        <w:t xml:space="preserve">D.Hume, ’Of Personal Identity’, in, </w:t>
      </w:r>
      <w:r w:rsidRPr="001A5709">
        <w:rPr>
          <w:i/>
          <w:szCs w:val="20"/>
        </w:rPr>
        <w:t xml:space="preserve">A Treatise of Human Nature </w:t>
      </w:r>
      <w:r w:rsidRPr="001A5709">
        <w:rPr>
          <w:szCs w:val="20"/>
        </w:rPr>
        <w:t>(1739), available at, http://web.mnstate.edu/gracyk/courses/web%20publishing/TreatiseI.iv.vi.htm, accessed on [07/11/2017</w:t>
      </w:r>
      <w:r>
        <w:rPr>
          <w:szCs w:val="20"/>
        </w:rPr>
        <w:t>]</w:t>
      </w:r>
    </w:p>
    <w:p w:rsidR="001A5709" w:rsidRDefault="001A5709">
      <w:pPr>
        <w:pStyle w:val="normal0"/>
        <w:ind w:left="720"/>
      </w:pPr>
    </w:p>
    <w:p w:rsidR="001A5709" w:rsidRPr="001A5709" w:rsidRDefault="001A5709" w:rsidP="001A5709">
      <w:pPr>
        <w:pStyle w:val="normal0"/>
        <w:rPr>
          <w:szCs w:val="20"/>
        </w:rPr>
      </w:pPr>
      <w:r w:rsidRPr="001A5709">
        <w:rPr>
          <w:szCs w:val="20"/>
        </w:rPr>
        <w:t xml:space="preserve">D.Parfit, ‘Personal Identity’, in, </w:t>
      </w:r>
      <w:r w:rsidRPr="001A5709">
        <w:rPr>
          <w:i/>
          <w:szCs w:val="20"/>
        </w:rPr>
        <w:t>The Philosophical Review</w:t>
      </w:r>
      <w:r w:rsidRPr="001A5709">
        <w:rPr>
          <w:szCs w:val="20"/>
        </w:rPr>
        <w:t>, Vol. 80, No. 1. (Duke University Press, 1971), pp. 3-27, available at http://home.sandiego.edu/~baber/metaphysics/readings/Parfit.PersonalIdentity.pdf, accessed on [08/11/2017]</w:t>
      </w:r>
    </w:p>
    <w:p w:rsidR="001A5709" w:rsidRDefault="001A5709">
      <w:pPr>
        <w:pStyle w:val="normal0"/>
        <w:ind w:left="720"/>
        <w:rPr>
          <w:sz w:val="20"/>
          <w:szCs w:val="20"/>
        </w:rPr>
      </w:pPr>
    </w:p>
    <w:p w:rsidR="00686E6A" w:rsidRPr="001A5709" w:rsidRDefault="00686E6A" w:rsidP="00686E6A">
      <w:pPr>
        <w:pStyle w:val="normal0"/>
        <w:rPr>
          <w:sz w:val="24"/>
          <w:szCs w:val="20"/>
        </w:rPr>
      </w:pPr>
      <w:r w:rsidRPr="001A5709">
        <w:rPr>
          <w:szCs w:val="20"/>
        </w:rPr>
        <w:t xml:space="preserve">Doctor Who, (2014) </w:t>
      </w:r>
      <w:r w:rsidRPr="001A5709">
        <w:rPr>
          <w:i/>
          <w:szCs w:val="20"/>
        </w:rPr>
        <w:t xml:space="preserve">The Eleventh Doctor Regenerates, </w:t>
      </w:r>
      <w:r w:rsidRPr="001A5709">
        <w:rPr>
          <w:szCs w:val="20"/>
        </w:rPr>
        <w:t>available at, https://www.youtube.com/watch?v=4F84WapAH7M, accessed on [08/11/2017]</w:t>
      </w:r>
    </w:p>
    <w:p w:rsidR="001A5709" w:rsidRPr="001A5709" w:rsidRDefault="001A5709">
      <w:pPr>
        <w:pStyle w:val="normal0"/>
        <w:ind w:left="720"/>
        <w:rPr>
          <w:szCs w:val="20"/>
        </w:rPr>
      </w:pPr>
    </w:p>
    <w:p w:rsidR="001A5709" w:rsidRPr="001A5709" w:rsidRDefault="001A5709">
      <w:pPr>
        <w:pStyle w:val="normal0"/>
        <w:ind w:left="720"/>
      </w:pPr>
    </w:p>
    <w:sectPr w:rsidR="001A5709" w:rsidRPr="001A5709" w:rsidSect="00DD79FC">
      <w:pgSz w:w="12240" w:h="15840"/>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30BA" w:rsidRDefault="004F30BA" w:rsidP="00DD79FC">
      <w:pPr>
        <w:spacing w:line="240" w:lineRule="auto"/>
      </w:pPr>
      <w:r>
        <w:separator/>
      </w:r>
    </w:p>
  </w:endnote>
  <w:endnote w:type="continuationSeparator" w:id="1">
    <w:p w:rsidR="004F30BA" w:rsidRDefault="004F30BA" w:rsidP="00DD79FC">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30BA" w:rsidRDefault="004F30BA" w:rsidP="00DD79FC">
      <w:pPr>
        <w:spacing w:line="240" w:lineRule="auto"/>
      </w:pPr>
      <w:r>
        <w:separator/>
      </w:r>
    </w:p>
  </w:footnote>
  <w:footnote w:type="continuationSeparator" w:id="1">
    <w:p w:rsidR="004F30BA" w:rsidRDefault="004F30BA" w:rsidP="00DD79FC">
      <w:pPr>
        <w:spacing w:line="240" w:lineRule="auto"/>
      </w:pPr>
      <w:r>
        <w:continuationSeparator/>
      </w:r>
    </w:p>
  </w:footnote>
  <w:footnote w:id="2">
    <w:p w:rsidR="001A5709" w:rsidRDefault="001A5709">
      <w:pPr>
        <w:pStyle w:val="FootnoteText"/>
      </w:pPr>
      <w:r>
        <w:rPr>
          <w:rStyle w:val="FootnoteReference"/>
        </w:rPr>
        <w:footnoteRef/>
      </w:r>
      <w:r>
        <w:t xml:space="preserve"> </w:t>
      </w:r>
      <w:r w:rsidRPr="001A5709">
        <w:t>D.W.Graham, ‘Section 3.1: Flux’ in, Heraclitus, The Stanford Encyclopedia of Philosophy (Fall 2015 Edition), Edward N. Zalta (ed.), available at https://plato.stanford.edu/archives/fall2015/entries/heraclitus/, accessed on, 06/11/2017].</w:t>
      </w:r>
    </w:p>
  </w:footnote>
  <w:footnote w:id="3">
    <w:p w:rsidR="00DD79FC" w:rsidRPr="000A40C5" w:rsidRDefault="0050288B">
      <w:pPr>
        <w:pStyle w:val="normal0"/>
        <w:spacing w:line="240" w:lineRule="auto"/>
        <w:rPr>
          <w:sz w:val="20"/>
          <w:szCs w:val="20"/>
        </w:rPr>
      </w:pPr>
      <w:r w:rsidRPr="000A40C5">
        <w:rPr>
          <w:sz w:val="20"/>
          <w:szCs w:val="20"/>
          <w:vertAlign w:val="superscript"/>
        </w:rPr>
        <w:footnoteRef/>
      </w:r>
      <w:r w:rsidRPr="000A40C5">
        <w:rPr>
          <w:sz w:val="20"/>
          <w:szCs w:val="20"/>
        </w:rPr>
        <w:t xml:space="preserve">  D.Hume, ’Of Personal Identity’, in, </w:t>
      </w:r>
      <w:r w:rsidRPr="000A40C5">
        <w:rPr>
          <w:i/>
          <w:sz w:val="20"/>
          <w:szCs w:val="20"/>
        </w:rPr>
        <w:t xml:space="preserve">A Treatise of Human Nature </w:t>
      </w:r>
      <w:r w:rsidRPr="000A40C5">
        <w:rPr>
          <w:sz w:val="20"/>
          <w:szCs w:val="20"/>
        </w:rPr>
        <w:t>(1739), available at, http://web.mnstate.edu/gracyk/courses/web%20publishing/TreatiseI.iv.vi.htm, accessed on [07/11/2017], (para.2).</w:t>
      </w:r>
    </w:p>
    <w:p w:rsidR="00DD79FC" w:rsidRPr="000A40C5" w:rsidRDefault="0050288B">
      <w:pPr>
        <w:pStyle w:val="normal0"/>
        <w:spacing w:line="240" w:lineRule="auto"/>
        <w:rPr>
          <w:sz w:val="20"/>
          <w:szCs w:val="20"/>
        </w:rPr>
      </w:pPr>
      <w:r w:rsidRPr="000A40C5">
        <w:rPr>
          <w:sz w:val="20"/>
          <w:szCs w:val="20"/>
        </w:rPr>
        <w:t>Technical Point (TP): I wasn’t sure whether or not to correct the spelling from the original text.</w:t>
      </w:r>
    </w:p>
  </w:footnote>
  <w:footnote w:id="4">
    <w:p w:rsidR="00DD79FC" w:rsidRPr="000A40C5" w:rsidRDefault="0050288B">
      <w:pPr>
        <w:pStyle w:val="normal0"/>
        <w:spacing w:line="240" w:lineRule="auto"/>
        <w:rPr>
          <w:sz w:val="20"/>
          <w:szCs w:val="20"/>
        </w:rPr>
      </w:pPr>
      <w:r w:rsidRPr="000A40C5">
        <w:rPr>
          <w:sz w:val="20"/>
          <w:szCs w:val="20"/>
          <w:vertAlign w:val="superscript"/>
        </w:rPr>
        <w:footnoteRef/>
      </w:r>
      <w:r w:rsidRPr="000A40C5">
        <w:rPr>
          <w:sz w:val="20"/>
          <w:szCs w:val="20"/>
        </w:rPr>
        <w:t xml:space="preserve"> </w:t>
      </w:r>
      <w:r w:rsidRPr="000A40C5">
        <w:rPr>
          <w:i/>
          <w:sz w:val="20"/>
          <w:szCs w:val="20"/>
        </w:rPr>
        <w:t xml:space="preserve">Ibid., </w:t>
      </w:r>
      <w:r w:rsidRPr="000A40C5">
        <w:rPr>
          <w:sz w:val="20"/>
          <w:szCs w:val="20"/>
        </w:rPr>
        <w:t>para. 3</w:t>
      </w:r>
    </w:p>
  </w:footnote>
  <w:footnote w:id="5">
    <w:p w:rsidR="00DD79FC" w:rsidRPr="000A40C5" w:rsidRDefault="0050288B">
      <w:pPr>
        <w:pStyle w:val="normal0"/>
        <w:spacing w:line="240" w:lineRule="auto"/>
        <w:rPr>
          <w:sz w:val="20"/>
          <w:szCs w:val="20"/>
        </w:rPr>
      </w:pPr>
      <w:r w:rsidRPr="000A40C5">
        <w:rPr>
          <w:sz w:val="20"/>
          <w:szCs w:val="20"/>
          <w:vertAlign w:val="superscript"/>
        </w:rPr>
        <w:footnoteRef/>
      </w:r>
      <w:r w:rsidRPr="000A40C5">
        <w:rPr>
          <w:sz w:val="20"/>
          <w:szCs w:val="20"/>
        </w:rPr>
        <w:t xml:space="preserve"> D.Parfit, ‘Personal Identity’, in, </w:t>
      </w:r>
      <w:r w:rsidRPr="000A40C5">
        <w:rPr>
          <w:i/>
          <w:sz w:val="20"/>
          <w:szCs w:val="20"/>
        </w:rPr>
        <w:t>The Philosophical Review</w:t>
      </w:r>
      <w:r w:rsidRPr="000A40C5">
        <w:rPr>
          <w:sz w:val="20"/>
          <w:szCs w:val="20"/>
        </w:rPr>
        <w:t>, Vol. 80, No. 1. (Duke</w:t>
      </w:r>
      <w:r w:rsidR="000A40C5" w:rsidRPr="000A40C5">
        <w:rPr>
          <w:sz w:val="20"/>
          <w:szCs w:val="20"/>
        </w:rPr>
        <w:t xml:space="preserve"> University Press, 1971), pp. 4-</w:t>
      </w:r>
      <w:r w:rsidRPr="000A40C5">
        <w:rPr>
          <w:sz w:val="20"/>
          <w:szCs w:val="20"/>
        </w:rPr>
        <w:t>6, available at http://home.sandiego.edu/~baber/metaphysics/readings/Parfit.PersonalIdentity.pdf, accessed on [08/11/2017]</w:t>
      </w:r>
    </w:p>
  </w:footnote>
  <w:footnote w:id="6">
    <w:p w:rsidR="00DD79FC" w:rsidRPr="000A40C5" w:rsidRDefault="0050288B">
      <w:pPr>
        <w:pStyle w:val="normal0"/>
        <w:spacing w:line="240" w:lineRule="auto"/>
        <w:rPr>
          <w:i/>
          <w:sz w:val="20"/>
          <w:szCs w:val="20"/>
        </w:rPr>
      </w:pPr>
      <w:r w:rsidRPr="000A40C5">
        <w:rPr>
          <w:sz w:val="20"/>
          <w:szCs w:val="20"/>
          <w:vertAlign w:val="superscript"/>
        </w:rPr>
        <w:footnoteRef/>
      </w:r>
      <w:r w:rsidRPr="000A40C5">
        <w:rPr>
          <w:sz w:val="20"/>
          <w:szCs w:val="20"/>
        </w:rPr>
        <w:t xml:space="preserve"> </w:t>
      </w:r>
      <w:r w:rsidRPr="000A40C5">
        <w:rPr>
          <w:i/>
          <w:sz w:val="20"/>
          <w:szCs w:val="20"/>
        </w:rPr>
        <w:t>ibid., p.5</w:t>
      </w:r>
    </w:p>
  </w:footnote>
  <w:footnote w:id="7">
    <w:p w:rsidR="00DD79FC" w:rsidRPr="000A40C5" w:rsidRDefault="0050288B">
      <w:pPr>
        <w:pStyle w:val="normal0"/>
        <w:rPr>
          <w:sz w:val="20"/>
          <w:szCs w:val="20"/>
        </w:rPr>
      </w:pPr>
      <w:r w:rsidRPr="000A40C5">
        <w:rPr>
          <w:sz w:val="20"/>
          <w:szCs w:val="20"/>
          <w:vertAlign w:val="superscript"/>
        </w:rPr>
        <w:footnoteRef/>
      </w:r>
      <w:r w:rsidRPr="000A40C5">
        <w:rPr>
          <w:sz w:val="20"/>
          <w:szCs w:val="20"/>
        </w:rPr>
        <w:t xml:space="preserve"> Doctor Who, (2014) </w:t>
      </w:r>
      <w:r w:rsidRPr="000A40C5">
        <w:rPr>
          <w:i/>
          <w:sz w:val="20"/>
          <w:szCs w:val="20"/>
        </w:rPr>
        <w:t xml:space="preserve">The Eleventh Doctor Regenerates, </w:t>
      </w:r>
      <w:r w:rsidRPr="000A40C5">
        <w:rPr>
          <w:sz w:val="20"/>
          <w:szCs w:val="20"/>
        </w:rPr>
        <w:t>available at, https://www.youtube.com/watch?v=4F84WapAH7M, accessed on [08/11/2017]</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DD79FC"/>
    <w:rsid w:val="000A40C5"/>
    <w:rsid w:val="001A5709"/>
    <w:rsid w:val="004F30BA"/>
    <w:rsid w:val="0050288B"/>
    <w:rsid w:val="00686E6A"/>
    <w:rsid w:val="00847F33"/>
    <w:rsid w:val="00856031"/>
    <w:rsid w:val="00B209A6"/>
    <w:rsid w:val="00CF4CFA"/>
    <w:rsid w:val="00D17CE5"/>
    <w:rsid w:val="00DD79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mbria" w:eastAsia="Cambria" w:hAnsi="Cambria" w:cs="Cambria"/>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7CE5"/>
  </w:style>
  <w:style w:type="paragraph" w:styleId="Heading1">
    <w:name w:val="heading 1"/>
    <w:basedOn w:val="normal0"/>
    <w:next w:val="normal0"/>
    <w:rsid w:val="00DD79FC"/>
    <w:pPr>
      <w:keepNext/>
      <w:keepLines/>
      <w:spacing w:before="400" w:after="120"/>
      <w:outlineLvl w:val="0"/>
    </w:pPr>
    <w:rPr>
      <w:sz w:val="40"/>
      <w:szCs w:val="40"/>
    </w:rPr>
  </w:style>
  <w:style w:type="paragraph" w:styleId="Heading2">
    <w:name w:val="heading 2"/>
    <w:basedOn w:val="normal0"/>
    <w:next w:val="normal0"/>
    <w:rsid w:val="00DD79FC"/>
    <w:pPr>
      <w:keepNext/>
      <w:keepLines/>
      <w:spacing w:before="360" w:after="120"/>
      <w:outlineLvl w:val="1"/>
    </w:pPr>
    <w:rPr>
      <w:sz w:val="32"/>
      <w:szCs w:val="32"/>
    </w:rPr>
  </w:style>
  <w:style w:type="paragraph" w:styleId="Heading3">
    <w:name w:val="heading 3"/>
    <w:basedOn w:val="normal0"/>
    <w:next w:val="normal0"/>
    <w:rsid w:val="00DD79FC"/>
    <w:pPr>
      <w:keepNext/>
      <w:keepLines/>
      <w:spacing w:before="320" w:after="80"/>
      <w:outlineLvl w:val="2"/>
    </w:pPr>
    <w:rPr>
      <w:color w:val="434343"/>
      <w:sz w:val="28"/>
      <w:szCs w:val="28"/>
    </w:rPr>
  </w:style>
  <w:style w:type="paragraph" w:styleId="Heading4">
    <w:name w:val="heading 4"/>
    <w:basedOn w:val="normal0"/>
    <w:next w:val="normal0"/>
    <w:rsid w:val="00DD79FC"/>
    <w:pPr>
      <w:keepNext/>
      <w:keepLines/>
      <w:spacing w:before="280" w:after="80"/>
      <w:outlineLvl w:val="3"/>
    </w:pPr>
    <w:rPr>
      <w:color w:val="666666"/>
      <w:sz w:val="24"/>
      <w:szCs w:val="24"/>
    </w:rPr>
  </w:style>
  <w:style w:type="paragraph" w:styleId="Heading5">
    <w:name w:val="heading 5"/>
    <w:basedOn w:val="normal0"/>
    <w:next w:val="normal0"/>
    <w:rsid w:val="00DD79FC"/>
    <w:pPr>
      <w:keepNext/>
      <w:keepLines/>
      <w:spacing w:before="240" w:after="80"/>
      <w:outlineLvl w:val="4"/>
    </w:pPr>
    <w:rPr>
      <w:color w:val="666666"/>
    </w:rPr>
  </w:style>
  <w:style w:type="paragraph" w:styleId="Heading6">
    <w:name w:val="heading 6"/>
    <w:basedOn w:val="normal0"/>
    <w:next w:val="normal0"/>
    <w:rsid w:val="00DD79F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DD79FC"/>
  </w:style>
  <w:style w:type="paragraph" w:styleId="Title">
    <w:name w:val="Title"/>
    <w:basedOn w:val="normal0"/>
    <w:next w:val="normal0"/>
    <w:rsid w:val="00DD79FC"/>
    <w:pPr>
      <w:keepNext/>
      <w:keepLines/>
      <w:spacing w:after="60"/>
    </w:pPr>
    <w:rPr>
      <w:sz w:val="52"/>
      <w:szCs w:val="52"/>
    </w:rPr>
  </w:style>
  <w:style w:type="paragraph" w:styleId="Subtitle">
    <w:name w:val="Subtitle"/>
    <w:basedOn w:val="normal0"/>
    <w:next w:val="normal0"/>
    <w:rsid w:val="00DD79FC"/>
    <w:pPr>
      <w:keepNext/>
      <w:keepLines/>
      <w:spacing w:after="320"/>
    </w:pPr>
    <w:rPr>
      <w:rFonts w:ascii="Arial" w:eastAsia="Arial" w:hAnsi="Arial" w:cs="Arial"/>
      <w:color w:val="666666"/>
      <w:sz w:val="30"/>
      <w:szCs w:val="30"/>
    </w:rPr>
  </w:style>
  <w:style w:type="paragraph" w:styleId="FootnoteText">
    <w:name w:val="footnote text"/>
    <w:basedOn w:val="Normal"/>
    <w:link w:val="FootnoteTextChar"/>
    <w:uiPriority w:val="99"/>
    <w:semiHidden/>
    <w:unhideWhenUsed/>
    <w:rsid w:val="000A40C5"/>
    <w:pPr>
      <w:spacing w:line="240" w:lineRule="auto"/>
    </w:pPr>
    <w:rPr>
      <w:sz w:val="20"/>
      <w:szCs w:val="20"/>
    </w:rPr>
  </w:style>
  <w:style w:type="character" w:customStyle="1" w:styleId="FootnoteTextChar">
    <w:name w:val="Footnote Text Char"/>
    <w:basedOn w:val="DefaultParagraphFont"/>
    <w:link w:val="FootnoteText"/>
    <w:uiPriority w:val="99"/>
    <w:semiHidden/>
    <w:rsid w:val="000A40C5"/>
    <w:rPr>
      <w:sz w:val="20"/>
      <w:szCs w:val="20"/>
    </w:rPr>
  </w:style>
  <w:style w:type="character" w:styleId="FootnoteReference">
    <w:name w:val="footnote reference"/>
    <w:basedOn w:val="DefaultParagraphFont"/>
    <w:uiPriority w:val="99"/>
    <w:semiHidden/>
    <w:unhideWhenUsed/>
    <w:rsid w:val="000A40C5"/>
    <w:rPr>
      <w:vertAlign w:val="superscript"/>
    </w:r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TotalTime>
  <Pages>1</Pages>
  <Words>1460</Words>
  <Characters>8324</Characters>
  <Application>Microsoft Office Word</Application>
  <DocSecurity>0</DocSecurity>
  <Lines>69</Lines>
  <Paragraphs>19</Paragraphs>
  <ScaleCrop>false</ScaleCrop>
  <Company/>
  <LinksUpToDate>false</LinksUpToDate>
  <CharactersWithSpaces>9765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Oliver Howard</dc:creator>
  <cp:lastModifiedBy>User</cp:lastModifiedBy>
  <cp:revision>6</cp:revision>
  <dcterms:created xsi:type="dcterms:W3CDTF">2017-11-08T13:36:00Z</dcterms:created>
  <dcterms:modified xsi:type="dcterms:W3CDTF">2017-11-08T13:49:00Z</dcterms:modified>
</cp:coreProperties>
</file>