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F9000" w14:textId="42EBFA3F" w:rsidR="00361C16" w:rsidRPr="00D761CB" w:rsidRDefault="00361C16" w:rsidP="00C44DE6">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Professional standards exist in order to support a professional advocate when working with at risk groups or individuals. In order to address the question, it is essential to outline what professional standards are in place. The choice of the at-risk group </w:t>
      </w:r>
      <w:proofErr w:type="gramStart"/>
      <w:r w:rsidRPr="00D761CB">
        <w:rPr>
          <w:rFonts w:ascii="Times New Roman" w:hAnsi="Times New Roman" w:cs="Times New Roman"/>
          <w:sz w:val="24"/>
          <w:szCs w:val="24"/>
        </w:rPr>
        <w:t>for the purpose of</w:t>
      </w:r>
      <w:proofErr w:type="gramEnd"/>
      <w:r w:rsidRPr="00D761CB">
        <w:rPr>
          <w:rFonts w:ascii="Times New Roman" w:hAnsi="Times New Roman" w:cs="Times New Roman"/>
          <w:sz w:val="24"/>
          <w:szCs w:val="24"/>
        </w:rPr>
        <w:t xml:space="preserve"> this assignment is </w:t>
      </w:r>
      <w:r w:rsidRPr="009312CB">
        <w:rPr>
          <w:rFonts w:ascii="Times New Roman" w:hAnsi="Times New Roman" w:cs="Times New Roman"/>
          <w:sz w:val="24"/>
          <w:szCs w:val="24"/>
        </w:rPr>
        <w:t xml:space="preserve">children </w:t>
      </w:r>
      <w:r w:rsidR="00DB62CE" w:rsidRPr="009312CB">
        <w:rPr>
          <w:rFonts w:ascii="Times New Roman" w:hAnsi="Times New Roman" w:cs="Times New Roman"/>
          <w:sz w:val="24"/>
          <w:szCs w:val="24"/>
        </w:rPr>
        <w:t>and</w:t>
      </w:r>
      <w:r w:rsidRPr="009312CB">
        <w:rPr>
          <w:rFonts w:ascii="Times New Roman" w:hAnsi="Times New Roman" w:cs="Times New Roman"/>
          <w:sz w:val="24"/>
          <w:szCs w:val="24"/>
        </w:rPr>
        <w:t xml:space="preserve"> </w:t>
      </w:r>
      <w:r w:rsidR="00BE066A" w:rsidRPr="009312CB">
        <w:rPr>
          <w:rFonts w:ascii="Times New Roman" w:hAnsi="Times New Roman" w:cs="Times New Roman"/>
          <w:sz w:val="24"/>
          <w:szCs w:val="24"/>
        </w:rPr>
        <w:t>young people</w:t>
      </w:r>
      <w:r w:rsidRPr="00D761CB">
        <w:rPr>
          <w:rFonts w:ascii="Times New Roman" w:hAnsi="Times New Roman" w:cs="Times New Roman"/>
          <w:sz w:val="24"/>
          <w:szCs w:val="24"/>
        </w:rPr>
        <w:t>. It will be essential to identify how to advocate for children with disabilities so that they can be supported in accordance with the appropriate professional standards and legislation.</w:t>
      </w:r>
      <w:r w:rsidRPr="00D761CB">
        <w:rPr>
          <w:rFonts w:ascii="Times New Roman" w:hAnsi="Times New Roman" w:cs="Times New Roman"/>
          <w:sz w:val="24"/>
          <w:szCs w:val="24"/>
        </w:rPr>
        <w:tab/>
      </w:r>
    </w:p>
    <w:p w14:paraId="0F562ACB" w14:textId="76D2AA63" w:rsidR="00361C16" w:rsidRPr="00D761CB" w:rsidRDefault="00361C16"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Firstly, it is important to define what is meant by the term ‘advocacy’, particularly in relation to this context.  According to </w:t>
      </w:r>
      <w:r w:rsidRPr="009312CB">
        <w:rPr>
          <w:rFonts w:ascii="Times New Roman" w:hAnsi="Times New Roman" w:cs="Times New Roman"/>
          <w:sz w:val="24"/>
          <w:szCs w:val="24"/>
        </w:rPr>
        <w:t xml:space="preserve">Henderson &amp; </w:t>
      </w:r>
      <w:proofErr w:type="spellStart"/>
      <w:r w:rsidRPr="009312CB">
        <w:rPr>
          <w:rFonts w:ascii="Times New Roman" w:hAnsi="Times New Roman" w:cs="Times New Roman"/>
          <w:sz w:val="24"/>
          <w:szCs w:val="24"/>
        </w:rPr>
        <w:t>Pochin</w:t>
      </w:r>
      <w:proofErr w:type="spellEnd"/>
      <w:r w:rsidRPr="009312CB">
        <w:rPr>
          <w:rFonts w:ascii="Times New Roman" w:hAnsi="Times New Roman" w:cs="Times New Roman"/>
          <w:sz w:val="24"/>
          <w:szCs w:val="24"/>
        </w:rPr>
        <w:t xml:space="preserve"> (2001, p. 1</w:t>
      </w:r>
      <w:r w:rsidRPr="00D761CB">
        <w:rPr>
          <w:rFonts w:ascii="Times New Roman" w:hAnsi="Times New Roman" w:cs="Times New Roman"/>
          <w:sz w:val="24"/>
          <w:szCs w:val="24"/>
        </w:rPr>
        <w:t>), advocacy relates to the process of representing an individual’s viewpoint, particularly in relation to ‘securing rights and entitlements’.  The advocate will act on behalf of the client and negotiate for them as best they can in order to improve their individual circumstances.  In this way, the desired outcome is to bring about a positive change in the individual’s circumstances which they have not been able to achieve without the support of the advocate.</w:t>
      </w:r>
    </w:p>
    <w:p w14:paraId="0ADF8D28" w14:textId="59EFBC12" w:rsidR="00D5640C" w:rsidRPr="00D761CB" w:rsidRDefault="00D5640C"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However, it is important to recognise that the concept of advocacy is determined by the particular circumstances in which it will be applied, as stated by (</w:t>
      </w:r>
      <w:r w:rsidR="00934C7F" w:rsidRPr="009312CB">
        <w:rPr>
          <w:rFonts w:ascii="Times New Roman" w:hAnsi="Times New Roman" w:cs="Times New Roman"/>
          <w:sz w:val="24"/>
          <w:szCs w:val="24"/>
        </w:rPr>
        <w:t>Boylan and Dalrymple</w:t>
      </w:r>
      <w:r w:rsidRPr="009312CB">
        <w:rPr>
          <w:rFonts w:ascii="Times New Roman" w:hAnsi="Times New Roman" w:cs="Times New Roman"/>
          <w:sz w:val="24"/>
          <w:szCs w:val="24"/>
        </w:rPr>
        <w:t>, 2009, p. 77),</w:t>
      </w:r>
      <w:r w:rsidRPr="00D761CB">
        <w:rPr>
          <w:rFonts w:ascii="Times New Roman" w:hAnsi="Times New Roman" w:cs="Times New Roman"/>
          <w:sz w:val="24"/>
          <w:szCs w:val="24"/>
        </w:rPr>
        <w:t xml:space="preserve"> who say that it is not possible to provide a fixed definition of advocacy, because it </w:t>
      </w:r>
      <w:proofErr w:type="gramStart"/>
      <w:r w:rsidRPr="00D761CB">
        <w:rPr>
          <w:rFonts w:ascii="Times New Roman" w:hAnsi="Times New Roman" w:cs="Times New Roman"/>
          <w:sz w:val="24"/>
          <w:szCs w:val="24"/>
        </w:rPr>
        <w:t>has to</w:t>
      </w:r>
      <w:proofErr w:type="gramEnd"/>
      <w:r w:rsidRPr="00D761CB">
        <w:rPr>
          <w:rFonts w:ascii="Times New Roman" w:hAnsi="Times New Roman" w:cs="Times New Roman"/>
          <w:sz w:val="24"/>
          <w:szCs w:val="24"/>
        </w:rPr>
        <w:t xml:space="preserve"> be understood in terms of the purpose of advocate and the person they are advocating for.</w:t>
      </w:r>
    </w:p>
    <w:p w14:paraId="0A1213CD" w14:textId="16336012" w:rsidR="00361C16" w:rsidRPr="00D761CB" w:rsidRDefault="00F11DCA"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In a similar way, the principles and professional standards the advocate adheres to are also determined by different circumstances or contexts within which </w:t>
      </w:r>
      <w:r w:rsidR="00E244AE" w:rsidRPr="00D761CB">
        <w:rPr>
          <w:rFonts w:ascii="Times New Roman" w:hAnsi="Times New Roman" w:cs="Times New Roman"/>
          <w:sz w:val="24"/>
          <w:szCs w:val="24"/>
        </w:rPr>
        <w:t xml:space="preserve">the advocacy role operates.  These ‘principles vary considerably from scheme to scheme’ as stated by Henderson </w:t>
      </w:r>
      <w:r w:rsidR="00E244AE" w:rsidRPr="009312CB">
        <w:rPr>
          <w:rFonts w:ascii="Times New Roman" w:hAnsi="Times New Roman" w:cs="Times New Roman"/>
          <w:sz w:val="24"/>
          <w:szCs w:val="24"/>
        </w:rPr>
        <w:t xml:space="preserve">&amp; </w:t>
      </w:r>
      <w:proofErr w:type="spellStart"/>
      <w:r w:rsidR="00E244AE" w:rsidRPr="009312CB">
        <w:rPr>
          <w:rFonts w:ascii="Times New Roman" w:hAnsi="Times New Roman" w:cs="Times New Roman"/>
          <w:sz w:val="24"/>
          <w:szCs w:val="24"/>
        </w:rPr>
        <w:t>Pochin</w:t>
      </w:r>
      <w:proofErr w:type="spellEnd"/>
      <w:r w:rsidR="00E244AE" w:rsidRPr="009312CB">
        <w:rPr>
          <w:rFonts w:ascii="Times New Roman" w:hAnsi="Times New Roman" w:cs="Times New Roman"/>
          <w:sz w:val="24"/>
          <w:szCs w:val="24"/>
        </w:rPr>
        <w:t xml:space="preserve"> (2001, p</w:t>
      </w:r>
      <w:r w:rsidR="00E244AE" w:rsidRPr="00D761CB">
        <w:rPr>
          <w:rFonts w:ascii="Times New Roman" w:hAnsi="Times New Roman" w:cs="Times New Roman"/>
          <w:sz w:val="24"/>
          <w:szCs w:val="24"/>
        </w:rPr>
        <w:t xml:space="preserve">. 88).  However, that said, there are common ideas central to most advocacy projects, which include the following: ‘independence, inclusion and respect, empowerment, loyalty, safeguarding quality and advocacy dilemmas’ (Advocacy 2000, 2000 section 1, p.8, </w:t>
      </w:r>
      <w:r w:rsidR="00E244AE" w:rsidRPr="009312CB">
        <w:rPr>
          <w:rFonts w:ascii="Times New Roman" w:hAnsi="Times New Roman" w:cs="Times New Roman"/>
          <w:sz w:val="24"/>
          <w:szCs w:val="24"/>
        </w:rPr>
        <w:t>cited in</w:t>
      </w:r>
      <w:r w:rsidR="00E244AE" w:rsidRPr="00D761CB">
        <w:rPr>
          <w:rFonts w:ascii="Times New Roman" w:hAnsi="Times New Roman" w:cs="Times New Roman"/>
          <w:sz w:val="24"/>
          <w:szCs w:val="24"/>
        </w:rPr>
        <w:t xml:space="preserve"> </w:t>
      </w:r>
      <w:r w:rsidR="00E244AE" w:rsidRPr="009312CB">
        <w:rPr>
          <w:rFonts w:ascii="Times New Roman" w:hAnsi="Times New Roman" w:cs="Times New Roman"/>
          <w:sz w:val="24"/>
          <w:szCs w:val="24"/>
        </w:rPr>
        <w:t xml:space="preserve">Henderson &amp; </w:t>
      </w:r>
      <w:proofErr w:type="spellStart"/>
      <w:r w:rsidR="00E244AE" w:rsidRPr="009312CB">
        <w:rPr>
          <w:rFonts w:ascii="Times New Roman" w:hAnsi="Times New Roman" w:cs="Times New Roman"/>
          <w:sz w:val="24"/>
          <w:szCs w:val="24"/>
        </w:rPr>
        <w:t>Pochin</w:t>
      </w:r>
      <w:proofErr w:type="spellEnd"/>
      <w:r w:rsidR="00E244AE" w:rsidRPr="009312CB">
        <w:rPr>
          <w:rFonts w:ascii="Times New Roman" w:hAnsi="Times New Roman" w:cs="Times New Roman"/>
          <w:sz w:val="24"/>
          <w:szCs w:val="24"/>
        </w:rPr>
        <w:t>, 2001,</w:t>
      </w:r>
      <w:r w:rsidR="00E244AE" w:rsidRPr="00D761CB">
        <w:rPr>
          <w:rFonts w:ascii="Times New Roman" w:hAnsi="Times New Roman" w:cs="Times New Roman"/>
          <w:sz w:val="24"/>
          <w:szCs w:val="24"/>
        </w:rPr>
        <w:t xml:space="preserve"> p.88).</w:t>
      </w:r>
    </w:p>
    <w:p w14:paraId="4BF94C4F" w14:textId="7F075FB7" w:rsidR="00524C0F" w:rsidRPr="00D761CB" w:rsidRDefault="00524C0F"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It is important to be aware of the </w:t>
      </w:r>
      <w:r w:rsidR="00DB67E9" w:rsidRPr="00D761CB">
        <w:rPr>
          <w:rFonts w:ascii="Times New Roman" w:hAnsi="Times New Roman" w:cs="Times New Roman"/>
          <w:sz w:val="24"/>
          <w:szCs w:val="24"/>
        </w:rPr>
        <w:t xml:space="preserve">long-standing debate which exists in relation to whether or not ‘standards’ are relevant to advocacy.  As </w:t>
      </w:r>
      <w:r w:rsidR="00DB67E9" w:rsidRPr="009312CB">
        <w:rPr>
          <w:rFonts w:ascii="Times New Roman" w:hAnsi="Times New Roman" w:cs="Times New Roman"/>
          <w:sz w:val="24"/>
          <w:szCs w:val="24"/>
        </w:rPr>
        <w:t xml:space="preserve">Henderson &amp; </w:t>
      </w:r>
      <w:proofErr w:type="spellStart"/>
      <w:r w:rsidR="00DB67E9" w:rsidRPr="009312CB">
        <w:rPr>
          <w:rFonts w:ascii="Times New Roman" w:hAnsi="Times New Roman" w:cs="Times New Roman"/>
          <w:sz w:val="24"/>
          <w:szCs w:val="24"/>
        </w:rPr>
        <w:t>Pochin</w:t>
      </w:r>
      <w:proofErr w:type="spellEnd"/>
      <w:r w:rsidR="00DB67E9" w:rsidRPr="009312CB">
        <w:rPr>
          <w:rFonts w:ascii="Times New Roman" w:hAnsi="Times New Roman" w:cs="Times New Roman"/>
          <w:sz w:val="24"/>
          <w:szCs w:val="24"/>
        </w:rPr>
        <w:t xml:space="preserve"> (2001, p. 103</w:t>
      </w:r>
      <w:r w:rsidR="00DB67E9" w:rsidRPr="00D761CB">
        <w:rPr>
          <w:rFonts w:ascii="Times New Roman" w:hAnsi="Times New Roman" w:cs="Times New Roman"/>
          <w:sz w:val="24"/>
          <w:szCs w:val="24"/>
        </w:rPr>
        <w:t xml:space="preserve">) outline, those in favour of standards argue that they are needed </w:t>
      </w:r>
      <w:proofErr w:type="gramStart"/>
      <w:r w:rsidR="00DB67E9" w:rsidRPr="00D761CB">
        <w:rPr>
          <w:rFonts w:ascii="Times New Roman" w:hAnsi="Times New Roman" w:cs="Times New Roman"/>
          <w:sz w:val="24"/>
          <w:szCs w:val="24"/>
        </w:rPr>
        <w:t>in order to</w:t>
      </w:r>
      <w:proofErr w:type="gramEnd"/>
      <w:r w:rsidR="00DB67E9" w:rsidRPr="00D761CB">
        <w:rPr>
          <w:rFonts w:ascii="Times New Roman" w:hAnsi="Times New Roman" w:cs="Times New Roman"/>
          <w:sz w:val="24"/>
          <w:szCs w:val="24"/>
        </w:rPr>
        <w:t xml:space="preserve"> help define key principles, </w:t>
      </w:r>
      <w:r w:rsidR="003226BE" w:rsidRPr="00D761CB">
        <w:rPr>
          <w:rFonts w:ascii="Times New Roman" w:hAnsi="Times New Roman" w:cs="Times New Roman"/>
          <w:sz w:val="24"/>
          <w:szCs w:val="24"/>
        </w:rPr>
        <w:t xml:space="preserve">to </w:t>
      </w:r>
      <w:r w:rsidR="00DB67E9" w:rsidRPr="00D761CB">
        <w:rPr>
          <w:rFonts w:ascii="Times New Roman" w:hAnsi="Times New Roman" w:cs="Times New Roman"/>
          <w:sz w:val="24"/>
          <w:szCs w:val="24"/>
        </w:rPr>
        <w:t xml:space="preserve">strengthen the identity of the advocacy movement and to promote quality assurance so that how an advocate operates can be evaluated in accordance with particular standards.  However, those in opposition to the existence of standards argue that they would undermine the </w:t>
      </w:r>
      <w:proofErr w:type="gramStart"/>
      <w:r w:rsidR="00DB67E9" w:rsidRPr="00D761CB">
        <w:rPr>
          <w:rFonts w:ascii="Times New Roman" w:hAnsi="Times New Roman" w:cs="Times New Roman"/>
          <w:sz w:val="24"/>
          <w:szCs w:val="24"/>
        </w:rPr>
        <w:t>particular context</w:t>
      </w:r>
      <w:proofErr w:type="gramEnd"/>
      <w:r w:rsidR="00DB67E9" w:rsidRPr="00D761CB">
        <w:rPr>
          <w:rFonts w:ascii="Times New Roman" w:hAnsi="Times New Roman" w:cs="Times New Roman"/>
          <w:sz w:val="24"/>
          <w:szCs w:val="24"/>
        </w:rPr>
        <w:t xml:space="preserve"> or circumstances the advocate is working within, primarily because standards may prevent flexibility and an innovative approach.  It is also argued that standards could undermine </w:t>
      </w:r>
      <w:r w:rsidR="00DB67E9" w:rsidRPr="00D761CB">
        <w:rPr>
          <w:rFonts w:ascii="Times New Roman" w:hAnsi="Times New Roman" w:cs="Times New Roman"/>
          <w:sz w:val="24"/>
          <w:szCs w:val="24"/>
        </w:rPr>
        <w:lastRenderedPageBreak/>
        <w:t>‘personal advocacy’ since the advocate would have to be considered as part of a ‘service’ whose standards may conflict with personal loyalty (</w:t>
      </w:r>
      <w:r w:rsidR="00DB67E9" w:rsidRPr="009312CB">
        <w:rPr>
          <w:rFonts w:ascii="Times New Roman" w:hAnsi="Times New Roman" w:cs="Times New Roman"/>
          <w:sz w:val="24"/>
          <w:szCs w:val="24"/>
        </w:rPr>
        <w:t xml:space="preserve">Henderson &amp; </w:t>
      </w:r>
      <w:proofErr w:type="spellStart"/>
      <w:r w:rsidR="00DB67E9" w:rsidRPr="009312CB">
        <w:rPr>
          <w:rFonts w:ascii="Times New Roman" w:hAnsi="Times New Roman" w:cs="Times New Roman"/>
          <w:sz w:val="24"/>
          <w:szCs w:val="24"/>
        </w:rPr>
        <w:t>Pochin</w:t>
      </w:r>
      <w:proofErr w:type="spellEnd"/>
      <w:r w:rsidR="00DB67E9" w:rsidRPr="009312CB">
        <w:rPr>
          <w:rFonts w:ascii="Times New Roman" w:hAnsi="Times New Roman" w:cs="Times New Roman"/>
          <w:sz w:val="24"/>
          <w:szCs w:val="24"/>
        </w:rPr>
        <w:t>, 2001, p. 104).</w:t>
      </w:r>
    </w:p>
    <w:p w14:paraId="7BC94AC5" w14:textId="55CE098E" w:rsidR="009D6E44" w:rsidRPr="00D761CB" w:rsidRDefault="009A2C55"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A form of advocacy that has gained more recognition in recent years, known as ‘non-instructed’ or ‘non-directed’ advocacy may be of </w:t>
      </w:r>
      <w:proofErr w:type="gramStart"/>
      <w:r w:rsidRPr="00D761CB">
        <w:rPr>
          <w:rFonts w:ascii="Times New Roman" w:hAnsi="Times New Roman" w:cs="Times New Roman"/>
          <w:sz w:val="24"/>
          <w:szCs w:val="24"/>
        </w:rPr>
        <w:t>particular relevance</w:t>
      </w:r>
      <w:proofErr w:type="gramEnd"/>
      <w:r w:rsidRPr="00D761CB">
        <w:rPr>
          <w:rFonts w:ascii="Times New Roman" w:hAnsi="Times New Roman" w:cs="Times New Roman"/>
          <w:sz w:val="24"/>
          <w:szCs w:val="24"/>
        </w:rPr>
        <w:t xml:space="preserve"> to this discussion.  This form of advocacy relates to acting on behalf of individuals whose method of communication may be difficult to interpret, possibly because they lack the mental capacity to communicate or they may have dementia (</w:t>
      </w:r>
      <w:r w:rsidRPr="009312CB">
        <w:rPr>
          <w:rFonts w:ascii="Times New Roman" w:hAnsi="Times New Roman" w:cs="Times New Roman"/>
          <w:sz w:val="24"/>
          <w:szCs w:val="24"/>
        </w:rPr>
        <w:t>Boylan &amp; Dalrymple, 2009, p. 108).</w:t>
      </w:r>
      <w:r w:rsidRPr="00D761CB">
        <w:rPr>
          <w:rFonts w:ascii="Times New Roman" w:hAnsi="Times New Roman" w:cs="Times New Roman"/>
          <w:sz w:val="24"/>
          <w:szCs w:val="24"/>
        </w:rPr>
        <w:t xml:space="preserve">  Where this situation applies, the Code of Practice (</w:t>
      </w:r>
      <w:r w:rsidRPr="009312CB">
        <w:rPr>
          <w:rFonts w:ascii="Times New Roman" w:hAnsi="Times New Roman" w:cs="Times New Roman"/>
          <w:sz w:val="24"/>
          <w:szCs w:val="24"/>
        </w:rPr>
        <w:t>2014)</w:t>
      </w:r>
      <w:r w:rsidRPr="00D761CB">
        <w:rPr>
          <w:rFonts w:ascii="Times New Roman" w:hAnsi="Times New Roman" w:cs="Times New Roman"/>
          <w:sz w:val="24"/>
          <w:szCs w:val="24"/>
        </w:rPr>
        <w:t xml:space="preserve"> for Independent Advocates may be relevant.   This code of practice is designed to operate in circumstances where individuals may find themselves in position where they are unable to represent their own interests, either through disability or social attitudes.  This set of guidelines aims to provide clarity and boundaries for the independent advocate to work within.  It sets the purpose of the advocate’s role and the expectations clients should expect</w:t>
      </w:r>
      <w:r w:rsidR="00AD566B" w:rsidRPr="00D761CB">
        <w:rPr>
          <w:rFonts w:ascii="Times New Roman" w:hAnsi="Times New Roman" w:cs="Times New Roman"/>
          <w:sz w:val="24"/>
          <w:szCs w:val="24"/>
        </w:rPr>
        <w:t>.  In addition, the Code sets down the scope and limitations of the advocate’s role</w:t>
      </w:r>
      <w:r w:rsidRPr="00D761CB">
        <w:rPr>
          <w:rFonts w:ascii="Times New Roman" w:hAnsi="Times New Roman" w:cs="Times New Roman"/>
          <w:sz w:val="24"/>
          <w:szCs w:val="24"/>
        </w:rPr>
        <w:t xml:space="preserve"> </w:t>
      </w:r>
      <w:r w:rsidR="00AD566B" w:rsidRPr="00D761CB">
        <w:rPr>
          <w:rFonts w:ascii="Times New Roman" w:hAnsi="Times New Roman" w:cs="Times New Roman"/>
          <w:sz w:val="24"/>
          <w:szCs w:val="24"/>
        </w:rPr>
        <w:t>so that those working in health, social care or private sector services are made aware of the clear boundaries the advocate works within.  The Code of Practice can also help the advocate in terms of identifying essential training or supervision needed to develop as professionals as well as raise awareness amongst outside agencies of the need and benefits an independent advocate can offer vulnerable people (</w:t>
      </w:r>
      <w:r w:rsidR="00AD566B" w:rsidRPr="009312CB">
        <w:rPr>
          <w:rFonts w:ascii="Times New Roman" w:hAnsi="Times New Roman" w:cs="Times New Roman"/>
          <w:sz w:val="24"/>
          <w:szCs w:val="24"/>
        </w:rPr>
        <w:t>Code of Practice, 2014, p.1).</w:t>
      </w:r>
    </w:p>
    <w:p w14:paraId="4B2A6C59" w14:textId="756C21C4" w:rsidR="009D6E44" w:rsidRPr="00D761CB" w:rsidRDefault="009D6E44"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Within the Code of Practice (2014</w:t>
      </w:r>
      <w:r w:rsidR="004442A8" w:rsidRPr="00D761CB">
        <w:rPr>
          <w:rFonts w:ascii="Times New Roman" w:hAnsi="Times New Roman" w:cs="Times New Roman"/>
          <w:sz w:val="24"/>
          <w:szCs w:val="24"/>
        </w:rPr>
        <w:t>, p. 3</w:t>
      </w:r>
      <w:r w:rsidRPr="00D761CB">
        <w:rPr>
          <w:rFonts w:ascii="Times New Roman" w:hAnsi="Times New Roman" w:cs="Times New Roman"/>
          <w:sz w:val="24"/>
          <w:szCs w:val="24"/>
        </w:rPr>
        <w:t xml:space="preserve">), and </w:t>
      </w:r>
      <w:r w:rsidRPr="009312CB">
        <w:rPr>
          <w:rFonts w:ascii="Times New Roman" w:hAnsi="Times New Roman" w:cs="Times New Roman"/>
          <w:sz w:val="24"/>
          <w:szCs w:val="24"/>
        </w:rPr>
        <w:t>Advoc</w:t>
      </w:r>
      <w:r w:rsidR="004442A8" w:rsidRPr="009312CB">
        <w:rPr>
          <w:rFonts w:ascii="Times New Roman" w:hAnsi="Times New Roman" w:cs="Times New Roman"/>
          <w:sz w:val="24"/>
          <w:szCs w:val="24"/>
        </w:rPr>
        <w:t>acy Charter</w:t>
      </w:r>
      <w:r w:rsidR="004442A8" w:rsidRPr="00D761CB">
        <w:rPr>
          <w:rFonts w:ascii="Times New Roman" w:hAnsi="Times New Roman" w:cs="Times New Roman"/>
          <w:sz w:val="24"/>
          <w:szCs w:val="24"/>
        </w:rPr>
        <w:t xml:space="preserve"> sets out the following key principles </w:t>
      </w:r>
      <w:proofErr w:type="gramStart"/>
      <w:r w:rsidR="004442A8" w:rsidRPr="00D761CB">
        <w:rPr>
          <w:rFonts w:ascii="Times New Roman" w:hAnsi="Times New Roman" w:cs="Times New Roman"/>
          <w:sz w:val="24"/>
          <w:szCs w:val="24"/>
        </w:rPr>
        <w:t>in order to</w:t>
      </w:r>
      <w:proofErr w:type="gramEnd"/>
      <w:r w:rsidR="004442A8" w:rsidRPr="00D761CB">
        <w:rPr>
          <w:rFonts w:ascii="Times New Roman" w:hAnsi="Times New Roman" w:cs="Times New Roman"/>
          <w:sz w:val="24"/>
          <w:szCs w:val="24"/>
        </w:rPr>
        <w:t xml:space="preserve"> support Independent Advocates in their role.  Firstly, clarity of purpose, which relates to ensuring that health and social care services are made fully aware of the ‘scope and limitations’ of the advocate’s role.  Secondly, is independence; the advocate should be ‘structurally independent’ from outside agencies, both in terms of any conflict of interest or provision of services.  In other words, they should seek to reduce any conflict interests.  Thirdly, the advocate should ensure a ‘person-centred’ approach, which means they should represent the wishes and interests of the individual in a respectful and non-judgemental way.  Fourthly, the advocate should support the individual in a way that empowers them and truly represents their interests.  They should have as much say as possible in the kind of support they want to access.  Where it is not possible for the individual to voice their desired outcomes, </w:t>
      </w:r>
      <w:r w:rsidR="00CC63A2" w:rsidRPr="00D761CB">
        <w:rPr>
          <w:rFonts w:ascii="Times New Roman" w:hAnsi="Times New Roman" w:cs="Times New Roman"/>
          <w:sz w:val="24"/>
          <w:szCs w:val="24"/>
        </w:rPr>
        <w:t>the advocate should ensure that the welfare of the individual is at the heart of all provision.  Fifthly, there should be an equal opportunities policy in place at the organisation to tackle any form of discrimination or social exclusion.</w:t>
      </w:r>
      <w:r w:rsidR="00660856" w:rsidRPr="00D761CB">
        <w:rPr>
          <w:rFonts w:ascii="Times New Roman" w:hAnsi="Times New Roman" w:cs="Times New Roman"/>
          <w:sz w:val="24"/>
          <w:szCs w:val="24"/>
        </w:rPr>
        <w:t xml:space="preserve">  Sixthly, advocacy should be provided to individuals free of charge; where a client wishes to instruct or pay an advocate, they must be safeguarded against </w:t>
      </w:r>
      <w:r w:rsidR="00660856" w:rsidRPr="00D761CB">
        <w:rPr>
          <w:rFonts w:ascii="Times New Roman" w:hAnsi="Times New Roman" w:cs="Times New Roman"/>
          <w:sz w:val="24"/>
          <w:szCs w:val="24"/>
        </w:rPr>
        <w:lastRenderedPageBreak/>
        <w:t xml:space="preserve">‘financial abuse’.  Other key principles outlined in the Advocacy Charter include ensuring advocates are given opportunities to develop their expertise and professional development.  They should be accountable and there should be systems in place to ensure that the work of an Independent Advocate is monitored and evaluated in accordance with the outcomes of those being supported.  </w:t>
      </w:r>
    </w:p>
    <w:p w14:paraId="52B519F1" w14:textId="37B92BB1" w:rsidR="00E84FF5" w:rsidRPr="00D761CB" w:rsidRDefault="00660856"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Finally, the advocate will have to operate in line with the </w:t>
      </w:r>
      <w:r w:rsidRPr="009312CB">
        <w:rPr>
          <w:rFonts w:ascii="Times New Roman" w:hAnsi="Times New Roman" w:cs="Times New Roman"/>
          <w:sz w:val="24"/>
          <w:szCs w:val="24"/>
        </w:rPr>
        <w:t>Data Protection Act 1998</w:t>
      </w:r>
      <w:r w:rsidRPr="00D761CB">
        <w:rPr>
          <w:rFonts w:ascii="Times New Roman" w:hAnsi="Times New Roman" w:cs="Times New Roman"/>
          <w:sz w:val="24"/>
          <w:szCs w:val="24"/>
        </w:rPr>
        <w:t xml:space="preserve"> as well as </w:t>
      </w:r>
      <w:r w:rsidR="007C7364" w:rsidRPr="00D761CB">
        <w:rPr>
          <w:rFonts w:ascii="Times New Roman" w:hAnsi="Times New Roman" w:cs="Times New Roman"/>
          <w:sz w:val="24"/>
          <w:szCs w:val="24"/>
        </w:rPr>
        <w:t xml:space="preserve">the </w:t>
      </w:r>
      <w:r w:rsidR="007C7364" w:rsidRPr="009312CB">
        <w:rPr>
          <w:rFonts w:ascii="Times New Roman" w:hAnsi="Times New Roman" w:cs="Times New Roman"/>
          <w:sz w:val="24"/>
          <w:szCs w:val="24"/>
        </w:rPr>
        <w:t>Mental Capacity Act 2005</w:t>
      </w:r>
      <w:r w:rsidR="007C7364" w:rsidRPr="00D761CB">
        <w:rPr>
          <w:rFonts w:ascii="Times New Roman" w:hAnsi="Times New Roman" w:cs="Times New Roman"/>
          <w:sz w:val="24"/>
          <w:szCs w:val="24"/>
        </w:rPr>
        <w:t xml:space="preserve"> and ensure that confidentiality is not breached.  In line with this, there must be clear policies and procedures ensuring that individuals are safeguarded and protected from abuse or neglect.  Where there are breaches of confidentiality or where safeguarding is compromised, the must be an existing complaints procedure so that individuals or organisations accessing the service can make or pursue a complaint (Code of Practice, 2014, p. 4).</w:t>
      </w:r>
    </w:p>
    <w:p w14:paraId="69411DA8" w14:textId="0A2EA4DF" w:rsidR="00621271" w:rsidRPr="00D761CB" w:rsidRDefault="00621271"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According to </w:t>
      </w:r>
      <w:r w:rsidRPr="009312CB">
        <w:rPr>
          <w:rFonts w:ascii="Times New Roman" w:hAnsi="Times New Roman" w:cs="Times New Roman"/>
          <w:sz w:val="24"/>
          <w:szCs w:val="24"/>
        </w:rPr>
        <w:t>Natasha Fox (2018</w:t>
      </w:r>
      <w:r w:rsidRPr="00D761CB">
        <w:rPr>
          <w:rFonts w:ascii="Times New Roman" w:hAnsi="Times New Roman" w:cs="Times New Roman"/>
          <w:sz w:val="24"/>
          <w:szCs w:val="24"/>
        </w:rPr>
        <w:t xml:space="preserve">), a professional advocate, </w:t>
      </w:r>
      <w:r w:rsidR="001540C9" w:rsidRPr="00D761CB">
        <w:rPr>
          <w:rFonts w:ascii="Times New Roman" w:hAnsi="Times New Roman" w:cs="Times New Roman"/>
          <w:sz w:val="24"/>
          <w:szCs w:val="24"/>
        </w:rPr>
        <w:t xml:space="preserve">the Charter is one of </w:t>
      </w:r>
      <w:proofErr w:type="gramStart"/>
      <w:r w:rsidR="001540C9" w:rsidRPr="00D761CB">
        <w:rPr>
          <w:rFonts w:ascii="Times New Roman" w:hAnsi="Times New Roman" w:cs="Times New Roman"/>
          <w:sz w:val="24"/>
          <w:szCs w:val="24"/>
        </w:rPr>
        <w:t>a number of</w:t>
      </w:r>
      <w:proofErr w:type="gramEnd"/>
      <w:r w:rsidR="001540C9" w:rsidRPr="00D761CB">
        <w:rPr>
          <w:rFonts w:ascii="Times New Roman" w:hAnsi="Times New Roman" w:cs="Times New Roman"/>
          <w:sz w:val="24"/>
          <w:szCs w:val="24"/>
        </w:rPr>
        <w:t xml:space="preserve"> tools in an advocate’s box to deliver a comprehensive and effective service.  She refers to it as the ‘fundamental guidance/belief system’ advocates draw on.  Fox argues that the Charter keeps advocates rooted and is a continuing reminder of how to deliver a professional service.  Fox (2018) also recommends advocates undertaking continuing professional development and acquire an independent advocacy qualification.  </w:t>
      </w:r>
      <w:r w:rsidR="006E4F82" w:rsidRPr="00D761CB">
        <w:rPr>
          <w:rFonts w:ascii="Times New Roman" w:hAnsi="Times New Roman" w:cs="Times New Roman"/>
          <w:sz w:val="24"/>
          <w:szCs w:val="24"/>
        </w:rPr>
        <w:t>However, whilst</w:t>
      </w:r>
      <w:r w:rsidR="001540C9" w:rsidRPr="00D761CB">
        <w:rPr>
          <w:rFonts w:ascii="Times New Roman" w:hAnsi="Times New Roman" w:cs="Times New Roman"/>
          <w:sz w:val="24"/>
          <w:szCs w:val="24"/>
        </w:rPr>
        <w:t xml:space="preserve"> D</w:t>
      </w:r>
      <w:r w:rsidR="001540C9" w:rsidRPr="009312CB">
        <w:rPr>
          <w:rFonts w:ascii="Times New Roman" w:hAnsi="Times New Roman" w:cs="Times New Roman"/>
          <w:sz w:val="24"/>
          <w:szCs w:val="24"/>
        </w:rPr>
        <w:t>onnison (2009</w:t>
      </w:r>
      <w:r w:rsidR="006E4F82" w:rsidRPr="009312CB">
        <w:rPr>
          <w:rFonts w:ascii="Times New Roman" w:hAnsi="Times New Roman" w:cs="Times New Roman"/>
          <w:sz w:val="24"/>
          <w:szCs w:val="24"/>
        </w:rPr>
        <w:t>; 10</w:t>
      </w:r>
      <w:r w:rsidR="006E4F82" w:rsidRPr="00D761CB">
        <w:rPr>
          <w:rFonts w:ascii="Times New Roman" w:hAnsi="Times New Roman" w:cs="Times New Roman"/>
          <w:sz w:val="24"/>
          <w:szCs w:val="24"/>
        </w:rPr>
        <w:t>4</w:t>
      </w:r>
      <w:r w:rsidR="001540C9" w:rsidRPr="00D761CB">
        <w:rPr>
          <w:rFonts w:ascii="Times New Roman" w:hAnsi="Times New Roman" w:cs="Times New Roman"/>
          <w:sz w:val="24"/>
          <w:szCs w:val="24"/>
        </w:rPr>
        <w:t>) says it is usual for professions to hold relevant qualifications</w:t>
      </w:r>
      <w:r w:rsidR="006E4F82" w:rsidRPr="00D761CB">
        <w:rPr>
          <w:rFonts w:ascii="Times New Roman" w:hAnsi="Times New Roman" w:cs="Times New Roman"/>
          <w:sz w:val="24"/>
          <w:szCs w:val="24"/>
        </w:rPr>
        <w:t>, in advocacy it is not essential for the independent advocate to hold a professional qualification.  He argues that the volunteer advocate, with no professional qualification, may be the right kind of person to bring a ‘fresh perspective’ to established and well-worn practices.  He believes that voluntary organisations benefit from including people who have accessed the service on interview panels or as elected members of the board; this helps to ensure that organisations stay in touch with the ‘front-line work of their service’ (Donnison</w:t>
      </w:r>
      <w:r w:rsidR="006E4F82" w:rsidRPr="00BC36A8">
        <w:rPr>
          <w:rFonts w:ascii="Times New Roman" w:hAnsi="Times New Roman" w:cs="Times New Roman"/>
          <w:sz w:val="24"/>
          <w:szCs w:val="24"/>
        </w:rPr>
        <w:t>, 2009; 10</w:t>
      </w:r>
      <w:r w:rsidR="006E4F82" w:rsidRPr="00D761CB">
        <w:rPr>
          <w:rFonts w:ascii="Times New Roman" w:hAnsi="Times New Roman" w:cs="Times New Roman"/>
          <w:sz w:val="24"/>
          <w:szCs w:val="24"/>
        </w:rPr>
        <w:t>5) and in this respect is just as important as any professional qualifications the advocate may hold.</w:t>
      </w:r>
    </w:p>
    <w:p w14:paraId="3A77AFCA" w14:textId="74A0714C" w:rsidR="006E4F82" w:rsidRPr="00D761CB" w:rsidRDefault="00D42A8E"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 </w:t>
      </w:r>
    </w:p>
    <w:p w14:paraId="71D6609F" w14:textId="07EE7F98" w:rsidR="00772902" w:rsidRPr="00D761CB" w:rsidRDefault="00D42A8E" w:rsidP="009A5EE5">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 xml:space="preserve">Fox (2018) also outlines relevant legislation that exists to support organisations and the way that they work, as well as the independent advocate.  Such legislation includes the Social Services and Well-being </w:t>
      </w:r>
      <w:r w:rsidRPr="00BC36A8">
        <w:rPr>
          <w:rFonts w:ascii="Times New Roman" w:hAnsi="Times New Roman" w:cs="Times New Roman"/>
          <w:sz w:val="24"/>
          <w:szCs w:val="24"/>
        </w:rPr>
        <w:t>Act (2014</w:t>
      </w:r>
      <w:r w:rsidRPr="00D761CB">
        <w:rPr>
          <w:rFonts w:ascii="Times New Roman" w:hAnsi="Times New Roman" w:cs="Times New Roman"/>
          <w:sz w:val="24"/>
          <w:szCs w:val="24"/>
        </w:rPr>
        <w:t>) which exists to ensure there is access to care and support.  This legislation also exists to protect the wellbeing of persons in need of care and states that providers or advocates have a duty to assess</w:t>
      </w:r>
      <w:r w:rsidR="00B34F83" w:rsidRPr="00D761CB">
        <w:rPr>
          <w:rFonts w:ascii="Times New Roman" w:hAnsi="Times New Roman" w:cs="Times New Roman"/>
          <w:sz w:val="24"/>
          <w:szCs w:val="24"/>
        </w:rPr>
        <w:t xml:space="preserve"> individuals’ needs and offer strategies to help them </w:t>
      </w:r>
      <w:r w:rsidR="00B34F83" w:rsidRPr="00D761CB">
        <w:rPr>
          <w:rFonts w:ascii="Times New Roman" w:hAnsi="Times New Roman" w:cs="Times New Roman"/>
          <w:sz w:val="24"/>
          <w:szCs w:val="24"/>
        </w:rPr>
        <w:lastRenderedPageBreak/>
        <w:t xml:space="preserve">achieve desired outcomes.  Independent advocates also have a duty to safeguard children and adults in need of care and support and at risk of harm.  Other relevant legislation includes the </w:t>
      </w:r>
      <w:r w:rsidR="00B34F83" w:rsidRPr="00BC36A8">
        <w:rPr>
          <w:rFonts w:ascii="Times New Roman" w:hAnsi="Times New Roman" w:cs="Times New Roman"/>
          <w:sz w:val="24"/>
          <w:szCs w:val="24"/>
        </w:rPr>
        <w:t>Mental Health Act (2005)</w:t>
      </w:r>
      <w:r w:rsidR="00B34F83" w:rsidRPr="00D761CB">
        <w:rPr>
          <w:rFonts w:ascii="Times New Roman" w:hAnsi="Times New Roman" w:cs="Times New Roman"/>
          <w:sz w:val="24"/>
          <w:szCs w:val="24"/>
        </w:rPr>
        <w:t xml:space="preserve"> and the </w:t>
      </w:r>
      <w:r w:rsidR="00B34F83" w:rsidRPr="00BC36A8">
        <w:rPr>
          <w:rFonts w:ascii="Times New Roman" w:hAnsi="Times New Roman" w:cs="Times New Roman"/>
          <w:sz w:val="24"/>
          <w:szCs w:val="24"/>
        </w:rPr>
        <w:t>Mental Capacity Act</w:t>
      </w:r>
      <w:r w:rsidR="00A330CA" w:rsidRPr="00BC36A8">
        <w:rPr>
          <w:rFonts w:ascii="Times New Roman" w:hAnsi="Times New Roman" w:cs="Times New Roman"/>
          <w:sz w:val="24"/>
          <w:szCs w:val="24"/>
        </w:rPr>
        <w:t xml:space="preserve"> (2005)</w:t>
      </w:r>
      <w:r w:rsidR="00B34F83" w:rsidRPr="00D761CB">
        <w:rPr>
          <w:rFonts w:ascii="Times New Roman" w:hAnsi="Times New Roman" w:cs="Times New Roman"/>
          <w:sz w:val="24"/>
          <w:szCs w:val="24"/>
        </w:rPr>
        <w:t xml:space="preserve"> and Deprivation of </w:t>
      </w:r>
      <w:r w:rsidR="00B34F83" w:rsidRPr="00BC36A8">
        <w:rPr>
          <w:rFonts w:ascii="Times New Roman" w:hAnsi="Times New Roman" w:cs="Times New Roman"/>
          <w:sz w:val="24"/>
          <w:szCs w:val="24"/>
        </w:rPr>
        <w:t>Liberty Safeguards</w:t>
      </w:r>
      <w:r w:rsidR="00B34F83" w:rsidRPr="00D761CB">
        <w:rPr>
          <w:rFonts w:ascii="Times New Roman" w:hAnsi="Times New Roman" w:cs="Times New Roman"/>
          <w:sz w:val="24"/>
          <w:szCs w:val="24"/>
        </w:rPr>
        <w:t xml:space="preserve"> (</w:t>
      </w:r>
      <w:r w:rsidR="00A330CA" w:rsidRPr="00D761CB">
        <w:rPr>
          <w:rFonts w:ascii="Times New Roman" w:hAnsi="Times New Roman" w:cs="Times New Roman"/>
          <w:sz w:val="24"/>
          <w:szCs w:val="24"/>
        </w:rPr>
        <w:t>2009</w:t>
      </w:r>
      <w:r w:rsidR="00B34F83" w:rsidRPr="00D761CB">
        <w:rPr>
          <w:rFonts w:ascii="Times New Roman" w:hAnsi="Times New Roman" w:cs="Times New Roman"/>
          <w:sz w:val="24"/>
          <w:szCs w:val="24"/>
        </w:rPr>
        <w:t xml:space="preserve">).  Both Acts are in place to ensure that those who lack the capacity to make decisions for themselves have access to </w:t>
      </w:r>
      <w:r w:rsidR="00F1755A" w:rsidRPr="00D761CB">
        <w:rPr>
          <w:rFonts w:ascii="Times New Roman" w:hAnsi="Times New Roman" w:cs="Times New Roman"/>
          <w:sz w:val="24"/>
          <w:szCs w:val="24"/>
        </w:rPr>
        <w:t xml:space="preserve">mental health care, treatment planning and advocacy.  However, whilst these Acts are held in high regard, in practice their implementation has not met expectations.  </w:t>
      </w:r>
      <w:r w:rsidR="00F136C9" w:rsidRPr="00D761CB">
        <w:rPr>
          <w:rFonts w:ascii="Times New Roman" w:hAnsi="Times New Roman" w:cs="Times New Roman"/>
          <w:sz w:val="24"/>
          <w:szCs w:val="24"/>
        </w:rPr>
        <w:t xml:space="preserve">In particular, the </w:t>
      </w:r>
      <w:r w:rsidR="00F136C9" w:rsidRPr="00BC36A8">
        <w:rPr>
          <w:rFonts w:ascii="Times New Roman" w:hAnsi="Times New Roman" w:cs="Times New Roman"/>
          <w:sz w:val="24"/>
          <w:szCs w:val="24"/>
        </w:rPr>
        <w:t>Mental Health Act (2005)</w:t>
      </w:r>
      <w:r w:rsidR="00F136C9" w:rsidRPr="00D761CB">
        <w:rPr>
          <w:rFonts w:ascii="Times New Roman" w:hAnsi="Times New Roman" w:cs="Times New Roman"/>
          <w:sz w:val="24"/>
          <w:szCs w:val="24"/>
        </w:rPr>
        <w:t xml:space="preserve"> has suffered from a lack of understanding, according to </w:t>
      </w:r>
      <w:r w:rsidR="009A5EE5">
        <w:rPr>
          <w:rFonts w:ascii="Times New Roman" w:hAnsi="Times New Roman" w:cs="Times New Roman"/>
          <w:sz w:val="24"/>
          <w:szCs w:val="24"/>
        </w:rPr>
        <w:t>(</w:t>
      </w:r>
      <w:r w:rsidR="00E46763">
        <w:rPr>
          <w:rFonts w:ascii="Times New Roman" w:hAnsi="Times New Roman" w:cs="Times New Roman"/>
          <w:sz w:val="24"/>
          <w:szCs w:val="24"/>
        </w:rPr>
        <w:t xml:space="preserve">Parliament. </w:t>
      </w:r>
      <w:r w:rsidR="00E46763" w:rsidRPr="00A6002E">
        <w:rPr>
          <w:rFonts w:ascii="Times New Roman" w:hAnsi="Times New Roman" w:cs="Times New Roman"/>
          <w:sz w:val="24"/>
          <w:szCs w:val="24"/>
        </w:rPr>
        <w:t>H</w:t>
      </w:r>
      <w:r w:rsidR="00E46763">
        <w:rPr>
          <w:rFonts w:ascii="Times New Roman" w:hAnsi="Times New Roman" w:cs="Times New Roman"/>
          <w:sz w:val="24"/>
          <w:szCs w:val="24"/>
        </w:rPr>
        <w:t>ouse</w:t>
      </w:r>
      <w:r w:rsidR="00E46763" w:rsidRPr="00A6002E">
        <w:rPr>
          <w:rFonts w:ascii="Times New Roman" w:hAnsi="Times New Roman" w:cs="Times New Roman"/>
          <w:sz w:val="24"/>
          <w:szCs w:val="24"/>
        </w:rPr>
        <w:t xml:space="preserve"> </w:t>
      </w:r>
      <w:r w:rsidR="00E46763">
        <w:rPr>
          <w:rFonts w:ascii="Times New Roman" w:hAnsi="Times New Roman" w:cs="Times New Roman"/>
          <w:sz w:val="24"/>
          <w:szCs w:val="24"/>
        </w:rPr>
        <w:t>of</w:t>
      </w:r>
      <w:r w:rsidR="00E46763" w:rsidRPr="00A6002E">
        <w:rPr>
          <w:rFonts w:ascii="Times New Roman" w:hAnsi="Times New Roman" w:cs="Times New Roman"/>
          <w:sz w:val="24"/>
          <w:szCs w:val="24"/>
        </w:rPr>
        <w:t xml:space="preserve"> L</w:t>
      </w:r>
      <w:r w:rsidR="00E46763">
        <w:rPr>
          <w:rFonts w:ascii="Times New Roman" w:hAnsi="Times New Roman" w:cs="Times New Roman"/>
          <w:sz w:val="24"/>
          <w:szCs w:val="24"/>
        </w:rPr>
        <w:t>ords</w:t>
      </w:r>
      <w:r w:rsidR="009A5EE5">
        <w:rPr>
          <w:rFonts w:ascii="Times New Roman" w:hAnsi="Times New Roman" w:cs="Times New Roman"/>
          <w:sz w:val="24"/>
          <w:szCs w:val="24"/>
        </w:rPr>
        <w:t xml:space="preserve">, </w:t>
      </w:r>
      <w:r w:rsidR="00E46763" w:rsidRPr="003615C3">
        <w:rPr>
          <w:rFonts w:ascii="Times New Roman" w:hAnsi="Times New Roman" w:cs="Times New Roman"/>
          <w:sz w:val="24"/>
          <w:szCs w:val="24"/>
        </w:rPr>
        <w:t>201</w:t>
      </w:r>
      <w:r w:rsidR="00E46763">
        <w:rPr>
          <w:rFonts w:ascii="Times New Roman" w:hAnsi="Times New Roman" w:cs="Times New Roman"/>
          <w:sz w:val="24"/>
          <w:szCs w:val="24"/>
        </w:rPr>
        <w:t>4</w:t>
      </w:r>
      <w:r w:rsidR="009A5EE5">
        <w:rPr>
          <w:rFonts w:ascii="Times New Roman" w:hAnsi="Times New Roman" w:cs="Times New Roman"/>
          <w:sz w:val="24"/>
          <w:szCs w:val="24"/>
        </w:rPr>
        <w:t>)</w:t>
      </w:r>
      <w:r w:rsidR="00F136C9" w:rsidRPr="00D761CB">
        <w:rPr>
          <w:rFonts w:ascii="Times New Roman" w:hAnsi="Times New Roman" w:cs="Times New Roman"/>
          <w:sz w:val="24"/>
          <w:szCs w:val="24"/>
        </w:rPr>
        <w:t>.  They argue that those expected to comply with the Act regard it as an ‘optional add-on’ rather than central to every day practice.  The evidence, they argue, suggests that some practitioners operate within a culture of ‘paternalism’ and ‘risk-aversion’ which prevent successful implementation of the Act’s recommendations.  For example, they argue that an ‘empowering ethos’ has not been delivered, neither have the rights conferred by the Act been realised.   The reason for these shortcomings is rooted in there being no ‘central ownership of the Act’ because there is no single body which has responsibility for it.</w:t>
      </w:r>
    </w:p>
    <w:p w14:paraId="3588D74E" w14:textId="757D4E16" w:rsidR="00772902" w:rsidRPr="00D761CB" w:rsidRDefault="00772902" w:rsidP="00D761CB">
      <w:pPr>
        <w:spacing w:line="360" w:lineRule="auto"/>
        <w:jc w:val="both"/>
        <w:rPr>
          <w:rFonts w:ascii="Times New Roman" w:hAnsi="Times New Roman" w:cs="Times New Roman"/>
          <w:sz w:val="24"/>
          <w:szCs w:val="24"/>
        </w:rPr>
      </w:pPr>
      <w:r w:rsidRPr="00D761CB">
        <w:rPr>
          <w:rFonts w:ascii="Times New Roman" w:hAnsi="Times New Roman" w:cs="Times New Roman"/>
          <w:sz w:val="24"/>
          <w:szCs w:val="24"/>
        </w:rPr>
        <w:t>F</w:t>
      </w:r>
      <w:r w:rsidRPr="00BC36A8">
        <w:rPr>
          <w:rFonts w:ascii="Times New Roman" w:hAnsi="Times New Roman" w:cs="Times New Roman"/>
          <w:sz w:val="24"/>
          <w:szCs w:val="24"/>
        </w:rPr>
        <w:t>ox (2018</w:t>
      </w:r>
      <w:r w:rsidRPr="00D761CB">
        <w:rPr>
          <w:rFonts w:ascii="Times New Roman" w:hAnsi="Times New Roman" w:cs="Times New Roman"/>
          <w:sz w:val="24"/>
          <w:szCs w:val="24"/>
        </w:rPr>
        <w:t xml:space="preserve">) also outlines the challenges and barriers to using legislation.  She argues that legislation can be complex and too formal, which can prevent its accessibility.  From an </w:t>
      </w:r>
      <w:r w:rsidR="002C4205" w:rsidRPr="00D761CB">
        <w:rPr>
          <w:rFonts w:ascii="Times New Roman" w:hAnsi="Times New Roman" w:cs="Times New Roman"/>
          <w:sz w:val="24"/>
          <w:szCs w:val="24"/>
        </w:rPr>
        <w:t>advocate’s</w:t>
      </w:r>
      <w:r w:rsidRPr="00D761CB">
        <w:rPr>
          <w:rFonts w:ascii="Times New Roman" w:hAnsi="Times New Roman" w:cs="Times New Roman"/>
          <w:sz w:val="24"/>
          <w:szCs w:val="24"/>
        </w:rPr>
        <w:t xml:space="preserve"> perspective, she believes that it is better to have the client’s view respected rather than having to rely on legislation for that to happen.  Advocates are not lawyers and do not advise</w:t>
      </w:r>
      <w:r w:rsidR="00B3482A" w:rsidRPr="00D761CB">
        <w:rPr>
          <w:rFonts w:ascii="Times New Roman" w:hAnsi="Times New Roman" w:cs="Times New Roman"/>
          <w:sz w:val="24"/>
          <w:szCs w:val="24"/>
        </w:rPr>
        <w:t xml:space="preserve">; their role is to request adherence to the client’s views and wishes and to assert rights and legislative duties if the client’s view is not respected.  </w:t>
      </w:r>
      <w:r w:rsidR="00B3482A" w:rsidRPr="00BC36A8">
        <w:rPr>
          <w:rFonts w:ascii="Times New Roman" w:hAnsi="Times New Roman" w:cs="Times New Roman"/>
          <w:sz w:val="24"/>
          <w:szCs w:val="24"/>
        </w:rPr>
        <w:t>Fox (2018</w:t>
      </w:r>
      <w:r w:rsidR="00B3482A" w:rsidRPr="00D761CB">
        <w:rPr>
          <w:rFonts w:ascii="Times New Roman" w:hAnsi="Times New Roman" w:cs="Times New Roman"/>
          <w:sz w:val="24"/>
          <w:szCs w:val="24"/>
        </w:rPr>
        <w:t>) recognises that legislation can at times appear confrontational.</w:t>
      </w:r>
      <w:r w:rsidR="002F3800" w:rsidRPr="00D761CB">
        <w:rPr>
          <w:rFonts w:ascii="Times New Roman" w:hAnsi="Times New Roman" w:cs="Times New Roman"/>
          <w:sz w:val="24"/>
          <w:szCs w:val="24"/>
        </w:rPr>
        <w:t xml:space="preserve">  </w:t>
      </w:r>
      <w:r w:rsidR="002F3800" w:rsidRPr="00BC36A8">
        <w:rPr>
          <w:rFonts w:ascii="Times New Roman" w:hAnsi="Times New Roman" w:cs="Times New Roman"/>
          <w:sz w:val="24"/>
          <w:szCs w:val="24"/>
        </w:rPr>
        <w:t>Donnison (2009; 44)</w:t>
      </w:r>
      <w:r w:rsidR="002F3800" w:rsidRPr="00D761CB">
        <w:rPr>
          <w:rFonts w:ascii="Times New Roman" w:hAnsi="Times New Roman" w:cs="Times New Roman"/>
          <w:sz w:val="24"/>
          <w:szCs w:val="24"/>
        </w:rPr>
        <w:t xml:space="preserve"> argues that advocacy does not replace legal advice and representation.  Rather, it helps the client to get the assistance of lawyers if that is what is needed.</w:t>
      </w:r>
    </w:p>
    <w:p w14:paraId="36F722FA" w14:textId="2812D02F" w:rsidR="00AE506E" w:rsidRPr="00876665" w:rsidRDefault="0038520B" w:rsidP="00E9563D">
      <w:pPr>
        <w:spacing w:line="360" w:lineRule="auto"/>
        <w:jc w:val="both"/>
        <w:rPr>
          <w:b/>
        </w:rPr>
      </w:pPr>
      <w:r w:rsidRPr="00D761CB">
        <w:rPr>
          <w:rFonts w:ascii="Times New Roman" w:hAnsi="Times New Roman" w:cs="Times New Roman"/>
          <w:sz w:val="24"/>
          <w:szCs w:val="24"/>
        </w:rPr>
        <w:t>The ‘</w:t>
      </w:r>
      <w:bookmarkStart w:id="0" w:name="_Hlk513194048"/>
      <w:r w:rsidRPr="00D761CB">
        <w:rPr>
          <w:rFonts w:ascii="Times New Roman" w:hAnsi="Times New Roman" w:cs="Times New Roman"/>
          <w:sz w:val="24"/>
          <w:szCs w:val="24"/>
        </w:rPr>
        <w:t xml:space="preserve">Seven Principles of Public Life’ </w:t>
      </w:r>
      <w:bookmarkEnd w:id="0"/>
      <w:r w:rsidRPr="00D761CB">
        <w:rPr>
          <w:rFonts w:ascii="Times New Roman" w:hAnsi="Times New Roman" w:cs="Times New Roman"/>
          <w:sz w:val="24"/>
          <w:szCs w:val="24"/>
        </w:rPr>
        <w:t>(</w:t>
      </w:r>
      <w:r w:rsidRPr="00BC36A8">
        <w:rPr>
          <w:rFonts w:ascii="Times New Roman" w:hAnsi="Times New Roman" w:cs="Times New Roman"/>
          <w:sz w:val="24"/>
          <w:szCs w:val="24"/>
        </w:rPr>
        <w:t>gov.uk, 1995</w:t>
      </w:r>
      <w:r w:rsidRPr="00D761CB">
        <w:rPr>
          <w:rFonts w:ascii="Times New Roman" w:hAnsi="Times New Roman" w:cs="Times New Roman"/>
          <w:sz w:val="24"/>
          <w:szCs w:val="24"/>
        </w:rPr>
        <w:t>) apply to individuals working within the public sector</w:t>
      </w:r>
      <w:r w:rsidR="001013F5" w:rsidRPr="00D761CB">
        <w:rPr>
          <w:rFonts w:ascii="Times New Roman" w:hAnsi="Times New Roman" w:cs="Times New Roman"/>
          <w:sz w:val="24"/>
          <w:szCs w:val="24"/>
        </w:rPr>
        <w:t xml:space="preserve"> and as such those working within organisations that provide health and social care.  The seven principles are: selflessness, integrity, openness, objectivity, accountability, honesty and leadership.  It is important to consider how these principles may apply to the independent advocate in their role.  Firstly, adopting a selfless approach ensures the advocate acts independently of any particular service and solely for the interest of the</w:t>
      </w:r>
      <w:r w:rsidR="007568A6" w:rsidRPr="00D761CB">
        <w:rPr>
          <w:rFonts w:ascii="Times New Roman" w:hAnsi="Times New Roman" w:cs="Times New Roman"/>
          <w:sz w:val="24"/>
          <w:szCs w:val="24"/>
        </w:rPr>
        <w:t xml:space="preserve"> public, or in this case the</w:t>
      </w:r>
      <w:r w:rsidR="001013F5" w:rsidRPr="00D761CB">
        <w:rPr>
          <w:rFonts w:ascii="Times New Roman" w:hAnsi="Times New Roman" w:cs="Times New Roman"/>
          <w:sz w:val="24"/>
          <w:szCs w:val="24"/>
        </w:rPr>
        <w:t xml:space="preserve"> client.  Secondly, the advocate must act with integrity, ensuring that any decisions are </w:t>
      </w:r>
      <w:r w:rsidR="001013F5" w:rsidRPr="00E9563D">
        <w:rPr>
          <w:rFonts w:ascii="Times New Roman" w:hAnsi="Times New Roman" w:cs="Times New Roman"/>
          <w:sz w:val="24"/>
          <w:szCs w:val="24"/>
        </w:rPr>
        <w:t xml:space="preserve">made in the best interest of the client and not for any material gain.  Thirdly, an independent advocate must display an objectivity and fairness in their judgements; acting without </w:t>
      </w:r>
      <w:r w:rsidR="001013F5" w:rsidRPr="00E9563D">
        <w:rPr>
          <w:rFonts w:ascii="Times New Roman" w:hAnsi="Times New Roman" w:cs="Times New Roman"/>
          <w:sz w:val="24"/>
          <w:szCs w:val="24"/>
        </w:rPr>
        <w:lastRenderedPageBreak/>
        <w:t>discrimination or bias.  Fourthly, the advocate is accountable both to the public</w:t>
      </w:r>
      <w:r w:rsidR="00C8745A" w:rsidRPr="00E9563D">
        <w:rPr>
          <w:rFonts w:ascii="Times New Roman" w:hAnsi="Times New Roman" w:cs="Times New Roman"/>
          <w:sz w:val="24"/>
          <w:szCs w:val="24"/>
        </w:rPr>
        <w:t>, in this respect the client</w:t>
      </w:r>
      <w:r w:rsidR="001013F5" w:rsidRPr="00E9563D">
        <w:rPr>
          <w:rFonts w:ascii="Times New Roman" w:hAnsi="Times New Roman" w:cs="Times New Roman"/>
          <w:sz w:val="24"/>
          <w:szCs w:val="24"/>
        </w:rPr>
        <w:t xml:space="preserve">, but also to the organisation </w:t>
      </w:r>
      <w:r w:rsidR="00C8745A" w:rsidRPr="00E9563D">
        <w:rPr>
          <w:rFonts w:ascii="Times New Roman" w:hAnsi="Times New Roman" w:cs="Times New Roman"/>
          <w:sz w:val="24"/>
          <w:szCs w:val="24"/>
        </w:rPr>
        <w:t>offering the service and any decisions or actions must operate within the law.  Fifthly, the advocate must display an openness and transparency in dealing with the client, ensuring that no information is withheld unless there is a lawful reason in doing so, for example, for safeguarding reasons.  Sixthly, the advocate has a duty to be honest and truthful and finally, in relation to leadership, advocates should display these principles and challenge poor behaviour if and when it arises.</w:t>
      </w:r>
    </w:p>
    <w:p w14:paraId="3C359003" w14:textId="1918A90B" w:rsidR="0086127B" w:rsidRDefault="0086127B" w:rsidP="00361C16">
      <w:pPr>
        <w:spacing w:line="360" w:lineRule="auto"/>
        <w:rPr>
          <w:b/>
        </w:rPr>
      </w:pPr>
      <w:r w:rsidRPr="00876665">
        <w:rPr>
          <w:b/>
        </w:rPr>
        <w:t xml:space="preserve">Legislation and framework for supporting </w:t>
      </w:r>
      <w:r w:rsidR="00E8034A">
        <w:rPr>
          <w:b/>
        </w:rPr>
        <w:t>children and young</w:t>
      </w:r>
      <w:r w:rsidRPr="00876665">
        <w:rPr>
          <w:b/>
        </w:rPr>
        <w:t xml:space="preserve"> people</w:t>
      </w:r>
    </w:p>
    <w:p w14:paraId="3BAEB8FF" w14:textId="20094021" w:rsidR="00016303" w:rsidRPr="00362B31" w:rsidRDefault="00016303" w:rsidP="00362B31">
      <w:pPr>
        <w:spacing w:line="360" w:lineRule="auto"/>
        <w:jc w:val="both"/>
        <w:rPr>
          <w:rFonts w:ascii="Times New Roman" w:hAnsi="Times New Roman" w:cs="Times New Roman"/>
          <w:sz w:val="24"/>
          <w:szCs w:val="24"/>
        </w:rPr>
      </w:pPr>
      <w:r w:rsidRPr="00362B31">
        <w:rPr>
          <w:rFonts w:ascii="Times New Roman" w:hAnsi="Times New Roman" w:cs="Times New Roman"/>
          <w:sz w:val="24"/>
          <w:szCs w:val="24"/>
        </w:rPr>
        <w:t xml:space="preserve">Having outlined the generic framework within which an independent professional advocate operates, it is important to consider the particular context of working with children and </w:t>
      </w:r>
      <w:r w:rsidR="00E8034A" w:rsidRPr="00362B31">
        <w:rPr>
          <w:rFonts w:ascii="Times New Roman" w:hAnsi="Times New Roman" w:cs="Times New Roman"/>
          <w:sz w:val="24"/>
          <w:szCs w:val="24"/>
        </w:rPr>
        <w:t>young people</w:t>
      </w:r>
      <w:r w:rsidRPr="00362B31">
        <w:rPr>
          <w:rFonts w:ascii="Times New Roman" w:hAnsi="Times New Roman" w:cs="Times New Roman"/>
          <w:sz w:val="24"/>
          <w:szCs w:val="24"/>
        </w:rPr>
        <w:t>.  This client base requires a particular approach because of the needs some vulnerable individuals have</w:t>
      </w:r>
      <w:r w:rsidR="00E8034A" w:rsidRPr="00362B31">
        <w:rPr>
          <w:rFonts w:ascii="Times New Roman" w:hAnsi="Times New Roman" w:cs="Times New Roman"/>
          <w:sz w:val="24"/>
          <w:szCs w:val="24"/>
        </w:rPr>
        <w:t>.</w:t>
      </w:r>
    </w:p>
    <w:p w14:paraId="0936BF04" w14:textId="525762F6" w:rsidR="00683522" w:rsidRPr="00362B31" w:rsidRDefault="00E8034A" w:rsidP="00362B31">
      <w:pPr>
        <w:spacing w:line="360" w:lineRule="auto"/>
        <w:jc w:val="both"/>
        <w:rPr>
          <w:rFonts w:ascii="Times New Roman" w:hAnsi="Times New Roman" w:cs="Times New Roman"/>
          <w:sz w:val="24"/>
          <w:szCs w:val="24"/>
        </w:rPr>
      </w:pPr>
      <w:r w:rsidRPr="00362B31">
        <w:rPr>
          <w:rFonts w:ascii="Times New Roman" w:hAnsi="Times New Roman" w:cs="Times New Roman"/>
          <w:sz w:val="24"/>
          <w:szCs w:val="24"/>
        </w:rPr>
        <w:t xml:space="preserve">According to Boylan and Dalyrmple (2009; 35), independent advocacy for children and young people has developed alongside a culture of ‘adultism’, or the idea that children and young people are often silenced or oppressed by adults in society.  They explain that during the 1990s children and young people were often ignored and had difficulty in </w:t>
      </w:r>
      <w:r w:rsidR="00683522" w:rsidRPr="00362B31">
        <w:rPr>
          <w:rFonts w:ascii="Times New Roman" w:hAnsi="Times New Roman" w:cs="Times New Roman"/>
          <w:sz w:val="24"/>
          <w:szCs w:val="24"/>
        </w:rPr>
        <w:t xml:space="preserve">getting their voices heard.  This may in part be due to the fact that it was not long after </w:t>
      </w:r>
      <w:r w:rsidR="00683522" w:rsidRPr="00BC36A8">
        <w:rPr>
          <w:rFonts w:ascii="Times New Roman" w:hAnsi="Times New Roman" w:cs="Times New Roman"/>
          <w:sz w:val="24"/>
          <w:szCs w:val="24"/>
        </w:rPr>
        <w:t>the Children’s Act of 1989,</w:t>
      </w:r>
      <w:r w:rsidR="00683522" w:rsidRPr="00362B31">
        <w:rPr>
          <w:rFonts w:ascii="Times New Roman" w:hAnsi="Times New Roman" w:cs="Times New Roman"/>
          <w:sz w:val="24"/>
          <w:szCs w:val="24"/>
        </w:rPr>
        <w:t xml:space="preserve"> where children were assigned fundamental human rights just as any other human being.  As Donnelly (2003; 10 cited in Boylan and Dalyrmple, 2009) ‘human rights are general rights, rights that arise from no special undertaking beyond membership of the human race’.  In other words, you need nothing other than to be a human being in order to have rights, and as children are human beings, they have rights too.</w:t>
      </w:r>
    </w:p>
    <w:p w14:paraId="1B139EBE" w14:textId="5ABD93FF" w:rsidR="00683522" w:rsidRPr="00362B31" w:rsidRDefault="00683522" w:rsidP="00362B31">
      <w:pPr>
        <w:spacing w:line="360" w:lineRule="auto"/>
        <w:jc w:val="both"/>
        <w:rPr>
          <w:rFonts w:ascii="Times New Roman" w:hAnsi="Times New Roman" w:cs="Times New Roman"/>
          <w:sz w:val="24"/>
          <w:szCs w:val="24"/>
        </w:rPr>
      </w:pPr>
    </w:p>
    <w:p w14:paraId="35E38796" w14:textId="2CD5513D" w:rsidR="00683522" w:rsidRPr="00362B31" w:rsidRDefault="00683522" w:rsidP="00362B31">
      <w:pPr>
        <w:spacing w:line="360" w:lineRule="auto"/>
        <w:jc w:val="both"/>
        <w:rPr>
          <w:rFonts w:ascii="Times New Roman" w:hAnsi="Times New Roman" w:cs="Times New Roman"/>
          <w:sz w:val="24"/>
          <w:szCs w:val="24"/>
        </w:rPr>
      </w:pPr>
      <w:r w:rsidRPr="00362B31">
        <w:rPr>
          <w:rFonts w:ascii="Times New Roman" w:hAnsi="Times New Roman" w:cs="Times New Roman"/>
          <w:sz w:val="24"/>
          <w:szCs w:val="24"/>
        </w:rPr>
        <w:t>However, the idea of children having basic rights was a new one and following the Children’s Act in 1989, it took some time for their rights to be recognised across society.  As Boylan and Dalyrmple (2009</w:t>
      </w:r>
      <w:r w:rsidR="00E87B4B" w:rsidRPr="00362B31">
        <w:rPr>
          <w:rFonts w:ascii="Times New Roman" w:hAnsi="Times New Roman" w:cs="Times New Roman"/>
          <w:sz w:val="24"/>
          <w:szCs w:val="24"/>
        </w:rPr>
        <w:t>; 35</w:t>
      </w:r>
      <w:r w:rsidRPr="00362B31">
        <w:rPr>
          <w:rFonts w:ascii="Times New Roman" w:hAnsi="Times New Roman" w:cs="Times New Roman"/>
          <w:sz w:val="24"/>
          <w:szCs w:val="24"/>
        </w:rPr>
        <w:t>) point out, children and young people have frequently been marginalised because of adult attitudes and behaviours towards them.  Even though children are often placed at the heart of policies and practices, which assign them rights and recognise them as persons, in practice the</w:t>
      </w:r>
      <w:r w:rsidR="00E87B4B" w:rsidRPr="00362B31">
        <w:rPr>
          <w:rFonts w:ascii="Times New Roman" w:hAnsi="Times New Roman" w:cs="Times New Roman"/>
          <w:sz w:val="24"/>
          <w:szCs w:val="24"/>
        </w:rPr>
        <w:t>y have often been denied the opportunity to determine their own lives (Q</w:t>
      </w:r>
      <w:r w:rsidR="00C86B26" w:rsidRPr="00362B31">
        <w:rPr>
          <w:rFonts w:ascii="Times New Roman" w:hAnsi="Times New Roman" w:cs="Times New Roman"/>
          <w:sz w:val="24"/>
          <w:szCs w:val="24"/>
        </w:rPr>
        <w:t>vortrup, 1994, cited in Boylan &amp; Dalymple, 2009).</w:t>
      </w:r>
    </w:p>
    <w:p w14:paraId="0E9A68D4" w14:textId="0A15EAF2" w:rsidR="00A913AE" w:rsidRPr="00EE0137" w:rsidRDefault="00A913AE" w:rsidP="00362B31">
      <w:pPr>
        <w:spacing w:line="360" w:lineRule="auto"/>
        <w:jc w:val="both"/>
        <w:rPr>
          <w:rFonts w:ascii="Times New Roman" w:hAnsi="Times New Roman" w:cs="Times New Roman"/>
          <w:sz w:val="24"/>
          <w:szCs w:val="24"/>
        </w:rPr>
      </w:pPr>
      <w:r w:rsidRPr="00362B31">
        <w:rPr>
          <w:rFonts w:ascii="Times New Roman" w:hAnsi="Times New Roman" w:cs="Times New Roman"/>
          <w:sz w:val="24"/>
          <w:szCs w:val="24"/>
        </w:rPr>
        <w:lastRenderedPageBreak/>
        <w:t xml:space="preserve">The sense in which a child or young person may need to access the service of an independent advocate has tended to at times in their lives when they ‘transition’ from one phase of their life to another, for example, from ‘dependence to relative independence’ (Boylan &amp; Dalymple, 2009; 39).  However, </w:t>
      </w:r>
      <w:r w:rsidR="00FD1FEA" w:rsidRPr="00362B31">
        <w:rPr>
          <w:rFonts w:ascii="Times New Roman" w:hAnsi="Times New Roman" w:cs="Times New Roman"/>
          <w:sz w:val="24"/>
          <w:szCs w:val="24"/>
        </w:rPr>
        <w:t xml:space="preserve">many children have complex lives and may need </w:t>
      </w:r>
      <w:r w:rsidR="00DA0464" w:rsidRPr="00362B31">
        <w:rPr>
          <w:rFonts w:ascii="Times New Roman" w:hAnsi="Times New Roman" w:cs="Times New Roman"/>
          <w:sz w:val="24"/>
          <w:szCs w:val="24"/>
        </w:rPr>
        <w:t xml:space="preserve">support </w:t>
      </w:r>
      <w:proofErr w:type="gramStart"/>
      <w:r w:rsidR="00DA0464" w:rsidRPr="00362B31">
        <w:rPr>
          <w:rFonts w:ascii="Times New Roman" w:hAnsi="Times New Roman" w:cs="Times New Roman"/>
          <w:sz w:val="24"/>
          <w:szCs w:val="24"/>
        </w:rPr>
        <w:t>in order to</w:t>
      </w:r>
      <w:proofErr w:type="gramEnd"/>
      <w:r w:rsidR="00DA0464" w:rsidRPr="00362B31">
        <w:rPr>
          <w:rFonts w:ascii="Times New Roman" w:hAnsi="Times New Roman" w:cs="Times New Roman"/>
          <w:sz w:val="24"/>
          <w:szCs w:val="24"/>
        </w:rPr>
        <w:t xml:space="preserve"> deal with a broad range of situations.</w:t>
      </w:r>
      <w:r w:rsidR="00DA0464" w:rsidRPr="00EE0137">
        <w:rPr>
          <w:rFonts w:ascii="Times New Roman" w:hAnsi="Times New Roman" w:cs="Times New Roman"/>
          <w:sz w:val="24"/>
          <w:szCs w:val="24"/>
        </w:rPr>
        <w:t xml:space="preserve">  As Newman and Blackburn (2002; 1, cited in Boylan &amp; Dalymple, 2009) point out, </w:t>
      </w:r>
      <w:r w:rsidR="006262EA" w:rsidRPr="00EE0137">
        <w:rPr>
          <w:rFonts w:ascii="Times New Roman" w:hAnsi="Times New Roman" w:cs="Times New Roman"/>
          <w:sz w:val="24"/>
          <w:szCs w:val="24"/>
        </w:rPr>
        <w:t>‘children are having to cope with the potentially challenging episodes of change, including progressing from one developmental stage to another’ in such circumstances as having to change schools, or leave the care system, or when they suffer loss or are bereaved when they are not yet adults.</w:t>
      </w:r>
    </w:p>
    <w:p w14:paraId="05E30E00" w14:textId="0CEA471A" w:rsidR="008E4C33" w:rsidRPr="00EE0137" w:rsidRDefault="008E4C33" w:rsidP="00EE0137">
      <w:pPr>
        <w:spacing w:line="360" w:lineRule="auto"/>
        <w:jc w:val="both"/>
        <w:rPr>
          <w:rFonts w:ascii="Times New Roman" w:hAnsi="Times New Roman" w:cs="Times New Roman"/>
          <w:sz w:val="24"/>
          <w:szCs w:val="24"/>
        </w:rPr>
      </w:pPr>
      <w:r w:rsidRPr="00EE0137">
        <w:rPr>
          <w:rFonts w:ascii="Times New Roman" w:hAnsi="Times New Roman" w:cs="Times New Roman"/>
          <w:sz w:val="24"/>
          <w:szCs w:val="24"/>
        </w:rPr>
        <w:t xml:space="preserve">For some young people, particularly those who have complex needs, making transitions in their lives can be particularly difficult, and it is at this point they need the service of an independent advocate.  Legislation and policies are in place to address this, namely the </w:t>
      </w:r>
      <w:bookmarkStart w:id="1" w:name="_Hlk513266029"/>
      <w:r w:rsidRPr="00DD425C">
        <w:rPr>
          <w:rFonts w:ascii="Times New Roman" w:hAnsi="Times New Roman" w:cs="Times New Roman"/>
          <w:sz w:val="24"/>
          <w:szCs w:val="24"/>
        </w:rPr>
        <w:t>Special Education Needs (SEN) Code of Practice (DfES, 2001)</w:t>
      </w:r>
      <w:r w:rsidR="00D80B3B" w:rsidRPr="00EE0137">
        <w:rPr>
          <w:rFonts w:ascii="Times New Roman" w:hAnsi="Times New Roman" w:cs="Times New Roman"/>
          <w:sz w:val="24"/>
          <w:szCs w:val="24"/>
        </w:rPr>
        <w:t xml:space="preserve"> </w:t>
      </w:r>
      <w:bookmarkEnd w:id="1"/>
      <w:r w:rsidR="00D80B3B" w:rsidRPr="00EE0137">
        <w:rPr>
          <w:rFonts w:ascii="Times New Roman" w:hAnsi="Times New Roman" w:cs="Times New Roman"/>
          <w:sz w:val="24"/>
          <w:szCs w:val="24"/>
        </w:rPr>
        <w:t xml:space="preserve">and the </w:t>
      </w:r>
      <w:bookmarkStart w:id="2" w:name="_Hlk513275841"/>
      <w:r w:rsidR="00D80B3B" w:rsidRPr="00EE0137">
        <w:rPr>
          <w:rFonts w:ascii="Times New Roman" w:hAnsi="Times New Roman" w:cs="Times New Roman"/>
          <w:sz w:val="24"/>
          <w:szCs w:val="24"/>
        </w:rPr>
        <w:t xml:space="preserve">National Standards for Leaving </w:t>
      </w:r>
      <w:r w:rsidR="00D80B3B" w:rsidRPr="00DD425C">
        <w:rPr>
          <w:rFonts w:ascii="Times New Roman" w:hAnsi="Times New Roman" w:cs="Times New Roman"/>
          <w:sz w:val="24"/>
          <w:szCs w:val="24"/>
        </w:rPr>
        <w:t>Care (2000).</w:t>
      </w:r>
      <w:r w:rsidR="00F9738E" w:rsidRPr="00DD425C">
        <w:rPr>
          <w:rFonts w:ascii="Times New Roman" w:hAnsi="Times New Roman" w:cs="Times New Roman"/>
          <w:sz w:val="24"/>
          <w:szCs w:val="24"/>
        </w:rPr>
        <w:t xml:space="preserve">  </w:t>
      </w:r>
      <w:bookmarkEnd w:id="2"/>
      <w:r w:rsidR="00F9738E" w:rsidRPr="00DD425C">
        <w:rPr>
          <w:rFonts w:ascii="Times New Roman" w:hAnsi="Times New Roman" w:cs="Times New Roman"/>
          <w:sz w:val="24"/>
          <w:szCs w:val="24"/>
        </w:rPr>
        <w:t>The SEN Code of Practice (2001</w:t>
      </w:r>
      <w:r w:rsidR="00F9738E" w:rsidRPr="00EE0137">
        <w:rPr>
          <w:rFonts w:ascii="Times New Roman" w:hAnsi="Times New Roman" w:cs="Times New Roman"/>
          <w:sz w:val="24"/>
          <w:szCs w:val="24"/>
        </w:rPr>
        <w:t>)</w:t>
      </w:r>
      <w:r w:rsidR="00B555D8" w:rsidRPr="00EE0137">
        <w:rPr>
          <w:rFonts w:ascii="Times New Roman" w:hAnsi="Times New Roman" w:cs="Times New Roman"/>
          <w:sz w:val="24"/>
          <w:szCs w:val="24"/>
        </w:rPr>
        <w:t xml:space="preserve"> cited in Boylan and Dalrymple (2009; 41)</w:t>
      </w:r>
      <w:r w:rsidR="00F9738E" w:rsidRPr="00EE0137">
        <w:rPr>
          <w:rFonts w:ascii="Times New Roman" w:hAnsi="Times New Roman" w:cs="Times New Roman"/>
          <w:sz w:val="24"/>
          <w:szCs w:val="24"/>
        </w:rPr>
        <w:t xml:space="preserve"> states that ‘schools should have information on local sources of help and advice</w:t>
      </w:r>
      <w:r w:rsidR="00742D4A" w:rsidRPr="00EE0137">
        <w:rPr>
          <w:rFonts w:ascii="Times New Roman" w:hAnsi="Times New Roman" w:cs="Times New Roman"/>
          <w:sz w:val="24"/>
          <w:szCs w:val="24"/>
        </w:rPr>
        <w:t xml:space="preserve"> </w:t>
      </w:r>
      <w:r w:rsidR="00F9738E" w:rsidRPr="00EE0137">
        <w:rPr>
          <w:rFonts w:ascii="Times New Roman" w:hAnsi="Times New Roman" w:cs="Times New Roman"/>
          <w:sz w:val="24"/>
          <w:szCs w:val="24"/>
        </w:rPr>
        <w:t>including independent advice and advocacy if required</w:t>
      </w:r>
      <w:r w:rsidR="00A1344D" w:rsidRPr="00EE0137">
        <w:rPr>
          <w:rFonts w:ascii="Times New Roman" w:hAnsi="Times New Roman" w:cs="Times New Roman"/>
          <w:sz w:val="24"/>
          <w:szCs w:val="24"/>
        </w:rPr>
        <w:t>’.  Similarly, the National Standards for Leaving Care acknowledge the importance of enabling young people to successfully transition into adult life and independence (2000)</w:t>
      </w:r>
      <w:r w:rsidR="00B555D8" w:rsidRPr="00EE0137">
        <w:rPr>
          <w:rFonts w:ascii="Times New Roman" w:hAnsi="Times New Roman" w:cs="Times New Roman"/>
          <w:sz w:val="24"/>
          <w:szCs w:val="24"/>
        </w:rPr>
        <w:t>.</w:t>
      </w:r>
    </w:p>
    <w:p w14:paraId="7DA43A21" w14:textId="2AA45B03" w:rsidR="00B1672D" w:rsidRPr="00EE0137" w:rsidRDefault="001E7D43" w:rsidP="00EE0137">
      <w:pPr>
        <w:spacing w:line="360" w:lineRule="auto"/>
        <w:jc w:val="both"/>
        <w:rPr>
          <w:rFonts w:ascii="Times New Roman" w:hAnsi="Times New Roman" w:cs="Times New Roman"/>
          <w:sz w:val="24"/>
          <w:szCs w:val="24"/>
        </w:rPr>
      </w:pPr>
      <w:r w:rsidRPr="00EE0137">
        <w:rPr>
          <w:rFonts w:ascii="Times New Roman" w:hAnsi="Times New Roman" w:cs="Times New Roman"/>
          <w:sz w:val="24"/>
          <w:szCs w:val="24"/>
        </w:rPr>
        <w:t xml:space="preserve">In Wales, there are 10 National Standards for </w:t>
      </w:r>
      <w:r w:rsidRPr="00DD425C">
        <w:rPr>
          <w:rFonts w:ascii="Times New Roman" w:hAnsi="Times New Roman" w:cs="Times New Roman"/>
          <w:sz w:val="24"/>
          <w:szCs w:val="24"/>
        </w:rPr>
        <w:t>Advocacy (WAG, 2003);</w:t>
      </w:r>
      <w:r w:rsidRPr="00EE0137">
        <w:rPr>
          <w:rFonts w:ascii="Times New Roman" w:hAnsi="Times New Roman" w:cs="Times New Roman"/>
          <w:sz w:val="24"/>
          <w:szCs w:val="24"/>
        </w:rPr>
        <w:t xml:space="preserve"> National Standard 1 and 2 refer to a ‘User-led Service’.  This stipulates that children and young people must have some control over the relationship with the advocate and at the same time, the advocate must consider the wishes and feelings of the child or young person </w:t>
      </w:r>
      <w:proofErr w:type="gramStart"/>
      <w:r w:rsidRPr="00EE0137">
        <w:rPr>
          <w:rFonts w:ascii="Times New Roman" w:hAnsi="Times New Roman" w:cs="Times New Roman"/>
          <w:sz w:val="24"/>
          <w:szCs w:val="24"/>
        </w:rPr>
        <w:t>in order to</w:t>
      </w:r>
      <w:proofErr w:type="gramEnd"/>
      <w:r w:rsidRPr="00EE0137">
        <w:rPr>
          <w:rFonts w:ascii="Times New Roman" w:hAnsi="Times New Roman" w:cs="Times New Roman"/>
          <w:sz w:val="24"/>
          <w:szCs w:val="24"/>
        </w:rPr>
        <w:t xml:space="preserve"> ensure their needs are met and their rights are safeguarded</w:t>
      </w:r>
      <w:r w:rsidR="00F952F3">
        <w:rPr>
          <w:rFonts w:ascii="Times New Roman" w:hAnsi="Times New Roman" w:cs="Times New Roman"/>
          <w:sz w:val="24"/>
          <w:szCs w:val="24"/>
        </w:rPr>
        <w:t xml:space="preserve"> </w:t>
      </w:r>
      <w:r w:rsidR="00F952F3" w:rsidRPr="00F952F3">
        <w:rPr>
          <w:rFonts w:ascii="Times New Roman" w:hAnsi="Times New Roman" w:cs="Times New Roman"/>
          <w:sz w:val="24"/>
          <w:szCs w:val="24"/>
        </w:rPr>
        <w:t>(</w:t>
      </w:r>
      <w:r w:rsidR="00F952F3" w:rsidRPr="00DD425C">
        <w:t>Pithouse &amp; Crowley,</w:t>
      </w:r>
      <w:r w:rsidR="00F952F3" w:rsidRPr="00DD425C">
        <w:rPr>
          <w:rFonts w:ascii="Times New Roman" w:hAnsi="Times New Roman" w:cs="Times New Roman"/>
          <w:sz w:val="24"/>
          <w:szCs w:val="24"/>
        </w:rPr>
        <w:t> </w:t>
      </w:r>
      <w:r w:rsidR="00F952F3" w:rsidRPr="00DD425C">
        <w:t>2007)</w:t>
      </w:r>
      <w:r w:rsidR="00DD425C" w:rsidRPr="00DD425C">
        <w:t>. Pithouse &amp; Crowley (2007)</w:t>
      </w:r>
      <w:r w:rsidR="00F952F3">
        <w:rPr>
          <w:rStyle w:val="date"/>
          <w:rFonts w:ascii="Arial" w:hAnsi="Arial" w:cs="Arial"/>
          <w:color w:val="333333"/>
        </w:rPr>
        <w:t xml:space="preserve"> </w:t>
      </w:r>
      <w:r w:rsidRPr="00EE0137">
        <w:rPr>
          <w:rFonts w:ascii="Times New Roman" w:hAnsi="Times New Roman" w:cs="Times New Roman"/>
          <w:sz w:val="24"/>
          <w:szCs w:val="24"/>
        </w:rPr>
        <w:t>undertook research into the application of the National Standards in place and what children and young people thought about the kind of service that was being provided for them.</w:t>
      </w:r>
      <w:r w:rsidR="00834B26" w:rsidRPr="00EE0137">
        <w:rPr>
          <w:rFonts w:ascii="Times New Roman" w:hAnsi="Times New Roman" w:cs="Times New Roman"/>
          <w:sz w:val="24"/>
          <w:szCs w:val="24"/>
        </w:rPr>
        <w:t xml:space="preserve">  According to the focus groups set up to interview the children and young people as participants in the research, ‘accessibility was a key issue for all groups’ </w:t>
      </w:r>
      <w:r w:rsidR="00DD425C" w:rsidRPr="00F952F3">
        <w:rPr>
          <w:rFonts w:ascii="Times New Roman" w:hAnsi="Times New Roman" w:cs="Times New Roman"/>
          <w:sz w:val="24"/>
          <w:szCs w:val="24"/>
        </w:rPr>
        <w:t>(</w:t>
      </w:r>
      <w:r w:rsidR="00DD425C" w:rsidRPr="00DD425C">
        <w:t>Pithouse &amp; Crowley,</w:t>
      </w:r>
      <w:r w:rsidR="00DD425C" w:rsidRPr="00DD425C">
        <w:rPr>
          <w:rFonts w:ascii="Times New Roman" w:hAnsi="Times New Roman" w:cs="Times New Roman"/>
          <w:sz w:val="24"/>
          <w:szCs w:val="24"/>
        </w:rPr>
        <w:t> </w:t>
      </w:r>
      <w:r w:rsidR="00DD425C" w:rsidRPr="00DD425C">
        <w:t xml:space="preserve">2007). </w:t>
      </w:r>
      <w:r w:rsidR="00CF4784" w:rsidRPr="00EE0137">
        <w:rPr>
          <w:rFonts w:ascii="Times New Roman" w:hAnsi="Times New Roman" w:cs="Times New Roman"/>
          <w:sz w:val="24"/>
          <w:szCs w:val="24"/>
        </w:rPr>
        <w:t>Young people also felt that advocacy services should be present where the children are most likely to be, for example, in schools or ‘out on the streets’ or in the wider community, particularly for those who no longer attended school.  Young people also stated that ‘privacy and confidentiality’ was a key issue and an expectation they had which was not always met.</w:t>
      </w:r>
      <w:r w:rsidR="00B1672D" w:rsidRPr="00EE0137">
        <w:rPr>
          <w:rFonts w:ascii="Times New Roman" w:hAnsi="Times New Roman" w:cs="Times New Roman"/>
          <w:sz w:val="24"/>
          <w:szCs w:val="24"/>
        </w:rPr>
        <w:t xml:space="preserve"> </w:t>
      </w:r>
    </w:p>
    <w:p w14:paraId="2BC532CA" w14:textId="2674FDAB" w:rsidR="00016303" w:rsidRDefault="00A60383" w:rsidP="00DD425C">
      <w:pPr>
        <w:spacing w:line="360" w:lineRule="auto"/>
        <w:jc w:val="both"/>
        <w:rPr>
          <w:highlight w:val="yellow"/>
        </w:rPr>
      </w:pPr>
      <w:r w:rsidRPr="00EE0137">
        <w:rPr>
          <w:rFonts w:ascii="Times New Roman" w:hAnsi="Times New Roman" w:cs="Times New Roman"/>
          <w:sz w:val="24"/>
          <w:szCs w:val="24"/>
        </w:rPr>
        <w:lastRenderedPageBreak/>
        <w:t xml:space="preserve">In relation to what kind of advocate children and young people would like to have, they said being able to relate to someone was really important.  The idea of having someone young was important to some, but more important was the advocate being ‘child and young people friendly’.  What was of most importance however is that the advocate be able to treat people equally and display characteristics such as empathy, trust and warmth </w:t>
      </w:r>
      <w:r w:rsidR="00DD425C" w:rsidRPr="00F952F3">
        <w:rPr>
          <w:rFonts w:ascii="Times New Roman" w:hAnsi="Times New Roman" w:cs="Times New Roman"/>
          <w:sz w:val="24"/>
          <w:szCs w:val="24"/>
        </w:rPr>
        <w:t>(</w:t>
      </w:r>
      <w:r w:rsidR="00DD425C" w:rsidRPr="00DD425C">
        <w:t>Pithouse &amp; Crowley,</w:t>
      </w:r>
      <w:r w:rsidR="00DD425C" w:rsidRPr="00DD425C">
        <w:rPr>
          <w:rFonts w:ascii="Times New Roman" w:hAnsi="Times New Roman" w:cs="Times New Roman"/>
          <w:sz w:val="24"/>
          <w:szCs w:val="24"/>
        </w:rPr>
        <w:t> </w:t>
      </w:r>
      <w:r w:rsidR="00DD425C" w:rsidRPr="00DD425C">
        <w:t>2007).</w:t>
      </w:r>
      <w:r w:rsidR="00DD425C">
        <w:t xml:space="preserve"> </w:t>
      </w:r>
    </w:p>
    <w:p w14:paraId="3DD546F8" w14:textId="59D0B219" w:rsidR="006E05C5" w:rsidRDefault="00AC7E0A" w:rsidP="00DF6C0E">
      <w:pPr>
        <w:spacing w:line="360" w:lineRule="auto"/>
        <w:jc w:val="both"/>
      </w:pPr>
      <w:r w:rsidRPr="00DF6C0E">
        <w:rPr>
          <w:rFonts w:ascii="Times New Roman" w:hAnsi="Times New Roman" w:cs="Times New Roman"/>
          <w:sz w:val="24"/>
          <w:szCs w:val="24"/>
        </w:rPr>
        <w:t>To conclude, the professional standards and framework in place to support independent advocates in their roles is essential</w:t>
      </w:r>
      <w:r w:rsidR="00D827AE" w:rsidRPr="00DF6C0E">
        <w:rPr>
          <w:rFonts w:ascii="Times New Roman" w:hAnsi="Times New Roman" w:cs="Times New Roman"/>
          <w:sz w:val="24"/>
          <w:szCs w:val="24"/>
        </w:rPr>
        <w:t xml:space="preserve"> </w:t>
      </w:r>
      <w:proofErr w:type="gramStart"/>
      <w:r w:rsidR="00D827AE" w:rsidRPr="00DF6C0E">
        <w:rPr>
          <w:rFonts w:ascii="Times New Roman" w:hAnsi="Times New Roman" w:cs="Times New Roman"/>
          <w:sz w:val="24"/>
          <w:szCs w:val="24"/>
        </w:rPr>
        <w:t>in order for</w:t>
      </w:r>
      <w:proofErr w:type="gramEnd"/>
      <w:r w:rsidR="00D827AE" w:rsidRPr="00DF6C0E">
        <w:rPr>
          <w:rFonts w:ascii="Times New Roman" w:hAnsi="Times New Roman" w:cs="Times New Roman"/>
          <w:sz w:val="24"/>
          <w:szCs w:val="24"/>
        </w:rPr>
        <w:t xml:space="preserve"> them to facilitate the transition of children and young people to adulthood, particularly those individuals who are vulnerable or are leaving the care system.  According to </w:t>
      </w:r>
      <w:r w:rsidR="00BA008A" w:rsidRPr="00DF6C0E">
        <w:rPr>
          <w:rFonts w:ascii="Times New Roman" w:hAnsi="Times New Roman" w:cs="Times New Roman"/>
          <w:sz w:val="24"/>
          <w:szCs w:val="24"/>
        </w:rPr>
        <w:t>Pithouse &amp; Crowley </w:t>
      </w:r>
      <w:r w:rsidR="002467ED" w:rsidRPr="00DF6C0E">
        <w:rPr>
          <w:rFonts w:ascii="Times New Roman" w:hAnsi="Times New Roman" w:cs="Times New Roman"/>
          <w:sz w:val="24"/>
          <w:szCs w:val="24"/>
        </w:rPr>
        <w:t>(</w:t>
      </w:r>
      <w:r w:rsidR="00BA008A" w:rsidRPr="00DF6C0E">
        <w:rPr>
          <w:rFonts w:ascii="Times New Roman" w:hAnsi="Times New Roman" w:cs="Times New Roman"/>
          <w:sz w:val="24"/>
          <w:szCs w:val="24"/>
        </w:rPr>
        <w:t>2007)</w:t>
      </w:r>
      <w:r w:rsidR="002467ED" w:rsidRPr="00DF6C0E">
        <w:rPr>
          <w:rFonts w:ascii="Times New Roman" w:hAnsi="Times New Roman" w:cs="Times New Roman"/>
          <w:sz w:val="24"/>
          <w:szCs w:val="24"/>
        </w:rPr>
        <w:t>,</w:t>
      </w:r>
      <w:r w:rsidR="00BA008A" w:rsidRPr="00DF6C0E">
        <w:rPr>
          <w:rFonts w:ascii="Times New Roman" w:hAnsi="Times New Roman" w:cs="Times New Roman"/>
          <w:sz w:val="24"/>
          <w:szCs w:val="24"/>
        </w:rPr>
        <w:t xml:space="preserve"> </w:t>
      </w:r>
      <w:r w:rsidR="00D827AE" w:rsidRPr="00DF6C0E">
        <w:rPr>
          <w:rFonts w:ascii="Times New Roman" w:hAnsi="Times New Roman" w:cs="Times New Roman"/>
          <w:sz w:val="24"/>
          <w:szCs w:val="24"/>
        </w:rPr>
        <w:t>Wales is well placed to deliver such a service to young people, because there is appropriate and effective legislation and policy in place to ensure that young people’s needs are met.</w:t>
      </w:r>
      <w:r w:rsidR="002467ED" w:rsidRPr="00DF6C0E">
        <w:rPr>
          <w:rFonts w:ascii="Times New Roman" w:hAnsi="Times New Roman" w:cs="Times New Roman"/>
          <w:sz w:val="24"/>
          <w:szCs w:val="24"/>
        </w:rPr>
        <w:t xml:space="preserve"> </w:t>
      </w:r>
      <w:r w:rsidR="002467ED" w:rsidRPr="00DF6C0E">
        <w:rPr>
          <w:rFonts w:ascii="Times New Roman" w:hAnsi="Times New Roman" w:cs="Times New Roman"/>
          <w:sz w:val="24"/>
          <w:szCs w:val="24"/>
        </w:rPr>
        <w:t>All local authority commissioned staff and agencies with responsibility for delivering advocacy in Wales will be helped by the standards. This includes those who are providing advocacy for looked after children, care leavers and for disabled children</w:t>
      </w:r>
      <w:r w:rsidR="002467ED" w:rsidRPr="00DF6C0E">
        <w:rPr>
          <w:rFonts w:ascii="Times New Roman" w:hAnsi="Times New Roman" w:cs="Times New Roman"/>
          <w:sz w:val="24"/>
          <w:szCs w:val="24"/>
        </w:rPr>
        <w:t xml:space="preserve"> </w:t>
      </w:r>
      <w:r w:rsidR="002467ED" w:rsidRPr="00DF6C0E">
        <w:rPr>
          <w:rFonts w:ascii="Times New Roman" w:hAnsi="Times New Roman" w:cs="Times New Roman"/>
          <w:sz w:val="24"/>
          <w:szCs w:val="24"/>
        </w:rPr>
        <w:t>(Pithouse &amp; Crowley, 2007</w:t>
      </w:r>
      <w:r w:rsidR="002467ED" w:rsidRPr="00DF6C0E">
        <w:rPr>
          <w:rFonts w:ascii="Times New Roman" w:hAnsi="Times New Roman" w:cs="Times New Roman"/>
          <w:sz w:val="24"/>
          <w:szCs w:val="24"/>
        </w:rPr>
        <w:t>)</w:t>
      </w:r>
      <w:r w:rsidR="00E97ADA" w:rsidRPr="00DF6C0E">
        <w:rPr>
          <w:rFonts w:ascii="Times New Roman" w:hAnsi="Times New Roman" w:cs="Times New Roman"/>
          <w:sz w:val="24"/>
          <w:szCs w:val="24"/>
        </w:rPr>
        <w:t>. Pithouse and Crowley go on to say that b</w:t>
      </w:r>
      <w:r w:rsidR="006E05C5" w:rsidRPr="00DF6C0E">
        <w:rPr>
          <w:rFonts w:ascii="Times New Roman" w:hAnsi="Times New Roman" w:cs="Times New Roman"/>
          <w:sz w:val="24"/>
          <w:szCs w:val="24"/>
        </w:rPr>
        <w:t>ecause of the standards, children and young people can anticipate an established minimum level of service from service providers and other ‘professionals’</w:t>
      </w:r>
      <w:r w:rsidR="006E05C5">
        <w:t>.</w:t>
      </w:r>
    </w:p>
    <w:p w14:paraId="364D59DA" w14:textId="7F7E508E" w:rsidR="009837A8" w:rsidRDefault="009837A8" w:rsidP="00DF6C0E">
      <w:pPr>
        <w:spacing w:line="360" w:lineRule="auto"/>
        <w:jc w:val="both"/>
      </w:pPr>
    </w:p>
    <w:p w14:paraId="2BE541D6" w14:textId="151B781A" w:rsidR="009837A8" w:rsidRDefault="009837A8" w:rsidP="00DF6C0E">
      <w:pPr>
        <w:spacing w:line="360" w:lineRule="auto"/>
        <w:jc w:val="both"/>
      </w:pPr>
    </w:p>
    <w:p w14:paraId="59DB2A40" w14:textId="47F0CAEB" w:rsidR="009837A8" w:rsidRDefault="009837A8" w:rsidP="00DF6C0E">
      <w:pPr>
        <w:spacing w:line="360" w:lineRule="auto"/>
        <w:jc w:val="both"/>
      </w:pPr>
    </w:p>
    <w:p w14:paraId="7BA561E6" w14:textId="12A9AE2B" w:rsidR="009837A8" w:rsidRDefault="009837A8" w:rsidP="00DF6C0E">
      <w:pPr>
        <w:spacing w:line="360" w:lineRule="auto"/>
        <w:jc w:val="both"/>
      </w:pPr>
    </w:p>
    <w:p w14:paraId="128B539B" w14:textId="06132CB1" w:rsidR="009837A8" w:rsidRDefault="009837A8" w:rsidP="00DF6C0E">
      <w:pPr>
        <w:spacing w:line="360" w:lineRule="auto"/>
        <w:jc w:val="both"/>
      </w:pPr>
    </w:p>
    <w:p w14:paraId="28A62B70" w14:textId="09DD36D1" w:rsidR="009837A8" w:rsidRDefault="009837A8" w:rsidP="00DF6C0E">
      <w:pPr>
        <w:spacing w:line="360" w:lineRule="auto"/>
        <w:jc w:val="both"/>
      </w:pPr>
    </w:p>
    <w:p w14:paraId="068C9C36" w14:textId="1BDBD126" w:rsidR="009837A8" w:rsidRDefault="009837A8" w:rsidP="00DF6C0E">
      <w:pPr>
        <w:spacing w:line="360" w:lineRule="auto"/>
        <w:jc w:val="both"/>
      </w:pPr>
    </w:p>
    <w:p w14:paraId="5AF3635D" w14:textId="4637C857" w:rsidR="009837A8" w:rsidRDefault="009837A8" w:rsidP="00DF6C0E">
      <w:pPr>
        <w:spacing w:line="360" w:lineRule="auto"/>
        <w:jc w:val="both"/>
      </w:pPr>
    </w:p>
    <w:p w14:paraId="650D9E79" w14:textId="5685853C" w:rsidR="009837A8" w:rsidRDefault="009837A8" w:rsidP="00DF6C0E">
      <w:pPr>
        <w:spacing w:line="360" w:lineRule="auto"/>
        <w:jc w:val="both"/>
      </w:pPr>
    </w:p>
    <w:p w14:paraId="5B55439C" w14:textId="77777777" w:rsidR="009837A8" w:rsidRDefault="009837A8" w:rsidP="00DF6C0E">
      <w:pPr>
        <w:spacing w:line="360" w:lineRule="auto"/>
        <w:jc w:val="both"/>
      </w:pPr>
      <w:bookmarkStart w:id="3" w:name="_GoBack"/>
      <w:bookmarkEnd w:id="3"/>
    </w:p>
    <w:p w14:paraId="61552E3D" w14:textId="77777777" w:rsidR="009837A8" w:rsidRDefault="009837A8" w:rsidP="00DF6C0E">
      <w:pPr>
        <w:spacing w:line="360" w:lineRule="auto"/>
        <w:jc w:val="both"/>
      </w:pPr>
    </w:p>
    <w:p w14:paraId="5D24E6B6" w14:textId="6BB3C841" w:rsidR="009837A8" w:rsidRDefault="009837A8" w:rsidP="00DF6C0E">
      <w:pPr>
        <w:spacing w:line="360" w:lineRule="auto"/>
        <w:jc w:val="both"/>
      </w:pPr>
    </w:p>
    <w:p w14:paraId="52AC32EF" w14:textId="77777777" w:rsidR="009837A8" w:rsidRPr="004C0FFC" w:rsidRDefault="009837A8" w:rsidP="009837A8">
      <w:pPr>
        <w:jc w:val="center"/>
        <w:rPr>
          <w:rFonts w:ascii="Times New Roman" w:hAnsi="Times New Roman" w:cs="Times New Roman"/>
          <w:b/>
          <w:sz w:val="24"/>
          <w:szCs w:val="24"/>
        </w:rPr>
      </w:pPr>
      <w:r w:rsidRPr="004C0FFC">
        <w:rPr>
          <w:rFonts w:ascii="Times New Roman" w:hAnsi="Times New Roman" w:cs="Times New Roman"/>
          <w:b/>
          <w:sz w:val="24"/>
          <w:szCs w:val="24"/>
        </w:rPr>
        <w:lastRenderedPageBreak/>
        <w:t xml:space="preserve">Reference list </w:t>
      </w:r>
    </w:p>
    <w:p w14:paraId="332AE081" w14:textId="77777777" w:rsidR="009837A8" w:rsidRPr="004C0FFC" w:rsidRDefault="009837A8" w:rsidP="009837A8">
      <w:pPr>
        <w:rPr>
          <w:rFonts w:ascii="Times New Roman" w:hAnsi="Times New Roman" w:cs="Times New Roman"/>
          <w:sz w:val="24"/>
          <w:szCs w:val="24"/>
        </w:rPr>
      </w:pPr>
    </w:p>
    <w:p w14:paraId="0EF37B00"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Boylan, J. and Dalrymple, J. (2009) </w:t>
      </w:r>
      <w:r w:rsidRPr="004C0FFC">
        <w:rPr>
          <w:rFonts w:ascii="Times New Roman" w:hAnsi="Times New Roman" w:cs="Times New Roman"/>
          <w:i/>
          <w:sz w:val="24"/>
          <w:szCs w:val="24"/>
        </w:rPr>
        <w:t>Understanding Advocacy for Children and Young People</w:t>
      </w:r>
      <w:r w:rsidRPr="004C0FFC">
        <w:rPr>
          <w:rFonts w:ascii="Times New Roman" w:hAnsi="Times New Roman" w:cs="Times New Roman"/>
          <w:sz w:val="24"/>
          <w:szCs w:val="24"/>
        </w:rPr>
        <w:t>. Maidenhead, England: Open University Press.</w:t>
      </w:r>
    </w:p>
    <w:p w14:paraId="2DC26314"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Care Standards Act 2000 c. 4 National Standards for Leaving Care (2000).  </w:t>
      </w:r>
    </w:p>
    <w:p w14:paraId="155FB2F6"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Children Act 1989 c. 41, Available at: </w:t>
      </w:r>
      <w:hyperlink r:id="rId6" w:history="1">
        <w:r w:rsidRPr="004C0FFC">
          <w:rPr>
            <w:rStyle w:val="Hyperlink"/>
            <w:rFonts w:ascii="Times New Roman" w:hAnsi="Times New Roman" w:cs="Times New Roman"/>
            <w:sz w:val="24"/>
            <w:szCs w:val="24"/>
          </w:rPr>
          <w:t>http://www.legislation.gov.uk/ukpga/1989/41/contents</w:t>
        </w:r>
      </w:hyperlink>
      <w:r w:rsidRPr="004C0FFC">
        <w:rPr>
          <w:rFonts w:ascii="Times New Roman" w:hAnsi="Times New Roman" w:cs="Times New Roman"/>
          <w:sz w:val="24"/>
          <w:szCs w:val="24"/>
        </w:rPr>
        <w:t xml:space="preserve"> (Accessed 7 May 2018)</w:t>
      </w:r>
    </w:p>
    <w:p w14:paraId="13613FCB"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Data Protection Act </w:t>
      </w:r>
      <w:proofErr w:type="gramStart"/>
      <w:r w:rsidRPr="004C0FFC">
        <w:rPr>
          <w:rFonts w:ascii="Times New Roman" w:hAnsi="Times New Roman" w:cs="Times New Roman"/>
          <w:sz w:val="24"/>
          <w:szCs w:val="24"/>
        </w:rPr>
        <w:t>1998  Available</w:t>
      </w:r>
      <w:proofErr w:type="gramEnd"/>
      <w:r w:rsidRPr="004C0FFC">
        <w:rPr>
          <w:rFonts w:ascii="Times New Roman" w:hAnsi="Times New Roman" w:cs="Times New Roman"/>
          <w:sz w:val="24"/>
          <w:szCs w:val="24"/>
        </w:rPr>
        <w:t xml:space="preserve"> at: </w:t>
      </w:r>
      <w:hyperlink r:id="rId7" w:history="1">
        <w:r w:rsidRPr="004C0FFC">
          <w:rPr>
            <w:rStyle w:val="Hyperlink"/>
            <w:rFonts w:ascii="Times New Roman" w:hAnsi="Times New Roman" w:cs="Times New Roman"/>
            <w:sz w:val="24"/>
            <w:szCs w:val="24"/>
          </w:rPr>
          <w:t>http://www.legislation.gov.uk/ukpga/1998/29/contents</w:t>
        </w:r>
      </w:hyperlink>
      <w:r w:rsidRPr="004C0FFC">
        <w:rPr>
          <w:rFonts w:ascii="Times New Roman" w:hAnsi="Times New Roman" w:cs="Times New Roman"/>
          <w:sz w:val="24"/>
          <w:szCs w:val="24"/>
        </w:rPr>
        <w:t xml:space="preserve"> (Accessed 4 May 2018) </w:t>
      </w:r>
    </w:p>
    <w:p w14:paraId="14D8F99C"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Donnison, D. (2009 </w:t>
      </w:r>
      <w:r w:rsidRPr="004C0FFC">
        <w:rPr>
          <w:rFonts w:ascii="Times New Roman" w:hAnsi="Times New Roman" w:cs="Times New Roman"/>
          <w:i/>
          <w:sz w:val="24"/>
          <w:szCs w:val="24"/>
        </w:rPr>
        <w:t>Speaking to Power</w:t>
      </w:r>
      <w:r w:rsidRPr="004C0FFC">
        <w:rPr>
          <w:rFonts w:ascii="Times New Roman" w:hAnsi="Times New Roman" w:cs="Times New Roman"/>
          <w:sz w:val="24"/>
          <w:szCs w:val="24"/>
        </w:rPr>
        <w:t xml:space="preserve">, Bristol: The Policy Press. </w:t>
      </w:r>
    </w:p>
    <w:p w14:paraId="62EC8540"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 Fox, N. (2018) </w:t>
      </w:r>
      <w:r w:rsidRPr="004C0FFC">
        <w:rPr>
          <w:rFonts w:ascii="Times New Roman" w:hAnsi="Times New Roman" w:cs="Times New Roman"/>
          <w:i/>
          <w:sz w:val="24"/>
          <w:szCs w:val="24"/>
        </w:rPr>
        <w:t>Working within a Legislative Framework as an Independent Advocate</w:t>
      </w:r>
      <w:r w:rsidRPr="004C0FFC">
        <w:rPr>
          <w:rFonts w:ascii="Times New Roman" w:hAnsi="Times New Roman" w:cs="Times New Roman"/>
          <w:sz w:val="24"/>
          <w:szCs w:val="24"/>
        </w:rPr>
        <w:t xml:space="preserve"> [Lecture to BA Advocacy year 2], </w:t>
      </w:r>
      <w:r w:rsidRPr="004C0FFC">
        <w:rPr>
          <w:rFonts w:ascii="Times New Roman" w:hAnsi="Times New Roman" w:cs="Times New Roman"/>
          <w:i/>
          <w:sz w:val="24"/>
          <w:szCs w:val="24"/>
        </w:rPr>
        <w:t>ECAY5002</w:t>
      </w:r>
      <w:r w:rsidRPr="004C0FFC">
        <w:rPr>
          <w:rFonts w:ascii="Times New Roman" w:hAnsi="Times New Roman" w:cs="Times New Roman"/>
          <w:sz w:val="24"/>
          <w:szCs w:val="24"/>
        </w:rPr>
        <w:t xml:space="preserve">: </w:t>
      </w:r>
      <w:r w:rsidRPr="004C0FFC">
        <w:rPr>
          <w:rFonts w:ascii="Times New Roman" w:hAnsi="Times New Roman" w:cs="Times New Roman"/>
          <w:i/>
          <w:sz w:val="24"/>
          <w:szCs w:val="24"/>
        </w:rPr>
        <w:t>Professional Practice in Advocacy.</w:t>
      </w:r>
      <w:r w:rsidRPr="004C0FFC">
        <w:rPr>
          <w:rFonts w:ascii="Times New Roman" w:hAnsi="Times New Roman" w:cs="Times New Roman"/>
          <w:sz w:val="24"/>
          <w:szCs w:val="24"/>
        </w:rPr>
        <w:t xml:space="preserve"> UWTSD Carmarthen Campus. 20 February.</w:t>
      </w:r>
    </w:p>
    <w:p w14:paraId="26C0CF34"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Henderson, R. and </w:t>
      </w:r>
      <w:proofErr w:type="spellStart"/>
      <w:r w:rsidRPr="004C0FFC">
        <w:rPr>
          <w:rFonts w:ascii="Times New Roman" w:hAnsi="Times New Roman" w:cs="Times New Roman"/>
          <w:sz w:val="24"/>
          <w:szCs w:val="24"/>
        </w:rPr>
        <w:t>Pochin</w:t>
      </w:r>
      <w:proofErr w:type="spellEnd"/>
      <w:r w:rsidRPr="004C0FFC">
        <w:rPr>
          <w:rFonts w:ascii="Times New Roman" w:hAnsi="Times New Roman" w:cs="Times New Roman"/>
          <w:sz w:val="24"/>
          <w:szCs w:val="24"/>
        </w:rPr>
        <w:t xml:space="preserve">, M. (2001) </w:t>
      </w:r>
      <w:r w:rsidRPr="004C0FFC">
        <w:rPr>
          <w:rFonts w:ascii="Times New Roman" w:hAnsi="Times New Roman" w:cs="Times New Roman"/>
          <w:i/>
          <w:sz w:val="24"/>
          <w:szCs w:val="24"/>
        </w:rPr>
        <w:t>Aright Result? Advocacy, justice and empowerment</w:t>
      </w:r>
      <w:r w:rsidRPr="004C0FFC">
        <w:rPr>
          <w:rFonts w:ascii="Times New Roman" w:hAnsi="Times New Roman" w:cs="Times New Roman"/>
          <w:sz w:val="24"/>
          <w:szCs w:val="24"/>
        </w:rPr>
        <w:t>. Bristol: The Policy Press.</w:t>
      </w:r>
    </w:p>
    <w:p w14:paraId="4DD9C765" w14:textId="77777777" w:rsidR="009837A8" w:rsidRPr="004C0FFC" w:rsidRDefault="009837A8" w:rsidP="009837A8">
      <w:pPr>
        <w:rPr>
          <w:rFonts w:ascii="Times New Roman" w:hAnsi="Times New Roman" w:cs="Times New Roman"/>
          <w:sz w:val="24"/>
          <w:szCs w:val="24"/>
        </w:rPr>
      </w:pPr>
      <w:hyperlink r:id="rId8" w:history="1">
        <w:r w:rsidRPr="004C0FFC">
          <w:rPr>
            <w:rStyle w:val="Hyperlink"/>
            <w:rFonts w:ascii="Times New Roman" w:hAnsi="Times New Roman" w:cs="Times New Roman"/>
            <w:sz w:val="24"/>
            <w:szCs w:val="24"/>
          </w:rPr>
          <w:t>http://www.legislation.gov.uk/ukpga/2000/14/contents</w:t>
        </w:r>
      </w:hyperlink>
      <w:r w:rsidRPr="004C0FFC">
        <w:rPr>
          <w:rFonts w:ascii="Times New Roman" w:hAnsi="Times New Roman" w:cs="Times New Roman"/>
          <w:sz w:val="24"/>
          <w:szCs w:val="24"/>
        </w:rPr>
        <w:t xml:space="preserve"> </w:t>
      </w:r>
    </w:p>
    <w:p w14:paraId="36C34ECD" w14:textId="77777777" w:rsidR="009837A8" w:rsidRPr="004C0FFC" w:rsidRDefault="009837A8" w:rsidP="009837A8">
      <w:pPr>
        <w:rPr>
          <w:rFonts w:ascii="Times New Roman" w:hAnsi="Times New Roman" w:cs="Times New Roman"/>
          <w:sz w:val="24"/>
          <w:szCs w:val="24"/>
        </w:rPr>
      </w:pPr>
      <w:hyperlink r:id="rId9" w:history="1">
        <w:r w:rsidRPr="004C0FFC">
          <w:rPr>
            <w:rStyle w:val="Hyperlink"/>
            <w:rFonts w:ascii="Times New Roman" w:hAnsi="Times New Roman" w:cs="Times New Roman"/>
            <w:sz w:val="24"/>
            <w:szCs w:val="24"/>
          </w:rPr>
          <w:t>https://publications.parliament.uk/pa/ld201314/ldselect/ldmentalcap/139/139.pdf</w:t>
        </w:r>
      </w:hyperlink>
      <w:r w:rsidRPr="004C0FFC">
        <w:rPr>
          <w:rFonts w:ascii="Times New Roman" w:hAnsi="Times New Roman" w:cs="Times New Roman"/>
          <w:sz w:val="24"/>
          <w:szCs w:val="24"/>
        </w:rPr>
        <w:t xml:space="preserve">  (Accessed 2 May 2018)</w:t>
      </w:r>
    </w:p>
    <w:p w14:paraId="7DB2D188"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Mental Capacity </w:t>
      </w:r>
      <w:proofErr w:type="gramStart"/>
      <w:r w:rsidRPr="004C0FFC">
        <w:rPr>
          <w:rFonts w:ascii="Times New Roman" w:hAnsi="Times New Roman" w:cs="Times New Roman"/>
          <w:sz w:val="24"/>
          <w:szCs w:val="24"/>
        </w:rPr>
        <w:t>Act  2005</w:t>
      </w:r>
      <w:proofErr w:type="gramEnd"/>
      <w:r w:rsidRPr="004C0FFC">
        <w:rPr>
          <w:rFonts w:ascii="Times New Roman" w:hAnsi="Times New Roman" w:cs="Times New Roman"/>
          <w:sz w:val="24"/>
          <w:szCs w:val="24"/>
        </w:rPr>
        <w:t xml:space="preserve"> Available at: </w:t>
      </w:r>
      <w:hyperlink r:id="rId10" w:history="1">
        <w:r w:rsidRPr="004C0FFC">
          <w:rPr>
            <w:rStyle w:val="Hyperlink"/>
            <w:rFonts w:ascii="Times New Roman" w:hAnsi="Times New Roman" w:cs="Times New Roman"/>
            <w:sz w:val="24"/>
            <w:szCs w:val="24"/>
          </w:rPr>
          <w:t>http://www.legislation.gov.uk/ukpga/2005/9/contents</w:t>
        </w:r>
      </w:hyperlink>
      <w:r w:rsidRPr="004C0FFC">
        <w:rPr>
          <w:rFonts w:ascii="Times New Roman" w:hAnsi="Times New Roman" w:cs="Times New Roman"/>
          <w:sz w:val="24"/>
          <w:szCs w:val="24"/>
        </w:rPr>
        <w:t xml:space="preserve"> (Accessed 4 May 2018)</w:t>
      </w:r>
    </w:p>
    <w:p w14:paraId="501D3E0C"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Mental Capacity Act 2005 Available at: </w:t>
      </w:r>
      <w:hyperlink r:id="rId11" w:history="1">
        <w:r w:rsidRPr="004C0FFC">
          <w:rPr>
            <w:rStyle w:val="Hyperlink"/>
            <w:rFonts w:ascii="Times New Roman" w:hAnsi="Times New Roman" w:cs="Times New Roman"/>
            <w:sz w:val="24"/>
            <w:szCs w:val="24"/>
          </w:rPr>
          <w:t>http://www.legislation.gov.uk/ukpga/2005/9/contents</w:t>
        </w:r>
      </w:hyperlink>
      <w:r w:rsidRPr="004C0FFC">
        <w:rPr>
          <w:rFonts w:ascii="Times New Roman" w:hAnsi="Times New Roman" w:cs="Times New Roman"/>
          <w:sz w:val="24"/>
          <w:szCs w:val="24"/>
        </w:rPr>
        <w:t xml:space="preserve"> (Accessed 4 May 2018)</w:t>
      </w:r>
    </w:p>
    <w:p w14:paraId="0CE24514"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National Standards for the Provision of Children’s Advocacy Services (2003) Available at: </w:t>
      </w:r>
      <w:hyperlink r:id="rId12" w:history="1">
        <w:r w:rsidRPr="004C0FFC">
          <w:rPr>
            <w:rStyle w:val="Hyperlink"/>
            <w:rFonts w:ascii="Times New Roman" w:hAnsi="Times New Roman" w:cs="Times New Roman"/>
            <w:sz w:val="24"/>
            <w:szCs w:val="24"/>
          </w:rPr>
          <w:t>http://www.wales.nhs.uk/sites3/Documents/441/Advocacy%20Standards-e.pdf</w:t>
        </w:r>
      </w:hyperlink>
      <w:r w:rsidRPr="004C0FFC">
        <w:rPr>
          <w:rFonts w:ascii="Times New Roman" w:hAnsi="Times New Roman" w:cs="Times New Roman"/>
          <w:sz w:val="24"/>
          <w:szCs w:val="24"/>
        </w:rPr>
        <w:t xml:space="preserve">  (Accessed 7 May 2018)</w:t>
      </w:r>
    </w:p>
    <w:p w14:paraId="5F80C743"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Parliament. House of Lords (2014) </w:t>
      </w:r>
      <w:r w:rsidRPr="004C0FFC">
        <w:rPr>
          <w:rFonts w:ascii="Times New Roman" w:hAnsi="Times New Roman" w:cs="Times New Roman"/>
          <w:i/>
          <w:sz w:val="24"/>
          <w:szCs w:val="24"/>
        </w:rPr>
        <w:t xml:space="preserve">Mental Capacity Act 2005: post-legislative scrutiny, </w:t>
      </w:r>
      <w:bookmarkStart w:id="4" w:name="_Hlk513202335"/>
      <w:r w:rsidRPr="004C0FFC">
        <w:rPr>
          <w:rFonts w:ascii="Times New Roman" w:hAnsi="Times New Roman" w:cs="Times New Roman"/>
          <w:i/>
          <w:sz w:val="24"/>
          <w:szCs w:val="24"/>
        </w:rPr>
        <w:t>Report of Session 2013–2014</w:t>
      </w:r>
      <w:r w:rsidRPr="004C0FFC">
        <w:rPr>
          <w:rFonts w:ascii="Times New Roman" w:hAnsi="Times New Roman" w:cs="Times New Roman"/>
          <w:sz w:val="24"/>
          <w:szCs w:val="24"/>
        </w:rPr>
        <w:t>.</w:t>
      </w:r>
      <w:bookmarkEnd w:id="4"/>
      <w:r w:rsidRPr="004C0FFC">
        <w:rPr>
          <w:rFonts w:ascii="Times New Roman" w:hAnsi="Times New Roman" w:cs="Times New Roman"/>
          <w:sz w:val="24"/>
          <w:szCs w:val="24"/>
        </w:rPr>
        <w:t xml:space="preserve"> (HL Paper (139)). London: The Stationery Office Limited.</w:t>
      </w:r>
    </w:p>
    <w:p w14:paraId="6A693B9D" w14:textId="77777777" w:rsidR="009837A8" w:rsidRPr="004C0FFC" w:rsidRDefault="009837A8" w:rsidP="009837A8">
      <w:pPr>
        <w:rPr>
          <w:rFonts w:ascii="Times New Roman" w:hAnsi="Times New Roman" w:cs="Times New Roman"/>
          <w:sz w:val="24"/>
          <w:szCs w:val="24"/>
        </w:rPr>
      </w:pPr>
      <w:bookmarkStart w:id="5" w:name="_Hlk513447961"/>
      <w:r w:rsidRPr="004C0FFC">
        <w:rPr>
          <w:rStyle w:val="authors"/>
          <w:rFonts w:ascii="Times New Roman" w:hAnsi="Times New Roman" w:cs="Times New Roman"/>
          <w:color w:val="333333"/>
          <w:sz w:val="24"/>
          <w:szCs w:val="24"/>
        </w:rPr>
        <w:t xml:space="preserve">Pithouse, A. &amp; Crowley, A. </w:t>
      </w:r>
      <w:r w:rsidRPr="004C0FFC">
        <w:rPr>
          <w:rFonts w:ascii="Times New Roman" w:hAnsi="Times New Roman" w:cs="Times New Roman"/>
          <w:color w:val="333333"/>
          <w:sz w:val="24"/>
          <w:szCs w:val="24"/>
        </w:rPr>
        <w:t> </w:t>
      </w:r>
      <w:r w:rsidRPr="004C0FFC">
        <w:rPr>
          <w:rStyle w:val="date"/>
          <w:rFonts w:ascii="Times New Roman" w:hAnsi="Times New Roman" w:cs="Times New Roman"/>
          <w:color w:val="333333"/>
          <w:sz w:val="24"/>
          <w:szCs w:val="24"/>
        </w:rPr>
        <w:t>(2007</w:t>
      </w:r>
      <w:bookmarkEnd w:id="5"/>
      <w:r w:rsidRPr="004C0FFC">
        <w:rPr>
          <w:rStyle w:val="date"/>
          <w:rFonts w:ascii="Times New Roman" w:hAnsi="Times New Roman" w:cs="Times New Roman"/>
          <w:color w:val="333333"/>
          <w:sz w:val="24"/>
          <w:szCs w:val="24"/>
        </w:rPr>
        <w:t>)</w:t>
      </w:r>
      <w:r w:rsidRPr="004C0FFC">
        <w:rPr>
          <w:rFonts w:ascii="Times New Roman" w:hAnsi="Times New Roman" w:cs="Times New Roman"/>
          <w:color w:val="333333"/>
          <w:sz w:val="24"/>
          <w:szCs w:val="24"/>
        </w:rPr>
        <w:t> </w:t>
      </w:r>
      <w:r w:rsidRPr="004C0FFC">
        <w:rPr>
          <w:rStyle w:val="arttitle"/>
          <w:rFonts w:ascii="Times New Roman" w:hAnsi="Times New Roman" w:cs="Times New Roman"/>
          <w:color w:val="333333"/>
          <w:sz w:val="24"/>
          <w:szCs w:val="24"/>
        </w:rPr>
        <w:t>National Standards in Children's Advocacy—What do Young People Say?</w:t>
      </w:r>
      <w:r w:rsidRPr="004C0FFC">
        <w:rPr>
          <w:rFonts w:ascii="Times New Roman" w:hAnsi="Times New Roman" w:cs="Times New Roman"/>
          <w:color w:val="333333"/>
          <w:sz w:val="24"/>
          <w:szCs w:val="24"/>
        </w:rPr>
        <w:t> </w:t>
      </w:r>
      <w:r w:rsidRPr="004C0FFC">
        <w:rPr>
          <w:rStyle w:val="serialtitle"/>
          <w:rFonts w:ascii="Times New Roman" w:hAnsi="Times New Roman" w:cs="Times New Roman"/>
          <w:color w:val="333333"/>
          <w:sz w:val="24"/>
          <w:szCs w:val="24"/>
        </w:rPr>
        <w:t>Child Care in Practice,</w:t>
      </w:r>
      <w:r w:rsidRPr="004C0FFC">
        <w:rPr>
          <w:rFonts w:ascii="Times New Roman" w:hAnsi="Times New Roman" w:cs="Times New Roman"/>
          <w:color w:val="333333"/>
          <w:sz w:val="24"/>
          <w:szCs w:val="24"/>
        </w:rPr>
        <w:t> </w:t>
      </w:r>
      <w:r w:rsidRPr="004C0FFC">
        <w:rPr>
          <w:rStyle w:val="volumeissue"/>
          <w:rFonts w:ascii="Times New Roman" w:hAnsi="Times New Roman" w:cs="Times New Roman"/>
          <w:color w:val="333333"/>
          <w:sz w:val="24"/>
          <w:szCs w:val="24"/>
        </w:rPr>
        <w:t>13:1,</w:t>
      </w:r>
      <w:r w:rsidRPr="004C0FFC">
        <w:rPr>
          <w:rFonts w:ascii="Times New Roman" w:hAnsi="Times New Roman" w:cs="Times New Roman"/>
          <w:color w:val="333333"/>
          <w:sz w:val="24"/>
          <w:szCs w:val="24"/>
        </w:rPr>
        <w:t> </w:t>
      </w:r>
      <w:r w:rsidRPr="004C0FFC">
        <w:rPr>
          <w:rStyle w:val="pagerange"/>
          <w:rFonts w:ascii="Times New Roman" w:hAnsi="Times New Roman" w:cs="Times New Roman"/>
          <w:color w:val="333333"/>
          <w:sz w:val="24"/>
          <w:szCs w:val="24"/>
        </w:rPr>
        <w:t>17-32,</w:t>
      </w:r>
      <w:r w:rsidRPr="004C0FFC">
        <w:rPr>
          <w:rFonts w:ascii="Times New Roman" w:hAnsi="Times New Roman" w:cs="Times New Roman"/>
          <w:color w:val="333333"/>
          <w:sz w:val="24"/>
          <w:szCs w:val="24"/>
        </w:rPr>
        <w:t> </w:t>
      </w:r>
      <w:r w:rsidRPr="004C0FFC">
        <w:rPr>
          <w:rStyle w:val="doilink"/>
          <w:rFonts w:ascii="Times New Roman" w:hAnsi="Times New Roman" w:cs="Times New Roman"/>
          <w:color w:val="333333"/>
          <w:sz w:val="24"/>
          <w:szCs w:val="24"/>
        </w:rPr>
        <w:t>DOI: </w:t>
      </w:r>
      <w:hyperlink r:id="rId13" w:history="1">
        <w:r w:rsidRPr="004C0FFC">
          <w:rPr>
            <w:rStyle w:val="Hyperlink"/>
            <w:rFonts w:ascii="Times New Roman" w:hAnsi="Times New Roman" w:cs="Times New Roman"/>
            <w:color w:val="333333"/>
            <w:sz w:val="24"/>
            <w:szCs w:val="24"/>
          </w:rPr>
          <w:t>10.1080/135752</w:t>
        </w:r>
        <w:r w:rsidRPr="004C0FFC">
          <w:rPr>
            <w:rStyle w:val="Hyperlink"/>
            <w:rFonts w:ascii="Times New Roman" w:hAnsi="Times New Roman" w:cs="Times New Roman"/>
            <w:color w:val="333333"/>
            <w:sz w:val="24"/>
            <w:szCs w:val="24"/>
          </w:rPr>
          <w:t>7</w:t>
        </w:r>
        <w:r w:rsidRPr="004C0FFC">
          <w:rPr>
            <w:rStyle w:val="Hyperlink"/>
            <w:rFonts w:ascii="Times New Roman" w:hAnsi="Times New Roman" w:cs="Times New Roman"/>
            <w:color w:val="333333"/>
            <w:sz w:val="24"/>
            <w:szCs w:val="24"/>
          </w:rPr>
          <w:t>0601103390</w:t>
        </w:r>
      </w:hyperlink>
      <w:r w:rsidRPr="004C0FFC">
        <w:rPr>
          <w:rStyle w:val="doilink"/>
          <w:rFonts w:ascii="Times New Roman" w:hAnsi="Times New Roman" w:cs="Times New Roman"/>
          <w:color w:val="333333"/>
          <w:sz w:val="24"/>
          <w:szCs w:val="24"/>
        </w:rPr>
        <w:t xml:space="preserve">  </w:t>
      </w:r>
      <w:r w:rsidRPr="004C0FFC">
        <w:rPr>
          <w:rFonts w:ascii="Times New Roman" w:hAnsi="Times New Roman" w:cs="Times New Roman"/>
          <w:sz w:val="24"/>
          <w:szCs w:val="24"/>
        </w:rPr>
        <w:t>(Accessed 7 May 2018)</w:t>
      </w:r>
    </w:p>
    <w:p w14:paraId="6220F3EA"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Qualityadvocacy.org.uk. (2018) Code of Practice, Available at: </w:t>
      </w:r>
      <w:hyperlink r:id="rId14" w:history="1">
        <w:r w:rsidRPr="004C0FFC">
          <w:rPr>
            <w:rStyle w:val="Hyperlink"/>
            <w:rFonts w:ascii="Times New Roman" w:hAnsi="Times New Roman" w:cs="Times New Roman"/>
            <w:sz w:val="24"/>
            <w:szCs w:val="24"/>
          </w:rPr>
          <w:t>http://www.qualityadvocacy.org.uk/wp-content/uploads/2014/03/Code-of-Practice.pdf</w:t>
        </w:r>
      </w:hyperlink>
      <w:r w:rsidRPr="004C0FFC">
        <w:rPr>
          <w:rFonts w:ascii="Times New Roman" w:hAnsi="Times New Roman" w:cs="Times New Roman"/>
          <w:sz w:val="24"/>
          <w:szCs w:val="24"/>
        </w:rPr>
        <w:t xml:space="preserve"> </w:t>
      </w:r>
      <w:proofErr w:type="gramStart"/>
      <w:r w:rsidRPr="004C0FFC">
        <w:rPr>
          <w:rFonts w:ascii="Times New Roman" w:hAnsi="Times New Roman" w:cs="Times New Roman"/>
          <w:sz w:val="24"/>
          <w:szCs w:val="24"/>
        </w:rPr>
        <w:t xml:space="preserve">   (</w:t>
      </w:r>
      <w:proofErr w:type="gramEnd"/>
      <w:r w:rsidRPr="004C0FFC">
        <w:rPr>
          <w:rFonts w:ascii="Times New Roman" w:hAnsi="Times New Roman" w:cs="Times New Roman"/>
          <w:sz w:val="24"/>
          <w:szCs w:val="24"/>
        </w:rPr>
        <w:t>Accessed 4 May 2018)</w:t>
      </w:r>
    </w:p>
    <w:p w14:paraId="253A37D8"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Seven Principles of Public Life’ (1995) Available at: </w:t>
      </w:r>
      <w:hyperlink r:id="rId15" w:history="1">
        <w:r w:rsidRPr="004C0FFC">
          <w:rPr>
            <w:rStyle w:val="Hyperlink"/>
            <w:rFonts w:ascii="Times New Roman" w:hAnsi="Times New Roman" w:cs="Times New Roman"/>
            <w:sz w:val="24"/>
            <w:szCs w:val="24"/>
          </w:rPr>
          <w:t>https://www.gov.uk/government/publications/the-7-principles-of-public-life</w:t>
        </w:r>
      </w:hyperlink>
      <w:r w:rsidRPr="004C0FFC">
        <w:rPr>
          <w:rFonts w:ascii="Times New Roman" w:hAnsi="Times New Roman" w:cs="Times New Roman"/>
          <w:sz w:val="24"/>
          <w:szCs w:val="24"/>
        </w:rPr>
        <w:t xml:space="preserve"> (Accessed 4 May 2018)</w:t>
      </w:r>
    </w:p>
    <w:p w14:paraId="457D1928"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lastRenderedPageBreak/>
        <w:t>Social Services and Well-being (Wales) Act 2014 c.4</w:t>
      </w:r>
      <w:proofErr w:type="gramStart"/>
      <w:r w:rsidRPr="004C0FFC">
        <w:rPr>
          <w:rFonts w:ascii="Times New Roman" w:hAnsi="Times New Roman" w:cs="Times New Roman"/>
          <w:sz w:val="24"/>
          <w:szCs w:val="24"/>
        </w:rPr>
        <w:t>. .</w:t>
      </w:r>
      <w:proofErr w:type="gramEnd"/>
      <w:r w:rsidRPr="004C0FFC">
        <w:rPr>
          <w:rFonts w:ascii="Times New Roman" w:hAnsi="Times New Roman" w:cs="Times New Roman"/>
          <w:sz w:val="24"/>
          <w:szCs w:val="24"/>
        </w:rPr>
        <w:t xml:space="preserve"> Available at: </w:t>
      </w:r>
      <w:hyperlink r:id="rId16" w:history="1">
        <w:r w:rsidRPr="004C0FFC">
          <w:rPr>
            <w:rStyle w:val="Hyperlink"/>
            <w:rFonts w:ascii="Times New Roman" w:hAnsi="Times New Roman" w:cs="Times New Roman"/>
            <w:sz w:val="24"/>
            <w:szCs w:val="24"/>
          </w:rPr>
          <w:t>https://www.legislation.gov.uk/anaw/2014/4/contents</w:t>
        </w:r>
      </w:hyperlink>
      <w:r w:rsidRPr="004C0FFC">
        <w:rPr>
          <w:rFonts w:ascii="Times New Roman" w:hAnsi="Times New Roman" w:cs="Times New Roman"/>
          <w:sz w:val="24"/>
          <w:szCs w:val="24"/>
        </w:rPr>
        <w:t xml:space="preserve">  (Accessed 4 May 2018)</w:t>
      </w:r>
    </w:p>
    <w:p w14:paraId="6B3AFC81"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Special Education Needs (SEN) Code of Practice (DfES, 2001)  Available at: </w:t>
      </w:r>
      <w:hyperlink r:id="rId17" w:history="1">
        <w:r w:rsidRPr="004C0FFC">
          <w:rPr>
            <w:rStyle w:val="Hyperlink"/>
            <w:rFonts w:ascii="Times New Roman" w:hAnsi="Times New Roman" w:cs="Times New Roman"/>
            <w:sz w:val="24"/>
            <w:szCs w:val="24"/>
          </w:rPr>
          <w:t>https://www.gov.uk/government/publications/special-educational-needs-sen-code-of-practice</w:t>
        </w:r>
      </w:hyperlink>
      <w:r w:rsidRPr="004C0FFC">
        <w:rPr>
          <w:rFonts w:ascii="Times New Roman" w:hAnsi="Times New Roman" w:cs="Times New Roman"/>
          <w:sz w:val="24"/>
          <w:szCs w:val="24"/>
        </w:rPr>
        <w:t xml:space="preserve">        ( Accessed 5 May 2018)   </w:t>
      </w:r>
    </w:p>
    <w:p w14:paraId="50F5CD0F" w14:textId="77777777" w:rsidR="009837A8" w:rsidRPr="004C0FFC" w:rsidRDefault="009837A8" w:rsidP="009837A8">
      <w:pPr>
        <w:rPr>
          <w:rFonts w:ascii="Times New Roman" w:hAnsi="Times New Roman" w:cs="Times New Roman"/>
          <w:sz w:val="24"/>
          <w:szCs w:val="24"/>
        </w:rPr>
      </w:pPr>
      <w:r w:rsidRPr="004C0FFC">
        <w:rPr>
          <w:rFonts w:ascii="Times New Roman" w:hAnsi="Times New Roman" w:cs="Times New Roman"/>
          <w:sz w:val="24"/>
          <w:szCs w:val="24"/>
        </w:rPr>
        <w:t xml:space="preserve">The Mental Capacity Act Deprivation of Liberty Safeguards (MCA </w:t>
      </w:r>
      <w:proofErr w:type="spellStart"/>
      <w:r w:rsidRPr="004C0FFC">
        <w:rPr>
          <w:rFonts w:ascii="Times New Roman" w:hAnsi="Times New Roman" w:cs="Times New Roman"/>
          <w:sz w:val="24"/>
          <w:szCs w:val="24"/>
        </w:rPr>
        <w:t>DoLS</w:t>
      </w:r>
      <w:proofErr w:type="spellEnd"/>
      <w:r w:rsidRPr="004C0FFC">
        <w:rPr>
          <w:rFonts w:ascii="Times New Roman" w:hAnsi="Times New Roman" w:cs="Times New Roman"/>
          <w:sz w:val="24"/>
          <w:szCs w:val="24"/>
        </w:rPr>
        <w:t xml:space="preserve">  (2009) at: </w:t>
      </w:r>
      <w:hyperlink r:id="rId18" w:history="1">
        <w:r w:rsidRPr="004C0FFC">
          <w:rPr>
            <w:rStyle w:val="Hyperlink"/>
            <w:rFonts w:ascii="Times New Roman" w:hAnsi="Times New Roman" w:cs="Times New Roman"/>
            <w:sz w:val="24"/>
            <w:szCs w:val="24"/>
          </w:rPr>
          <w:t>http://www.doncaster.gov.uk/services/adult-social-care/deprivation-of-liberty-safeguards-2009-a-basic-introduction</w:t>
        </w:r>
      </w:hyperlink>
      <w:r w:rsidRPr="004C0FFC">
        <w:rPr>
          <w:rFonts w:ascii="Times New Roman" w:hAnsi="Times New Roman" w:cs="Times New Roman"/>
          <w:sz w:val="24"/>
          <w:szCs w:val="24"/>
        </w:rPr>
        <w:t xml:space="preserve"> (Accessed 4 May 2018)</w:t>
      </w:r>
    </w:p>
    <w:p w14:paraId="00C89D62" w14:textId="77777777" w:rsidR="009837A8" w:rsidRPr="004C0FFC" w:rsidRDefault="009837A8" w:rsidP="009837A8">
      <w:pPr>
        <w:shd w:val="clear" w:color="auto" w:fill="FFFFFF"/>
        <w:rPr>
          <w:rFonts w:ascii="Times New Roman" w:hAnsi="Times New Roman" w:cs="Times New Roman"/>
          <w:color w:val="333333"/>
          <w:sz w:val="24"/>
          <w:szCs w:val="24"/>
        </w:rPr>
      </w:pPr>
    </w:p>
    <w:p w14:paraId="2B4A5F6A" w14:textId="77777777" w:rsidR="009837A8" w:rsidRPr="004C0FFC" w:rsidRDefault="009837A8" w:rsidP="009837A8">
      <w:pPr>
        <w:rPr>
          <w:rFonts w:ascii="Times New Roman" w:hAnsi="Times New Roman" w:cs="Times New Roman"/>
          <w:sz w:val="24"/>
          <w:szCs w:val="24"/>
        </w:rPr>
      </w:pPr>
    </w:p>
    <w:p w14:paraId="5F3B42CB" w14:textId="77777777" w:rsidR="009837A8" w:rsidRPr="004C0FFC" w:rsidRDefault="009837A8" w:rsidP="009837A8">
      <w:pPr>
        <w:rPr>
          <w:rFonts w:ascii="Times New Roman" w:hAnsi="Times New Roman" w:cs="Times New Roman"/>
          <w:sz w:val="24"/>
          <w:szCs w:val="24"/>
        </w:rPr>
      </w:pPr>
    </w:p>
    <w:p w14:paraId="6B165448" w14:textId="77777777" w:rsidR="009837A8" w:rsidRDefault="009837A8" w:rsidP="00DF6C0E">
      <w:pPr>
        <w:spacing w:line="360" w:lineRule="auto"/>
        <w:jc w:val="both"/>
      </w:pPr>
    </w:p>
    <w:p w14:paraId="3246C434" w14:textId="4CC1B1F8" w:rsidR="002467ED" w:rsidRDefault="002467ED" w:rsidP="002467ED">
      <w:r>
        <w:t>.</w:t>
      </w:r>
    </w:p>
    <w:p w14:paraId="6A27C545" w14:textId="3D772344" w:rsidR="00AC7E0A" w:rsidRPr="00CD19E7" w:rsidRDefault="00AC7E0A" w:rsidP="00CD19E7">
      <w:pPr>
        <w:spacing w:line="360" w:lineRule="auto"/>
        <w:jc w:val="both"/>
        <w:rPr>
          <w:rFonts w:ascii="Times New Roman" w:hAnsi="Times New Roman" w:cs="Times New Roman"/>
          <w:sz w:val="24"/>
          <w:szCs w:val="24"/>
        </w:rPr>
      </w:pPr>
    </w:p>
    <w:sectPr w:rsidR="00AC7E0A" w:rsidRPr="00CD19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D2038"/>
    <w:multiLevelType w:val="multilevel"/>
    <w:tmpl w:val="6922D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C16"/>
    <w:rsid w:val="00015162"/>
    <w:rsid w:val="00016303"/>
    <w:rsid w:val="0008414A"/>
    <w:rsid w:val="001013F5"/>
    <w:rsid w:val="001540C9"/>
    <w:rsid w:val="001E7D43"/>
    <w:rsid w:val="002467ED"/>
    <w:rsid w:val="002C4205"/>
    <w:rsid w:val="002F3800"/>
    <w:rsid w:val="003226BE"/>
    <w:rsid w:val="00361C16"/>
    <w:rsid w:val="00362B31"/>
    <w:rsid w:val="0038520B"/>
    <w:rsid w:val="00413B55"/>
    <w:rsid w:val="00430311"/>
    <w:rsid w:val="004442A8"/>
    <w:rsid w:val="004500EC"/>
    <w:rsid w:val="00477494"/>
    <w:rsid w:val="004C14E8"/>
    <w:rsid w:val="00524C0F"/>
    <w:rsid w:val="00566DD1"/>
    <w:rsid w:val="005B52CC"/>
    <w:rsid w:val="005C3B26"/>
    <w:rsid w:val="005D75C8"/>
    <w:rsid w:val="00611901"/>
    <w:rsid w:val="00621271"/>
    <w:rsid w:val="006262EA"/>
    <w:rsid w:val="00660856"/>
    <w:rsid w:val="00683522"/>
    <w:rsid w:val="006963FF"/>
    <w:rsid w:val="006E05C5"/>
    <w:rsid w:val="006E4F82"/>
    <w:rsid w:val="00742D4A"/>
    <w:rsid w:val="00746E74"/>
    <w:rsid w:val="007568A6"/>
    <w:rsid w:val="00772902"/>
    <w:rsid w:val="007B0C8B"/>
    <w:rsid w:val="007B2ED5"/>
    <w:rsid w:val="007C7364"/>
    <w:rsid w:val="00834B26"/>
    <w:rsid w:val="008404FE"/>
    <w:rsid w:val="008527BD"/>
    <w:rsid w:val="0086127B"/>
    <w:rsid w:val="0086402F"/>
    <w:rsid w:val="00876665"/>
    <w:rsid w:val="00896567"/>
    <w:rsid w:val="008E03FF"/>
    <w:rsid w:val="008E4C33"/>
    <w:rsid w:val="009312CB"/>
    <w:rsid w:val="00934C7F"/>
    <w:rsid w:val="009837A8"/>
    <w:rsid w:val="009A2C55"/>
    <w:rsid w:val="009A5EE5"/>
    <w:rsid w:val="009D6E44"/>
    <w:rsid w:val="009E0B80"/>
    <w:rsid w:val="00A1344D"/>
    <w:rsid w:val="00A330CA"/>
    <w:rsid w:val="00A60383"/>
    <w:rsid w:val="00A830D1"/>
    <w:rsid w:val="00A913AE"/>
    <w:rsid w:val="00AB396D"/>
    <w:rsid w:val="00AC7E0A"/>
    <w:rsid w:val="00AD566B"/>
    <w:rsid w:val="00AE506E"/>
    <w:rsid w:val="00B1672D"/>
    <w:rsid w:val="00B3482A"/>
    <w:rsid w:val="00B34F83"/>
    <w:rsid w:val="00B44C37"/>
    <w:rsid w:val="00B555D8"/>
    <w:rsid w:val="00B634BF"/>
    <w:rsid w:val="00B87647"/>
    <w:rsid w:val="00BA008A"/>
    <w:rsid w:val="00BA0F48"/>
    <w:rsid w:val="00BC36A8"/>
    <w:rsid w:val="00BE066A"/>
    <w:rsid w:val="00C072BD"/>
    <w:rsid w:val="00C44DE6"/>
    <w:rsid w:val="00C65E22"/>
    <w:rsid w:val="00C86B26"/>
    <w:rsid w:val="00C8745A"/>
    <w:rsid w:val="00C87C45"/>
    <w:rsid w:val="00CA3FE2"/>
    <w:rsid w:val="00CB6FF5"/>
    <w:rsid w:val="00CC63A2"/>
    <w:rsid w:val="00CD19E7"/>
    <w:rsid w:val="00CF4784"/>
    <w:rsid w:val="00D42A8E"/>
    <w:rsid w:val="00D5640C"/>
    <w:rsid w:val="00D761CB"/>
    <w:rsid w:val="00D80B3B"/>
    <w:rsid w:val="00D827AE"/>
    <w:rsid w:val="00D85731"/>
    <w:rsid w:val="00DA0464"/>
    <w:rsid w:val="00DA1A87"/>
    <w:rsid w:val="00DB62CE"/>
    <w:rsid w:val="00DB656E"/>
    <w:rsid w:val="00DB67E9"/>
    <w:rsid w:val="00DD17D7"/>
    <w:rsid w:val="00DD425C"/>
    <w:rsid w:val="00DF6C0E"/>
    <w:rsid w:val="00E244AE"/>
    <w:rsid w:val="00E46763"/>
    <w:rsid w:val="00E8034A"/>
    <w:rsid w:val="00E84FF5"/>
    <w:rsid w:val="00E87B4B"/>
    <w:rsid w:val="00E9563D"/>
    <w:rsid w:val="00E97ADA"/>
    <w:rsid w:val="00EE0137"/>
    <w:rsid w:val="00F11DCA"/>
    <w:rsid w:val="00F136C9"/>
    <w:rsid w:val="00F1755A"/>
    <w:rsid w:val="00F952F3"/>
    <w:rsid w:val="00F9738E"/>
    <w:rsid w:val="00FD1FEA"/>
    <w:rsid w:val="00FE56F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6FA66"/>
  <w15:chartTrackingRefBased/>
  <w15:docId w15:val="{CF0265DC-57D0-401A-812E-5183BF050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AE50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506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E50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E506E"/>
    <w:rPr>
      <w:color w:val="0000FF"/>
      <w:u w:val="single"/>
    </w:rPr>
  </w:style>
  <w:style w:type="character" w:customStyle="1" w:styleId="authors">
    <w:name w:val="authors"/>
    <w:basedOn w:val="DefaultParagraphFont"/>
    <w:rsid w:val="00F952F3"/>
  </w:style>
  <w:style w:type="character" w:customStyle="1" w:styleId="date">
    <w:name w:val="date"/>
    <w:basedOn w:val="DefaultParagraphFont"/>
    <w:rsid w:val="00F952F3"/>
  </w:style>
  <w:style w:type="character" w:customStyle="1" w:styleId="arttitle">
    <w:name w:val="art_title"/>
    <w:basedOn w:val="DefaultParagraphFont"/>
    <w:rsid w:val="009837A8"/>
  </w:style>
  <w:style w:type="character" w:customStyle="1" w:styleId="serialtitle">
    <w:name w:val="serial_title"/>
    <w:basedOn w:val="DefaultParagraphFont"/>
    <w:rsid w:val="009837A8"/>
  </w:style>
  <w:style w:type="character" w:customStyle="1" w:styleId="volumeissue">
    <w:name w:val="volume_issue"/>
    <w:basedOn w:val="DefaultParagraphFont"/>
    <w:rsid w:val="009837A8"/>
  </w:style>
  <w:style w:type="character" w:customStyle="1" w:styleId="pagerange">
    <w:name w:val="page_range"/>
    <w:basedOn w:val="DefaultParagraphFont"/>
    <w:rsid w:val="009837A8"/>
  </w:style>
  <w:style w:type="character" w:customStyle="1" w:styleId="doilink">
    <w:name w:val="doi_link"/>
    <w:basedOn w:val="DefaultParagraphFont"/>
    <w:rsid w:val="009837A8"/>
  </w:style>
  <w:style w:type="character" w:styleId="FollowedHyperlink">
    <w:name w:val="FollowedHyperlink"/>
    <w:basedOn w:val="DefaultParagraphFont"/>
    <w:uiPriority w:val="99"/>
    <w:semiHidden/>
    <w:unhideWhenUsed/>
    <w:rsid w:val="009837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207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00/14/contents" TargetMode="External"/><Relationship Id="rId13" Type="http://schemas.openxmlformats.org/officeDocument/2006/relationships/hyperlink" Target="https://doi.org/10.1080/13575270601103390" TargetMode="External"/><Relationship Id="rId18" Type="http://schemas.openxmlformats.org/officeDocument/2006/relationships/hyperlink" Target="http://www.doncaster.gov.uk/services/adult-social-care/deprivation-of-liberty-safeguards-2009-a-basic-introduction" TargetMode="External"/><Relationship Id="rId3" Type="http://schemas.openxmlformats.org/officeDocument/2006/relationships/styles" Target="styles.xml"/><Relationship Id="rId7" Type="http://schemas.openxmlformats.org/officeDocument/2006/relationships/hyperlink" Target="http://www.legislation.gov.uk/ukpga/1998/29/contents" TargetMode="External"/><Relationship Id="rId12" Type="http://schemas.openxmlformats.org/officeDocument/2006/relationships/hyperlink" Target="http://www.wales.nhs.uk/sites3/Documents/441/Advocacy%20Standards-e.pdf" TargetMode="External"/><Relationship Id="rId17" Type="http://schemas.openxmlformats.org/officeDocument/2006/relationships/hyperlink" Target="https://www.gov.uk/government/publications/special-educational-needs-sen-code-of-practice" TargetMode="External"/><Relationship Id="rId2" Type="http://schemas.openxmlformats.org/officeDocument/2006/relationships/numbering" Target="numbering.xml"/><Relationship Id="rId16" Type="http://schemas.openxmlformats.org/officeDocument/2006/relationships/hyperlink" Target="https://www.legislation.gov.uk/anaw/2014/4/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legislation.gov.uk/ukpga/1989/41/contents" TargetMode="External"/><Relationship Id="rId11" Type="http://schemas.openxmlformats.org/officeDocument/2006/relationships/hyperlink" Target="http://www.legislation.gov.uk/ukpga/2005/9/contents" TargetMode="External"/><Relationship Id="rId5" Type="http://schemas.openxmlformats.org/officeDocument/2006/relationships/webSettings" Target="webSettings.xml"/><Relationship Id="rId15" Type="http://schemas.openxmlformats.org/officeDocument/2006/relationships/hyperlink" Target="https://www.gov.uk/government/publications/the-7-principles-of-public-life" TargetMode="External"/><Relationship Id="rId10" Type="http://schemas.openxmlformats.org/officeDocument/2006/relationships/hyperlink" Target="http://www.legislation.gov.uk/ukpga/2005/9/cont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ublications.parliament.uk/pa/ld201314/ldselect/ldmentalcap/139/139.pdf" TargetMode="External"/><Relationship Id="rId14" Type="http://schemas.openxmlformats.org/officeDocument/2006/relationships/hyperlink" Target="http://www.qualityadvocacy.org.uk/wp-content/uploads/2014/03/Code-of-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A34778-94B8-4C57-83D3-FA9AF2488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3720</TotalTime>
  <Pages>9</Pages>
  <Words>3283</Words>
  <Characters>18715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Hyder Mobasher</dc:creator>
  <cp:keywords/>
  <dc:description/>
  <cp:lastModifiedBy>Hyder Mobasher</cp:lastModifiedBy>
  <cp:revision>71</cp:revision>
  <dcterms:created xsi:type="dcterms:W3CDTF">2018-05-01T11:56:00Z</dcterms:created>
  <dcterms:modified xsi:type="dcterms:W3CDTF">2018-05-07T10:56:00Z</dcterms:modified>
</cp:coreProperties>
</file>