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3EA0821B" w14:textId="6978A71A" w:rsidR="004C3422" w:rsidRDefault="004C3422" w:rsidP="008F7605">
      <w:pPr>
        <w:rPr>
          <w:b/>
          <w:sz w:val="32"/>
        </w:rPr>
      </w:pPr>
    </w:p>
    <w:p w14:paraId="2EAC1E9A" w14:textId="77777777" w:rsidR="004C3422" w:rsidRDefault="004C3422" w:rsidP="004C3422">
      <w:pPr>
        <w:jc w:val="center"/>
        <w:rPr>
          <w:b/>
          <w:sz w:val="32"/>
        </w:rPr>
      </w:pPr>
    </w:p>
    <w:p w14:paraId="1C1EC241" w14:textId="77777777" w:rsidR="004C3422" w:rsidRDefault="004C3422" w:rsidP="004C3422">
      <w:pPr>
        <w:jc w:val="center"/>
        <w:rPr>
          <w:b/>
          <w:sz w:val="32"/>
        </w:rPr>
      </w:pPr>
    </w:p>
    <w:p w14:paraId="630EF5F4" w14:textId="77777777" w:rsidR="004C3422" w:rsidRDefault="004C3422" w:rsidP="004C3422">
      <w:pPr>
        <w:jc w:val="center"/>
        <w:rPr>
          <w:b/>
          <w:sz w:val="32"/>
        </w:rPr>
      </w:pPr>
    </w:p>
    <w:p w14:paraId="4FFE7046" w14:textId="77777777" w:rsidR="004C3422" w:rsidRDefault="004C3422" w:rsidP="004C3422">
      <w:pPr>
        <w:jc w:val="center"/>
        <w:rPr>
          <w:b/>
          <w:sz w:val="32"/>
        </w:rPr>
      </w:pPr>
    </w:p>
    <w:p w14:paraId="6F261713" w14:textId="77777777" w:rsidR="004C3422" w:rsidRDefault="004C3422" w:rsidP="004C3422">
      <w:pPr>
        <w:jc w:val="center"/>
        <w:rPr>
          <w:b/>
          <w:sz w:val="32"/>
        </w:rPr>
      </w:pPr>
    </w:p>
    <w:p w14:paraId="23503874" w14:textId="77777777" w:rsidR="004C3422" w:rsidRDefault="004C3422" w:rsidP="004C3422">
      <w:pPr>
        <w:jc w:val="center"/>
        <w:rPr>
          <w:b/>
          <w:sz w:val="32"/>
        </w:rPr>
      </w:pPr>
    </w:p>
    <w:p w14:paraId="57927A0E" w14:textId="77777777" w:rsidR="004C3422" w:rsidRDefault="004C3422" w:rsidP="004C3422">
      <w:pPr>
        <w:jc w:val="center"/>
        <w:rPr>
          <w:b/>
          <w:sz w:val="32"/>
        </w:rPr>
      </w:pPr>
    </w:p>
    <w:p w14:paraId="2961429B" w14:textId="77777777" w:rsidR="004C3422" w:rsidRDefault="004C3422" w:rsidP="004C3422">
      <w:pPr>
        <w:jc w:val="center"/>
        <w:rPr>
          <w:b/>
          <w:sz w:val="32"/>
        </w:rPr>
      </w:pPr>
    </w:p>
    <w:p w14:paraId="1344EDC8" w14:textId="77777777" w:rsidR="004C3422" w:rsidRPr="004C3422" w:rsidRDefault="004C3422" w:rsidP="004C3422">
      <w:pPr>
        <w:jc w:val="center"/>
        <w:rPr>
          <w:b/>
          <w:sz w:val="32"/>
        </w:rPr>
      </w:pPr>
      <w:r w:rsidRPr="004C3422">
        <w:rPr>
          <w:b/>
          <w:sz w:val="32"/>
        </w:rPr>
        <w:t>Module Name: International financial management</w:t>
      </w:r>
    </w:p>
    <w:p w14:paraId="5662D158" w14:textId="77777777" w:rsidR="004C3422" w:rsidRPr="004C3422" w:rsidRDefault="004C3422" w:rsidP="004C3422">
      <w:pPr>
        <w:jc w:val="center"/>
        <w:rPr>
          <w:b/>
          <w:sz w:val="32"/>
        </w:rPr>
      </w:pPr>
      <w:r w:rsidRPr="004C3422">
        <w:rPr>
          <w:b/>
          <w:sz w:val="32"/>
        </w:rPr>
        <w:t>Module Code: LCBB6002</w:t>
      </w:r>
    </w:p>
    <w:p w14:paraId="280605F2" w14:textId="77777777" w:rsidR="004C3422" w:rsidRPr="004C3422" w:rsidRDefault="004C3422" w:rsidP="004C3422">
      <w:pPr>
        <w:pBdr>
          <w:bottom w:val="single" w:sz="4" w:space="1" w:color="auto"/>
        </w:pBdr>
        <w:jc w:val="center"/>
        <w:rPr>
          <w:b/>
          <w:sz w:val="32"/>
        </w:rPr>
      </w:pPr>
      <w:r w:rsidRPr="004C3422">
        <w:rPr>
          <w:b/>
          <w:sz w:val="32"/>
        </w:rPr>
        <w:t>Assessment 1</w:t>
      </w:r>
    </w:p>
    <w:p w14:paraId="0A1EDAC0" w14:textId="77777777" w:rsidR="004C3422" w:rsidRDefault="004C3422">
      <w:pPr>
        <w:rPr>
          <w:b/>
        </w:rPr>
      </w:pPr>
    </w:p>
    <w:p w14:paraId="5CBAB650" w14:textId="77777777" w:rsidR="004C3422" w:rsidRDefault="004C3422">
      <w:pPr>
        <w:rPr>
          <w:b/>
        </w:rPr>
      </w:pPr>
    </w:p>
    <w:p w14:paraId="01F10E9B" w14:textId="77777777" w:rsidR="004C3422" w:rsidRDefault="004C3422">
      <w:pPr>
        <w:rPr>
          <w:b/>
        </w:rPr>
      </w:pPr>
    </w:p>
    <w:p w14:paraId="17CA073C" w14:textId="7A65842B" w:rsidR="004C3422" w:rsidRDefault="004C3422">
      <w:pPr>
        <w:rPr>
          <w:b/>
        </w:rPr>
      </w:pPr>
      <w:r>
        <w:rPr>
          <w:b/>
        </w:rPr>
        <w:t xml:space="preserve">Student Name: </w:t>
      </w:r>
      <w:proofErr w:type="spellStart"/>
      <w:r w:rsidR="008F7605">
        <w:rPr>
          <w:b/>
        </w:rPr>
        <w:t>Ilie</w:t>
      </w:r>
      <w:proofErr w:type="spellEnd"/>
      <w:r w:rsidR="008F7605">
        <w:rPr>
          <w:b/>
        </w:rPr>
        <w:t xml:space="preserve"> </w:t>
      </w:r>
      <w:proofErr w:type="spellStart"/>
      <w:r w:rsidR="008F7605">
        <w:rPr>
          <w:b/>
        </w:rPr>
        <w:t>Topliceanu</w:t>
      </w:r>
      <w:proofErr w:type="spellEnd"/>
    </w:p>
    <w:p w14:paraId="308054FC" w14:textId="77777777" w:rsidR="008F7605" w:rsidRDefault="004C3422">
      <w:pPr>
        <w:rPr>
          <w:b/>
        </w:rPr>
      </w:pPr>
      <w:r>
        <w:rPr>
          <w:b/>
        </w:rPr>
        <w:t xml:space="preserve">Student ID: </w:t>
      </w:r>
      <w:r w:rsidR="008F7605">
        <w:rPr>
          <w:b/>
        </w:rPr>
        <w:t>1916174</w:t>
      </w:r>
    </w:p>
    <w:p w14:paraId="3C8441BF" w14:textId="3274905B" w:rsidR="004C3422" w:rsidRDefault="008F7605">
      <w:pPr>
        <w:rPr>
          <w:b/>
        </w:rPr>
      </w:pPr>
      <w:r>
        <w:rPr>
          <w:b/>
        </w:rPr>
        <w:t xml:space="preserve">Lecture Name: </w:t>
      </w:r>
      <w:proofErr w:type="spellStart"/>
      <w:r w:rsidR="00DD463D">
        <w:rPr>
          <w:b/>
        </w:rPr>
        <w:t>Dr.</w:t>
      </w:r>
      <w:proofErr w:type="spellEnd"/>
      <w:r w:rsidR="00DD463D">
        <w:rPr>
          <w:b/>
        </w:rPr>
        <w:t xml:space="preserve"> Taye </w:t>
      </w:r>
      <w:r w:rsidR="00605C5A">
        <w:rPr>
          <w:b/>
        </w:rPr>
        <w:t>Timothy</w:t>
      </w:r>
      <w:r w:rsidR="00DD463D">
        <w:rPr>
          <w:b/>
        </w:rPr>
        <w:t xml:space="preserve"> </w:t>
      </w:r>
      <w:proofErr w:type="spellStart"/>
      <w:r w:rsidR="00DD463D">
        <w:rPr>
          <w:b/>
        </w:rPr>
        <w:t>Osadiy</w:t>
      </w:r>
      <w:proofErr w:type="spellEnd"/>
      <w:r w:rsidR="004C3422">
        <w:rPr>
          <w:b/>
        </w:rPr>
        <w:br w:type="page"/>
      </w:r>
    </w:p>
    <w:sdt>
      <w:sdtPr>
        <w:rPr>
          <w:rFonts w:ascii="Times New Roman" w:eastAsia="Times New Roman" w:hAnsi="Times New Roman" w:cs="Times New Roman"/>
          <w:color w:val="auto"/>
          <w:sz w:val="24"/>
          <w:szCs w:val="24"/>
          <w:lang w:val="en-GB"/>
        </w:rPr>
        <w:id w:val="-1953084073"/>
        <w:docPartObj>
          <w:docPartGallery w:val="Table of Contents"/>
          <w:docPartUnique/>
        </w:docPartObj>
      </w:sdtPr>
      <w:sdtEndPr>
        <w:rPr>
          <w:b/>
          <w:bCs/>
          <w:noProof/>
        </w:rPr>
      </w:sdtEndPr>
      <w:sdtContent>
        <w:p w14:paraId="38DB08AA" w14:textId="77777777" w:rsidR="004C3422" w:rsidRPr="004C3422" w:rsidRDefault="004C3422" w:rsidP="004C3422">
          <w:pPr>
            <w:pStyle w:val="Titlucuprins"/>
            <w:jc w:val="center"/>
            <w:rPr>
              <w:rFonts w:ascii="Times New Roman" w:hAnsi="Times New Roman" w:cs="Times New Roman"/>
              <w:b/>
              <w:color w:val="000000" w:themeColor="text1"/>
              <w:sz w:val="24"/>
              <w:szCs w:val="24"/>
            </w:rPr>
          </w:pPr>
          <w:r w:rsidRPr="004C3422">
            <w:rPr>
              <w:rFonts w:ascii="Times New Roman" w:hAnsi="Times New Roman" w:cs="Times New Roman"/>
              <w:b/>
              <w:color w:val="000000" w:themeColor="text1"/>
              <w:sz w:val="24"/>
              <w:szCs w:val="24"/>
            </w:rPr>
            <w:t>Table of Contents</w:t>
          </w:r>
        </w:p>
        <w:p w14:paraId="45E83826" w14:textId="77777777" w:rsidR="004C3422" w:rsidRDefault="00904CC5">
          <w:pPr>
            <w:pStyle w:val="Cuprins1"/>
            <w:tabs>
              <w:tab w:val="right" w:leader="dot" w:pos="9016"/>
            </w:tabs>
            <w:rPr>
              <w:noProof/>
            </w:rPr>
          </w:pPr>
          <w:r>
            <w:fldChar w:fldCharType="begin"/>
          </w:r>
          <w:r w:rsidR="004C3422">
            <w:instrText xml:space="preserve"> TOC \o "1-3" \h \z \u </w:instrText>
          </w:r>
          <w:r>
            <w:fldChar w:fldCharType="separate"/>
          </w:r>
          <w:hyperlink w:anchor="_Toc99622061" w:history="1">
            <w:r w:rsidR="004C3422" w:rsidRPr="00305D84">
              <w:rPr>
                <w:rStyle w:val="Hyperlink"/>
                <w:noProof/>
              </w:rPr>
              <w:t>Introduction</w:t>
            </w:r>
            <w:r w:rsidR="004C3422">
              <w:rPr>
                <w:noProof/>
                <w:webHidden/>
              </w:rPr>
              <w:tab/>
            </w:r>
            <w:r>
              <w:rPr>
                <w:noProof/>
                <w:webHidden/>
              </w:rPr>
              <w:fldChar w:fldCharType="begin"/>
            </w:r>
            <w:r w:rsidR="004C3422">
              <w:rPr>
                <w:noProof/>
                <w:webHidden/>
              </w:rPr>
              <w:instrText xml:space="preserve"> PAGEREF _Toc99622061 \h </w:instrText>
            </w:r>
            <w:r>
              <w:rPr>
                <w:noProof/>
                <w:webHidden/>
              </w:rPr>
            </w:r>
            <w:r>
              <w:rPr>
                <w:noProof/>
                <w:webHidden/>
              </w:rPr>
              <w:fldChar w:fldCharType="separate"/>
            </w:r>
            <w:r w:rsidR="004C3422">
              <w:rPr>
                <w:noProof/>
                <w:webHidden/>
              </w:rPr>
              <w:t>3</w:t>
            </w:r>
            <w:r>
              <w:rPr>
                <w:noProof/>
                <w:webHidden/>
              </w:rPr>
              <w:fldChar w:fldCharType="end"/>
            </w:r>
          </w:hyperlink>
        </w:p>
        <w:p w14:paraId="78BEF433" w14:textId="77777777" w:rsidR="004C3422" w:rsidRDefault="00CB5705">
          <w:pPr>
            <w:pStyle w:val="Cuprins1"/>
            <w:tabs>
              <w:tab w:val="right" w:leader="dot" w:pos="9016"/>
            </w:tabs>
            <w:rPr>
              <w:noProof/>
            </w:rPr>
          </w:pPr>
          <w:hyperlink w:anchor="_Toc99622062" w:history="1">
            <w:r w:rsidR="004C3422" w:rsidRPr="00305D84">
              <w:rPr>
                <w:rStyle w:val="Hyperlink"/>
                <w:noProof/>
              </w:rPr>
              <w:t>Discussions</w:t>
            </w:r>
            <w:r w:rsidR="004C3422">
              <w:rPr>
                <w:noProof/>
                <w:webHidden/>
              </w:rPr>
              <w:tab/>
            </w:r>
            <w:r w:rsidR="00904CC5">
              <w:rPr>
                <w:noProof/>
                <w:webHidden/>
              </w:rPr>
              <w:fldChar w:fldCharType="begin"/>
            </w:r>
            <w:r w:rsidR="004C3422">
              <w:rPr>
                <w:noProof/>
                <w:webHidden/>
              </w:rPr>
              <w:instrText xml:space="preserve"> PAGEREF _Toc99622062 \h </w:instrText>
            </w:r>
            <w:r w:rsidR="00904CC5">
              <w:rPr>
                <w:noProof/>
                <w:webHidden/>
              </w:rPr>
            </w:r>
            <w:r w:rsidR="00904CC5">
              <w:rPr>
                <w:noProof/>
                <w:webHidden/>
              </w:rPr>
              <w:fldChar w:fldCharType="separate"/>
            </w:r>
            <w:r w:rsidR="004C3422">
              <w:rPr>
                <w:noProof/>
                <w:webHidden/>
              </w:rPr>
              <w:t>3</w:t>
            </w:r>
            <w:r w:rsidR="00904CC5">
              <w:rPr>
                <w:noProof/>
                <w:webHidden/>
              </w:rPr>
              <w:fldChar w:fldCharType="end"/>
            </w:r>
          </w:hyperlink>
        </w:p>
        <w:p w14:paraId="50AB4608" w14:textId="77777777" w:rsidR="004C3422" w:rsidRDefault="00CB5705">
          <w:pPr>
            <w:pStyle w:val="Cuprins1"/>
            <w:tabs>
              <w:tab w:val="right" w:leader="dot" w:pos="9016"/>
            </w:tabs>
            <w:rPr>
              <w:noProof/>
            </w:rPr>
          </w:pPr>
          <w:hyperlink w:anchor="_Toc99622063" w:history="1">
            <w:r w:rsidR="004C3422" w:rsidRPr="00305D84">
              <w:rPr>
                <w:rStyle w:val="Hyperlink"/>
                <w:noProof/>
              </w:rPr>
              <w:t>Conclusions</w:t>
            </w:r>
            <w:r w:rsidR="004C3422">
              <w:rPr>
                <w:noProof/>
                <w:webHidden/>
              </w:rPr>
              <w:tab/>
            </w:r>
            <w:r w:rsidR="00904CC5">
              <w:rPr>
                <w:noProof/>
                <w:webHidden/>
              </w:rPr>
              <w:fldChar w:fldCharType="begin"/>
            </w:r>
            <w:r w:rsidR="004C3422">
              <w:rPr>
                <w:noProof/>
                <w:webHidden/>
              </w:rPr>
              <w:instrText xml:space="preserve"> PAGEREF _Toc99622063 \h </w:instrText>
            </w:r>
            <w:r w:rsidR="00904CC5">
              <w:rPr>
                <w:noProof/>
                <w:webHidden/>
              </w:rPr>
            </w:r>
            <w:r w:rsidR="00904CC5">
              <w:rPr>
                <w:noProof/>
                <w:webHidden/>
              </w:rPr>
              <w:fldChar w:fldCharType="separate"/>
            </w:r>
            <w:r w:rsidR="004C3422">
              <w:rPr>
                <w:noProof/>
                <w:webHidden/>
              </w:rPr>
              <w:t>6</w:t>
            </w:r>
            <w:r w:rsidR="00904CC5">
              <w:rPr>
                <w:noProof/>
                <w:webHidden/>
              </w:rPr>
              <w:fldChar w:fldCharType="end"/>
            </w:r>
          </w:hyperlink>
        </w:p>
        <w:p w14:paraId="55AA8456" w14:textId="77777777" w:rsidR="004C3422" w:rsidRDefault="00CB5705">
          <w:pPr>
            <w:pStyle w:val="Cuprins1"/>
            <w:tabs>
              <w:tab w:val="right" w:leader="dot" w:pos="9016"/>
            </w:tabs>
            <w:rPr>
              <w:noProof/>
            </w:rPr>
          </w:pPr>
          <w:hyperlink w:anchor="_Toc99622064" w:history="1">
            <w:r w:rsidR="004C3422" w:rsidRPr="00305D84">
              <w:rPr>
                <w:rStyle w:val="Hyperlink"/>
                <w:noProof/>
              </w:rPr>
              <w:t>References</w:t>
            </w:r>
            <w:r w:rsidR="004C3422">
              <w:rPr>
                <w:noProof/>
                <w:webHidden/>
              </w:rPr>
              <w:tab/>
            </w:r>
            <w:r w:rsidR="00904CC5">
              <w:rPr>
                <w:noProof/>
                <w:webHidden/>
              </w:rPr>
              <w:fldChar w:fldCharType="begin"/>
            </w:r>
            <w:r w:rsidR="004C3422">
              <w:rPr>
                <w:noProof/>
                <w:webHidden/>
              </w:rPr>
              <w:instrText xml:space="preserve"> PAGEREF _Toc99622064 \h </w:instrText>
            </w:r>
            <w:r w:rsidR="00904CC5">
              <w:rPr>
                <w:noProof/>
                <w:webHidden/>
              </w:rPr>
            </w:r>
            <w:r w:rsidR="00904CC5">
              <w:rPr>
                <w:noProof/>
                <w:webHidden/>
              </w:rPr>
              <w:fldChar w:fldCharType="separate"/>
            </w:r>
            <w:r w:rsidR="004C3422">
              <w:rPr>
                <w:noProof/>
                <w:webHidden/>
              </w:rPr>
              <w:t>7</w:t>
            </w:r>
            <w:r w:rsidR="00904CC5">
              <w:rPr>
                <w:noProof/>
                <w:webHidden/>
              </w:rPr>
              <w:fldChar w:fldCharType="end"/>
            </w:r>
          </w:hyperlink>
        </w:p>
        <w:p w14:paraId="09A3B282" w14:textId="77777777" w:rsidR="004C3422" w:rsidRDefault="00904CC5">
          <w:r>
            <w:rPr>
              <w:b/>
              <w:bCs/>
              <w:noProof/>
            </w:rPr>
            <w:fldChar w:fldCharType="end"/>
          </w:r>
        </w:p>
      </w:sdtContent>
    </w:sdt>
    <w:p w14:paraId="6803E1D7" w14:textId="77777777" w:rsidR="004C3422" w:rsidRDefault="004C3422">
      <w:pPr>
        <w:rPr>
          <w:b/>
        </w:rPr>
      </w:pPr>
      <w:r>
        <w:rPr>
          <w:b/>
        </w:rPr>
        <w:br w:type="page"/>
      </w:r>
    </w:p>
    <w:p w14:paraId="77FBF348" w14:textId="77777777" w:rsidR="006C19CC" w:rsidRDefault="0062734B" w:rsidP="004C3422">
      <w:pPr>
        <w:pStyle w:val="Titlu1"/>
      </w:pPr>
      <w:bookmarkStart w:id="0" w:name="_Toc99622061"/>
      <w:r>
        <w:lastRenderedPageBreak/>
        <w:t>Introduction</w:t>
      </w:r>
      <w:bookmarkEnd w:id="0"/>
    </w:p>
    <w:p w14:paraId="17B10CDE" w14:textId="77777777" w:rsidR="006C19CC" w:rsidRDefault="0062734B">
      <w:r>
        <w:t xml:space="preserve">Conceptual approach of “financial management” applied in a large prospect that provides importance to the identification approach of accounting growth and development including performance initiatives in a proper order. It is used to formulate some structural modifications also with respect to which “wealth maximisation concept of the </w:t>
      </w:r>
      <w:r w:rsidR="004C3422">
        <w:t>shareholder” can</w:t>
      </w:r>
      <w:r>
        <w:t xml:space="preserve"> be formulated and the probable opportunity regarding business stability can also be initiated in a systematic manner. Identifying the approach </w:t>
      </w:r>
      <w:r w:rsidR="004C3422">
        <w:t>of accounting</w:t>
      </w:r>
      <w:r>
        <w:t xml:space="preserve"> formulation with respect to positive accounting growth is initiated in order to maintain some structural identification approach of the business in a proper order also with respect to which a proper volume up performance development initiative can be balanced (</w:t>
      </w:r>
      <w:proofErr w:type="spellStart"/>
      <w:r>
        <w:rPr>
          <w:color w:val="222222"/>
          <w:highlight w:val="white"/>
        </w:rPr>
        <w:t>Prihartono</w:t>
      </w:r>
      <w:proofErr w:type="spellEnd"/>
      <w:r>
        <w:rPr>
          <w:color w:val="222222"/>
          <w:highlight w:val="white"/>
        </w:rPr>
        <w:t xml:space="preserve"> and </w:t>
      </w:r>
      <w:proofErr w:type="spellStart"/>
      <w:r>
        <w:rPr>
          <w:color w:val="222222"/>
          <w:highlight w:val="white"/>
        </w:rPr>
        <w:t>Asandimitra</w:t>
      </w:r>
      <w:proofErr w:type="spellEnd"/>
      <w:r>
        <w:rPr>
          <w:color w:val="222222"/>
          <w:highlight w:val="white"/>
        </w:rPr>
        <w:t>, 2018)</w:t>
      </w:r>
      <w:r>
        <w:t xml:space="preserve">. </w:t>
      </w:r>
    </w:p>
    <w:p w14:paraId="7E474FED" w14:textId="4FA4C665" w:rsidR="006C19CC" w:rsidRDefault="0062734B">
      <w:r>
        <w:t xml:space="preserve"> In this </w:t>
      </w:r>
      <w:r w:rsidR="00AC277D">
        <w:t>discussion</w:t>
      </w:r>
      <w:r>
        <w:t xml:space="preserve"> a proper analysis related to the financial and accounting appraisal approach for the business of Tesco PLC has been evaluated in respect to current financial approach. </w:t>
      </w:r>
    </w:p>
    <w:p w14:paraId="10D2288B" w14:textId="77777777" w:rsidR="006C19CC" w:rsidRDefault="0062734B" w:rsidP="004C3422">
      <w:pPr>
        <w:pStyle w:val="Titlu1"/>
      </w:pPr>
      <w:bookmarkStart w:id="1" w:name="_Toc99622062"/>
      <w:r>
        <w:t>Discussions</w:t>
      </w:r>
      <w:bookmarkEnd w:id="1"/>
    </w:p>
    <w:p w14:paraId="696A1045" w14:textId="77777777" w:rsidR="006C19CC" w:rsidRDefault="0062734B">
      <w:r>
        <w:t xml:space="preserve">Applied importance to the accounting identification is essential for every individual business that provides a proper recognising support in respect to accountability and growth initiatives approach of business basically. In order to initiate supportive accounting identification a proper knowledge regarding accounting theoretical and practical is necessary with considering different branches of accounting support that provides a level of compatibility processing mainly. </w:t>
      </w:r>
      <w:r>
        <w:rPr>
          <w:b/>
        </w:rPr>
        <w:t>Tesco PLC</w:t>
      </w:r>
      <w:r>
        <w:t xml:space="preserve"> is recognised as a “British multinational grocery and general Merchandise retail organisation incorporated in the United Kingdom during the period of 1919”. It mainly operated for more than 103 years and at the present scenario it used </w:t>
      </w:r>
      <w:r w:rsidR="004C3422">
        <w:t>to provide</w:t>
      </w:r>
      <w:r>
        <w:t xml:space="preserve"> support services with the presence of 4673 different shops on a worldwide basis (</w:t>
      </w:r>
      <w:r>
        <w:rPr>
          <w:highlight w:val="white"/>
        </w:rPr>
        <w:t>Tesco plc, 2022)</w:t>
      </w:r>
      <w:r>
        <w:t xml:space="preserve">. </w:t>
      </w:r>
    </w:p>
    <w:p w14:paraId="24FF149D" w14:textId="754DE35A" w:rsidR="006C19CC" w:rsidRDefault="0062734B">
      <w:r>
        <w:t xml:space="preserve">With respect to the general approach, the importance of the dividend concept associated with every individual </w:t>
      </w:r>
      <w:r w:rsidR="004C3422">
        <w:t>business is</w:t>
      </w:r>
      <w:r>
        <w:t xml:space="preserve"> necessary with support of which a proper structural modification including development attributes related to business growth can be managed in a proper order. This particular concept is initiated by a public company with the primary approach of market capitalisation stability and is supported by the amount of stakeholder engagement purposes basically (</w:t>
      </w:r>
      <w:r>
        <w:rPr>
          <w:color w:val="222222"/>
          <w:highlight w:val="white"/>
        </w:rPr>
        <w:t xml:space="preserve">Al </w:t>
      </w:r>
      <w:proofErr w:type="spellStart"/>
      <w:r>
        <w:rPr>
          <w:color w:val="222222"/>
          <w:highlight w:val="white"/>
        </w:rPr>
        <w:t>Muhairi</w:t>
      </w:r>
      <w:proofErr w:type="spellEnd"/>
      <w:r>
        <w:rPr>
          <w:color w:val="222222"/>
          <w:highlight w:val="white"/>
        </w:rPr>
        <w:t xml:space="preserve"> and </w:t>
      </w:r>
      <w:proofErr w:type="spellStart"/>
      <w:r>
        <w:rPr>
          <w:color w:val="222222"/>
          <w:highlight w:val="white"/>
        </w:rPr>
        <w:t>Nobanee</w:t>
      </w:r>
      <w:proofErr w:type="spellEnd"/>
      <w:r>
        <w:rPr>
          <w:color w:val="222222"/>
          <w:highlight w:val="white"/>
        </w:rPr>
        <w:t>, 2019)</w:t>
      </w:r>
      <w:r>
        <w:t>. In respect to the present performances in the present accounting period the organisation provides 9.15p as dividend per share to individual shareholders</w:t>
      </w:r>
      <w:r w:rsidR="00BD1DDB">
        <w:t xml:space="preserve"> (</w:t>
      </w:r>
      <w:r w:rsidR="00BD1DDB">
        <w:rPr>
          <w:highlight w:val="white"/>
        </w:rPr>
        <w:t>Tesco plc, 2022)</w:t>
      </w:r>
      <w:r>
        <w:t xml:space="preserve">. Generally this organisation used to provide three different dividend payment approaches regarding direct Bank payment, through the issuance of dividend reinvestment planning or via sending a cheque to the shareholder address. Including the same approach the organisation also initiated a positive volume of focus over the dividend reinvestment planning with support of which instead of initiating payment the organisation </w:t>
      </w:r>
      <w:r>
        <w:lastRenderedPageBreak/>
        <w:t>issued a significant amount of share capital to the investors so that the volume of capital balance processing can be initiated as well as the standardised formulation of business growth can also be when is in a structural order (</w:t>
      </w:r>
      <w:r>
        <w:rPr>
          <w:highlight w:val="white"/>
        </w:rPr>
        <w:t>Tesco plc, 2022)</w:t>
      </w:r>
      <w:r>
        <w:t xml:space="preserve">. </w:t>
      </w:r>
    </w:p>
    <w:p w14:paraId="68C693F0" w14:textId="04AE702B" w:rsidR="006C19CC" w:rsidRDefault="0062734B">
      <w:r>
        <w:t xml:space="preserve">The concept of </w:t>
      </w:r>
      <w:r w:rsidR="004C3422">
        <w:t>dividend investment</w:t>
      </w:r>
      <w:r>
        <w:t xml:space="preserve"> planning is also recognised as </w:t>
      </w:r>
      <w:r w:rsidR="004C3422">
        <w:t>dividend equivalent</w:t>
      </w:r>
      <w:r w:rsidR="001C1620">
        <w:t xml:space="preserve"> </w:t>
      </w:r>
      <w:r>
        <w:t>with respect to which an accumulated approach related to dividend processing is initiated. According to the theoretical approach different types of dividend policy engagement is noticed in case of individual bu</w:t>
      </w:r>
      <w:r w:rsidR="001C1620">
        <w:t>siness and from that approach, Tesco plc</w:t>
      </w:r>
      <w:r>
        <w:t xml:space="preserve"> is mainly used to provide importance to the </w:t>
      </w:r>
      <w:r w:rsidRPr="001C1620">
        <w:rPr>
          <w:b/>
        </w:rPr>
        <w:t>constant Dividend policy</w:t>
      </w:r>
      <w:r>
        <w:t xml:space="preserve"> concept with maintenance of which a proper volume of percentage of the earnings is distributed among the shareholders by the way of dividend. </w:t>
      </w:r>
      <w:r w:rsidR="001C1620">
        <w:t xml:space="preserve">However, such policy is unable to manage the positive beneficial support like residual dividend policy with the presence of which general financial strategic initiatives can also be proceeds. </w:t>
      </w:r>
      <w:r>
        <w:t>Through the formulation of this particular processing, a significant volume of volatility is related to company earnings (</w:t>
      </w:r>
      <w:r>
        <w:rPr>
          <w:highlight w:val="white"/>
        </w:rPr>
        <w:t>Tesco plc, 2022)</w:t>
      </w:r>
      <w:r>
        <w:t>. The process can be initiated and the volume of dividend structural growth can also be managed on a proper basis. Under the circumstances if the business is unable to make any significant amount of profit, therefore no such dividend will be distributed among the shareholders on the contrary while a sufficient amount of profit is initiated a positive volume of proper stability dividend is distributed</w:t>
      </w:r>
      <w:r w:rsidR="001C1620">
        <w:t xml:space="preserve">. </w:t>
      </w:r>
      <w:r>
        <w:t xml:space="preserve">With the application of this type of processing the general formulated development including comprehensive structural processing in the business are generally initiated in order to maintain the comprehensive development approach of the business in future on a more supportive basis. In respect to the basic approach the organisation also used to provide special dividends to some potential persons of the business </w:t>
      </w:r>
      <w:r w:rsidR="004C3422">
        <w:t>also in</w:t>
      </w:r>
      <w:r>
        <w:t xml:space="preserve"> order to manage the compatibility development structure in the most supportive basis (</w:t>
      </w:r>
      <w:r>
        <w:rPr>
          <w:color w:val="222222"/>
          <w:highlight w:val="white"/>
        </w:rPr>
        <w:t xml:space="preserve">Martin </w:t>
      </w:r>
      <w:r>
        <w:rPr>
          <w:i/>
          <w:color w:val="222222"/>
          <w:highlight w:val="white"/>
        </w:rPr>
        <w:t xml:space="preserve">et al., </w:t>
      </w:r>
      <w:r>
        <w:rPr>
          <w:color w:val="222222"/>
          <w:highlight w:val="white"/>
        </w:rPr>
        <w:t>2020)</w:t>
      </w:r>
      <w:r>
        <w:t xml:space="preserve">. </w:t>
      </w:r>
    </w:p>
    <w:p w14:paraId="25265447" w14:textId="14CD57E4" w:rsidR="006C19CC" w:rsidRDefault="0062734B">
      <w:r>
        <w:t>Applied the general approach of market hypothesis theory is initiated in order to provide a detailed structural identification support regarding business share capital in respect of which an overall accountability approach of business can be determined. It is also used to identify the general approach related to business growth and accountability processing which is also influential in order to maintain the performance stability and other processing in a supportive basis (</w:t>
      </w:r>
      <w:r>
        <w:rPr>
          <w:color w:val="222222"/>
          <w:highlight w:val="white"/>
        </w:rPr>
        <w:t xml:space="preserve">Brigham and </w:t>
      </w:r>
      <w:proofErr w:type="spellStart"/>
      <w:r>
        <w:rPr>
          <w:color w:val="222222"/>
          <w:highlight w:val="white"/>
        </w:rPr>
        <w:t>Daves</w:t>
      </w:r>
      <w:proofErr w:type="spellEnd"/>
      <w:r>
        <w:rPr>
          <w:color w:val="222222"/>
          <w:highlight w:val="white"/>
        </w:rPr>
        <w:t>, 2018)</w:t>
      </w:r>
      <w:r>
        <w:t>. According to the provided financial approach the present share price of this business has resulted in 282.85+2.60basically, which is sustainable for managing business accounting approaches on a positive basis. Associated with the same approach the market capitalization value of the business at the present scenario is indicating the volume of 21.568billion along with beta of 0.56, PE ratio 3.34 and EPS structure of 84.60 respectively (</w:t>
      </w:r>
      <w:r>
        <w:rPr>
          <w:highlight w:val="white"/>
        </w:rPr>
        <w:t>Finance.yahoo.com, 2022)</w:t>
      </w:r>
      <w:r>
        <w:t xml:space="preserve">. The approach of present financial performance is </w:t>
      </w:r>
      <w:r>
        <w:lastRenderedPageBreak/>
        <w:t xml:space="preserve">basically indicating a comprehensive development approach for the business with respect of which the general modification including accounting development initiative in future can effectively balance and which is also sustainable for individual investors in order to </w:t>
      </w:r>
      <w:r w:rsidR="004C3422">
        <w:t>get significant</w:t>
      </w:r>
      <w:r>
        <w:t xml:space="preserve"> value of returning support as well. As per the basic forecasted analysis some of the evaluators are indicating, the overall volume of share price for this business can supportively expand within the period of 2022 as the general approach regarding marketing development as well as productive demand for this particular organisation are supportively expanded. Including the same approach present development in the supply chain management for this business is also providing a comprehensive approach with respect of which the general potential to include marketing project structure can also be established in a strong manner (</w:t>
      </w:r>
      <w:r>
        <w:rPr>
          <w:highlight w:val="white"/>
        </w:rPr>
        <w:t>Tesco plc, 2022)</w:t>
      </w:r>
      <w:r>
        <w:t>. Associated with same approach, the present situation related to food price inflation provides supportive and comprehensive points for the marketing standardisation in respect of which the compatibility including share price in approach for this particular business can supportivel</w:t>
      </w:r>
      <w:r w:rsidR="001C1620">
        <w:t xml:space="preserve">y expand in the upcoming days. </w:t>
      </w:r>
      <w:r>
        <w:t>From that approach it can be considerable the appearances of positive market theories can be initiated in order to recognise the overall compatibility and suitable processing as well depending on which external investors can initiate some significant strategic processing related to their investment in a proper manner (</w:t>
      </w:r>
      <w:r>
        <w:rPr>
          <w:color w:val="222222"/>
          <w:highlight w:val="white"/>
        </w:rPr>
        <w:t>Brigham and Ehrhardt, 2019)</w:t>
      </w:r>
      <w:r>
        <w:t xml:space="preserve">. </w:t>
      </w:r>
    </w:p>
    <w:p w14:paraId="4A7BE575" w14:textId="178059F9" w:rsidR="006C19CC" w:rsidRDefault="0062734B">
      <w:r>
        <w:t>Applied the general construction guidelines related to “financial management provide importance to the technique associated to investment appraisal processing in a supportive order with respect of which the general accountability including project initiative can effectively formulated” (</w:t>
      </w:r>
      <w:r>
        <w:rPr>
          <w:color w:val="222222"/>
          <w:highlight w:val="white"/>
        </w:rPr>
        <w:t xml:space="preserve">Shapiro and </w:t>
      </w:r>
      <w:proofErr w:type="spellStart"/>
      <w:r>
        <w:rPr>
          <w:color w:val="222222"/>
          <w:highlight w:val="white"/>
        </w:rPr>
        <w:t>Hanouna</w:t>
      </w:r>
      <w:proofErr w:type="spellEnd"/>
      <w:r>
        <w:rPr>
          <w:color w:val="222222"/>
          <w:highlight w:val="white"/>
        </w:rPr>
        <w:t>, 2019)</w:t>
      </w:r>
      <w:r>
        <w:t>. It also used to provide a positive identification support regarding project compatibility with respect to business financial capability basically that used to provide a proper volume of sustainability growth determination approach in a comprehensive basis. In accordance with the present performance approach and sustainability engagement the management of Tesco PLC used to provide importance of the major  green power project plan with respect of which a significant number of “5 onshore wind farms and 1 solar farm will be created for the purpose of effective energy supportive reasons” (</w:t>
      </w:r>
      <w:r>
        <w:rPr>
          <w:highlight w:val="white"/>
        </w:rPr>
        <w:t>Tesco plc, 2022)</w:t>
      </w:r>
      <w:r>
        <w:t xml:space="preserve">. In order to initiate this particular project the application of “net present value concept as well as </w:t>
      </w:r>
      <w:r w:rsidR="004C3422">
        <w:t>payback approach</w:t>
      </w:r>
      <w:r>
        <w:t xml:space="preserve"> is supportive notice” that used to provide a positive volume of comprehensive </w:t>
      </w:r>
      <w:proofErr w:type="spellStart"/>
      <w:r>
        <w:t>view points</w:t>
      </w:r>
      <w:proofErr w:type="spellEnd"/>
      <w:r>
        <w:t xml:space="preserve"> related to project compatibility on a positive basis.  The presence of positive accounting revaluation support associated with the approach of this type of determination are used to provide a proper volume up sustainability development as well as </w:t>
      </w:r>
      <w:r>
        <w:lastRenderedPageBreak/>
        <w:t xml:space="preserve">formulated growth approach also depending on which the probable opportunity and comprehensive points regarding business financial stability can also be managed. </w:t>
      </w:r>
    </w:p>
    <w:p w14:paraId="0E1EA627" w14:textId="77777777" w:rsidR="006C19CC" w:rsidRDefault="0062734B" w:rsidP="004C3422">
      <w:pPr>
        <w:pStyle w:val="Titlu1"/>
      </w:pPr>
      <w:bookmarkStart w:id="2" w:name="_Toc99622063"/>
      <w:r>
        <w:t>Conclusions</w:t>
      </w:r>
      <w:bookmarkEnd w:id="2"/>
    </w:p>
    <w:p w14:paraId="48D8E82E" w14:textId="77777777" w:rsidR="006C19CC" w:rsidRDefault="0062734B">
      <w:r>
        <w:t xml:space="preserve">In respect to the general approach, it is recognisable that accounting evaluation is not only used to provide a proper identifiable support regarding business financial areas. Instead, it is also used to recognise a positive strategic formulation support depending on which the probable opportunity of business can stably manage. In respect to the present performance initiative of this business the management needs to initiate some significant cost maintenance and development of revenue processing approach in a proper order with respect to which the surprising growth can be initiated. The management also needs to provide importance over the project evaluating approach in a proper order so that the proper volume of operating compatibility can also be derived with the supportive basis. </w:t>
      </w:r>
    </w:p>
    <w:p w14:paraId="44500786" w14:textId="77777777" w:rsidR="004C3422" w:rsidRDefault="004C3422">
      <w:r>
        <w:br w:type="page"/>
      </w:r>
    </w:p>
    <w:p w14:paraId="4D3D7F36" w14:textId="77777777" w:rsidR="004C3422" w:rsidRPr="004C3422" w:rsidRDefault="004C3422" w:rsidP="004C3422">
      <w:pPr>
        <w:pStyle w:val="Titlu1"/>
      </w:pPr>
      <w:bookmarkStart w:id="3" w:name="_Toc99622064"/>
      <w:r w:rsidRPr="004C3422">
        <w:lastRenderedPageBreak/>
        <w:t>References</w:t>
      </w:r>
      <w:bookmarkEnd w:id="3"/>
    </w:p>
    <w:p w14:paraId="4B462B29" w14:textId="77777777" w:rsidR="004C3422" w:rsidRPr="003544B0" w:rsidRDefault="004C3422" w:rsidP="004C3422">
      <w:pPr>
        <w:rPr>
          <w:color w:val="222222"/>
          <w:shd w:val="clear" w:color="auto" w:fill="FFFFFF"/>
        </w:rPr>
      </w:pPr>
      <w:r w:rsidRPr="003544B0">
        <w:rPr>
          <w:color w:val="222222"/>
          <w:shd w:val="clear" w:color="auto" w:fill="FFFFFF"/>
        </w:rPr>
        <w:t xml:space="preserve">Al </w:t>
      </w:r>
      <w:proofErr w:type="spellStart"/>
      <w:r w:rsidRPr="003544B0">
        <w:rPr>
          <w:color w:val="222222"/>
          <w:shd w:val="clear" w:color="auto" w:fill="FFFFFF"/>
        </w:rPr>
        <w:t>Muhairi</w:t>
      </w:r>
      <w:proofErr w:type="spellEnd"/>
      <w:r w:rsidRPr="003544B0">
        <w:rPr>
          <w:color w:val="222222"/>
          <w:shd w:val="clear" w:color="auto" w:fill="FFFFFF"/>
        </w:rPr>
        <w:t xml:space="preserve">, M. and </w:t>
      </w:r>
      <w:proofErr w:type="spellStart"/>
      <w:r w:rsidRPr="003544B0">
        <w:rPr>
          <w:color w:val="222222"/>
          <w:shd w:val="clear" w:color="auto" w:fill="FFFFFF"/>
        </w:rPr>
        <w:t>Nobanee</w:t>
      </w:r>
      <w:proofErr w:type="spellEnd"/>
      <w:r w:rsidRPr="003544B0">
        <w:rPr>
          <w:color w:val="222222"/>
          <w:shd w:val="clear" w:color="auto" w:fill="FFFFFF"/>
        </w:rPr>
        <w:t>, H., 2019. Sustainable financial management. </w:t>
      </w:r>
      <w:r w:rsidRPr="003544B0">
        <w:rPr>
          <w:i/>
          <w:iCs/>
          <w:color w:val="222222"/>
          <w:shd w:val="clear" w:color="auto" w:fill="FFFFFF"/>
        </w:rPr>
        <w:t>Available at SSRN 3472417</w:t>
      </w:r>
      <w:r w:rsidRPr="003544B0">
        <w:rPr>
          <w:color w:val="222222"/>
          <w:shd w:val="clear" w:color="auto" w:fill="FFFFFF"/>
        </w:rPr>
        <w:t>.</w:t>
      </w:r>
    </w:p>
    <w:p w14:paraId="5DF296FD" w14:textId="77777777" w:rsidR="004C3422" w:rsidRPr="003544B0" w:rsidRDefault="004C3422" w:rsidP="004C3422">
      <w:pPr>
        <w:rPr>
          <w:color w:val="222222"/>
          <w:shd w:val="clear" w:color="auto" w:fill="FFFFFF"/>
        </w:rPr>
      </w:pPr>
      <w:r w:rsidRPr="003544B0">
        <w:rPr>
          <w:color w:val="222222"/>
          <w:shd w:val="clear" w:color="auto" w:fill="FFFFFF"/>
        </w:rPr>
        <w:t xml:space="preserve">Brigham, E.F. and </w:t>
      </w:r>
      <w:proofErr w:type="spellStart"/>
      <w:r w:rsidRPr="003544B0">
        <w:rPr>
          <w:color w:val="222222"/>
          <w:shd w:val="clear" w:color="auto" w:fill="FFFFFF"/>
        </w:rPr>
        <w:t>Daves</w:t>
      </w:r>
      <w:proofErr w:type="spellEnd"/>
      <w:r w:rsidRPr="003544B0">
        <w:rPr>
          <w:color w:val="222222"/>
          <w:shd w:val="clear" w:color="auto" w:fill="FFFFFF"/>
        </w:rPr>
        <w:t>, P.R., 2018. </w:t>
      </w:r>
      <w:r w:rsidRPr="003544B0">
        <w:rPr>
          <w:i/>
          <w:iCs/>
          <w:color w:val="222222"/>
          <w:shd w:val="clear" w:color="auto" w:fill="FFFFFF"/>
        </w:rPr>
        <w:t>Intermediate financial management</w:t>
      </w:r>
      <w:r w:rsidRPr="003544B0">
        <w:rPr>
          <w:color w:val="222222"/>
          <w:shd w:val="clear" w:color="auto" w:fill="FFFFFF"/>
        </w:rPr>
        <w:t>. Cengage Learning.</w:t>
      </w:r>
    </w:p>
    <w:p w14:paraId="3E97529C" w14:textId="77777777" w:rsidR="004C3422" w:rsidRPr="003544B0" w:rsidRDefault="004C3422" w:rsidP="004C3422">
      <w:pPr>
        <w:rPr>
          <w:color w:val="222222"/>
          <w:shd w:val="clear" w:color="auto" w:fill="FFFFFF"/>
        </w:rPr>
      </w:pPr>
      <w:r w:rsidRPr="003544B0">
        <w:rPr>
          <w:color w:val="222222"/>
          <w:shd w:val="clear" w:color="auto" w:fill="FFFFFF"/>
        </w:rPr>
        <w:t>Brigham, E.F. and Ehrhardt, M.C., 2019. </w:t>
      </w:r>
      <w:r w:rsidRPr="003544B0">
        <w:rPr>
          <w:i/>
          <w:iCs/>
          <w:color w:val="222222"/>
          <w:shd w:val="clear" w:color="auto" w:fill="FFFFFF"/>
        </w:rPr>
        <w:t>Financial management: Theory &amp; practice</w:t>
      </w:r>
      <w:r w:rsidRPr="003544B0">
        <w:rPr>
          <w:color w:val="222222"/>
          <w:shd w:val="clear" w:color="auto" w:fill="FFFFFF"/>
        </w:rPr>
        <w:t>. Cengage Learning.</w:t>
      </w:r>
    </w:p>
    <w:p w14:paraId="4E48F753" w14:textId="77777777" w:rsidR="004C3422" w:rsidRPr="003544B0" w:rsidRDefault="004C3422" w:rsidP="004C3422">
      <w:pPr>
        <w:rPr>
          <w:color w:val="000000"/>
          <w:shd w:val="clear" w:color="auto" w:fill="FFFFFF"/>
        </w:rPr>
      </w:pPr>
      <w:r w:rsidRPr="003544B0">
        <w:rPr>
          <w:color w:val="000000"/>
          <w:shd w:val="clear" w:color="auto" w:fill="FFFFFF"/>
        </w:rPr>
        <w:t>Finance.yahoo.com. 2022. </w:t>
      </w:r>
      <w:r w:rsidRPr="003544B0">
        <w:rPr>
          <w:i/>
          <w:iCs/>
          <w:color w:val="000000"/>
          <w:shd w:val="clear" w:color="auto" w:fill="FFFFFF"/>
        </w:rPr>
        <w:t>Yahoo is part of the Yahoo family of brands</w:t>
      </w:r>
      <w:r w:rsidRPr="003544B0">
        <w:rPr>
          <w:color w:val="000000"/>
          <w:shd w:val="clear" w:color="auto" w:fill="FFFFFF"/>
        </w:rPr>
        <w:t>. [online] Available at: &lt;https://finance.yahoo.com/quote/TSCO.L/&gt; [Accessed 31 March 2022].</w:t>
      </w:r>
    </w:p>
    <w:p w14:paraId="6044FE05" w14:textId="77777777" w:rsidR="004C3422" w:rsidRPr="003544B0" w:rsidRDefault="004C3422" w:rsidP="004C3422">
      <w:pPr>
        <w:rPr>
          <w:color w:val="222222"/>
          <w:shd w:val="clear" w:color="auto" w:fill="FFFFFF"/>
        </w:rPr>
      </w:pPr>
      <w:r w:rsidRPr="003544B0">
        <w:rPr>
          <w:color w:val="222222"/>
          <w:shd w:val="clear" w:color="auto" w:fill="FFFFFF"/>
        </w:rPr>
        <w:t>Martin, J.D., Keown, A.J. and Titman, S., 2020. </w:t>
      </w:r>
      <w:r w:rsidRPr="003544B0">
        <w:rPr>
          <w:i/>
          <w:iCs/>
          <w:color w:val="222222"/>
          <w:shd w:val="clear" w:color="auto" w:fill="FFFFFF"/>
        </w:rPr>
        <w:t>Financial management: principles and applications</w:t>
      </w:r>
      <w:r w:rsidRPr="003544B0">
        <w:rPr>
          <w:color w:val="222222"/>
          <w:shd w:val="clear" w:color="auto" w:fill="FFFFFF"/>
        </w:rPr>
        <w:t>. Prentice Hall.</w:t>
      </w:r>
    </w:p>
    <w:p w14:paraId="51D201F9" w14:textId="77777777" w:rsidR="004C3422" w:rsidRPr="003544B0" w:rsidRDefault="004C3422" w:rsidP="004C3422">
      <w:pPr>
        <w:rPr>
          <w:color w:val="222222"/>
          <w:shd w:val="clear" w:color="auto" w:fill="FFFFFF"/>
        </w:rPr>
      </w:pPr>
      <w:proofErr w:type="spellStart"/>
      <w:r w:rsidRPr="003544B0">
        <w:rPr>
          <w:color w:val="222222"/>
          <w:shd w:val="clear" w:color="auto" w:fill="FFFFFF"/>
        </w:rPr>
        <w:t>Prihartono</w:t>
      </w:r>
      <w:proofErr w:type="spellEnd"/>
      <w:r w:rsidRPr="003544B0">
        <w:rPr>
          <w:color w:val="222222"/>
          <w:shd w:val="clear" w:color="auto" w:fill="FFFFFF"/>
        </w:rPr>
        <w:t xml:space="preserve">, M.R.D. and </w:t>
      </w:r>
      <w:proofErr w:type="spellStart"/>
      <w:r w:rsidRPr="003544B0">
        <w:rPr>
          <w:color w:val="222222"/>
          <w:shd w:val="clear" w:color="auto" w:fill="FFFFFF"/>
        </w:rPr>
        <w:t>Asandimitra</w:t>
      </w:r>
      <w:proofErr w:type="spellEnd"/>
      <w:r w:rsidRPr="003544B0">
        <w:rPr>
          <w:color w:val="222222"/>
          <w:shd w:val="clear" w:color="auto" w:fill="FFFFFF"/>
        </w:rPr>
        <w:t>, N., 2018. Analysis factors influencing financial management behaviour. </w:t>
      </w:r>
      <w:r w:rsidRPr="003544B0">
        <w:rPr>
          <w:i/>
          <w:iCs/>
          <w:color w:val="222222"/>
          <w:shd w:val="clear" w:color="auto" w:fill="FFFFFF"/>
        </w:rPr>
        <w:t>International Journal of Academic Research in Business and Social Sciences</w:t>
      </w:r>
      <w:r w:rsidRPr="003544B0">
        <w:rPr>
          <w:color w:val="222222"/>
          <w:shd w:val="clear" w:color="auto" w:fill="FFFFFF"/>
        </w:rPr>
        <w:t>, </w:t>
      </w:r>
      <w:r w:rsidRPr="003544B0">
        <w:rPr>
          <w:i/>
          <w:iCs/>
          <w:color w:val="222222"/>
          <w:shd w:val="clear" w:color="auto" w:fill="FFFFFF"/>
        </w:rPr>
        <w:t>8</w:t>
      </w:r>
      <w:r w:rsidRPr="003544B0">
        <w:rPr>
          <w:color w:val="222222"/>
          <w:shd w:val="clear" w:color="auto" w:fill="FFFFFF"/>
        </w:rPr>
        <w:t>(8), pp.308-326.</w:t>
      </w:r>
    </w:p>
    <w:p w14:paraId="00A2867A" w14:textId="77777777" w:rsidR="004C3422" w:rsidRPr="003544B0" w:rsidRDefault="004C3422" w:rsidP="004C3422">
      <w:pPr>
        <w:rPr>
          <w:color w:val="222222"/>
          <w:shd w:val="clear" w:color="auto" w:fill="FFFFFF"/>
        </w:rPr>
      </w:pPr>
      <w:r w:rsidRPr="003544B0">
        <w:rPr>
          <w:color w:val="222222"/>
          <w:shd w:val="clear" w:color="auto" w:fill="FFFFFF"/>
        </w:rPr>
        <w:t xml:space="preserve">Shapiro, A.C. and </w:t>
      </w:r>
      <w:proofErr w:type="spellStart"/>
      <w:r w:rsidRPr="003544B0">
        <w:rPr>
          <w:color w:val="222222"/>
          <w:shd w:val="clear" w:color="auto" w:fill="FFFFFF"/>
        </w:rPr>
        <w:t>Hanouna</w:t>
      </w:r>
      <w:proofErr w:type="spellEnd"/>
      <w:r w:rsidRPr="003544B0">
        <w:rPr>
          <w:color w:val="222222"/>
          <w:shd w:val="clear" w:color="auto" w:fill="FFFFFF"/>
        </w:rPr>
        <w:t>, P., 2019. </w:t>
      </w:r>
      <w:r w:rsidRPr="003544B0">
        <w:rPr>
          <w:i/>
          <w:iCs/>
          <w:color w:val="222222"/>
          <w:shd w:val="clear" w:color="auto" w:fill="FFFFFF"/>
        </w:rPr>
        <w:t>Multinational financial management</w:t>
      </w:r>
      <w:r w:rsidRPr="003544B0">
        <w:rPr>
          <w:color w:val="222222"/>
          <w:shd w:val="clear" w:color="auto" w:fill="FFFFFF"/>
        </w:rPr>
        <w:t>. John Wiley &amp; Sons.</w:t>
      </w:r>
    </w:p>
    <w:p w14:paraId="760DA1B3" w14:textId="77777777" w:rsidR="004C3422" w:rsidRPr="003544B0" w:rsidRDefault="004C3422" w:rsidP="004C3422">
      <w:pPr>
        <w:rPr>
          <w:color w:val="000000"/>
          <w:shd w:val="clear" w:color="auto" w:fill="FFFFFF"/>
        </w:rPr>
      </w:pPr>
      <w:r w:rsidRPr="003544B0">
        <w:rPr>
          <w:color w:val="000000"/>
          <w:shd w:val="clear" w:color="auto" w:fill="FFFFFF"/>
        </w:rPr>
        <w:t xml:space="preserve">Tesco plc. 2022. [online] </w:t>
      </w:r>
      <w:r w:rsidR="00BD1DDB">
        <w:rPr>
          <w:i/>
          <w:color w:val="000000"/>
          <w:shd w:val="clear" w:color="auto" w:fill="FFFFFF"/>
        </w:rPr>
        <w:t xml:space="preserve">Annual report. </w:t>
      </w:r>
      <w:r w:rsidRPr="003544B0">
        <w:rPr>
          <w:color w:val="000000"/>
          <w:shd w:val="clear" w:color="auto" w:fill="FFFFFF"/>
        </w:rPr>
        <w:t>Available at: &lt;</w:t>
      </w:r>
      <w:r w:rsidRPr="003544B0">
        <w:t xml:space="preserve"> https://www.tescoplc.com/investors/reports-results-and-presentations/annual-report-2021/</w:t>
      </w:r>
      <w:r w:rsidRPr="003544B0">
        <w:rPr>
          <w:color w:val="000000"/>
          <w:shd w:val="clear" w:color="auto" w:fill="FFFFFF"/>
        </w:rPr>
        <w:t>&gt; [Accessed 31 March 2022].</w:t>
      </w:r>
    </w:p>
    <w:p w14:paraId="040156C1" w14:textId="77777777" w:rsidR="004C3422" w:rsidRPr="003544B0" w:rsidRDefault="004C3422" w:rsidP="004C3422">
      <w:pPr>
        <w:rPr>
          <w:color w:val="000000"/>
          <w:shd w:val="clear" w:color="auto" w:fill="FFFFFF"/>
        </w:rPr>
      </w:pPr>
      <w:r w:rsidRPr="003544B0">
        <w:rPr>
          <w:color w:val="000000"/>
          <w:shd w:val="clear" w:color="auto" w:fill="FFFFFF"/>
        </w:rPr>
        <w:t xml:space="preserve">Tesco plc. 2022. [online] </w:t>
      </w:r>
      <w:r w:rsidR="00BD1DDB">
        <w:rPr>
          <w:i/>
          <w:color w:val="000000"/>
          <w:shd w:val="clear" w:color="auto" w:fill="FFFFFF"/>
        </w:rPr>
        <w:t xml:space="preserve">Dividend engagement. </w:t>
      </w:r>
      <w:r w:rsidRPr="003544B0">
        <w:rPr>
          <w:color w:val="000000"/>
          <w:shd w:val="clear" w:color="auto" w:fill="FFFFFF"/>
        </w:rPr>
        <w:t>Available at: &lt;</w:t>
      </w:r>
      <w:r w:rsidRPr="003544B0">
        <w:t xml:space="preserve"> https://www.tescoplc.com/investors/shareholder-centre/dividends/</w:t>
      </w:r>
      <w:r w:rsidRPr="003544B0">
        <w:rPr>
          <w:color w:val="000000"/>
          <w:shd w:val="clear" w:color="auto" w:fill="FFFFFF"/>
        </w:rPr>
        <w:t>&gt; [Accessed 31 March 2022].</w:t>
      </w:r>
    </w:p>
    <w:p w14:paraId="4269D965" w14:textId="77777777" w:rsidR="004C3422" w:rsidRPr="003544B0" w:rsidRDefault="004C3422" w:rsidP="004C3422">
      <w:pPr>
        <w:rPr>
          <w:color w:val="000000"/>
          <w:shd w:val="clear" w:color="auto" w:fill="FFFFFF"/>
        </w:rPr>
      </w:pPr>
      <w:r w:rsidRPr="003544B0">
        <w:rPr>
          <w:color w:val="000000"/>
          <w:shd w:val="clear" w:color="auto" w:fill="FFFFFF"/>
        </w:rPr>
        <w:t xml:space="preserve">Tesco plc. 2022. [online] </w:t>
      </w:r>
      <w:r w:rsidR="00BD1DDB">
        <w:rPr>
          <w:i/>
          <w:color w:val="000000"/>
          <w:shd w:val="clear" w:color="auto" w:fill="FFFFFF"/>
        </w:rPr>
        <w:t xml:space="preserve">Overview. </w:t>
      </w:r>
      <w:r w:rsidRPr="003544B0">
        <w:rPr>
          <w:color w:val="000000"/>
          <w:shd w:val="clear" w:color="auto" w:fill="FFFFFF"/>
        </w:rPr>
        <w:t>Available at: &lt;https://www.tescoplc.com/about/&gt; [Accessed 31 March 2022].</w:t>
      </w:r>
    </w:p>
    <w:p w14:paraId="71C5C2C4" w14:textId="77777777" w:rsidR="004C3422" w:rsidRPr="003544B0" w:rsidRDefault="004C3422" w:rsidP="004C3422">
      <w:r w:rsidRPr="003544B0">
        <w:t xml:space="preserve">Tesco plc. 2022. [online] </w:t>
      </w:r>
      <w:r w:rsidR="00BD1DDB">
        <w:rPr>
          <w:i/>
        </w:rPr>
        <w:t xml:space="preserve">Project. </w:t>
      </w:r>
      <w:r w:rsidRPr="003544B0">
        <w:t>Available at: &lt;https://www.tescoplc.com/news/2019/tesco-announces-major-green-power-project-in-the-uk/&gt; [Accessed 31 March 2022].</w:t>
      </w:r>
    </w:p>
    <w:p w14:paraId="4ACDD98E" w14:textId="77777777" w:rsidR="004C3422" w:rsidRDefault="004C3422"/>
    <w:p w14:paraId="561FFC45" w14:textId="77777777" w:rsidR="006C19CC" w:rsidRDefault="006C19CC"/>
    <w:p w14:paraId="241DBB2F" w14:textId="77777777" w:rsidR="006C19CC" w:rsidRDefault="006C19CC"/>
    <w:p w14:paraId="23A2C4EE" w14:textId="77777777" w:rsidR="006C19CC" w:rsidRDefault="006C19CC"/>
    <w:sectPr w:rsidR="006C19CC" w:rsidSect="00904CC5">
      <w:footerReference w:type="default" r:id="rId8"/>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DD4BC3" w14:textId="77777777" w:rsidR="00CB5705" w:rsidRDefault="00CB5705">
      <w:pPr>
        <w:spacing w:line="240" w:lineRule="auto"/>
      </w:pPr>
      <w:r>
        <w:separator/>
      </w:r>
    </w:p>
  </w:endnote>
  <w:endnote w:type="continuationSeparator" w:id="0">
    <w:p w14:paraId="7C6E6692" w14:textId="77777777" w:rsidR="00CB5705" w:rsidRDefault="00CB570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Tahoma">
    <w:panose1 w:val="020B0604030504040204"/>
    <w:charset w:val="EE"/>
    <w:family w:val="swiss"/>
    <w:pitch w:val="variable"/>
    <w:sig w:usb0="E1002EFF" w:usb1="C000605B" w:usb2="00000029" w:usb3="00000000" w:csb0="0001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1641309"/>
      <w:docPartObj>
        <w:docPartGallery w:val="Page Numbers (Bottom of Page)"/>
        <w:docPartUnique/>
      </w:docPartObj>
    </w:sdtPr>
    <w:sdtEndPr>
      <w:rPr>
        <w:noProof/>
      </w:rPr>
    </w:sdtEndPr>
    <w:sdtContent>
      <w:p w14:paraId="49F820E8" w14:textId="77777777" w:rsidR="004C3422" w:rsidRDefault="00904CC5">
        <w:pPr>
          <w:pStyle w:val="Subsol"/>
          <w:jc w:val="right"/>
        </w:pPr>
        <w:r>
          <w:fldChar w:fldCharType="begin"/>
        </w:r>
        <w:r w:rsidR="004C3422">
          <w:instrText xml:space="preserve"> PAGE   \* MERGEFORMAT </w:instrText>
        </w:r>
        <w:r>
          <w:fldChar w:fldCharType="separate"/>
        </w:r>
        <w:r w:rsidR="00037865">
          <w:rPr>
            <w:noProof/>
          </w:rPr>
          <w:t>7</w:t>
        </w:r>
        <w:r>
          <w:rPr>
            <w:noProof/>
          </w:rPr>
          <w:fldChar w:fldCharType="end"/>
        </w:r>
      </w:p>
    </w:sdtContent>
  </w:sdt>
  <w:p w14:paraId="4F1339B3" w14:textId="77777777" w:rsidR="006C19CC" w:rsidRDefault="006C19C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072987" w14:textId="77777777" w:rsidR="00CB5705" w:rsidRDefault="00CB5705">
      <w:pPr>
        <w:spacing w:line="240" w:lineRule="auto"/>
      </w:pPr>
      <w:r>
        <w:separator/>
      </w:r>
    </w:p>
  </w:footnote>
  <w:footnote w:type="continuationSeparator" w:id="0">
    <w:p w14:paraId="1837B9FC" w14:textId="77777777" w:rsidR="00CB5705" w:rsidRDefault="00CB570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CD592"/>
    <w:multiLevelType w:val="hybridMultilevel"/>
    <w:tmpl w:val="79B657E0"/>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3786706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9CC"/>
    <w:rsid w:val="00037865"/>
    <w:rsid w:val="000F176A"/>
    <w:rsid w:val="001C1620"/>
    <w:rsid w:val="00342E5C"/>
    <w:rsid w:val="0036766E"/>
    <w:rsid w:val="004713F7"/>
    <w:rsid w:val="00490266"/>
    <w:rsid w:val="004C3422"/>
    <w:rsid w:val="00605C5A"/>
    <w:rsid w:val="0062734B"/>
    <w:rsid w:val="006C19CC"/>
    <w:rsid w:val="008B2BFA"/>
    <w:rsid w:val="008F7605"/>
    <w:rsid w:val="00904CC5"/>
    <w:rsid w:val="00971627"/>
    <w:rsid w:val="00AA1A48"/>
    <w:rsid w:val="00AC277D"/>
    <w:rsid w:val="00BD1DDB"/>
    <w:rsid w:val="00BE298F"/>
    <w:rsid w:val="00C53510"/>
    <w:rsid w:val="00CB5705"/>
    <w:rsid w:val="00DD463D"/>
    <w:rsid w:val="00EC040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48656"/>
  <w15:docId w15:val="{25D24959-F6E6-4A9C-9EAC-C9E0FCB36D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904CC5"/>
    <w:rPr>
      <w:lang w:val="en-GB"/>
    </w:rPr>
  </w:style>
  <w:style w:type="paragraph" w:styleId="Titlu1">
    <w:name w:val="heading 1"/>
    <w:basedOn w:val="Normal"/>
    <w:next w:val="Normal"/>
    <w:rsid w:val="004C3422"/>
    <w:pPr>
      <w:outlineLvl w:val="0"/>
    </w:pPr>
    <w:rPr>
      <w:b/>
    </w:rPr>
  </w:style>
  <w:style w:type="paragraph" w:styleId="Titlu2">
    <w:name w:val="heading 2"/>
    <w:basedOn w:val="Normal"/>
    <w:next w:val="Normal"/>
    <w:rsid w:val="00904CC5"/>
    <w:pPr>
      <w:keepNext/>
      <w:keepLines/>
      <w:spacing w:before="360" w:after="120"/>
      <w:outlineLvl w:val="1"/>
    </w:pPr>
    <w:rPr>
      <w:sz w:val="32"/>
      <w:szCs w:val="32"/>
    </w:rPr>
  </w:style>
  <w:style w:type="paragraph" w:styleId="Titlu3">
    <w:name w:val="heading 3"/>
    <w:basedOn w:val="Normal"/>
    <w:next w:val="Normal"/>
    <w:rsid w:val="00904CC5"/>
    <w:pPr>
      <w:keepNext/>
      <w:keepLines/>
      <w:spacing w:before="320" w:after="80"/>
      <w:outlineLvl w:val="2"/>
    </w:pPr>
    <w:rPr>
      <w:color w:val="434343"/>
      <w:sz w:val="28"/>
      <w:szCs w:val="28"/>
    </w:rPr>
  </w:style>
  <w:style w:type="paragraph" w:styleId="Titlu4">
    <w:name w:val="heading 4"/>
    <w:basedOn w:val="Normal"/>
    <w:next w:val="Normal"/>
    <w:rsid w:val="00904CC5"/>
    <w:pPr>
      <w:keepNext/>
      <w:keepLines/>
      <w:spacing w:before="280" w:after="80"/>
      <w:outlineLvl w:val="3"/>
    </w:pPr>
    <w:rPr>
      <w:color w:val="666666"/>
    </w:rPr>
  </w:style>
  <w:style w:type="paragraph" w:styleId="Titlu5">
    <w:name w:val="heading 5"/>
    <w:basedOn w:val="Normal"/>
    <w:next w:val="Normal"/>
    <w:rsid w:val="00904CC5"/>
    <w:pPr>
      <w:keepNext/>
      <w:keepLines/>
      <w:spacing w:before="240" w:after="80"/>
      <w:outlineLvl w:val="4"/>
    </w:pPr>
    <w:rPr>
      <w:color w:val="666666"/>
      <w:sz w:val="22"/>
      <w:szCs w:val="22"/>
    </w:rPr>
  </w:style>
  <w:style w:type="paragraph" w:styleId="Titlu6">
    <w:name w:val="heading 6"/>
    <w:basedOn w:val="Normal"/>
    <w:next w:val="Normal"/>
    <w:rsid w:val="00904CC5"/>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rsid w:val="00904CC5"/>
    <w:pPr>
      <w:keepNext/>
      <w:keepLines/>
      <w:spacing w:after="60"/>
    </w:pPr>
    <w:rPr>
      <w:sz w:val="52"/>
      <w:szCs w:val="52"/>
    </w:rPr>
  </w:style>
  <w:style w:type="paragraph" w:styleId="Subtitlu">
    <w:name w:val="Subtitle"/>
    <w:basedOn w:val="Normal"/>
    <w:next w:val="Normal"/>
    <w:rsid w:val="00904CC5"/>
    <w:pPr>
      <w:keepNext/>
      <w:keepLines/>
      <w:spacing w:after="320"/>
    </w:pPr>
    <w:rPr>
      <w:rFonts w:ascii="Arial" w:eastAsia="Arial" w:hAnsi="Arial" w:cs="Arial"/>
      <w:color w:val="666666"/>
      <w:sz w:val="30"/>
      <w:szCs w:val="30"/>
    </w:rPr>
  </w:style>
  <w:style w:type="paragraph" w:styleId="Titlucuprins">
    <w:name w:val="TOC Heading"/>
    <w:basedOn w:val="Titlu1"/>
    <w:next w:val="Normal"/>
    <w:uiPriority w:val="39"/>
    <w:unhideWhenUsed/>
    <w:qFormat/>
    <w:rsid w:val="004C3422"/>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Cuprins1">
    <w:name w:val="toc 1"/>
    <w:basedOn w:val="Normal"/>
    <w:next w:val="Normal"/>
    <w:autoRedefine/>
    <w:uiPriority w:val="39"/>
    <w:unhideWhenUsed/>
    <w:rsid w:val="004C3422"/>
    <w:pPr>
      <w:spacing w:after="100"/>
    </w:pPr>
  </w:style>
  <w:style w:type="character" w:styleId="Hyperlink">
    <w:name w:val="Hyperlink"/>
    <w:basedOn w:val="Fontdeparagrafimplicit"/>
    <w:uiPriority w:val="99"/>
    <w:unhideWhenUsed/>
    <w:rsid w:val="004C3422"/>
    <w:rPr>
      <w:color w:val="0000FF" w:themeColor="hyperlink"/>
      <w:u w:val="single"/>
    </w:rPr>
  </w:style>
  <w:style w:type="paragraph" w:styleId="Antet">
    <w:name w:val="header"/>
    <w:basedOn w:val="Normal"/>
    <w:link w:val="AntetCaracter"/>
    <w:uiPriority w:val="99"/>
    <w:unhideWhenUsed/>
    <w:rsid w:val="004C3422"/>
    <w:pPr>
      <w:tabs>
        <w:tab w:val="center" w:pos="4680"/>
        <w:tab w:val="right" w:pos="9360"/>
      </w:tabs>
      <w:spacing w:line="240" w:lineRule="auto"/>
    </w:pPr>
  </w:style>
  <w:style w:type="character" w:customStyle="1" w:styleId="AntetCaracter">
    <w:name w:val="Antet Caracter"/>
    <w:basedOn w:val="Fontdeparagrafimplicit"/>
    <w:link w:val="Antet"/>
    <w:uiPriority w:val="99"/>
    <w:rsid w:val="004C3422"/>
    <w:rPr>
      <w:lang w:val="en-GB"/>
    </w:rPr>
  </w:style>
  <w:style w:type="paragraph" w:styleId="Subsol">
    <w:name w:val="footer"/>
    <w:basedOn w:val="Normal"/>
    <w:link w:val="SubsolCaracter"/>
    <w:uiPriority w:val="99"/>
    <w:unhideWhenUsed/>
    <w:rsid w:val="004C3422"/>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4C3422"/>
    <w:rPr>
      <w:lang w:val="en-GB"/>
    </w:rPr>
  </w:style>
  <w:style w:type="paragraph" w:styleId="TextnBalon">
    <w:name w:val="Balloon Text"/>
    <w:basedOn w:val="Normal"/>
    <w:link w:val="TextnBalonCaracter"/>
    <w:uiPriority w:val="99"/>
    <w:semiHidden/>
    <w:unhideWhenUsed/>
    <w:rsid w:val="00BE298F"/>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BE298F"/>
    <w:rPr>
      <w:rFonts w:ascii="Tahoma" w:hAnsi="Tahoma" w:cs="Tahoma"/>
      <w:sz w:val="16"/>
      <w:szCs w:val="16"/>
      <w:lang w:val="en-GB"/>
    </w:rPr>
  </w:style>
  <w:style w:type="character" w:styleId="Referincomentariu">
    <w:name w:val="annotation reference"/>
    <w:basedOn w:val="Fontdeparagrafimplicit"/>
    <w:uiPriority w:val="99"/>
    <w:semiHidden/>
    <w:unhideWhenUsed/>
    <w:rsid w:val="00BE298F"/>
    <w:rPr>
      <w:sz w:val="16"/>
      <w:szCs w:val="16"/>
    </w:rPr>
  </w:style>
  <w:style w:type="paragraph" w:styleId="Textcomentariu">
    <w:name w:val="annotation text"/>
    <w:basedOn w:val="Normal"/>
    <w:link w:val="TextcomentariuCaracter"/>
    <w:uiPriority w:val="99"/>
    <w:semiHidden/>
    <w:unhideWhenUsed/>
    <w:rsid w:val="00BE298F"/>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BE298F"/>
    <w:rPr>
      <w:sz w:val="20"/>
      <w:szCs w:val="20"/>
      <w:lang w:val="en-GB"/>
    </w:rPr>
  </w:style>
  <w:style w:type="paragraph" w:styleId="SubiectComentariu">
    <w:name w:val="annotation subject"/>
    <w:basedOn w:val="Textcomentariu"/>
    <w:next w:val="Textcomentariu"/>
    <w:link w:val="SubiectComentariuCaracter"/>
    <w:uiPriority w:val="99"/>
    <w:semiHidden/>
    <w:unhideWhenUsed/>
    <w:rsid w:val="00BE298F"/>
    <w:rPr>
      <w:b/>
      <w:bCs/>
    </w:rPr>
  </w:style>
  <w:style w:type="character" w:customStyle="1" w:styleId="SubiectComentariuCaracter">
    <w:name w:val="Subiect Comentariu Caracter"/>
    <w:basedOn w:val="TextcomentariuCaracter"/>
    <w:link w:val="SubiectComentariu"/>
    <w:uiPriority w:val="99"/>
    <w:semiHidden/>
    <w:rsid w:val="00BE298F"/>
    <w:rPr>
      <w:b/>
      <w:bCs/>
      <w:sz w:val="20"/>
      <w:szCs w:val="20"/>
      <w:lang w:val="en-GB"/>
    </w:rPr>
  </w:style>
  <w:style w:type="paragraph" w:customStyle="1" w:styleId="Default">
    <w:name w:val="Default"/>
    <w:rsid w:val="00342E5C"/>
    <w:pPr>
      <w:autoSpaceDE w:val="0"/>
      <w:autoSpaceDN w:val="0"/>
      <w:adjustRightInd w:val="0"/>
      <w:spacing w:line="240" w:lineRule="auto"/>
      <w:jc w:val="left"/>
    </w:pPr>
    <w:rPr>
      <w:rFonts w:ascii="Arial" w:hAnsi="Arial" w:cs="Arial"/>
      <w:color w:val="00000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4D9CA1-59D6-476F-9AB1-CF0C883A46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1761</Words>
  <Characters>10219</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Mihaela Mindrila</cp:lastModifiedBy>
  <cp:revision>3</cp:revision>
  <dcterms:created xsi:type="dcterms:W3CDTF">2022-05-01T21:28:00Z</dcterms:created>
  <dcterms:modified xsi:type="dcterms:W3CDTF">2022-05-01T21:50:00Z</dcterms:modified>
</cp:coreProperties>
</file>