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335A" w:rsidRDefault="005D335A" w:rsidP="005D335A">
      <w:pPr>
        <w:rPr>
          <w:rFonts w:ascii="Tahoma" w:eastAsia="Times" w:hAnsi="Tahoma"/>
          <w:b/>
          <w:i/>
          <w:smallCaps/>
          <w:u w:val="single"/>
          <w:lang w:eastAsia="en-GB"/>
        </w:rPr>
      </w:pPr>
      <w:r>
        <w:rPr>
          <w:rFonts w:ascii="Tahoma" w:eastAsia="Times" w:hAnsi="Tahoma"/>
          <w:b/>
          <w:i/>
          <w:smallCaps/>
          <w:u w:val="single"/>
          <w:lang w:eastAsia="en-GB"/>
        </w:rPr>
        <w:t>Phenomenology of Religion</w:t>
      </w:r>
    </w:p>
    <w:p w:rsidR="005D335A" w:rsidRDefault="005D335A" w:rsidP="005D335A">
      <w:pPr>
        <w:rPr>
          <w:rFonts w:ascii="Tahoma" w:eastAsia="Times" w:hAnsi="Tahoma"/>
          <w:b/>
          <w:i/>
          <w:smallCaps/>
          <w:u w:val="single"/>
          <w:lang w:eastAsia="en-GB"/>
        </w:rPr>
      </w:pPr>
    </w:p>
    <w:p w:rsidR="005D335A" w:rsidRDefault="005D335A" w:rsidP="005D335A">
      <w:pPr>
        <w:rPr>
          <w:rFonts w:ascii="Tahoma" w:eastAsia="Times" w:hAnsi="Tahoma"/>
          <w:lang w:eastAsia="en-GB"/>
        </w:rPr>
      </w:pPr>
    </w:p>
    <w:p w:rsidR="005D335A" w:rsidRDefault="005D335A" w:rsidP="005D335A">
      <w:pPr>
        <w:tabs>
          <w:tab w:val="left" w:pos="567"/>
        </w:tabs>
        <w:spacing w:line="360" w:lineRule="auto"/>
        <w:jc w:val="both"/>
        <w:rPr>
          <w:rFonts w:ascii="Tahoma" w:hAnsi="Tahoma"/>
          <w:lang w:eastAsia="en-GB"/>
        </w:rPr>
      </w:pPr>
      <w:r>
        <w:rPr>
          <w:rFonts w:ascii="Tahoma" w:hAnsi="Tahoma"/>
          <w:lang w:eastAsia="en-GB"/>
        </w:rPr>
        <w:tab/>
        <w:t xml:space="preserve">An important methodological tool in Religious Studies is phenomenology, in which the researcher </w:t>
      </w:r>
      <w:r>
        <w:rPr>
          <w:rFonts w:ascii="Tahoma" w:hAnsi="Tahoma"/>
        </w:rPr>
        <w:t>attempts to allow testimonies or texts to essentially ‘speak for themselves’.</w:t>
      </w:r>
      <w:r>
        <w:rPr>
          <w:rFonts w:ascii="Tahoma" w:hAnsi="Tahoma"/>
          <w:lang w:eastAsia="en-GB"/>
        </w:rPr>
        <w:t xml:space="preserve">  That is, the researcher tries not to impose potentially alien individual or cultural preconceptions or concepts upon the material, which may lead to misunderstandings; but rather to suspend his/her beliefs and judgements in order to determine simply what is </w:t>
      </w:r>
      <w:r>
        <w:rPr>
          <w:rFonts w:ascii="Tahoma" w:hAnsi="Tahoma"/>
          <w:i/>
          <w:lang w:eastAsia="en-GB"/>
        </w:rPr>
        <w:t>apparent</w:t>
      </w:r>
      <w:r>
        <w:rPr>
          <w:rFonts w:ascii="Tahoma" w:hAnsi="Tahoma"/>
          <w:lang w:eastAsia="en-GB"/>
        </w:rPr>
        <w:t xml:space="preserve">.  </w:t>
      </w:r>
    </w:p>
    <w:p w:rsidR="005D335A" w:rsidRDefault="005D335A" w:rsidP="005D335A">
      <w:pPr>
        <w:tabs>
          <w:tab w:val="left" w:pos="567"/>
        </w:tabs>
        <w:spacing w:line="360" w:lineRule="auto"/>
        <w:jc w:val="both"/>
        <w:rPr>
          <w:rFonts w:ascii="Tahoma" w:hAnsi="Tahoma"/>
          <w:lang w:eastAsia="en-GB"/>
        </w:rPr>
      </w:pPr>
      <w:r>
        <w:rPr>
          <w:rFonts w:ascii="Tahoma" w:hAnsi="Tahoma"/>
          <w:lang w:eastAsia="en-GB"/>
        </w:rPr>
        <w:tab/>
        <w:t xml:space="preserve">Phenomenology, when used in this context, is not in itself a theory, but rather a tool, or open-ended method of enquiry which can lead to the formulation of conclusions.  While it endeavours to understand religions on their own terms, </w:t>
      </w:r>
      <w:r>
        <w:rPr>
          <w:rFonts w:ascii="Tahoma" w:hAnsi="Tahoma"/>
          <w:lang w:val="en-US"/>
        </w:rPr>
        <w:t xml:space="preserve">it is not so much an acceptance of the divine or supernatural, but a method of working with the meanings and beliefs ascribed to religious phenomena </w:t>
      </w:r>
      <w:r>
        <w:rPr>
          <w:rFonts w:ascii="Tahoma" w:hAnsi="Tahoma"/>
          <w:i/>
          <w:lang w:val="en-US"/>
        </w:rPr>
        <w:t>by the insiders</w:t>
      </w:r>
      <w:r>
        <w:rPr>
          <w:rFonts w:ascii="Tahoma" w:hAnsi="Tahoma"/>
          <w:lang w:val="en-US"/>
        </w:rPr>
        <w:t>.  In fact, evaluations about the ‘truth’ or otherwise of religions go beyond the method itself.</w:t>
      </w:r>
    </w:p>
    <w:p w:rsidR="005D335A" w:rsidRDefault="005D335A" w:rsidP="005D335A">
      <w:pPr>
        <w:tabs>
          <w:tab w:val="left" w:pos="567"/>
        </w:tabs>
        <w:spacing w:line="360" w:lineRule="auto"/>
        <w:jc w:val="both"/>
        <w:rPr>
          <w:rFonts w:ascii="Tahoma" w:hAnsi="Tahoma"/>
          <w:lang w:eastAsia="en-GB"/>
        </w:rPr>
      </w:pPr>
      <w:r>
        <w:rPr>
          <w:rFonts w:ascii="Tahoma" w:hAnsi="Tahoma"/>
          <w:lang w:eastAsia="en-GB"/>
        </w:rPr>
        <w:tab/>
        <w:t>Another aspect of phenomenology is to attempt to enter the viewpoint of the insiders, and to try to look at the material through their eyes as far as this is possible.  It is the study of religious phenomena in terms that are acceptable to believers/</w:t>
      </w:r>
      <w:proofErr w:type="spellStart"/>
      <w:r>
        <w:rPr>
          <w:rFonts w:ascii="Tahoma" w:hAnsi="Tahoma"/>
          <w:lang w:eastAsia="en-GB"/>
        </w:rPr>
        <w:t>belongers</w:t>
      </w:r>
      <w:proofErr w:type="spellEnd"/>
      <w:r>
        <w:rPr>
          <w:rFonts w:ascii="Tahoma" w:hAnsi="Tahoma"/>
          <w:lang w:eastAsia="en-GB"/>
        </w:rPr>
        <w:t xml:space="preserve"> of the religious traditions being studied (or to the subject of a religious experience).  Scholars of a phenomenological orientation accept the insiders’ understandings of their own traditions and experiences; or as W.B. </w:t>
      </w:r>
      <w:proofErr w:type="spellStart"/>
      <w:r>
        <w:rPr>
          <w:rFonts w:ascii="Tahoma" w:hAnsi="Tahoma"/>
          <w:lang w:eastAsia="en-GB"/>
        </w:rPr>
        <w:t>Kristensen</w:t>
      </w:r>
      <w:proofErr w:type="spellEnd"/>
      <w:r>
        <w:rPr>
          <w:rFonts w:ascii="Tahoma" w:hAnsi="Tahoma"/>
          <w:lang w:eastAsia="en-GB"/>
        </w:rPr>
        <w:t xml:space="preserve"> (1867-1953) wrote, ‘the insider is always right’.  This is done through a process of empathetic and in-depth knowledge and comprehension of the material, as well as (ideally) of its cultural, social, and wider religious contexts.  No expression of religious belief or experience can be entirely separate from these contexts (even if one does allow for the possibility that it might contain a genuine metaphysical element).</w:t>
      </w:r>
    </w:p>
    <w:p w:rsidR="005D335A" w:rsidRDefault="005D335A" w:rsidP="005D335A">
      <w:pPr>
        <w:spacing w:line="360" w:lineRule="auto"/>
        <w:jc w:val="both"/>
        <w:rPr>
          <w:rFonts w:ascii="Tahoma" w:eastAsia="Times" w:hAnsi="Tahoma"/>
          <w:lang w:eastAsia="en-GB"/>
        </w:rPr>
      </w:pPr>
      <w:r>
        <w:rPr>
          <w:rFonts w:ascii="Tahoma" w:hAnsi="Tahoma"/>
          <w:lang w:eastAsia="en-GB"/>
        </w:rPr>
        <w:tab/>
        <w:t xml:space="preserve">A well-known phenomenological system for organizing and understanding religious phenomena is the dimensional model proposed by </w:t>
      </w:r>
      <w:proofErr w:type="spellStart"/>
      <w:r>
        <w:rPr>
          <w:rFonts w:ascii="Tahoma" w:hAnsi="Tahoma"/>
          <w:lang w:eastAsia="en-GB"/>
        </w:rPr>
        <w:t>Ninian</w:t>
      </w:r>
      <w:proofErr w:type="spellEnd"/>
      <w:r>
        <w:rPr>
          <w:rFonts w:ascii="Tahoma" w:hAnsi="Tahoma"/>
          <w:lang w:eastAsia="en-GB"/>
        </w:rPr>
        <w:t xml:space="preserve"> Smart (1927-2001).  Smart’s </w:t>
      </w:r>
      <w:r>
        <w:rPr>
          <w:rFonts w:ascii="Tahoma" w:eastAsia="Times" w:hAnsi="Tahoma"/>
          <w:lang w:eastAsia="en-GB"/>
        </w:rPr>
        <w:t>seven dimensions of religion are:</w:t>
      </w:r>
    </w:p>
    <w:p w:rsidR="005D335A" w:rsidRDefault="005D335A" w:rsidP="005D335A">
      <w:pPr>
        <w:spacing w:line="360" w:lineRule="auto"/>
        <w:jc w:val="both"/>
        <w:rPr>
          <w:rFonts w:ascii="Tahoma" w:eastAsia="Times" w:hAnsi="Tahoma"/>
          <w:lang w:eastAsia="en-GB"/>
        </w:rPr>
      </w:pPr>
    </w:p>
    <w:p w:rsidR="005D335A" w:rsidRDefault="005D335A" w:rsidP="005D335A">
      <w:pPr>
        <w:autoSpaceDE w:val="0"/>
        <w:autoSpaceDN w:val="0"/>
        <w:adjustRightInd w:val="0"/>
        <w:spacing w:line="360" w:lineRule="auto"/>
        <w:ind w:left="720" w:hanging="720"/>
        <w:jc w:val="both"/>
        <w:rPr>
          <w:rFonts w:ascii="Tahoma" w:hAnsi="Tahoma"/>
        </w:rPr>
      </w:pPr>
      <w:r>
        <w:rPr>
          <w:rFonts w:ascii="Tahoma" w:hAnsi="Tahoma"/>
        </w:rPr>
        <w:t>(1) The practical and ritual dimension</w:t>
      </w:r>
    </w:p>
    <w:p w:rsidR="005D335A" w:rsidRDefault="005D335A" w:rsidP="005D335A">
      <w:pPr>
        <w:autoSpaceDE w:val="0"/>
        <w:autoSpaceDN w:val="0"/>
        <w:adjustRightInd w:val="0"/>
        <w:spacing w:line="360" w:lineRule="auto"/>
        <w:ind w:left="720" w:hanging="720"/>
        <w:jc w:val="both"/>
        <w:rPr>
          <w:rFonts w:ascii="Tahoma" w:hAnsi="Tahoma"/>
        </w:rPr>
      </w:pPr>
      <w:r>
        <w:rPr>
          <w:rFonts w:ascii="Tahoma" w:hAnsi="Tahoma"/>
        </w:rPr>
        <w:lastRenderedPageBreak/>
        <w:t xml:space="preserve">(2) The experiential and emotional dimension </w:t>
      </w:r>
    </w:p>
    <w:p w:rsidR="005D335A" w:rsidRDefault="005D335A" w:rsidP="005D335A">
      <w:pPr>
        <w:autoSpaceDE w:val="0"/>
        <w:autoSpaceDN w:val="0"/>
        <w:adjustRightInd w:val="0"/>
        <w:spacing w:line="360" w:lineRule="auto"/>
        <w:ind w:left="720" w:hanging="720"/>
        <w:jc w:val="both"/>
        <w:rPr>
          <w:rFonts w:ascii="Tahoma" w:hAnsi="Tahoma"/>
        </w:rPr>
      </w:pPr>
      <w:r>
        <w:rPr>
          <w:rFonts w:ascii="Tahoma" w:hAnsi="Tahoma"/>
        </w:rPr>
        <w:t xml:space="preserve">(3) The narrative and mythic dimension </w:t>
      </w:r>
    </w:p>
    <w:p w:rsidR="005D335A" w:rsidRDefault="005D335A" w:rsidP="005D335A">
      <w:pPr>
        <w:autoSpaceDE w:val="0"/>
        <w:autoSpaceDN w:val="0"/>
        <w:adjustRightInd w:val="0"/>
        <w:spacing w:line="360" w:lineRule="auto"/>
        <w:ind w:left="720" w:hanging="720"/>
        <w:jc w:val="both"/>
        <w:rPr>
          <w:rFonts w:ascii="Tahoma" w:hAnsi="Tahoma"/>
        </w:rPr>
      </w:pPr>
      <w:r>
        <w:rPr>
          <w:rFonts w:ascii="Tahoma" w:hAnsi="Tahoma"/>
        </w:rPr>
        <w:t>(4) The doctrinal and philosophical dimension</w:t>
      </w:r>
    </w:p>
    <w:p w:rsidR="005D335A" w:rsidRDefault="005D335A" w:rsidP="005D335A">
      <w:pPr>
        <w:autoSpaceDE w:val="0"/>
        <w:autoSpaceDN w:val="0"/>
        <w:adjustRightInd w:val="0"/>
        <w:spacing w:line="360" w:lineRule="auto"/>
        <w:ind w:left="720" w:hanging="720"/>
        <w:jc w:val="both"/>
        <w:rPr>
          <w:rFonts w:ascii="Tahoma" w:hAnsi="Tahoma"/>
        </w:rPr>
      </w:pPr>
      <w:r>
        <w:rPr>
          <w:rFonts w:ascii="Tahoma" w:hAnsi="Tahoma"/>
        </w:rPr>
        <w:t>(5) The ethical and legal dimension</w:t>
      </w:r>
    </w:p>
    <w:p w:rsidR="005D335A" w:rsidRDefault="005D335A" w:rsidP="005D335A">
      <w:pPr>
        <w:autoSpaceDE w:val="0"/>
        <w:autoSpaceDN w:val="0"/>
        <w:adjustRightInd w:val="0"/>
        <w:spacing w:line="360" w:lineRule="auto"/>
        <w:ind w:left="720" w:hanging="720"/>
        <w:jc w:val="both"/>
        <w:rPr>
          <w:rFonts w:ascii="Tahoma" w:hAnsi="Tahoma"/>
        </w:rPr>
      </w:pPr>
      <w:r>
        <w:rPr>
          <w:rFonts w:ascii="Tahoma" w:hAnsi="Tahoma"/>
        </w:rPr>
        <w:t xml:space="preserve">(6) The social and institutional dimension </w:t>
      </w:r>
    </w:p>
    <w:p w:rsidR="005D335A" w:rsidRDefault="005D335A" w:rsidP="005D335A">
      <w:pPr>
        <w:autoSpaceDE w:val="0"/>
        <w:autoSpaceDN w:val="0"/>
        <w:adjustRightInd w:val="0"/>
        <w:spacing w:line="360" w:lineRule="auto"/>
        <w:ind w:left="720" w:hanging="720"/>
        <w:jc w:val="both"/>
        <w:rPr>
          <w:rFonts w:ascii="Tahoma" w:hAnsi="Tahoma"/>
        </w:rPr>
      </w:pPr>
      <w:r>
        <w:rPr>
          <w:rFonts w:ascii="Tahoma" w:hAnsi="Tahoma"/>
        </w:rPr>
        <w:t xml:space="preserve">(7) The material dimension </w:t>
      </w:r>
    </w:p>
    <w:p w:rsidR="005D335A" w:rsidRDefault="005D335A" w:rsidP="005D335A">
      <w:pPr>
        <w:autoSpaceDE w:val="0"/>
        <w:autoSpaceDN w:val="0"/>
        <w:adjustRightInd w:val="0"/>
        <w:spacing w:line="360" w:lineRule="auto"/>
        <w:ind w:left="720" w:hanging="720"/>
        <w:jc w:val="both"/>
        <w:rPr>
          <w:rFonts w:ascii="Tahoma" w:hAnsi="Tahoma"/>
        </w:rPr>
      </w:pPr>
    </w:p>
    <w:p w:rsidR="005D335A" w:rsidRDefault="005D335A" w:rsidP="005D335A">
      <w:pPr>
        <w:autoSpaceDE w:val="0"/>
        <w:autoSpaceDN w:val="0"/>
        <w:adjustRightInd w:val="0"/>
        <w:spacing w:line="360" w:lineRule="auto"/>
        <w:jc w:val="both"/>
        <w:rPr>
          <w:rFonts w:ascii="Tahoma" w:eastAsia="Times" w:hAnsi="Tahoma"/>
          <w:lang w:eastAsia="en-GB"/>
        </w:rPr>
      </w:pPr>
      <w:r>
        <w:rPr>
          <w:rFonts w:ascii="Tahoma" w:hAnsi="Tahoma"/>
        </w:rPr>
        <w:t xml:space="preserve">While one dimension may be more important for a particular question or issue, no single dimension </w:t>
      </w:r>
      <w:r>
        <w:rPr>
          <w:rFonts w:ascii="Tahoma" w:hAnsi="Tahoma"/>
          <w:lang w:eastAsia="en-GB"/>
        </w:rPr>
        <w:t xml:space="preserve">can be entirely divorced from the other six.  These dimensions are not discrete, and do not operate in isolation from one another. For example, </w:t>
      </w:r>
      <w:r>
        <w:rPr>
          <w:rFonts w:ascii="Tahoma" w:hAnsi="Tahoma"/>
          <w:i/>
          <w:lang w:eastAsia="en-GB"/>
        </w:rPr>
        <w:t>myth</w:t>
      </w:r>
      <w:r>
        <w:rPr>
          <w:rFonts w:ascii="Tahoma" w:hAnsi="Tahoma"/>
          <w:lang w:eastAsia="en-GB"/>
        </w:rPr>
        <w:t xml:space="preserve"> may be expressed in </w:t>
      </w:r>
      <w:r>
        <w:rPr>
          <w:rFonts w:ascii="Tahoma" w:hAnsi="Tahoma"/>
          <w:i/>
          <w:lang w:eastAsia="en-GB"/>
        </w:rPr>
        <w:t>ritual</w:t>
      </w:r>
      <w:r>
        <w:rPr>
          <w:rFonts w:ascii="Tahoma" w:hAnsi="Tahoma"/>
          <w:lang w:eastAsia="en-GB"/>
        </w:rPr>
        <w:t xml:space="preserve"> action, while ritual action is </w:t>
      </w:r>
      <w:proofErr w:type="gramStart"/>
      <w:r>
        <w:rPr>
          <w:rFonts w:ascii="Tahoma" w:hAnsi="Tahoma"/>
          <w:lang w:eastAsia="en-GB"/>
        </w:rPr>
        <w:t xml:space="preserve">a  </w:t>
      </w:r>
      <w:r>
        <w:rPr>
          <w:rFonts w:ascii="Tahoma" w:hAnsi="Tahoma"/>
          <w:i/>
          <w:lang w:eastAsia="en-GB"/>
        </w:rPr>
        <w:t>social</w:t>
      </w:r>
      <w:proofErr w:type="gramEnd"/>
      <w:r>
        <w:rPr>
          <w:rFonts w:ascii="Tahoma" w:hAnsi="Tahoma"/>
          <w:i/>
          <w:lang w:eastAsia="en-GB"/>
        </w:rPr>
        <w:t xml:space="preserve"> and institutional</w:t>
      </w:r>
      <w:r>
        <w:rPr>
          <w:rFonts w:ascii="Tahoma" w:hAnsi="Tahoma"/>
          <w:lang w:eastAsia="en-GB"/>
        </w:rPr>
        <w:t xml:space="preserve"> event, and one that is governed by </w:t>
      </w:r>
      <w:r>
        <w:rPr>
          <w:rFonts w:ascii="Tahoma" w:hAnsi="Tahoma"/>
          <w:i/>
          <w:lang w:eastAsia="en-GB"/>
        </w:rPr>
        <w:t>doctrine</w:t>
      </w:r>
      <w:r>
        <w:rPr>
          <w:rFonts w:ascii="Tahoma" w:hAnsi="Tahoma"/>
          <w:lang w:eastAsia="en-GB"/>
        </w:rPr>
        <w:t xml:space="preserve">.  </w:t>
      </w:r>
    </w:p>
    <w:p w:rsidR="005D335A" w:rsidRDefault="005D335A" w:rsidP="005D335A">
      <w:pPr>
        <w:spacing w:line="360" w:lineRule="auto"/>
        <w:ind w:firstLine="720"/>
        <w:jc w:val="both"/>
        <w:rPr>
          <w:rFonts w:ascii="Tahoma" w:eastAsia="Times" w:hAnsi="Tahoma"/>
          <w:lang w:eastAsia="en-GB"/>
        </w:rPr>
      </w:pPr>
      <w:r>
        <w:rPr>
          <w:rFonts w:ascii="Tahoma" w:eastAsia="Times" w:hAnsi="Tahoma"/>
          <w:lang w:eastAsia="en-GB"/>
        </w:rPr>
        <w:t xml:space="preserve">Many of the problems with phenomenology and its claim to objectivity and methodological agnosticism were discussed in the first section of this module: the impossibility of true objectivity and of truly seeing from the perspective of insiders, seeing religion </w:t>
      </w:r>
      <w:r>
        <w:rPr>
          <w:rFonts w:ascii="Tahoma" w:eastAsia="Times" w:hAnsi="Tahoma"/>
          <w:i/>
          <w:lang w:eastAsia="en-GB"/>
        </w:rPr>
        <w:t>per</w:t>
      </w:r>
      <w:r>
        <w:rPr>
          <w:rFonts w:ascii="Tahoma" w:eastAsia="Times" w:hAnsi="Tahoma"/>
          <w:lang w:eastAsia="en-GB"/>
        </w:rPr>
        <w:t xml:space="preserve"> </w:t>
      </w:r>
      <w:r>
        <w:rPr>
          <w:rFonts w:ascii="Tahoma" w:eastAsia="Times" w:hAnsi="Tahoma"/>
          <w:i/>
          <w:lang w:eastAsia="en-GB"/>
        </w:rPr>
        <w:t>se</w:t>
      </w:r>
      <w:r>
        <w:rPr>
          <w:rFonts w:ascii="Tahoma" w:eastAsia="Times" w:hAnsi="Tahoma"/>
          <w:lang w:eastAsia="en-GB"/>
        </w:rPr>
        <w:t xml:space="preserve"> as embodying some universal ‘essence’ which defines it (and the attendant theological implications) (e.g. </w:t>
      </w:r>
      <w:proofErr w:type="spellStart"/>
      <w:r>
        <w:rPr>
          <w:rFonts w:ascii="Tahoma" w:eastAsia="Times" w:hAnsi="Tahoma"/>
          <w:lang w:eastAsia="en-GB"/>
        </w:rPr>
        <w:t>Eliade</w:t>
      </w:r>
      <w:proofErr w:type="spellEnd"/>
      <w:r>
        <w:rPr>
          <w:rFonts w:ascii="Tahoma" w:eastAsia="Times" w:hAnsi="Tahoma"/>
          <w:lang w:eastAsia="en-GB"/>
        </w:rPr>
        <w:t xml:space="preserve">), as well as the other problems with insider </w:t>
      </w:r>
      <w:proofErr w:type="spellStart"/>
      <w:r>
        <w:rPr>
          <w:rFonts w:ascii="Tahoma" w:eastAsia="Times" w:hAnsi="Tahoma"/>
          <w:lang w:eastAsia="en-GB"/>
        </w:rPr>
        <w:t>vs</w:t>
      </w:r>
      <w:proofErr w:type="spellEnd"/>
      <w:r>
        <w:rPr>
          <w:rFonts w:ascii="Tahoma" w:eastAsia="Times" w:hAnsi="Tahoma"/>
          <w:lang w:eastAsia="en-GB"/>
        </w:rPr>
        <w:t xml:space="preserve"> outsider perspectives. </w:t>
      </w:r>
    </w:p>
    <w:p w:rsidR="005D335A" w:rsidRDefault="005D335A" w:rsidP="005D335A">
      <w:pPr>
        <w:spacing w:line="360" w:lineRule="auto"/>
        <w:ind w:firstLine="720"/>
        <w:jc w:val="both"/>
        <w:rPr>
          <w:rFonts w:ascii="Tahoma" w:eastAsia="Times" w:hAnsi="Tahoma"/>
          <w:lang w:eastAsia="en-GB"/>
        </w:rPr>
      </w:pPr>
      <w:r>
        <w:rPr>
          <w:rFonts w:ascii="Tahoma" w:eastAsia="Times" w:hAnsi="Tahoma"/>
          <w:lang w:eastAsia="en-GB"/>
        </w:rPr>
        <w:t xml:space="preserve">A phenomenological </w:t>
      </w:r>
      <w:r>
        <w:rPr>
          <w:rFonts w:ascii="Tahoma" w:eastAsia="Times" w:hAnsi="Tahoma"/>
          <w:i/>
          <w:lang w:eastAsia="en-GB"/>
        </w:rPr>
        <w:t>approach</w:t>
      </w:r>
      <w:r>
        <w:rPr>
          <w:rFonts w:ascii="Tahoma" w:eastAsia="Times" w:hAnsi="Tahoma"/>
          <w:lang w:eastAsia="en-GB"/>
        </w:rPr>
        <w:t xml:space="preserve">, however, need not have all the theoretical baggage attached to ‘Phenomenology’ as theory.  One may attempt to be as objective </w:t>
      </w:r>
      <w:r>
        <w:rPr>
          <w:rFonts w:ascii="Tahoma" w:eastAsia="Times" w:hAnsi="Tahoma"/>
          <w:i/>
          <w:lang w:eastAsia="en-GB"/>
        </w:rPr>
        <w:t>as possible</w:t>
      </w:r>
      <w:r>
        <w:rPr>
          <w:rFonts w:ascii="Tahoma" w:eastAsia="Times" w:hAnsi="Tahoma"/>
          <w:lang w:eastAsia="en-GB"/>
        </w:rPr>
        <w:t xml:space="preserve">, while still being reflexive and transparent about one’s own cultural/religious background (see Cox 1994).  Phenomenology remains important as a way of describing and organising data, and in the way it does not adopt an </w:t>
      </w:r>
      <w:r>
        <w:rPr>
          <w:rFonts w:ascii="Tahoma" w:eastAsia="Times" w:hAnsi="Tahoma"/>
          <w:i/>
          <w:lang w:eastAsia="en-GB"/>
        </w:rPr>
        <w:t>a priori</w:t>
      </w:r>
      <w:r>
        <w:rPr>
          <w:rFonts w:ascii="Tahoma" w:eastAsia="Times" w:hAnsi="Tahoma"/>
          <w:lang w:eastAsia="en-GB"/>
        </w:rPr>
        <w:t xml:space="preserve"> reductionist stance to the religions of others.  In this way, it does not contradict the cultural meanings of the religion the way other approaches might.  What one does with the phenomenological data, however (i.e. how it is interpreted), goes beyond the method itself.  In fact, it has sometimes been criticized for being merely descriptive rather than explanatory.</w:t>
      </w:r>
    </w:p>
    <w:p w:rsidR="007F2B60" w:rsidRDefault="005D335A"/>
    <w:p w:rsidR="005D335A" w:rsidRDefault="005D335A"/>
    <w:p w:rsidR="005D335A" w:rsidRDefault="005D335A" w:rsidP="005D335A">
      <w:pPr>
        <w:tabs>
          <w:tab w:val="left" w:pos="3067"/>
        </w:tabs>
        <w:rPr>
          <w:rFonts w:ascii="Tahoma" w:hAnsi="Tahoma"/>
          <w:b/>
          <w:i/>
          <w:lang w:eastAsia="en-GB"/>
        </w:rPr>
      </w:pPr>
      <w:r>
        <w:rPr>
          <w:rFonts w:ascii="Tahoma" w:hAnsi="Tahoma"/>
          <w:b/>
          <w:i/>
          <w:lang w:eastAsia="en-GB"/>
        </w:rPr>
        <w:t>Further reading:</w:t>
      </w:r>
    </w:p>
    <w:p w:rsidR="005D335A" w:rsidRDefault="005D335A" w:rsidP="005D335A">
      <w:pPr>
        <w:pStyle w:val="BodyText"/>
        <w:tabs>
          <w:tab w:val="left" w:pos="709"/>
        </w:tabs>
        <w:spacing w:after="0"/>
        <w:rPr>
          <w:rFonts w:ascii="Tahoma" w:hAnsi="Tahoma"/>
        </w:rPr>
      </w:pPr>
    </w:p>
    <w:p w:rsidR="005D335A" w:rsidRDefault="005D335A" w:rsidP="005D335A">
      <w:pPr>
        <w:pStyle w:val="BodyText"/>
        <w:tabs>
          <w:tab w:val="left" w:pos="709"/>
        </w:tabs>
        <w:spacing w:after="0"/>
        <w:rPr>
          <w:rFonts w:ascii="Tahoma" w:hAnsi="Tahoma"/>
          <w:i/>
        </w:rPr>
      </w:pPr>
      <w:r>
        <w:rPr>
          <w:rFonts w:ascii="Tahoma" w:hAnsi="Tahoma"/>
        </w:rPr>
        <w:t xml:space="preserve">Cox, J. (1994) </w:t>
      </w:r>
      <w:r>
        <w:rPr>
          <w:rFonts w:ascii="Tahoma" w:hAnsi="Tahoma"/>
          <w:i/>
        </w:rPr>
        <w:t xml:space="preserve">Expressing the Sacred: An Introduction to the Phenomenology of </w:t>
      </w:r>
    </w:p>
    <w:p w:rsidR="005D335A" w:rsidRDefault="005D335A" w:rsidP="005D335A">
      <w:pPr>
        <w:pStyle w:val="BodyText"/>
        <w:tabs>
          <w:tab w:val="left" w:pos="709"/>
        </w:tabs>
        <w:spacing w:after="0"/>
        <w:rPr>
          <w:rFonts w:ascii="Tahoma" w:hAnsi="Tahoma"/>
        </w:rPr>
      </w:pPr>
      <w:r>
        <w:rPr>
          <w:rFonts w:ascii="Tahoma" w:hAnsi="Tahoma"/>
          <w:i/>
        </w:rPr>
        <w:tab/>
      </w:r>
      <w:proofErr w:type="gramStart"/>
      <w:r>
        <w:rPr>
          <w:rFonts w:ascii="Tahoma" w:hAnsi="Tahoma"/>
          <w:i/>
        </w:rPr>
        <w:t>Religion.</w:t>
      </w:r>
      <w:proofErr w:type="gramEnd"/>
      <w:r>
        <w:rPr>
          <w:rFonts w:ascii="Tahoma" w:hAnsi="Tahoma"/>
          <w:i/>
        </w:rPr>
        <w:t xml:space="preserve">  </w:t>
      </w:r>
      <w:proofErr w:type="gramStart"/>
      <w:r>
        <w:rPr>
          <w:rFonts w:ascii="Tahoma" w:hAnsi="Tahoma"/>
        </w:rPr>
        <w:t>University of Zimbabwe Press.</w:t>
      </w:r>
      <w:proofErr w:type="gramEnd"/>
    </w:p>
    <w:p w:rsidR="005D335A" w:rsidRDefault="005D335A" w:rsidP="005D335A">
      <w:pPr>
        <w:pStyle w:val="BodyText"/>
        <w:tabs>
          <w:tab w:val="left" w:pos="709"/>
        </w:tabs>
        <w:spacing w:after="0"/>
        <w:rPr>
          <w:rFonts w:ascii="Tahoma" w:hAnsi="Tahoma"/>
        </w:rPr>
      </w:pPr>
    </w:p>
    <w:p w:rsidR="005D335A" w:rsidRDefault="005D335A" w:rsidP="005D335A">
      <w:pPr>
        <w:pStyle w:val="BodyText"/>
        <w:tabs>
          <w:tab w:val="left" w:pos="709"/>
        </w:tabs>
        <w:spacing w:after="0"/>
        <w:rPr>
          <w:rFonts w:ascii="Tahoma" w:hAnsi="Tahoma"/>
        </w:rPr>
      </w:pPr>
      <w:r>
        <w:rPr>
          <w:rFonts w:ascii="Tahoma" w:hAnsi="Tahoma"/>
        </w:rPr>
        <w:t xml:space="preserve">-----. </w:t>
      </w:r>
      <w:proofErr w:type="gramStart"/>
      <w:r>
        <w:rPr>
          <w:rFonts w:ascii="Tahoma" w:hAnsi="Tahoma"/>
        </w:rPr>
        <w:t xml:space="preserve">(2006) </w:t>
      </w:r>
      <w:r>
        <w:rPr>
          <w:rFonts w:ascii="Tahoma" w:hAnsi="Tahoma"/>
          <w:i/>
          <w:lang w:val="en-US"/>
        </w:rPr>
        <w:t>A Guide to the Phenomenology of Religion</w:t>
      </w:r>
      <w:r>
        <w:rPr>
          <w:rFonts w:ascii="Tahoma" w:hAnsi="Tahoma"/>
          <w:lang w:val="en-US"/>
        </w:rPr>
        <w:t>.</w:t>
      </w:r>
      <w:proofErr w:type="gramEnd"/>
      <w:r>
        <w:rPr>
          <w:rFonts w:ascii="Tahoma" w:hAnsi="Tahoma"/>
          <w:lang w:val="en-US"/>
        </w:rPr>
        <w:t xml:space="preserve">  London, Continuum.</w:t>
      </w:r>
    </w:p>
    <w:p w:rsidR="005D335A" w:rsidRDefault="005D335A" w:rsidP="005D335A">
      <w:pPr>
        <w:pStyle w:val="BodyText"/>
        <w:tabs>
          <w:tab w:val="left" w:pos="709"/>
        </w:tabs>
        <w:spacing w:after="0"/>
        <w:rPr>
          <w:rFonts w:ascii="Tahoma" w:hAnsi="Tahoma"/>
        </w:rPr>
      </w:pPr>
    </w:p>
    <w:p w:rsidR="005D335A" w:rsidRDefault="005D335A" w:rsidP="005D335A">
      <w:pPr>
        <w:pStyle w:val="BodyText"/>
        <w:tabs>
          <w:tab w:val="left" w:pos="709"/>
        </w:tabs>
        <w:spacing w:after="0"/>
        <w:jc w:val="both"/>
        <w:rPr>
          <w:rFonts w:ascii="Tahoma" w:hAnsi="Tahoma"/>
        </w:rPr>
      </w:pPr>
      <w:proofErr w:type="spellStart"/>
      <w:r>
        <w:rPr>
          <w:rFonts w:ascii="Tahoma" w:hAnsi="Tahoma"/>
        </w:rPr>
        <w:t>Erricker</w:t>
      </w:r>
      <w:proofErr w:type="spellEnd"/>
      <w:r>
        <w:rPr>
          <w:rFonts w:ascii="Tahoma" w:hAnsi="Tahoma"/>
        </w:rPr>
        <w:t xml:space="preserve">, </w:t>
      </w:r>
      <w:proofErr w:type="gramStart"/>
      <w:r>
        <w:rPr>
          <w:rFonts w:ascii="Tahoma" w:hAnsi="Tahoma"/>
        </w:rPr>
        <w:t>C..</w:t>
      </w:r>
      <w:proofErr w:type="gramEnd"/>
      <w:r>
        <w:rPr>
          <w:rFonts w:ascii="Tahoma" w:hAnsi="Tahoma"/>
        </w:rPr>
        <w:t xml:space="preserve"> (1998) ‘Phenomenological approaches.’ in Connelly, P. (</w:t>
      </w:r>
      <w:proofErr w:type="gramStart"/>
      <w:r>
        <w:rPr>
          <w:rFonts w:ascii="Tahoma" w:hAnsi="Tahoma"/>
        </w:rPr>
        <w:t>ed</w:t>
      </w:r>
      <w:proofErr w:type="gramEnd"/>
      <w:r>
        <w:rPr>
          <w:rFonts w:ascii="Tahoma" w:hAnsi="Tahoma"/>
        </w:rPr>
        <w:t xml:space="preserve">.) </w:t>
      </w:r>
    </w:p>
    <w:p w:rsidR="005D335A" w:rsidRDefault="005D335A" w:rsidP="005D335A">
      <w:pPr>
        <w:pStyle w:val="BodyText"/>
        <w:tabs>
          <w:tab w:val="left" w:pos="709"/>
        </w:tabs>
        <w:spacing w:after="0"/>
        <w:jc w:val="both"/>
        <w:rPr>
          <w:rFonts w:ascii="Tahoma" w:hAnsi="Tahoma"/>
        </w:rPr>
      </w:pPr>
      <w:r>
        <w:rPr>
          <w:rFonts w:ascii="Tahoma" w:hAnsi="Tahoma"/>
        </w:rPr>
        <w:tab/>
      </w:r>
      <w:r>
        <w:rPr>
          <w:rFonts w:ascii="Tahoma" w:hAnsi="Tahoma"/>
          <w:i/>
        </w:rPr>
        <w:t>Approaches to the Study of Religion</w:t>
      </w:r>
      <w:r>
        <w:rPr>
          <w:rFonts w:ascii="Tahoma" w:hAnsi="Tahoma"/>
        </w:rPr>
        <w:t>, 73-104.</w:t>
      </w:r>
      <w:r>
        <w:rPr>
          <w:rFonts w:ascii="Tahoma" w:hAnsi="Tahoma"/>
          <w:i/>
        </w:rPr>
        <w:t xml:space="preserve">  </w:t>
      </w:r>
      <w:r>
        <w:rPr>
          <w:rFonts w:ascii="Tahoma" w:hAnsi="Tahoma"/>
        </w:rPr>
        <w:t xml:space="preserve">London, </w:t>
      </w:r>
      <w:proofErr w:type="spellStart"/>
      <w:r>
        <w:rPr>
          <w:rFonts w:ascii="Tahoma" w:hAnsi="Tahoma"/>
        </w:rPr>
        <w:t>Cassell</w:t>
      </w:r>
      <w:proofErr w:type="spellEnd"/>
      <w:r>
        <w:rPr>
          <w:rFonts w:ascii="Tahoma" w:hAnsi="Tahoma"/>
        </w:rPr>
        <w:t>.</w:t>
      </w:r>
    </w:p>
    <w:p w:rsidR="005D335A" w:rsidRDefault="005D335A" w:rsidP="005D335A">
      <w:pPr>
        <w:pStyle w:val="BodyText"/>
        <w:tabs>
          <w:tab w:val="left" w:pos="709"/>
        </w:tabs>
        <w:spacing w:after="0"/>
        <w:rPr>
          <w:rFonts w:ascii="Tahoma" w:hAnsi="Tahoma"/>
        </w:rPr>
      </w:pPr>
    </w:p>
    <w:p w:rsidR="005D335A" w:rsidRDefault="005D335A" w:rsidP="005D335A">
      <w:pPr>
        <w:pStyle w:val="BodyText"/>
        <w:tabs>
          <w:tab w:val="left" w:pos="709"/>
        </w:tabs>
        <w:spacing w:after="0"/>
        <w:rPr>
          <w:rFonts w:ascii="Tahoma" w:hAnsi="Tahoma"/>
        </w:rPr>
      </w:pPr>
      <w:proofErr w:type="gramStart"/>
      <w:r>
        <w:rPr>
          <w:rFonts w:ascii="Tahoma" w:hAnsi="Tahoma"/>
        </w:rPr>
        <w:t xml:space="preserve">Flood, G. (1999) </w:t>
      </w:r>
      <w:r>
        <w:rPr>
          <w:rFonts w:ascii="Tahoma" w:hAnsi="Tahoma"/>
          <w:i/>
        </w:rPr>
        <w:t>Beyond Phenomenology.</w:t>
      </w:r>
      <w:proofErr w:type="gramEnd"/>
      <w:r>
        <w:rPr>
          <w:rFonts w:ascii="Tahoma" w:hAnsi="Tahoma"/>
        </w:rPr>
        <w:t xml:space="preserve">  </w:t>
      </w:r>
      <w:proofErr w:type="gramStart"/>
      <w:r>
        <w:rPr>
          <w:rFonts w:ascii="Tahoma" w:hAnsi="Tahoma"/>
        </w:rPr>
        <w:t>Cambridge University Press.</w:t>
      </w:r>
      <w:proofErr w:type="gramEnd"/>
    </w:p>
    <w:p w:rsidR="005D335A" w:rsidRDefault="005D335A" w:rsidP="005D335A">
      <w:pPr>
        <w:pStyle w:val="BodyText"/>
        <w:tabs>
          <w:tab w:val="left" w:pos="709"/>
        </w:tabs>
        <w:spacing w:after="0"/>
        <w:rPr>
          <w:rFonts w:ascii="Tahoma" w:hAnsi="Tahoma"/>
        </w:rPr>
      </w:pPr>
    </w:p>
    <w:p w:rsidR="005D335A" w:rsidRDefault="005D335A" w:rsidP="005D335A">
      <w:pPr>
        <w:widowControl w:val="0"/>
        <w:autoSpaceDE w:val="0"/>
        <w:autoSpaceDN w:val="0"/>
        <w:adjustRightInd w:val="0"/>
        <w:rPr>
          <w:rFonts w:ascii="Tahoma" w:hAnsi="Tahoma"/>
          <w:lang w:val="en-US"/>
        </w:rPr>
      </w:pPr>
      <w:r>
        <w:rPr>
          <w:rFonts w:ascii="Tahoma" w:hAnsi="Tahoma"/>
          <w:lang w:val="en-US"/>
        </w:rPr>
        <w:t xml:space="preserve">McKenzie, P.R, (1994) ‘Otto, </w:t>
      </w:r>
      <w:proofErr w:type="spellStart"/>
      <w:r>
        <w:rPr>
          <w:rFonts w:ascii="Tahoma" w:hAnsi="Tahoma"/>
          <w:lang w:val="en-US"/>
        </w:rPr>
        <w:t>Wach</w:t>
      </w:r>
      <w:proofErr w:type="spellEnd"/>
      <w:r>
        <w:rPr>
          <w:rFonts w:ascii="Tahoma" w:hAnsi="Tahoma"/>
          <w:lang w:val="en-US"/>
        </w:rPr>
        <w:t xml:space="preserve"> and </w:t>
      </w:r>
      <w:proofErr w:type="spellStart"/>
      <w:r>
        <w:rPr>
          <w:rFonts w:ascii="Tahoma" w:hAnsi="Tahoma"/>
          <w:lang w:val="en-US"/>
        </w:rPr>
        <w:t>Heiler</w:t>
      </w:r>
      <w:proofErr w:type="spellEnd"/>
      <w:r>
        <w:rPr>
          <w:rFonts w:ascii="Tahoma" w:hAnsi="Tahoma"/>
          <w:lang w:val="en-US"/>
        </w:rPr>
        <w:t xml:space="preserve">: towards a systematic </w:t>
      </w:r>
    </w:p>
    <w:p w:rsidR="005D335A" w:rsidRDefault="005D335A" w:rsidP="005D335A">
      <w:pPr>
        <w:widowControl w:val="0"/>
        <w:autoSpaceDE w:val="0"/>
        <w:autoSpaceDN w:val="0"/>
        <w:adjustRightInd w:val="0"/>
        <w:ind w:firstLine="720"/>
        <w:rPr>
          <w:rFonts w:ascii="Tahoma" w:hAnsi="Tahoma"/>
        </w:rPr>
      </w:pPr>
      <w:proofErr w:type="gramStart"/>
      <w:r>
        <w:rPr>
          <w:rFonts w:ascii="Tahoma" w:hAnsi="Tahoma"/>
          <w:lang w:val="en-US"/>
        </w:rPr>
        <w:t>phenomenology</w:t>
      </w:r>
      <w:proofErr w:type="gramEnd"/>
      <w:r>
        <w:rPr>
          <w:rFonts w:ascii="Tahoma" w:hAnsi="Tahoma"/>
          <w:lang w:val="en-US"/>
        </w:rPr>
        <w:t xml:space="preserve"> of religion’.  DISKUS 2, no. 1, 29-41</w:t>
      </w:r>
    </w:p>
    <w:p w:rsidR="005D335A" w:rsidRDefault="005D335A" w:rsidP="005D335A">
      <w:pPr>
        <w:rPr>
          <w:rFonts w:ascii="Tahoma" w:hAnsi="Tahoma"/>
        </w:rPr>
      </w:pPr>
      <w:r>
        <w:rPr>
          <w:rFonts w:ascii="Tahoma" w:hAnsi="Tahoma"/>
        </w:rPr>
        <w:t>http://www.basr.ac.uk/diskus/diskus1-6/MCKENZIE.TXT</w:t>
      </w:r>
    </w:p>
    <w:p w:rsidR="005D335A" w:rsidRDefault="005D335A" w:rsidP="005D335A">
      <w:pPr>
        <w:pStyle w:val="BodyText"/>
        <w:tabs>
          <w:tab w:val="left" w:pos="709"/>
        </w:tabs>
        <w:spacing w:after="0"/>
        <w:rPr>
          <w:rFonts w:ascii="Tahoma" w:hAnsi="Tahoma"/>
        </w:rPr>
      </w:pPr>
    </w:p>
    <w:p w:rsidR="005D335A" w:rsidRDefault="005D335A" w:rsidP="005D335A">
      <w:pPr>
        <w:pStyle w:val="Subtitle"/>
        <w:jc w:val="both"/>
        <w:rPr>
          <w:rFonts w:ascii="Tahoma" w:hAnsi="Tahoma"/>
          <w:sz w:val="24"/>
        </w:rPr>
      </w:pPr>
      <w:proofErr w:type="gramStart"/>
      <w:r>
        <w:rPr>
          <w:rFonts w:ascii="Tahoma" w:hAnsi="Tahoma"/>
          <w:sz w:val="24"/>
        </w:rPr>
        <w:t>King, U. (1995) ‘Historical and phenomenological approaches’.</w:t>
      </w:r>
      <w:proofErr w:type="gramEnd"/>
      <w:r>
        <w:rPr>
          <w:rFonts w:ascii="Tahoma" w:hAnsi="Tahoma"/>
          <w:sz w:val="24"/>
        </w:rPr>
        <w:t xml:space="preserve"> In F. Whaling </w:t>
      </w:r>
    </w:p>
    <w:p w:rsidR="005D335A" w:rsidRDefault="005D335A" w:rsidP="005D335A">
      <w:pPr>
        <w:pStyle w:val="Subtitle"/>
        <w:ind w:left="720"/>
        <w:jc w:val="both"/>
        <w:rPr>
          <w:rFonts w:ascii="Tahoma" w:hAnsi="Tahoma"/>
          <w:sz w:val="24"/>
        </w:rPr>
      </w:pPr>
      <w:r>
        <w:rPr>
          <w:rFonts w:ascii="Tahoma" w:hAnsi="Tahoma"/>
          <w:sz w:val="24"/>
        </w:rPr>
        <w:t>(</w:t>
      </w:r>
      <w:proofErr w:type="gramStart"/>
      <w:r>
        <w:rPr>
          <w:rFonts w:ascii="Tahoma" w:hAnsi="Tahoma"/>
          <w:sz w:val="24"/>
        </w:rPr>
        <w:t>ed</w:t>
      </w:r>
      <w:proofErr w:type="gramEnd"/>
      <w:r>
        <w:rPr>
          <w:rFonts w:ascii="Tahoma" w:hAnsi="Tahoma"/>
          <w:sz w:val="24"/>
        </w:rPr>
        <w:t>.)</w:t>
      </w:r>
      <w:r>
        <w:rPr>
          <w:rFonts w:ascii="Tahoma" w:hAnsi="Tahoma"/>
          <w:i/>
          <w:sz w:val="24"/>
        </w:rPr>
        <w:t>Theory &amp; Methods in Religious Studies: Contemporary Approaches to the Study of Religion</w:t>
      </w:r>
      <w:r>
        <w:rPr>
          <w:rFonts w:ascii="Tahoma" w:hAnsi="Tahoma"/>
          <w:sz w:val="24"/>
        </w:rPr>
        <w:t xml:space="preserve">, 41-176.  Berlin, De </w:t>
      </w:r>
      <w:proofErr w:type="spellStart"/>
      <w:r>
        <w:rPr>
          <w:rFonts w:ascii="Tahoma" w:hAnsi="Tahoma"/>
          <w:sz w:val="24"/>
        </w:rPr>
        <w:t>Gryuter</w:t>
      </w:r>
      <w:proofErr w:type="spellEnd"/>
      <w:r>
        <w:rPr>
          <w:rFonts w:ascii="Tahoma" w:hAnsi="Tahoma"/>
          <w:sz w:val="24"/>
        </w:rPr>
        <w:t>.</w:t>
      </w:r>
    </w:p>
    <w:p w:rsidR="005D335A" w:rsidRDefault="005D335A" w:rsidP="005D335A">
      <w:pPr>
        <w:pStyle w:val="BodyText"/>
        <w:tabs>
          <w:tab w:val="left" w:pos="709"/>
        </w:tabs>
        <w:spacing w:after="0"/>
        <w:rPr>
          <w:rFonts w:ascii="Tahoma" w:hAnsi="Tahoma"/>
        </w:rPr>
      </w:pPr>
    </w:p>
    <w:p w:rsidR="005D335A" w:rsidRDefault="005D335A" w:rsidP="005D335A">
      <w:pPr>
        <w:pStyle w:val="BodyText"/>
        <w:tabs>
          <w:tab w:val="left" w:pos="709"/>
        </w:tabs>
        <w:spacing w:after="0"/>
        <w:rPr>
          <w:rFonts w:ascii="Tahoma" w:hAnsi="Tahoma"/>
          <w:i/>
          <w:lang w:val="en-US"/>
        </w:rPr>
      </w:pPr>
      <w:r>
        <w:rPr>
          <w:rFonts w:ascii="Tahoma" w:hAnsi="Tahoma"/>
        </w:rPr>
        <w:t xml:space="preserve">Sharma, A. &amp; J. </w:t>
      </w:r>
      <w:proofErr w:type="spellStart"/>
      <w:r>
        <w:rPr>
          <w:rFonts w:ascii="Tahoma" w:hAnsi="Tahoma"/>
        </w:rPr>
        <w:t>Waardenburg</w:t>
      </w:r>
      <w:proofErr w:type="spellEnd"/>
      <w:r>
        <w:rPr>
          <w:rFonts w:ascii="Tahoma" w:hAnsi="Tahoma"/>
        </w:rPr>
        <w:t xml:space="preserve"> (2001) </w:t>
      </w:r>
      <w:r>
        <w:rPr>
          <w:rFonts w:ascii="Tahoma" w:hAnsi="Tahoma"/>
          <w:i/>
          <w:lang w:val="en-US"/>
        </w:rPr>
        <w:t xml:space="preserve">To the Things Themselves: Essays on the </w:t>
      </w:r>
    </w:p>
    <w:p w:rsidR="005D335A" w:rsidRDefault="005D335A" w:rsidP="005D335A">
      <w:pPr>
        <w:pStyle w:val="BodyText"/>
        <w:tabs>
          <w:tab w:val="left" w:pos="709"/>
        </w:tabs>
        <w:spacing w:after="0"/>
        <w:ind w:left="709"/>
        <w:rPr>
          <w:rFonts w:ascii="Tahoma" w:hAnsi="Tahoma"/>
          <w:lang w:val="en-US"/>
        </w:rPr>
      </w:pPr>
      <w:r>
        <w:rPr>
          <w:rFonts w:ascii="Tahoma" w:hAnsi="Tahoma"/>
          <w:i/>
          <w:lang w:val="en-US"/>
        </w:rPr>
        <w:tab/>
      </w:r>
      <w:proofErr w:type="gramStart"/>
      <w:r>
        <w:rPr>
          <w:rFonts w:ascii="Tahoma" w:hAnsi="Tahoma"/>
          <w:i/>
          <w:lang w:val="en-US"/>
        </w:rPr>
        <w:t>Discourse and Practice of the Phenomenology of Religion</w:t>
      </w:r>
      <w:r>
        <w:rPr>
          <w:rFonts w:ascii="Tahoma" w:hAnsi="Tahoma"/>
          <w:lang w:val="en-US"/>
        </w:rPr>
        <w:t>.</w:t>
      </w:r>
      <w:proofErr w:type="gramEnd"/>
      <w:r>
        <w:rPr>
          <w:rFonts w:ascii="Tahoma" w:hAnsi="Tahoma"/>
          <w:lang w:val="en-US"/>
        </w:rPr>
        <w:t xml:space="preserve">  Berlin, De </w:t>
      </w:r>
      <w:proofErr w:type="spellStart"/>
      <w:r>
        <w:rPr>
          <w:rFonts w:ascii="Tahoma" w:hAnsi="Tahoma"/>
          <w:lang w:val="en-US"/>
        </w:rPr>
        <w:t>Gruyter</w:t>
      </w:r>
      <w:proofErr w:type="spellEnd"/>
      <w:r>
        <w:rPr>
          <w:rFonts w:ascii="Tahoma" w:hAnsi="Tahoma"/>
          <w:lang w:val="en-US"/>
        </w:rPr>
        <w:t xml:space="preserve">.  </w:t>
      </w:r>
    </w:p>
    <w:p w:rsidR="005D335A" w:rsidRDefault="005D335A" w:rsidP="005D335A">
      <w:pPr>
        <w:pStyle w:val="BodyText"/>
        <w:tabs>
          <w:tab w:val="left" w:pos="709"/>
        </w:tabs>
        <w:spacing w:after="0"/>
        <w:ind w:left="709"/>
        <w:rPr>
          <w:rFonts w:ascii="Tahoma" w:hAnsi="Tahoma"/>
        </w:rPr>
      </w:pPr>
    </w:p>
    <w:p w:rsidR="005D335A" w:rsidRDefault="005D335A" w:rsidP="005D335A">
      <w:pPr>
        <w:pStyle w:val="BodyText"/>
        <w:tabs>
          <w:tab w:val="left" w:pos="709"/>
        </w:tabs>
        <w:spacing w:after="0"/>
        <w:rPr>
          <w:rFonts w:ascii="Tahoma" w:hAnsi="Tahoma"/>
          <w:i/>
          <w:lang w:val="en-US"/>
        </w:rPr>
      </w:pPr>
      <w:proofErr w:type="spellStart"/>
      <w:r>
        <w:rPr>
          <w:rFonts w:ascii="Tahoma" w:hAnsi="Tahoma"/>
          <w:lang w:val="en-US"/>
        </w:rPr>
        <w:t>Twiss</w:t>
      </w:r>
      <w:proofErr w:type="spellEnd"/>
      <w:r>
        <w:rPr>
          <w:rFonts w:ascii="Tahoma" w:hAnsi="Tahoma"/>
          <w:lang w:val="en-US"/>
        </w:rPr>
        <w:t xml:space="preserve">, S.B. &amp; W.H. </w:t>
      </w:r>
      <w:proofErr w:type="spellStart"/>
      <w:r>
        <w:rPr>
          <w:rFonts w:ascii="Tahoma" w:hAnsi="Tahoma"/>
          <w:lang w:val="en-US"/>
        </w:rPr>
        <w:t>Conser</w:t>
      </w:r>
      <w:proofErr w:type="spellEnd"/>
      <w:r>
        <w:rPr>
          <w:rFonts w:ascii="Tahoma" w:hAnsi="Tahoma"/>
          <w:lang w:val="en-US"/>
        </w:rPr>
        <w:t xml:space="preserve"> (eds.) (1992) </w:t>
      </w:r>
      <w:r>
        <w:rPr>
          <w:rFonts w:ascii="Tahoma" w:hAnsi="Tahoma"/>
          <w:i/>
          <w:lang w:val="en-US"/>
        </w:rPr>
        <w:t xml:space="preserve">Experience of the Sacred: Readings in </w:t>
      </w:r>
    </w:p>
    <w:p w:rsidR="005D335A" w:rsidRDefault="005D335A" w:rsidP="005D335A">
      <w:pPr>
        <w:pStyle w:val="BodyText"/>
        <w:tabs>
          <w:tab w:val="left" w:pos="709"/>
        </w:tabs>
        <w:spacing w:after="0"/>
        <w:ind w:left="709"/>
        <w:rPr>
          <w:rFonts w:ascii="Tahoma" w:hAnsi="Tahoma"/>
        </w:rPr>
      </w:pPr>
      <w:r>
        <w:rPr>
          <w:rFonts w:ascii="Tahoma" w:hAnsi="Tahoma"/>
          <w:i/>
          <w:lang w:val="en-US"/>
        </w:rPr>
        <w:tab/>
      </w:r>
      <w:proofErr w:type="gramStart"/>
      <w:r>
        <w:rPr>
          <w:rFonts w:ascii="Tahoma" w:hAnsi="Tahoma"/>
          <w:i/>
          <w:lang w:val="en-US"/>
        </w:rPr>
        <w:t>the</w:t>
      </w:r>
      <w:proofErr w:type="gramEnd"/>
      <w:r>
        <w:rPr>
          <w:rFonts w:ascii="Tahoma" w:hAnsi="Tahoma"/>
          <w:i/>
          <w:lang w:val="en-US"/>
        </w:rPr>
        <w:t xml:space="preserve"> Phenomenology of Religion.</w:t>
      </w:r>
      <w:r>
        <w:rPr>
          <w:rFonts w:ascii="Tahoma" w:hAnsi="Tahoma"/>
          <w:lang w:val="en-US"/>
        </w:rPr>
        <w:t xml:space="preserve"> </w:t>
      </w:r>
      <w:proofErr w:type="gramStart"/>
      <w:r>
        <w:rPr>
          <w:rFonts w:ascii="Tahoma" w:hAnsi="Tahoma"/>
          <w:lang w:val="en-US"/>
        </w:rPr>
        <w:t>Lebanon NH, University Press of New England.</w:t>
      </w:r>
      <w:proofErr w:type="gramEnd"/>
    </w:p>
    <w:p w:rsidR="005D335A" w:rsidRDefault="005D335A" w:rsidP="005D335A">
      <w:pPr>
        <w:rPr>
          <w:rFonts w:ascii="Tahoma" w:eastAsia="Times" w:hAnsi="Tahoma"/>
          <w:lang w:eastAsia="en-GB"/>
        </w:rPr>
      </w:pPr>
    </w:p>
    <w:p w:rsidR="005D335A" w:rsidRDefault="005D335A" w:rsidP="005D335A">
      <w:pPr>
        <w:rPr>
          <w:rFonts w:ascii="Tahoma" w:eastAsia="Times" w:hAnsi="Tahoma"/>
          <w:lang w:eastAsia="en-GB"/>
        </w:rPr>
      </w:pPr>
    </w:p>
    <w:p w:rsidR="005D335A" w:rsidRDefault="005D335A"/>
    <w:sectPr w:rsidR="005D335A" w:rsidSect="00C2351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D335A"/>
    <w:rsid w:val="005D335A"/>
    <w:rsid w:val="00AA3EBF"/>
    <w:rsid w:val="00C23514"/>
    <w:rsid w:val="00DE14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335A"/>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qFormat/>
    <w:rsid w:val="005D335A"/>
    <w:pPr>
      <w:jc w:val="center"/>
    </w:pPr>
    <w:rPr>
      <w:rFonts w:ascii="Times" w:eastAsia="Times" w:hAnsi="Times"/>
      <w:sz w:val="28"/>
      <w:szCs w:val="20"/>
    </w:rPr>
  </w:style>
  <w:style w:type="character" w:customStyle="1" w:styleId="SubtitleChar">
    <w:name w:val="Subtitle Char"/>
    <w:basedOn w:val="DefaultParagraphFont"/>
    <w:link w:val="Subtitle"/>
    <w:rsid w:val="005D335A"/>
    <w:rPr>
      <w:rFonts w:ascii="Times" w:eastAsia="Times" w:hAnsi="Times" w:cs="Times New Roman"/>
      <w:sz w:val="28"/>
      <w:szCs w:val="20"/>
    </w:rPr>
  </w:style>
  <w:style w:type="paragraph" w:styleId="BodyText">
    <w:name w:val="Body Text"/>
    <w:basedOn w:val="Normal"/>
    <w:link w:val="BodyTextChar"/>
    <w:rsid w:val="005D335A"/>
    <w:pPr>
      <w:spacing w:after="120"/>
    </w:pPr>
  </w:style>
  <w:style w:type="character" w:customStyle="1" w:styleId="BodyTextChar">
    <w:name w:val="Body Text Char"/>
    <w:basedOn w:val="DefaultParagraphFont"/>
    <w:link w:val="BodyText"/>
    <w:rsid w:val="005D335A"/>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758</Words>
  <Characters>4322</Characters>
  <Application>Microsoft Office Word</Application>
  <DocSecurity>0</DocSecurity>
  <Lines>36</Lines>
  <Paragraphs>10</Paragraphs>
  <ScaleCrop>false</ScaleCrop>
  <Company/>
  <LinksUpToDate>false</LinksUpToDate>
  <CharactersWithSpaces>5070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1</cp:revision>
  <dcterms:created xsi:type="dcterms:W3CDTF">2011-11-17T10:15:00Z</dcterms:created>
  <dcterms:modified xsi:type="dcterms:W3CDTF">2011-11-17T10:16:00Z</dcterms:modified>
</cp:coreProperties>
</file>