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5E976" w14:textId="77777777" w:rsidR="000D27D9" w:rsidRPr="00263301" w:rsidRDefault="000D27D9" w:rsidP="000D27D9">
      <w:pPr>
        <w:suppressAutoHyphens/>
        <w:autoSpaceDN w:val="0"/>
        <w:spacing w:line="276" w:lineRule="auto"/>
        <w:jc w:val="center"/>
        <w:rPr>
          <w:rFonts w:ascii="Aptos" w:eastAsia="Aptos" w:hAnsi="Aptos" w:cs="Times New Roman"/>
          <w:kern w:val="3"/>
          <w14:ligatures w14:val="none"/>
        </w:rPr>
      </w:pPr>
      <w:r w:rsidRPr="00263301">
        <w:rPr>
          <w:rFonts w:ascii="Aptos" w:eastAsia="Aptos" w:hAnsi="Aptos" w:cs="Times New Roman"/>
          <w:b/>
          <w:noProof/>
          <w:kern w:val="3"/>
          <w:sz w:val="36"/>
          <w:szCs w:val="36"/>
          <w14:ligatures w14:val="none"/>
        </w:rPr>
        <w:drawing>
          <wp:inline distT="0" distB="0" distL="0" distR="0" wp14:anchorId="517A27DA" wp14:editId="5657AA44">
            <wp:extent cx="3248660" cy="1001395"/>
            <wp:effectExtent l="0" t="0" r="8890" b="825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48660" cy="1001395"/>
                    </a:xfrm>
                    <a:prstGeom prst="rect">
                      <a:avLst/>
                    </a:prstGeom>
                    <a:noFill/>
                    <a:ln>
                      <a:noFill/>
                    </a:ln>
                  </pic:spPr>
                </pic:pic>
              </a:graphicData>
            </a:graphic>
          </wp:inline>
        </w:drawing>
      </w:r>
    </w:p>
    <w:p w14:paraId="1C4A4277" w14:textId="77777777" w:rsidR="000D27D9" w:rsidRPr="00263301" w:rsidRDefault="000D27D9" w:rsidP="000D27D9">
      <w:pPr>
        <w:suppressAutoHyphens/>
        <w:autoSpaceDN w:val="0"/>
        <w:spacing w:line="276" w:lineRule="auto"/>
        <w:jc w:val="center"/>
        <w:rPr>
          <w:rFonts w:ascii="Aptos" w:eastAsia="Aptos" w:hAnsi="Aptos" w:cs="Times New Roman"/>
          <w:b/>
          <w:bCs/>
          <w:kern w:val="3"/>
          <w:sz w:val="36"/>
          <w:szCs w:val="36"/>
          <w14:ligatures w14:val="none"/>
        </w:rPr>
      </w:pPr>
    </w:p>
    <w:p w14:paraId="67E4869A" w14:textId="77777777" w:rsidR="000D27D9" w:rsidRDefault="000D27D9" w:rsidP="000D27D9">
      <w:pPr>
        <w:pStyle w:val="Subtitle"/>
        <w:jc w:val="center"/>
        <w:rPr>
          <w:lang w:eastAsia="en-GB"/>
        </w:rPr>
      </w:pPr>
      <w:r>
        <w:rPr>
          <w:b/>
          <w:bCs/>
        </w:rPr>
        <w:t>Master of Business Administration</w:t>
      </w:r>
    </w:p>
    <w:p w14:paraId="450CA4B3" w14:textId="77777777" w:rsidR="000D27D9" w:rsidRDefault="000D27D9" w:rsidP="000D27D9">
      <w:pPr>
        <w:pStyle w:val="Subtitle"/>
        <w:jc w:val="center"/>
        <w:rPr>
          <w:lang w:eastAsia="en-GB"/>
        </w:rPr>
      </w:pPr>
      <w:r>
        <w:rPr>
          <w:b/>
          <w:bCs/>
        </w:rPr>
        <w:t>LCMB7035 - Dissertation</w:t>
      </w:r>
    </w:p>
    <w:p w14:paraId="1017700B" w14:textId="77777777" w:rsidR="000D27D9" w:rsidRPr="00BD5FBC" w:rsidRDefault="000D27D9" w:rsidP="000D27D9">
      <w:pPr>
        <w:pStyle w:val="Title"/>
        <w:spacing w:line="276" w:lineRule="auto"/>
        <w:jc w:val="center"/>
        <w:rPr>
          <w:rFonts w:ascii="Arial" w:hAnsi="Arial" w:cs="Arial"/>
        </w:rPr>
      </w:pPr>
      <w:r w:rsidRPr="00BD5FBC">
        <w:rPr>
          <w:rFonts w:ascii="Arial" w:hAnsi="Arial" w:cs="Arial"/>
        </w:rPr>
        <w:t>The Green Pivot: A Comparative Analysis of Unilever’s Shift from Conventional Marketing to Digital Sustainability-Oriented Strategies in the UK and India</w:t>
      </w:r>
    </w:p>
    <w:p w14:paraId="46707BAE" w14:textId="77777777" w:rsidR="000D27D9" w:rsidRPr="00263301" w:rsidRDefault="000D27D9" w:rsidP="000D27D9">
      <w:pPr>
        <w:suppressAutoHyphens/>
        <w:autoSpaceDN w:val="0"/>
        <w:spacing w:after="80" w:line="240" w:lineRule="auto"/>
        <w:contextualSpacing/>
        <w:jc w:val="center"/>
        <w:rPr>
          <w:rFonts w:ascii="Calibri" w:eastAsia="Times New Roman" w:hAnsi="Calibri" w:cs="Calibri"/>
          <w:b/>
          <w:bCs/>
          <w:spacing w:val="-10"/>
          <w:kern w:val="3"/>
          <w:sz w:val="20"/>
          <w:szCs w:val="20"/>
          <w:lang w:val="en-US"/>
          <w14:ligatures w14:val="none"/>
        </w:rPr>
      </w:pPr>
    </w:p>
    <w:p w14:paraId="644596A7" w14:textId="57443D6D" w:rsidR="000D27D9" w:rsidRPr="00AA7DA6" w:rsidRDefault="000D27D9" w:rsidP="000D27D9">
      <w:pPr>
        <w:jc w:val="center"/>
        <w:rPr>
          <w:rFonts w:ascii="Arial" w:hAnsi="Arial" w:cs="Arial"/>
          <w:sz w:val="32"/>
          <w:szCs w:val="32"/>
          <w:lang w:eastAsia="en-GB"/>
        </w:rPr>
      </w:pPr>
      <w:r w:rsidRPr="00AA7DA6">
        <w:rPr>
          <w:rFonts w:ascii="Arial" w:hAnsi="Arial" w:cs="Arial"/>
          <w:b/>
          <w:bCs/>
          <w:sz w:val="32"/>
          <w:szCs w:val="32"/>
        </w:rPr>
        <w:t>Student Name:</w:t>
      </w:r>
      <w:r w:rsidRPr="00AA7DA6">
        <w:rPr>
          <w:rFonts w:ascii="Arial" w:hAnsi="Arial" w:cs="Arial"/>
          <w:sz w:val="32"/>
          <w:szCs w:val="32"/>
        </w:rPr>
        <w:t xml:space="preserve"> </w:t>
      </w:r>
      <w:r w:rsidR="00AA7DA6" w:rsidRPr="00AA7DA6">
        <w:rPr>
          <w:rFonts w:ascii="Arial" w:hAnsi="Arial" w:cs="Arial"/>
          <w:sz w:val="32"/>
          <w:szCs w:val="32"/>
        </w:rPr>
        <w:t xml:space="preserve">Manish </w:t>
      </w:r>
      <w:proofErr w:type="spellStart"/>
      <w:r w:rsidR="00AA7DA6" w:rsidRPr="00AA7DA6">
        <w:rPr>
          <w:rFonts w:ascii="Arial" w:hAnsi="Arial" w:cs="Arial"/>
          <w:sz w:val="32"/>
          <w:szCs w:val="32"/>
        </w:rPr>
        <w:t>shivcharan</w:t>
      </w:r>
      <w:proofErr w:type="spellEnd"/>
      <w:r w:rsidR="00AA7DA6" w:rsidRPr="00AA7DA6">
        <w:rPr>
          <w:rFonts w:ascii="Arial" w:hAnsi="Arial" w:cs="Arial"/>
          <w:sz w:val="32"/>
          <w:szCs w:val="32"/>
        </w:rPr>
        <w:t xml:space="preserve"> verma</w:t>
      </w:r>
    </w:p>
    <w:p w14:paraId="5CB179B4" w14:textId="73E4A8B4" w:rsidR="000D27D9" w:rsidRPr="00AA7DA6" w:rsidRDefault="000D27D9" w:rsidP="000D27D9">
      <w:pPr>
        <w:jc w:val="center"/>
        <w:rPr>
          <w:rFonts w:ascii="Arial" w:hAnsi="Arial" w:cs="Arial"/>
          <w:sz w:val="32"/>
          <w:szCs w:val="32"/>
          <w:lang w:eastAsia="en-GB"/>
        </w:rPr>
      </w:pPr>
      <w:r w:rsidRPr="00AA7DA6">
        <w:rPr>
          <w:rFonts w:ascii="Arial" w:hAnsi="Arial" w:cs="Arial"/>
          <w:b/>
          <w:bCs/>
          <w:sz w:val="32"/>
          <w:szCs w:val="32"/>
        </w:rPr>
        <w:t>Student ID:</w:t>
      </w:r>
      <w:r w:rsidRPr="00AA7DA6">
        <w:rPr>
          <w:rFonts w:ascii="Arial" w:hAnsi="Arial" w:cs="Arial"/>
          <w:sz w:val="32"/>
          <w:szCs w:val="32"/>
        </w:rPr>
        <w:t xml:space="preserve"> </w:t>
      </w:r>
      <w:r w:rsidR="00AA7DA6" w:rsidRPr="00AA7DA6">
        <w:rPr>
          <w:rFonts w:ascii="Arial" w:hAnsi="Arial" w:cs="Arial"/>
          <w:sz w:val="32"/>
          <w:szCs w:val="32"/>
        </w:rPr>
        <w:t>2433117</w:t>
      </w:r>
    </w:p>
    <w:p w14:paraId="1F96E3F5" w14:textId="33F6132B" w:rsidR="000D27D9" w:rsidRPr="00AA7DA6" w:rsidRDefault="000D27D9" w:rsidP="000D27D9">
      <w:pPr>
        <w:jc w:val="center"/>
        <w:rPr>
          <w:rFonts w:ascii="Arial" w:hAnsi="Arial" w:cs="Arial"/>
          <w:sz w:val="32"/>
          <w:szCs w:val="32"/>
          <w:lang w:eastAsia="en-GB"/>
        </w:rPr>
      </w:pPr>
      <w:r w:rsidRPr="00AA7DA6">
        <w:rPr>
          <w:rFonts w:ascii="Arial" w:hAnsi="Arial" w:cs="Arial"/>
          <w:b/>
          <w:bCs/>
          <w:sz w:val="32"/>
          <w:szCs w:val="32"/>
        </w:rPr>
        <w:t>Supervisor:</w:t>
      </w:r>
      <w:r w:rsidRPr="00AA7DA6">
        <w:rPr>
          <w:rFonts w:ascii="Arial" w:hAnsi="Arial" w:cs="Arial"/>
          <w:sz w:val="32"/>
          <w:szCs w:val="32"/>
        </w:rPr>
        <w:t xml:space="preserve"> </w:t>
      </w:r>
      <w:proofErr w:type="spellStart"/>
      <w:r w:rsidR="00AA7DA6" w:rsidRPr="00AA7DA6">
        <w:rPr>
          <w:rFonts w:ascii="Arial" w:hAnsi="Arial" w:cs="Arial"/>
          <w:sz w:val="32"/>
          <w:szCs w:val="32"/>
        </w:rPr>
        <w:t>jia</w:t>
      </w:r>
      <w:proofErr w:type="spellEnd"/>
      <w:r w:rsidR="00AA7DA6" w:rsidRPr="00AA7DA6">
        <w:rPr>
          <w:rFonts w:ascii="Arial" w:hAnsi="Arial" w:cs="Arial"/>
          <w:sz w:val="32"/>
          <w:szCs w:val="32"/>
        </w:rPr>
        <w:t xml:space="preserve"> </w:t>
      </w:r>
      <w:proofErr w:type="spellStart"/>
      <w:r w:rsidR="00AA7DA6" w:rsidRPr="00AA7DA6">
        <w:rPr>
          <w:rFonts w:ascii="Arial" w:hAnsi="Arial" w:cs="Arial"/>
          <w:sz w:val="32"/>
          <w:szCs w:val="32"/>
        </w:rPr>
        <w:t>miao</w:t>
      </w:r>
      <w:proofErr w:type="spellEnd"/>
    </w:p>
    <w:p w14:paraId="7AB3E140" w14:textId="0977FE1A" w:rsidR="000D27D9" w:rsidRPr="00AA7DA6" w:rsidRDefault="000D27D9" w:rsidP="000D27D9">
      <w:pPr>
        <w:jc w:val="center"/>
        <w:rPr>
          <w:rFonts w:ascii="Arial" w:hAnsi="Arial" w:cs="Arial"/>
          <w:sz w:val="32"/>
          <w:szCs w:val="32"/>
          <w:lang w:eastAsia="en-GB"/>
        </w:rPr>
      </w:pPr>
      <w:r w:rsidRPr="00AA7DA6">
        <w:rPr>
          <w:rFonts w:ascii="Arial" w:hAnsi="Arial" w:cs="Arial"/>
          <w:b/>
          <w:bCs/>
          <w:sz w:val="32"/>
          <w:szCs w:val="32"/>
        </w:rPr>
        <w:t>Program Manager:</w:t>
      </w:r>
      <w:r w:rsidRPr="00AA7DA6">
        <w:rPr>
          <w:rFonts w:ascii="Arial" w:hAnsi="Arial" w:cs="Arial"/>
          <w:sz w:val="32"/>
          <w:szCs w:val="32"/>
        </w:rPr>
        <w:t xml:space="preserve"> </w:t>
      </w:r>
      <w:proofErr w:type="spellStart"/>
      <w:r w:rsidR="00741452">
        <w:rPr>
          <w:rFonts w:ascii="Arial" w:hAnsi="Arial" w:cs="Arial"/>
          <w:sz w:val="32"/>
          <w:szCs w:val="32"/>
        </w:rPr>
        <w:t>Hoang</w:t>
      </w:r>
      <w:proofErr w:type="spellEnd"/>
      <w:r w:rsidR="004033D1">
        <w:rPr>
          <w:rFonts w:ascii="Arial" w:hAnsi="Arial" w:cs="Arial"/>
          <w:sz w:val="32"/>
          <w:szCs w:val="32"/>
        </w:rPr>
        <w:t xml:space="preserve"> </w:t>
      </w:r>
      <w:r w:rsidR="00A13042">
        <w:rPr>
          <w:rFonts w:ascii="Arial" w:hAnsi="Arial" w:cs="Arial"/>
          <w:sz w:val="32"/>
          <w:szCs w:val="32"/>
        </w:rPr>
        <w:t xml:space="preserve">Dang </w:t>
      </w:r>
      <w:r w:rsidR="00A36130">
        <w:rPr>
          <w:rFonts w:ascii="Arial" w:hAnsi="Arial" w:cs="Arial"/>
          <w:sz w:val="32"/>
          <w:szCs w:val="32"/>
        </w:rPr>
        <w:t>Nguyen</w:t>
      </w:r>
    </w:p>
    <w:p w14:paraId="61D55DBE" w14:textId="77777777" w:rsidR="000D27D9" w:rsidRPr="00AA7DA6" w:rsidRDefault="000D27D9" w:rsidP="000D27D9">
      <w:pPr>
        <w:jc w:val="center"/>
        <w:rPr>
          <w:rFonts w:ascii="Arial" w:hAnsi="Arial" w:cs="Arial"/>
          <w:sz w:val="32"/>
          <w:szCs w:val="32"/>
          <w:lang w:eastAsia="en-GB"/>
        </w:rPr>
      </w:pPr>
      <w:r w:rsidRPr="00AA7DA6">
        <w:rPr>
          <w:rFonts w:ascii="Arial" w:hAnsi="Arial" w:cs="Arial"/>
          <w:b/>
          <w:bCs/>
          <w:sz w:val="32"/>
          <w:szCs w:val="32"/>
        </w:rPr>
        <w:t>Institute:</w:t>
      </w:r>
      <w:r w:rsidRPr="00AA7DA6">
        <w:rPr>
          <w:rFonts w:ascii="Arial" w:hAnsi="Arial" w:cs="Arial"/>
          <w:sz w:val="32"/>
          <w:szCs w:val="32"/>
        </w:rPr>
        <w:t xml:space="preserve"> University of Wales Trinity Saint David (UWTSD) London Campus</w:t>
      </w:r>
    </w:p>
    <w:p w14:paraId="14C47E81" w14:textId="77777777" w:rsidR="000D27D9" w:rsidRDefault="000D27D9">
      <w:pPr>
        <w:rPr>
          <w:rFonts w:ascii="Arial" w:eastAsiaTheme="majorEastAsia" w:hAnsi="Arial" w:cs="Arial"/>
          <w:spacing w:val="-10"/>
          <w:kern w:val="28"/>
          <w:sz w:val="56"/>
          <w:szCs w:val="56"/>
        </w:rPr>
      </w:pPr>
      <w:r>
        <w:rPr>
          <w:rFonts w:ascii="Arial" w:hAnsi="Arial" w:cs="Arial"/>
        </w:rPr>
        <w:br w:type="page"/>
      </w:r>
    </w:p>
    <w:p w14:paraId="6243E619" w14:textId="77777777" w:rsidR="000D27D9" w:rsidRDefault="000D27D9" w:rsidP="000D27D9">
      <w:pPr>
        <w:pStyle w:val="Heading1"/>
        <w:rPr>
          <w:rFonts w:cstheme="minorBidi"/>
          <w:lang w:eastAsia="en-GB"/>
        </w:rPr>
      </w:pPr>
      <w:bookmarkStart w:id="0" w:name="_Toc231494279"/>
      <w:bookmarkStart w:id="1" w:name="_Toc231595780"/>
      <w:bookmarkStart w:id="2" w:name="_Toc231740286"/>
      <w:r>
        <w:rPr>
          <w:rFonts w:cstheme="minorBidi"/>
        </w:rPr>
        <w:t>Declaration</w:t>
      </w:r>
      <w:bookmarkEnd w:id="0"/>
      <w:bookmarkEnd w:id="1"/>
      <w:bookmarkEnd w:id="2"/>
    </w:p>
    <w:p w14:paraId="61DF359B" w14:textId="77777777" w:rsidR="000D27D9" w:rsidRPr="00AA36DE" w:rsidRDefault="000D27D9" w:rsidP="000D27D9">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Declaration of Originality</w:t>
      </w:r>
    </w:p>
    <w:p w14:paraId="4B18640F" w14:textId="08971044" w:rsidR="000D27D9" w:rsidRPr="0073631C" w:rsidRDefault="000D27D9" w:rsidP="000D27D9">
      <w:pPr>
        <w:spacing w:after="100" w:afterAutospacing="1" w:line="240" w:lineRule="auto"/>
        <w:rPr>
          <w:rFonts w:ascii="Arial" w:eastAsia="Times New Roman" w:hAnsi="Arial" w:cs="Arial"/>
          <w:b/>
          <w:bCs/>
          <w:i/>
          <w:iCs/>
          <w:kern w:val="0"/>
          <w:lang w:eastAsia="en-GB"/>
          <w14:ligatures w14:val="none"/>
        </w:rPr>
      </w:pPr>
      <w:r w:rsidRPr="00AA36DE">
        <w:rPr>
          <w:rFonts w:ascii="Arial" w:eastAsia="Times New Roman" w:hAnsi="Arial" w:cs="Arial"/>
          <w:kern w:val="0"/>
          <w:lang w:eastAsia="en-GB"/>
          <w14:ligatures w14:val="none"/>
        </w:rPr>
        <w:t xml:space="preserve">I hereby declare that this dissertation, titled </w:t>
      </w:r>
      <w:r w:rsidRPr="00AA36DE">
        <w:rPr>
          <w:rFonts w:ascii="Arial" w:eastAsia="Times New Roman" w:hAnsi="Arial" w:cs="Arial"/>
          <w:i/>
          <w:iCs/>
          <w:kern w:val="0"/>
          <w:lang w:eastAsia="en-GB"/>
          <w14:ligatures w14:val="none"/>
        </w:rPr>
        <w:t>"</w:t>
      </w:r>
      <w:r w:rsidRPr="0073631C">
        <w:rPr>
          <w:rFonts w:ascii="Arial" w:eastAsia="Times New Roman" w:hAnsi="Arial" w:cs="Arial"/>
          <w:b/>
          <w:bCs/>
          <w:kern w:val="0"/>
          <w:sz w:val="32"/>
          <w:szCs w:val="32"/>
          <w:lang w:eastAsia="en-GB"/>
          <w14:ligatures w14:val="none"/>
        </w:rPr>
        <w:t xml:space="preserve"> </w:t>
      </w:r>
      <w:r w:rsidRPr="000D27D9">
        <w:rPr>
          <w:rFonts w:ascii="Arial" w:eastAsia="Times New Roman" w:hAnsi="Arial" w:cs="Arial"/>
          <w:b/>
          <w:bCs/>
          <w:i/>
          <w:iCs/>
          <w:kern w:val="0"/>
          <w:lang w:eastAsia="en-GB"/>
          <w14:ligatures w14:val="none"/>
        </w:rPr>
        <w:t>The Green Pivot: A Comparative Analysis of Unilever’s Shift from Conventional Marketing to Digital Sustainability-Oriented Strategies in the UK and India</w:t>
      </w:r>
      <w:r>
        <w:rPr>
          <w:rFonts w:ascii="Arial" w:eastAsia="Times New Roman" w:hAnsi="Arial" w:cs="Arial"/>
          <w:b/>
          <w:bCs/>
          <w:i/>
          <w:iCs/>
          <w:kern w:val="0"/>
          <w:lang w:eastAsia="en-GB"/>
          <w14:ligatures w14:val="none"/>
        </w:rPr>
        <w:t xml:space="preserve">” </w:t>
      </w:r>
      <w:r w:rsidRPr="00AA36DE">
        <w:rPr>
          <w:rFonts w:ascii="Arial" w:eastAsia="Times New Roman" w:hAnsi="Arial" w:cs="Arial"/>
          <w:kern w:val="0"/>
          <w:lang w:eastAsia="en-GB"/>
          <w14:ligatures w14:val="none"/>
        </w:rPr>
        <w:t>is entirely my own original work, except where specific reference is made to the work of others. This dissertation has not been submitted, either in whole or in part, for a degree or any other qualification at this University or any other institution.</w:t>
      </w:r>
    </w:p>
    <w:p w14:paraId="01C36ABF" w14:textId="0B8C51DF" w:rsidR="000D27D9" w:rsidRPr="00AA36DE" w:rsidRDefault="000D27D9" w:rsidP="000D27D9">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Name:</w:t>
      </w:r>
      <w:r w:rsidRPr="00AA36DE">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Manish Verma</w:t>
      </w:r>
    </w:p>
    <w:p w14:paraId="40E2C5F4" w14:textId="212D8EB6" w:rsidR="000D27D9" w:rsidRPr="00AA36DE" w:rsidRDefault="000D27D9" w:rsidP="000D27D9">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Student ID:</w:t>
      </w:r>
      <w:r w:rsidRPr="00AA36DE">
        <w:rPr>
          <w:rFonts w:ascii="Arial" w:eastAsia="Times New Roman" w:hAnsi="Arial" w:cs="Arial"/>
          <w:kern w:val="0"/>
          <w:lang w:eastAsia="en-GB"/>
          <w14:ligatures w14:val="none"/>
        </w:rPr>
        <w:t xml:space="preserve"> </w:t>
      </w:r>
    </w:p>
    <w:p w14:paraId="56D0EDB2" w14:textId="77777777" w:rsidR="000D27D9" w:rsidRPr="00AA36DE" w:rsidRDefault="000D27D9" w:rsidP="000D27D9">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Date:</w:t>
      </w:r>
      <w:r w:rsidRPr="00AA36DE">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05/06/2026</w:t>
      </w:r>
    </w:p>
    <w:p w14:paraId="283B9E28" w14:textId="5C03847E" w:rsidR="000D27D9" w:rsidRDefault="000D27D9" w:rsidP="000D27D9">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b/>
          <w:bCs/>
          <w:kern w:val="0"/>
          <w:lang w:eastAsia="en-GB"/>
          <w14:ligatures w14:val="none"/>
        </w:rPr>
        <w:t>Signature:</w:t>
      </w:r>
      <w:r w:rsidR="009A44DA">
        <w:rPr>
          <w:rFonts w:ascii="Arial" w:eastAsia="Times New Roman" w:hAnsi="Arial" w:cs="Arial"/>
          <w:b/>
          <w:bCs/>
          <w:kern w:val="0"/>
          <w:lang w:eastAsia="en-GB"/>
          <w14:ligatures w14:val="none"/>
        </w:rPr>
        <w:t xml:space="preserve"> </w:t>
      </w:r>
      <w:r w:rsidR="009453E9">
        <w:rPr>
          <w:rFonts w:ascii="Arial" w:eastAsia="Times New Roman" w:hAnsi="Arial" w:cs="Arial"/>
          <w:b/>
          <w:bCs/>
          <w:kern w:val="0"/>
          <w:u w:val="single"/>
          <w:lang w:eastAsia="en-GB"/>
          <w14:ligatures w14:val="none"/>
        </w:rPr>
        <w:t>manish verma</w:t>
      </w:r>
    </w:p>
    <w:p w14:paraId="122F2BDE" w14:textId="77777777" w:rsidR="000D27D9" w:rsidRDefault="000D27D9" w:rsidP="000D27D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4E6B0A3C" w14:textId="77777777" w:rsidR="000D27D9" w:rsidRDefault="000D27D9" w:rsidP="000D27D9">
      <w:pPr>
        <w:pStyle w:val="Heading1"/>
        <w:rPr>
          <w:rFonts w:cstheme="minorBidi"/>
          <w:lang w:eastAsia="en-GB"/>
        </w:rPr>
      </w:pPr>
      <w:bookmarkStart w:id="3" w:name="_Toc231494280"/>
      <w:bookmarkStart w:id="4" w:name="_Toc231595781"/>
      <w:bookmarkStart w:id="5" w:name="_Toc231740287"/>
      <w:r>
        <w:rPr>
          <w:rFonts w:cstheme="minorBidi"/>
        </w:rPr>
        <w:t>AI Use Acknowledgements</w:t>
      </w:r>
      <w:bookmarkEnd w:id="3"/>
      <w:bookmarkEnd w:id="4"/>
      <w:bookmarkEnd w:id="5"/>
    </w:p>
    <w:p w14:paraId="7B747B35" w14:textId="77777777" w:rsidR="000D27D9" w:rsidRDefault="000D27D9" w:rsidP="000D27D9">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kern w:val="0"/>
          <w:lang w:eastAsia="en-GB"/>
          <w14:ligatures w14:val="none"/>
        </w:rPr>
        <w:t>In the preparation of this dissertation, artificial intelligence tools (specifically large language models) were utilized strictly as developmental aids. The AI was used for proofreading, standardizing Harvard citation formats, and improving grammatical flow and structural organization. All core research, thematic data analysis, critical evaluation of secondary literature, and theoretical synthesis represent the original intellectual work of the author.</w:t>
      </w:r>
    </w:p>
    <w:p w14:paraId="3EA7912C" w14:textId="77777777" w:rsidR="000D27D9" w:rsidRDefault="000D27D9" w:rsidP="000D27D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083D1A37" w14:textId="77777777" w:rsidR="000D27D9" w:rsidRDefault="000D27D9" w:rsidP="000D27D9">
      <w:pPr>
        <w:pStyle w:val="Heading1"/>
        <w:rPr>
          <w:rFonts w:cstheme="minorBidi"/>
          <w:lang w:eastAsia="en-GB"/>
        </w:rPr>
      </w:pPr>
      <w:bookmarkStart w:id="6" w:name="Toc231476321"/>
      <w:bookmarkStart w:id="7" w:name="_Toc231494281"/>
      <w:bookmarkStart w:id="8" w:name="_Toc231595782"/>
      <w:bookmarkStart w:id="9" w:name="_Toc231740288"/>
      <w:r>
        <w:rPr>
          <w:rFonts w:cstheme="minorBidi"/>
        </w:rPr>
        <w:t>Acknowledgements</w:t>
      </w:r>
      <w:bookmarkEnd w:id="6"/>
      <w:bookmarkEnd w:id="7"/>
      <w:bookmarkEnd w:id="8"/>
      <w:bookmarkEnd w:id="9"/>
    </w:p>
    <w:p w14:paraId="2B2359B8" w14:textId="4863D863" w:rsidR="000D27D9" w:rsidRDefault="000D27D9" w:rsidP="000D27D9">
      <w:pPr>
        <w:spacing w:after="100" w:afterAutospacing="1" w:line="240" w:lineRule="auto"/>
        <w:rPr>
          <w:rFonts w:ascii="Arial" w:eastAsia="Times New Roman" w:hAnsi="Arial" w:cs="Arial"/>
          <w:kern w:val="0"/>
          <w:lang w:eastAsia="en-GB"/>
          <w14:ligatures w14:val="none"/>
        </w:rPr>
      </w:pPr>
      <w:r w:rsidRPr="00AA36DE">
        <w:rPr>
          <w:rFonts w:ascii="Arial" w:eastAsia="Times New Roman" w:hAnsi="Arial" w:cs="Arial"/>
          <w:kern w:val="0"/>
          <w:lang w:eastAsia="en-GB"/>
          <w14:ligatures w14:val="none"/>
        </w:rPr>
        <w:t xml:space="preserve">I would like to express my sincere gratitude to my dissertation supervisor, </w:t>
      </w:r>
      <w:proofErr w:type="spellStart"/>
      <w:r>
        <w:t>jia</w:t>
      </w:r>
      <w:proofErr w:type="spellEnd"/>
      <w:r>
        <w:t xml:space="preserve"> </w:t>
      </w:r>
      <w:proofErr w:type="spellStart"/>
      <w:r>
        <w:t>miao</w:t>
      </w:r>
      <w:proofErr w:type="spellEnd"/>
      <w:r w:rsidRPr="00AA36DE">
        <w:rPr>
          <w:rFonts w:ascii="Arial" w:eastAsia="Times New Roman" w:hAnsi="Arial" w:cs="Arial"/>
          <w:kern w:val="0"/>
          <w:lang w:eastAsia="en-GB"/>
          <w14:ligatures w14:val="none"/>
        </w:rPr>
        <w:t>, for their invaluable guidance, feedback, and support throughout this research process. I would also like to thank my family and friends for their continuous encouragement during my studies.</w:t>
      </w:r>
    </w:p>
    <w:p w14:paraId="0635A1FE" w14:textId="77777777" w:rsidR="000D27D9" w:rsidRDefault="000D27D9" w:rsidP="000D27D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1E5F33E5" w14:textId="77777777" w:rsidR="000D27D9" w:rsidRPr="00BD5FBC" w:rsidRDefault="000D27D9" w:rsidP="0078498F">
      <w:pPr>
        <w:pStyle w:val="Heading1"/>
      </w:pPr>
      <w:bookmarkStart w:id="10" w:name="_Toc231740289"/>
      <w:r w:rsidRPr="00BD5FBC">
        <w:t>Abstract</w:t>
      </w:r>
      <w:bookmarkEnd w:id="10"/>
    </w:p>
    <w:p w14:paraId="45569063" w14:textId="5CDF57C5" w:rsidR="000D27D9" w:rsidRPr="00C84D32" w:rsidRDefault="000D27D9" w:rsidP="000D27D9">
      <w:pPr>
        <w:spacing w:line="276" w:lineRule="auto"/>
        <w:rPr>
          <w:rFonts w:ascii="Arial" w:hAnsi="Arial" w:cs="Arial"/>
        </w:rPr>
      </w:pPr>
      <w:r w:rsidRPr="00C84D32">
        <w:rPr>
          <w:rFonts w:ascii="Arial" w:hAnsi="Arial" w:cs="Arial"/>
        </w:rPr>
        <w:t xml:space="preserve">At present, the FMCG world is experiencing a change described as “double transition”, with citizen-consumers laying the foundations for a digital-first architecture while increasingly engaging with the environmental transition. The dissertation </w:t>
      </w:r>
      <w:r w:rsidR="00AA7DA6" w:rsidRPr="00C84D32">
        <w:rPr>
          <w:rFonts w:ascii="Arial" w:hAnsi="Arial" w:cs="Arial"/>
        </w:rPr>
        <w:t>analyses</w:t>
      </w:r>
      <w:r w:rsidRPr="00C84D32">
        <w:rPr>
          <w:rFonts w:ascii="Arial" w:hAnsi="Arial" w:cs="Arial"/>
        </w:rPr>
        <w:t xml:space="preserve"> how Unilever, one of these FMCG’S, move away from both the mass broadcast approach and the sustainability marketing to digital targeting sustainability marketing in the UK and India which are two markets with different socio-economic differentials. This research asks: how and in what way is the “Trust-Digital Paradox” driving computational propaganda and hyper-personalisation to lead not only to active “deep-state” push-back but also charges of “digital greenwashing”? </w:t>
      </w:r>
    </w:p>
    <w:p w14:paraId="24EE08A6" w14:textId="6DD6BFAE" w:rsidR="000D27D9" w:rsidRPr="00C84D32" w:rsidRDefault="000D27D9" w:rsidP="000D27D9">
      <w:pPr>
        <w:spacing w:line="276" w:lineRule="auto"/>
        <w:rPr>
          <w:rFonts w:ascii="Arial" w:hAnsi="Arial" w:cs="Arial"/>
          <w:lang w:val="en-IN"/>
        </w:rPr>
      </w:pPr>
      <w:r w:rsidRPr="00C84D32">
        <w:rPr>
          <w:rFonts w:ascii="Arial" w:hAnsi="Arial" w:cs="Arial"/>
          <w:lang w:val="en-IN"/>
        </w:rPr>
        <w:t xml:space="preserve">This study used a qualitative case study approach, guided by the interpretivist </w:t>
      </w:r>
      <w:r w:rsidR="00AA7DA6" w:rsidRPr="00C84D32">
        <w:rPr>
          <w:rFonts w:ascii="Arial" w:hAnsi="Arial" w:cs="Arial"/>
          <w:lang w:val="en-IN"/>
        </w:rPr>
        <w:t>paradigm(</w:t>
      </w:r>
      <w:r w:rsidRPr="00C84D32">
        <w:rPr>
          <w:rFonts w:ascii="Arial" w:hAnsi="Arial" w:cs="Arial"/>
        </w:rPr>
        <w:t>one should understand them by focusing on their unique meanings, emotions, and experiences.</w:t>
      </w:r>
      <w:r w:rsidRPr="00C84D32">
        <w:rPr>
          <w:rFonts w:ascii="Arial" w:hAnsi="Arial" w:cs="Arial"/>
          <w:lang w:val="en-IN"/>
        </w:rPr>
        <w:t>)</w:t>
      </w:r>
      <w:r w:rsidRPr="00C84D32">
        <w:rPr>
          <w:rFonts w:ascii="Arial" w:hAnsi="Arial" w:cs="Arial"/>
        </w:rPr>
        <w:t>. cross</w:t>
      </w:r>
      <w:r w:rsidRPr="00C84D32">
        <w:rPr>
          <w:rFonts w:ascii="Arial" w:hAnsi="Arial" w:cs="Arial"/>
        </w:rPr>
        <w:noBreakHyphen/>
        <w:t>checking of responses refers to the different methods the authors used which were supported by Market Intelligence. This research organizes “Green Codes” Unilever methodically. The research that only using one global narrative doesn’t work well in business. Importance of hyper-localisation. In the competitive market in the UK, Unilever shows how to use “Systemic Accountability” and “Carbon Literacy” because of their semiotic framework being deployed and grounded in science/supply chain evidence. On the other hand, Unilever employs codes of ‘Grassroots Empowerment’ and ‘Social Equality’ for the emerging India market.</w:t>
      </w:r>
    </w:p>
    <w:p w14:paraId="5ACE843F" w14:textId="77777777" w:rsidR="000D27D9" w:rsidRDefault="000D27D9" w:rsidP="000D27D9">
      <w:pPr>
        <w:spacing w:line="276" w:lineRule="auto"/>
        <w:rPr>
          <w:rFonts w:ascii="Arial" w:hAnsi="Arial" w:cs="Arial"/>
        </w:rPr>
      </w:pPr>
      <w:r w:rsidRPr="00C84D32">
        <w:rPr>
          <w:rFonts w:ascii="Arial" w:hAnsi="Arial" w:cs="Arial"/>
        </w:rPr>
        <w:t>The study finds that unlike all other studies; The author notes that the strong impact of charged emotions and personal information does not rely on framing; it is created by the unique interaction between these two factors. Perhaps the brand should face accusations of greenwashing due to its extensive emotional campaigns, but it shouldn’t face repercussions as harshly as Unilever has. The decentralized policy of Unilever mainly helps the company to generate a very sustainable and strong competitive edge against such against that is very strong.</w:t>
      </w:r>
    </w:p>
    <w:p w14:paraId="56D1F694" w14:textId="77777777" w:rsidR="00F61A86" w:rsidRDefault="00F61A86" w:rsidP="000D27D9">
      <w:pPr>
        <w:spacing w:line="276" w:lineRule="auto"/>
        <w:rPr>
          <w:rFonts w:ascii="Arial" w:hAnsi="Arial" w:cs="Arial"/>
        </w:rPr>
      </w:pPr>
    </w:p>
    <w:p w14:paraId="603A8A2C" w14:textId="77777777" w:rsidR="00F61A86" w:rsidRDefault="00F61A86" w:rsidP="000D27D9">
      <w:pPr>
        <w:spacing w:line="276" w:lineRule="auto"/>
        <w:rPr>
          <w:rFonts w:ascii="Arial" w:hAnsi="Arial" w:cs="Arial"/>
        </w:rPr>
      </w:pPr>
    </w:p>
    <w:p w14:paraId="0F8A5AF3" w14:textId="77777777" w:rsidR="00F61A86" w:rsidRDefault="00F61A86" w:rsidP="000D27D9">
      <w:pPr>
        <w:spacing w:line="276" w:lineRule="auto"/>
        <w:rPr>
          <w:rFonts w:ascii="Arial" w:hAnsi="Arial" w:cs="Arial"/>
        </w:rPr>
      </w:pPr>
    </w:p>
    <w:p w14:paraId="445C310B" w14:textId="77777777" w:rsidR="00F61A86" w:rsidRDefault="00F61A86" w:rsidP="000D27D9">
      <w:pPr>
        <w:spacing w:line="276" w:lineRule="auto"/>
        <w:rPr>
          <w:rFonts w:ascii="Arial" w:hAnsi="Arial" w:cs="Arial"/>
        </w:rPr>
      </w:pPr>
    </w:p>
    <w:p w14:paraId="630571F6" w14:textId="77777777" w:rsidR="00F61A86" w:rsidRDefault="00F61A86" w:rsidP="000D27D9">
      <w:pPr>
        <w:spacing w:line="276" w:lineRule="auto"/>
        <w:rPr>
          <w:rFonts w:ascii="Arial" w:hAnsi="Arial" w:cs="Arial"/>
        </w:rPr>
      </w:pPr>
    </w:p>
    <w:p w14:paraId="74B280DD" w14:textId="77777777" w:rsidR="00F61A86" w:rsidRDefault="00F61A86" w:rsidP="000D27D9">
      <w:pPr>
        <w:spacing w:line="276" w:lineRule="auto"/>
        <w:rPr>
          <w:rFonts w:ascii="Arial" w:hAnsi="Arial" w:cs="Arial"/>
        </w:rPr>
      </w:pPr>
    </w:p>
    <w:p w14:paraId="3C796D78" w14:textId="77777777" w:rsidR="00F61A86" w:rsidRDefault="00F61A86" w:rsidP="000D27D9">
      <w:pPr>
        <w:spacing w:line="276" w:lineRule="auto"/>
        <w:rPr>
          <w:rFonts w:ascii="Arial" w:hAnsi="Arial" w:cs="Arial"/>
        </w:rPr>
      </w:pPr>
    </w:p>
    <w:p w14:paraId="798E0EB9" w14:textId="77777777" w:rsidR="00F61A86" w:rsidRDefault="00F61A86" w:rsidP="000D27D9">
      <w:pPr>
        <w:spacing w:line="276" w:lineRule="auto"/>
        <w:rPr>
          <w:rFonts w:ascii="Arial" w:hAnsi="Arial" w:cs="Arial"/>
        </w:rPr>
      </w:pPr>
    </w:p>
    <w:p w14:paraId="44572242" w14:textId="77777777" w:rsidR="00F61A86" w:rsidRDefault="00F61A86" w:rsidP="000D27D9">
      <w:pPr>
        <w:spacing w:line="276" w:lineRule="auto"/>
        <w:rPr>
          <w:rFonts w:ascii="Arial" w:hAnsi="Arial" w:cs="Arial"/>
        </w:rPr>
      </w:pPr>
    </w:p>
    <w:p w14:paraId="7FCB7A02" w14:textId="77777777" w:rsidR="00F61A86" w:rsidRPr="00F61A86" w:rsidRDefault="00F61A86" w:rsidP="00F61A86">
      <w:pPr>
        <w:pStyle w:val="Heading1"/>
      </w:pPr>
      <w:bookmarkStart w:id="11" w:name="_Toc231740290"/>
      <w:r w:rsidRPr="00F61A86">
        <w:t>List of Figures</w:t>
      </w:r>
      <w:bookmarkEnd w:id="11"/>
    </w:p>
    <w:p w14:paraId="3C1495B7" w14:textId="2B572E57" w:rsidR="00F61A86" w:rsidRPr="00F61A86" w:rsidRDefault="00F61A86" w:rsidP="00AA7DA6">
      <w:pPr>
        <w:numPr>
          <w:ilvl w:val="0"/>
          <w:numId w:val="29"/>
        </w:numPr>
        <w:spacing w:line="276" w:lineRule="auto"/>
        <w:rPr>
          <w:rFonts w:ascii="Arial" w:hAnsi="Arial" w:cs="Arial"/>
        </w:rPr>
      </w:pPr>
      <w:r w:rsidRPr="00F61A86">
        <w:rPr>
          <w:rFonts w:ascii="Arial" w:hAnsi="Arial" w:cs="Arial"/>
          <w:b/>
          <w:bCs/>
        </w:rPr>
        <w:t>Figure 1</w:t>
      </w:r>
      <w:r w:rsidRPr="00F61A86">
        <w:rPr>
          <w:rFonts w:ascii="Arial" w:hAnsi="Arial" w:cs="Arial"/>
        </w:rPr>
        <w:t>: The SASSY Framework dimensions tailored for localized consumer markets.</w:t>
      </w:r>
    </w:p>
    <w:p w14:paraId="7CC05209" w14:textId="7E871FC7" w:rsidR="00F61A86" w:rsidRPr="00F61A86" w:rsidRDefault="00F61A86" w:rsidP="00AA7DA6">
      <w:pPr>
        <w:numPr>
          <w:ilvl w:val="0"/>
          <w:numId w:val="29"/>
        </w:numPr>
        <w:spacing w:line="276" w:lineRule="auto"/>
        <w:rPr>
          <w:rFonts w:ascii="Arial" w:hAnsi="Arial" w:cs="Arial"/>
        </w:rPr>
      </w:pPr>
      <w:r w:rsidRPr="00F61A86">
        <w:rPr>
          <w:rFonts w:ascii="Arial" w:hAnsi="Arial" w:cs="Arial"/>
          <w:b/>
          <w:bCs/>
        </w:rPr>
        <w:t>Figure 2</w:t>
      </w:r>
      <w:r w:rsidRPr="00F61A86">
        <w:rPr>
          <w:rFonts w:ascii="Arial" w:hAnsi="Arial" w:cs="Arial"/>
        </w:rPr>
        <w:t xml:space="preserve">: Unilever's corporate progress on key environmental metrics. (Source: Unilever Annual Report and Accounts 2025). </w:t>
      </w:r>
    </w:p>
    <w:p w14:paraId="79182B30" w14:textId="77777777" w:rsidR="00F61A86" w:rsidRPr="00F61A86" w:rsidRDefault="00F61A86" w:rsidP="00AA7DA6">
      <w:pPr>
        <w:numPr>
          <w:ilvl w:val="0"/>
          <w:numId w:val="29"/>
        </w:numPr>
        <w:spacing w:line="276" w:lineRule="auto"/>
        <w:rPr>
          <w:rFonts w:ascii="Arial" w:hAnsi="Arial" w:cs="Arial"/>
        </w:rPr>
      </w:pPr>
      <w:r w:rsidRPr="00F61A86">
        <w:rPr>
          <w:rFonts w:ascii="Arial" w:hAnsi="Arial" w:cs="Arial"/>
          <w:b/>
          <w:bCs/>
        </w:rPr>
        <w:t>Figure 3</w:t>
      </w:r>
      <w:r w:rsidRPr="00F61A86">
        <w:rPr>
          <w:rFonts w:ascii="Arial" w:hAnsi="Arial" w:cs="Arial"/>
        </w:rPr>
        <w:t xml:space="preserve">: Dove UK campaign framing digital manipulation as a public health crisis. </w:t>
      </w:r>
    </w:p>
    <w:p w14:paraId="2F3DBD76" w14:textId="77777777" w:rsidR="00F61A86" w:rsidRPr="00F61A86" w:rsidRDefault="00F61A86" w:rsidP="00AA7DA6">
      <w:pPr>
        <w:numPr>
          <w:ilvl w:val="0"/>
          <w:numId w:val="29"/>
        </w:numPr>
        <w:spacing w:line="276" w:lineRule="auto"/>
        <w:rPr>
          <w:rFonts w:ascii="Arial" w:hAnsi="Arial" w:cs="Arial"/>
        </w:rPr>
      </w:pPr>
      <w:r w:rsidRPr="00F61A86">
        <w:rPr>
          <w:rFonts w:ascii="Arial" w:hAnsi="Arial" w:cs="Arial"/>
          <w:b/>
          <w:bCs/>
        </w:rPr>
        <w:t>Figure 4</w:t>
      </w:r>
      <w:r w:rsidRPr="00F61A86">
        <w:rPr>
          <w:rFonts w:ascii="Arial" w:hAnsi="Arial" w:cs="Arial"/>
        </w:rPr>
        <w:t xml:space="preserve">: Dove India localizing its purpose by addressing systemic socio-cultural prejudices. </w:t>
      </w:r>
    </w:p>
    <w:p w14:paraId="6E9A166E" w14:textId="77777777" w:rsidR="00F61A86" w:rsidRPr="00F61A86" w:rsidRDefault="00F61A86" w:rsidP="00AA7DA6">
      <w:pPr>
        <w:numPr>
          <w:ilvl w:val="0"/>
          <w:numId w:val="29"/>
        </w:numPr>
        <w:spacing w:line="276" w:lineRule="auto"/>
        <w:rPr>
          <w:rFonts w:ascii="Arial" w:hAnsi="Arial" w:cs="Arial"/>
        </w:rPr>
      </w:pPr>
      <w:r w:rsidRPr="00F61A86">
        <w:rPr>
          <w:rFonts w:ascii="Arial" w:hAnsi="Arial" w:cs="Arial"/>
          <w:b/>
          <w:bCs/>
        </w:rPr>
        <w:t>Figure 5</w:t>
      </w:r>
      <w:r w:rsidRPr="00F61A86">
        <w:rPr>
          <w:rFonts w:ascii="Arial" w:hAnsi="Arial" w:cs="Arial"/>
        </w:rPr>
        <w:t xml:space="preserve">: Hellmann’s UK utilizing digital intervention interfaces to solve household food waste. </w:t>
      </w:r>
    </w:p>
    <w:p w14:paraId="285B6D81" w14:textId="77777777" w:rsidR="00F61A86" w:rsidRPr="00F61A86" w:rsidRDefault="00F61A86" w:rsidP="00AA7DA6">
      <w:pPr>
        <w:numPr>
          <w:ilvl w:val="0"/>
          <w:numId w:val="29"/>
        </w:numPr>
        <w:spacing w:line="276" w:lineRule="auto"/>
        <w:rPr>
          <w:rFonts w:ascii="Arial" w:hAnsi="Arial" w:cs="Arial"/>
        </w:rPr>
      </w:pPr>
      <w:r w:rsidRPr="00F61A86">
        <w:rPr>
          <w:rFonts w:ascii="Arial" w:hAnsi="Arial" w:cs="Arial"/>
          <w:b/>
          <w:bCs/>
        </w:rPr>
        <w:t>Figure 6</w:t>
      </w:r>
      <w:r w:rsidRPr="00F61A86">
        <w:rPr>
          <w:rFonts w:ascii="Arial" w:hAnsi="Arial" w:cs="Arial"/>
        </w:rPr>
        <w:t xml:space="preserve">: Surf Excel framing product usage as an enabler of communal harmony and social mobility. </w:t>
      </w:r>
    </w:p>
    <w:p w14:paraId="5684A4EF" w14:textId="0EC99467" w:rsidR="00F61A86" w:rsidRPr="00F61A86" w:rsidRDefault="00F61A86" w:rsidP="00AA7DA6">
      <w:pPr>
        <w:numPr>
          <w:ilvl w:val="0"/>
          <w:numId w:val="29"/>
        </w:numPr>
        <w:spacing w:line="276" w:lineRule="auto"/>
        <w:rPr>
          <w:rFonts w:ascii="Arial" w:hAnsi="Arial" w:cs="Arial"/>
        </w:rPr>
      </w:pPr>
      <w:r w:rsidRPr="00F61A86">
        <w:rPr>
          <w:rFonts w:ascii="Arial" w:hAnsi="Arial" w:cs="Arial"/>
          <w:b/>
          <w:bCs/>
        </w:rPr>
        <w:t xml:space="preserve">Figure </w:t>
      </w:r>
      <w:r w:rsidR="00AA7DA6">
        <w:rPr>
          <w:rFonts w:ascii="Arial" w:hAnsi="Arial" w:cs="Arial"/>
          <w:b/>
          <w:bCs/>
        </w:rPr>
        <w:t>7</w:t>
      </w:r>
      <w:r w:rsidR="00AA7DA6">
        <w:rPr>
          <w:rFonts w:ascii="Arial" w:hAnsi="Arial" w:cs="Arial"/>
          <w:i/>
          <w:iCs/>
        </w:rPr>
        <w:t>:</w:t>
      </w:r>
      <w:r w:rsidRPr="00F61A86">
        <w:rPr>
          <w:rFonts w:ascii="Arial" w:hAnsi="Arial" w:cs="Arial"/>
        </w:rPr>
        <w:t xml:space="preserve"> Conceptual mapping of the Trust-Digital Paradox and its resolution in FMCG markets. </w:t>
      </w:r>
    </w:p>
    <w:p w14:paraId="1B9E53C5" w14:textId="77777777" w:rsidR="00AA7DA6" w:rsidRDefault="00AA7DA6" w:rsidP="00F61A86">
      <w:pPr>
        <w:spacing w:line="276" w:lineRule="auto"/>
        <w:rPr>
          <w:rFonts w:ascii="Arial" w:hAnsi="Arial" w:cs="Arial"/>
          <w:b/>
          <w:bCs/>
        </w:rPr>
      </w:pPr>
    </w:p>
    <w:p w14:paraId="3F5CE18E" w14:textId="77777777" w:rsidR="00AA7DA6" w:rsidRDefault="00AA7DA6" w:rsidP="00F61A86">
      <w:pPr>
        <w:spacing w:line="276" w:lineRule="auto"/>
        <w:rPr>
          <w:rFonts w:ascii="Arial" w:hAnsi="Arial" w:cs="Arial"/>
          <w:b/>
          <w:bCs/>
        </w:rPr>
      </w:pPr>
    </w:p>
    <w:p w14:paraId="3642467D" w14:textId="77777777" w:rsidR="00AA7DA6" w:rsidRDefault="00AA7DA6" w:rsidP="00F61A86">
      <w:pPr>
        <w:spacing w:line="276" w:lineRule="auto"/>
        <w:rPr>
          <w:rFonts w:ascii="Arial" w:hAnsi="Arial" w:cs="Arial"/>
          <w:b/>
          <w:bCs/>
        </w:rPr>
      </w:pPr>
    </w:p>
    <w:p w14:paraId="6705A430" w14:textId="77777777" w:rsidR="00AA7DA6" w:rsidRDefault="00AA7DA6" w:rsidP="00F61A86">
      <w:pPr>
        <w:spacing w:line="276" w:lineRule="auto"/>
        <w:rPr>
          <w:rFonts w:ascii="Arial" w:hAnsi="Arial" w:cs="Arial"/>
          <w:b/>
          <w:bCs/>
        </w:rPr>
      </w:pPr>
    </w:p>
    <w:p w14:paraId="5793F528" w14:textId="77777777" w:rsidR="00AA7DA6" w:rsidRDefault="00AA7DA6" w:rsidP="00F61A86">
      <w:pPr>
        <w:spacing w:line="276" w:lineRule="auto"/>
        <w:rPr>
          <w:rFonts w:ascii="Arial" w:hAnsi="Arial" w:cs="Arial"/>
          <w:b/>
          <w:bCs/>
        </w:rPr>
      </w:pPr>
    </w:p>
    <w:p w14:paraId="7C083058" w14:textId="77777777" w:rsidR="00AA7DA6" w:rsidRDefault="00AA7DA6" w:rsidP="00F61A86">
      <w:pPr>
        <w:spacing w:line="276" w:lineRule="auto"/>
        <w:rPr>
          <w:rFonts w:ascii="Arial" w:hAnsi="Arial" w:cs="Arial"/>
          <w:b/>
          <w:bCs/>
        </w:rPr>
      </w:pPr>
    </w:p>
    <w:p w14:paraId="120AE6F6" w14:textId="77777777" w:rsidR="00AA7DA6" w:rsidRDefault="00AA7DA6" w:rsidP="00F61A86">
      <w:pPr>
        <w:spacing w:line="276" w:lineRule="auto"/>
        <w:rPr>
          <w:rFonts w:ascii="Arial" w:hAnsi="Arial" w:cs="Arial"/>
          <w:b/>
          <w:bCs/>
        </w:rPr>
      </w:pPr>
    </w:p>
    <w:p w14:paraId="2A7D5887" w14:textId="77777777" w:rsidR="00AA7DA6" w:rsidRDefault="00AA7DA6" w:rsidP="00F61A86">
      <w:pPr>
        <w:spacing w:line="276" w:lineRule="auto"/>
        <w:rPr>
          <w:rFonts w:ascii="Arial" w:hAnsi="Arial" w:cs="Arial"/>
          <w:b/>
          <w:bCs/>
        </w:rPr>
      </w:pPr>
    </w:p>
    <w:p w14:paraId="6A095440" w14:textId="77777777" w:rsidR="00AA7DA6" w:rsidRDefault="00AA7DA6" w:rsidP="00F61A86">
      <w:pPr>
        <w:spacing w:line="276" w:lineRule="auto"/>
        <w:rPr>
          <w:rFonts w:ascii="Arial" w:hAnsi="Arial" w:cs="Arial"/>
          <w:b/>
          <w:bCs/>
        </w:rPr>
      </w:pPr>
    </w:p>
    <w:p w14:paraId="1AD7FC8D" w14:textId="77777777" w:rsidR="00AA7DA6" w:rsidRDefault="00AA7DA6" w:rsidP="00F61A86">
      <w:pPr>
        <w:spacing w:line="276" w:lineRule="auto"/>
        <w:rPr>
          <w:rFonts w:ascii="Arial" w:hAnsi="Arial" w:cs="Arial"/>
          <w:b/>
          <w:bCs/>
        </w:rPr>
      </w:pPr>
    </w:p>
    <w:p w14:paraId="0AA42386" w14:textId="77777777" w:rsidR="00AA7DA6" w:rsidRDefault="00AA7DA6" w:rsidP="00F61A86">
      <w:pPr>
        <w:spacing w:line="276" w:lineRule="auto"/>
        <w:rPr>
          <w:rFonts w:ascii="Arial" w:hAnsi="Arial" w:cs="Arial"/>
          <w:b/>
          <w:bCs/>
        </w:rPr>
      </w:pPr>
    </w:p>
    <w:p w14:paraId="77738972" w14:textId="77777777" w:rsidR="00AA7DA6" w:rsidRDefault="00AA7DA6" w:rsidP="00F61A86">
      <w:pPr>
        <w:spacing w:line="276" w:lineRule="auto"/>
        <w:rPr>
          <w:rFonts w:ascii="Arial" w:hAnsi="Arial" w:cs="Arial"/>
          <w:b/>
          <w:bCs/>
        </w:rPr>
      </w:pPr>
    </w:p>
    <w:p w14:paraId="35F81495" w14:textId="77777777" w:rsidR="00AA7DA6" w:rsidRDefault="00AA7DA6" w:rsidP="00F61A86">
      <w:pPr>
        <w:spacing w:line="276" w:lineRule="auto"/>
        <w:rPr>
          <w:rFonts w:ascii="Arial" w:hAnsi="Arial" w:cs="Arial"/>
          <w:b/>
          <w:bCs/>
        </w:rPr>
      </w:pPr>
    </w:p>
    <w:p w14:paraId="1FEB8305" w14:textId="77777777" w:rsidR="00AA7DA6" w:rsidRDefault="00AA7DA6" w:rsidP="00F61A86">
      <w:pPr>
        <w:spacing w:line="276" w:lineRule="auto"/>
        <w:rPr>
          <w:rFonts w:ascii="Arial" w:hAnsi="Arial" w:cs="Arial"/>
          <w:b/>
          <w:bCs/>
        </w:rPr>
      </w:pPr>
    </w:p>
    <w:p w14:paraId="1F3F9C49" w14:textId="77777777" w:rsidR="00AA7DA6" w:rsidRDefault="00AA7DA6" w:rsidP="00F61A86">
      <w:pPr>
        <w:spacing w:line="276" w:lineRule="auto"/>
        <w:rPr>
          <w:rFonts w:ascii="Arial" w:hAnsi="Arial" w:cs="Arial"/>
          <w:b/>
          <w:bCs/>
        </w:rPr>
      </w:pPr>
    </w:p>
    <w:p w14:paraId="59A28997" w14:textId="77777777" w:rsidR="00AA7DA6" w:rsidRDefault="00AA7DA6" w:rsidP="00F61A86">
      <w:pPr>
        <w:spacing w:line="276" w:lineRule="auto"/>
        <w:rPr>
          <w:rFonts w:ascii="Arial" w:hAnsi="Arial" w:cs="Arial"/>
          <w:b/>
          <w:bCs/>
        </w:rPr>
      </w:pPr>
    </w:p>
    <w:p w14:paraId="39B85212" w14:textId="665B5A42" w:rsidR="00F61A86" w:rsidRPr="00F61A86" w:rsidRDefault="00F61A86" w:rsidP="00AA7DA6">
      <w:pPr>
        <w:pStyle w:val="Heading1"/>
      </w:pPr>
      <w:bookmarkStart w:id="12" w:name="_Toc231740291"/>
      <w:r w:rsidRPr="00F61A86">
        <w:t>List of Tables</w:t>
      </w:r>
      <w:bookmarkEnd w:id="12"/>
    </w:p>
    <w:p w14:paraId="6F314FEF" w14:textId="77777777" w:rsidR="00F61A86" w:rsidRPr="00F61A86" w:rsidRDefault="00F61A86" w:rsidP="00F61A86">
      <w:pPr>
        <w:numPr>
          <w:ilvl w:val="0"/>
          <w:numId w:val="28"/>
        </w:numPr>
        <w:spacing w:line="276" w:lineRule="auto"/>
        <w:rPr>
          <w:rFonts w:ascii="Arial" w:hAnsi="Arial" w:cs="Arial"/>
        </w:rPr>
      </w:pPr>
      <w:r w:rsidRPr="00F61A86">
        <w:rPr>
          <w:rFonts w:ascii="Arial" w:hAnsi="Arial" w:cs="Arial"/>
          <w:b/>
          <w:bCs/>
        </w:rPr>
        <w:t>Table 1</w:t>
      </w:r>
      <w:r w:rsidRPr="00F61A86">
        <w:rPr>
          <w:rFonts w:ascii="Arial" w:hAnsi="Arial" w:cs="Arial"/>
        </w:rPr>
        <w:t xml:space="preserve">: Comparative Mapping of Thematic 'Green Codes' and Emotional Drivers in the UK and Indian Markets. </w:t>
      </w:r>
    </w:p>
    <w:p w14:paraId="38677EB8" w14:textId="77777777" w:rsidR="00F61A86" w:rsidRDefault="00F61A86" w:rsidP="000D27D9">
      <w:pPr>
        <w:spacing w:line="276" w:lineRule="auto"/>
        <w:rPr>
          <w:rFonts w:ascii="Arial" w:hAnsi="Arial" w:cs="Arial"/>
        </w:rPr>
      </w:pPr>
    </w:p>
    <w:p w14:paraId="7C5E5B16" w14:textId="77777777" w:rsidR="0078498F" w:rsidRDefault="0078498F" w:rsidP="000D27D9">
      <w:pPr>
        <w:spacing w:line="276" w:lineRule="auto"/>
        <w:rPr>
          <w:rFonts w:ascii="Arial" w:hAnsi="Arial" w:cs="Arial"/>
        </w:rPr>
      </w:pPr>
    </w:p>
    <w:p w14:paraId="0C2E05B6" w14:textId="77777777" w:rsidR="0078498F" w:rsidRDefault="0078498F" w:rsidP="000D27D9">
      <w:pPr>
        <w:spacing w:line="276" w:lineRule="auto"/>
        <w:rPr>
          <w:rFonts w:ascii="Arial" w:hAnsi="Arial" w:cs="Arial"/>
        </w:rPr>
      </w:pPr>
    </w:p>
    <w:p w14:paraId="2EB980A4" w14:textId="77777777" w:rsidR="0078498F" w:rsidRDefault="0078498F" w:rsidP="000D27D9">
      <w:pPr>
        <w:spacing w:line="276" w:lineRule="auto"/>
        <w:rPr>
          <w:rFonts w:ascii="Arial" w:hAnsi="Arial" w:cs="Arial"/>
        </w:rPr>
      </w:pPr>
    </w:p>
    <w:p w14:paraId="245489BC" w14:textId="77777777" w:rsidR="0078498F" w:rsidRDefault="0078498F" w:rsidP="000D27D9">
      <w:pPr>
        <w:spacing w:line="276" w:lineRule="auto"/>
        <w:rPr>
          <w:rFonts w:ascii="Arial" w:hAnsi="Arial" w:cs="Arial"/>
        </w:rPr>
      </w:pPr>
    </w:p>
    <w:p w14:paraId="309F31BB" w14:textId="77777777" w:rsidR="0078498F" w:rsidRDefault="0078498F" w:rsidP="000D27D9">
      <w:pPr>
        <w:spacing w:line="276" w:lineRule="auto"/>
        <w:rPr>
          <w:rFonts w:ascii="Arial" w:hAnsi="Arial" w:cs="Arial"/>
        </w:rPr>
      </w:pPr>
    </w:p>
    <w:p w14:paraId="4DD4D344" w14:textId="77777777" w:rsidR="0078498F" w:rsidRDefault="0078498F" w:rsidP="000D27D9">
      <w:pPr>
        <w:spacing w:line="276" w:lineRule="auto"/>
        <w:rPr>
          <w:rFonts w:ascii="Arial" w:hAnsi="Arial" w:cs="Arial"/>
        </w:rPr>
      </w:pPr>
    </w:p>
    <w:p w14:paraId="0547A568" w14:textId="77777777" w:rsidR="0078498F" w:rsidRDefault="0078498F" w:rsidP="000D27D9">
      <w:pPr>
        <w:spacing w:line="276" w:lineRule="auto"/>
        <w:rPr>
          <w:rFonts w:ascii="Arial" w:hAnsi="Arial" w:cs="Arial"/>
        </w:rPr>
      </w:pPr>
    </w:p>
    <w:p w14:paraId="1B154920" w14:textId="7F6A76DE" w:rsidR="0078498F" w:rsidRDefault="0078498F" w:rsidP="00AA7DA6">
      <w:pPr>
        <w:rPr>
          <w:rFonts w:ascii="Arial" w:hAnsi="Arial" w:cs="Arial"/>
        </w:rPr>
      </w:pPr>
    </w:p>
    <w:p w14:paraId="046D321B" w14:textId="77777777" w:rsidR="00AA7DA6" w:rsidRDefault="00AA7DA6" w:rsidP="00AA7DA6">
      <w:pPr>
        <w:rPr>
          <w:rFonts w:ascii="Arial" w:hAnsi="Arial" w:cs="Arial"/>
        </w:rPr>
      </w:pPr>
    </w:p>
    <w:p w14:paraId="509DD92B" w14:textId="77777777" w:rsidR="00AA7DA6" w:rsidRDefault="00AA7DA6" w:rsidP="00AA7DA6">
      <w:pPr>
        <w:rPr>
          <w:rFonts w:ascii="Arial" w:hAnsi="Arial" w:cs="Arial"/>
        </w:rPr>
      </w:pPr>
    </w:p>
    <w:p w14:paraId="09F425B7" w14:textId="77777777" w:rsidR="00AA7DA6" w:rsidRDefault="00AA7DA6" w:rsidP="00AA7DA6">
      <w:pPr>
        <w:rPr>
          <w:rFonts w:ascii="Arial" w:hAnsi="Arial" w:cs="Arial"/>
        </w:rPr>
      </w:pPr>
    </w:p>
    <w:p w14:paraId="1A0485CC" w14:textId="77777777" w:rsidR="00AA7DA6" w:rsidRDefault="00AA7DA6" w:rsidP="00AA7DA6">
      <w:pPr>
        <w:rPr>
          <w:rFonts w:ascii="Arial" w:hAnsi="Arial" w:cs="Arial"/>
        </w:rPr>
      </w:pPr>
    </w:p>
    <w:p w14:paraId="669735FD" w14:textId="77777777" w:rsidR="00AA7DA6" w:rsidRDefault="00AA7DA6" w:rsidP="00AA7DA6">
      <w:pPr>
        <w:rPr>
          <w:rFonts w:ascii="Arial" w:hAnsi="Arial" w:cs="Arial"/>
        </w:rPr>
      </w:pPr>
    </w:p>
    <w:p w14:paraId="40B93C29" w14:textId="77777777" w:rsidR="00AA7DA6" w:rsidRDefault="00AA7DA6" w:rsidP="00AA7DA6">
      <w:pPr>
        <w:rPr>
          <w:rFonts w:ascii="Arial" w:hAnsi="Arial" w:cs="Arial"/>
        </w:rPr>
      </w:pPr>
    </w:p>
    <w:p w14:paraId="1B4B4B47" w14:textId="77777777" w:rsidR="00AA7DA6" w:rsidRDefault="00AA7DA6" w:rsidP="00AA7DA6">
      <w:pPr>
        <w:rPr>
          <w:rFonts w:ascii="Arial" w:hAnsi="Arial" w:cs="Arial"/>
        </w:rPr>
      </w:pPr>
    </w:p>
    <w:p w14:paraId="679331B6" w14:textId="77777777" w:rsidR="00AA7DA6" w:rsidRDefault="00AA7DA6" w:rsidP="00AA7DA6">
      <w:pPr>
        <w:rPr>
          <w:rFonts w:ascii="Arial" w:hAnsi="Arial" w:cs="Arial"/>
        </w:rPr>
      </w:pPr>
    </w:p>
    <w:p w14:paraId="7F8C8614" w14:textId="77777777" w:rsidR="00AA7DA6" w:rsidRDefault="00AA7DA6" w:rsidP="00AA7DA6">
      <w:pPr>
        <w:rPr>
          <w:rFonts w:ascii="Arial" w:hAnsi="Arial" w:cs="Arial"/>
        </w:rPr>
      </w:pPr>
    </w:p>
    <w:p w14:paraId="2E05E69A" w14:textId="77777777" w:rsidR="00AA7DA6" w:rsidRDefault="00AA7DA6" w:rsidP="00AA7DA6">
      <w:pPr>
        <w:rPr>
          <w:rFonts w:ascii="Arial" w:hAnsi="Arial" w:cs="Arial"/>
        </w:rPr>
      </w:pPr>
    </w:p>
    <w:p w14:paraId="604C286D" w14:textId="77777777" w:rsidR="00AA7DA6" w:rsidRDefault="00AA7DA6" w:rsidP="00AA7DA6">
      <w:pPr>
        <w:rPr>
          <w:rFonts w:ascii="Arial" w:hAnsi="Arial" w:cs="Arial"/>
        </w:rPr>
      </w:pPr>
    </w:p>
    <w:p w14:paraId="7BC4FEA7" w14:textId="77777777" w:rsidR="00AA7DA6" w:rsidRDefault="00AA7DA6" w:rsidP="00AA7DA6">
      <w:pPr>
        <w:rPr>
          <w:rFonts w:ascii="Arial" w:hAnsi="Arial" w:cs="Arial"/>
        </w:rPr>
      </w:pPr>
    </w:p>
    <w:p w14:paraId="397BD68F" w14:textId="77777777" w:rsidR="00AA7DA6" w:rsidRDefault="00AA7DA6" w:rsidP="00AA7DA6">
      <w:pPr>
        <w:rPr>
          <w:rFonts w:ascii="Arial" w:hAnsi="Arial" w:cs="Arial"/>
        </w:rPr>
      </w:pPr>
    </w:p>
    <w:p w14:paraId="453F951E" w14:textId="77777777" w:rsidR="00AA7DA6" w:rsidRDefault="00AA7DA6" w:rsidP="00AA7DA6">
      <w:pPr>
        <w:rPr>
          <w:rFonts w:ascii="Arial" w:hAnsi="Arial" w:cs="Arial"/>
        </w:rPr>
      </w:pPr>
    </w:p>
    <w:p w14:paraId="7D848410" w14:textId="77777777" w:rsidR="00AA7DA6" w:rsidRDefault="00AA7DA6" w:rsidP="00AA7DA6">
      <w:pPr>
        <w:rPr>
          <w:rFonts w:ascii="Arial" w:hAnsi="Arial" w:cs="Arial"/>
        </w:rPr>
      </w:pPr>
    </w:p>
    <w:p w14:paraId="1A1ADD16" w14:textId="77777777" w:rsidR="0078498F" w:rsidRDefault="0078498F" w:rsidP="000D27D9">
      <w:pPr>
        <w:spacing w:line="276" w:lineRule="auto"/>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2097124080"/>
        <w:docPartObj>
          <w:docPartGallery w:val="Table of Contents"/>
          <w:docPartUnique/>
        </w:docPartObj>
      </w:sdtPr>
      <w:sdtEndPr>
        <w:rPr>
          <w:b/>
          <w:bCs/>
        </w:rPr>
      </w:sdtEndPr>
      <w:sdtContent>
        <w:p w14:paraId="7B2284E6" w14:textId="192BBDF8" w:rsidR="0078498F" w:rsidRDefault="0078498F">
          <w:pPr>
            <w:pStyle w:val="TOCHeading"/>
          </w:pPr>
          <w:r>
            <w:t>Contents</w:t>
          </w:r>
        </w:p>
        <w:p w14:paraId="35F989C9" w14:textId="5BBA5D50" w:rsidR="00AA7DA6" w:rsidRDefault="007849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740286" w:history="1">
            <w:r w:rsidR="00AA7DA6" w:rsidRPr="00874790">
              <w:rPr>
                <w:rStyle w:val="Hyperlink"/>
                <w:noProof/>
              </w:rPr>
              <w:t>Declaration</w:t>
            </w:r>
            <w:r w:rsidR="00AA7DA6">
              <w:rPr>
                <w:noProof/>
                <w:webHidden/>
              </w:rPr>
              <w:tab/>
            </w:r>
            <w:r w:rsidR="00AA7DA6">
              <w:rPr>
                <w:noProof/>
                <w:webHidden/>
              </w:rPr>
              <w:fldChar w:fldCharType="begin"/>
            </w:r>
            <w:r w:rsidR="00AA7DA6">
              <w:rPr>
                <w:noProof/>
                <w:webHidden/>
              </w:rPr>
              <w:instrText xml:space="preserve"> PAGEREF _Toc231740286 \h </w:instrText>
            </w:r>
            <w:r w:rsidR="00AA7DA6">
              <w:rPr>
                <w:noProof/>
                <w:webHidden/>
              </w:rPr>
            </w:r>
            <w:r w:rsidR="00AA7DA6">
              <w:rPr>
                <w:noProof/>
                <w:webHidden/>
              </w:rPr>
              <w:fldChar w:fldCharType="separate"/>
            </w:r>
            <w:r w:rsidR="00AA7DA6">
              <w:rPr>
                <w:noProof/>
                <w:webHidden/>
              </w:rPr>
              <w:t>2</w:t>
            </w:r>
            <w:r w:rsidR="00AA7DA6">
              <w:rPr>
                <w:noProof/>
                <w:webHidden/>
              </w:rPr>
              <w:fldChar w:fldCharType="end"/>
            </w:r>
          </w:hyperlink>
        </w:p>
        <w:p w14:paraId="4127C5A7" w14:textId="227F2C62" w:rsidR="00AA7DA6" w:rsidRDefault="00AA7DA6">
          <w:pPr>
            <w:pStyle w:val="TOC1"/>
            <w:tabs>
              <w:tab w:val="right" w:leader="dot" w:pos="9016"/>
            </w:tabs>
            <w:rPr>
              <w:rFonts w:eastAsiaTheme="minorEastAsia"/>
              <w:noProof/>
              <w:lang w:eastAsia="en-GB"/>
            </w:rPr>
          </w:pPr>
          <w:hyperlink w:anchor="_Toc231740287" w:history="1">
            <w:r w:rsidRPr="00874790">
              <w:rPr>
                <w:rStyle w:val="Hyperlink"/>
                <w:noProof/>
              </w:rPr>
              <w:t>AI Use Acknowledgements</w:t>
            </w:r>
            <w:r>
              <w:rPr>
                <w:noProof/>
                <w:webHidden/>
              </w:rPr>
              <w:tab/>
            </w:r>
            <w:r>
              <w:rPr>
                <w:noProof/>
                <w:webHidden/>
              </w:rPr>
              <w:fldChar w:fldCharType="begin"/>
            </w:r>
            <w:r>
              <w:rPr>
                <w:noProof/>
                <w:webHidden/>
              </w:rPr>
              <w:instrText xml:space="preserve"> PAGEREF _Toc231740287 \h </w:instrText>
            </w:r>
            <w:r>
              <w:rPr>
                <w:noProof/>
                <w:webHidden/>
              </w:rPr>
            </w:r>
            <w:r>
              <w:rPr>
                <w:noProof/>
                <w:webHidden/>
              </w:rPr>
              <w:fldChar w:fldCharType="separate"/>
            </w:r>
            <w:r>
              <w:rPr>
                <w:noProof/>
                <w:webHidden/>
              </w:rPr>
              <w:t>3</w:t>
            </w:r>
            <w:r>
              <w:rPr>
                <w:noProof/>
                <w:webHidden/>
              </w:rPr>
              <w:fldChar w:fldCharType="end"/>
            </w:r>
          </w:hyperlink>
        </w:p>
        <w:p w14:paraId="2DD66525" w14:textId="56D2DCD8" w:rsidR="00AA7DA6" w:rsidRDefault="00AA7DA6">
          <w:pPr>
            <w:pStyle w:val="TOC1"/>
            <w:tabs>
              <w:tab w:val="right" w:leader="dot" w:pos="9016"/>
            </w:tabs>
            <w:rPr>
              <w:rFonts w:eastAsiaTheme="minorEastAsia"/>
              <w:noProof/>
              <w:lang w:eastAsia="en-GB"/>
            </w:rPr>
          </w:pPr>
          <w:hyperlink w:anchor="_Toc231740288" w:history="1">
            <w:r w:rsidRPr="00874790">
              <w:rPr>
                <w:rStyle w:val="Hyperlink"/>
                <w:noProof/>
              </w:rPr>
              <w:t>Acknowledgements</w:t>
            </w:r>
            <w:r>
              <w:rPr>
                <w:noProof/>
                <w:webHidden/>
              </w:rPr>
              <w:tab/>
            </w:r>
            <w:r>
              <w:rPr>
                <w:noProof/>
                <w:webHidden/>
              </w:rPr>
              <w:fldChar w:fldCharType="begin"/>
            </w:r>
            <w:r>
              <w:rPr>
                <w:noProof/>
                <w:webHidden/>
              </w:rPr>
              <w:instrText xml:space="preserve"> PAGEREF _Toc231740288 \h </w:instrText>
            </w:r>
            <w:r>
              <w:rPr>
                <w:noProof/>
                <w:webHidden/>
              </w:rPr>
            </w:r>
            <w:r>
              <w:rPr>
                <w:noProof/>
                <w:webHidden/>
              </w:rPr>
              <w:fldChar w:fldCharType="separate"/>
            </w:r>
            <w:r>
              <w:rPr>
                <w:noProof/>
                <w:webHidden/>
              </w:rPr>
              <w:t>4</w:t>
            </w:r>
            <w:r>
              <w:rPr>
                <w:noProof/>
                <w:webHidden/>
              </w:rPr>
              <w:fldChar w:fldCharType="end"/>
            </w:r>
          </w:hyperlink>
        </w:p>
        <w:p w14:paraId="14F30F3D" w14:textId="2E1E2D5F" w:rsidR="00AA7DA6" w:rsidRDefault="00AA7DA6">
          <w:pPr>
            <w:pStyle w:val="TOC1"/>
            <w:tabs>
              <w:tab w:val="right" w:leader="dot" w:pos="9016"/>
            </w:tabs>
            <w:rPr>
              <w:rFonts w:eastAsiaTheme="minorEastAsia"/>
              <w:noProof/>
              <w:lang w:eastAsia="en-GB"/>
            </w:rPr>
          </w:pPr>
          <w:hyperlink w:anchor="_Toc231740289" w:history="1">
            <w:r w:rsidRPr="00874790">
              <w:rPr>
                <w:rStyle w:val="Hyperlink"/>
                <w:noProof/>
              </w:rPr>
              <w:t>Abstract</w:t>
            </w:r>
            <w:r>
              <w:rPr>
                <w:noProof/>
                <w:webHidden/>
              </w:rPr>
              <w:tab/>
            </w:r>
            <w:r>
              <w:rPr>
                <w:noProof/>
                <w:webHidden/>
              </w:rPr>
              <w:fldChar w:fldCharType="begin"/>
            </w:r>
            <w:r>
              <w:rPr>
                <w:noProof/>
                <w:webHidden/>
              </w:rPr>
              <w:instrText xml:space="preserve"> PAGEREF _Toc231740289 \h </w:instrText>
            </w:r>
            <w:r>
              <w:rPr>
                <w:noProof/>
                <w:webHidden/>
              </w:rPr>
            </w:r>
            <w:r>
              <w:rPr>
                <w:noProof/>
                <w:webHidden/>
              </w:rPr>
              <w:fldChar w:fldCharType="separate"/>
            </w:r>
            <w:r>
              <w:rPr>
                <w:noProof/>
                <w:webHidden/>
              </w:rPr>
              <w:t>5</w:t>
            </w:r>
            <w:r>
              <w:rPr>
                <w:noProof/>
                <w:webHidden/>
              </w:rPr>
              <w:fldChar w:fldCharType="end"/>
            </w:r>
          </w:hyperlink>
        </w:p>
        <w:p w14:paraId="4B9C65FC" w14:textId="066DC069" w:rsidR="00AA7DA6" w:rsidRDefault="00AA7DA6">
          <w:pPr>
            <w:pStyle w:val="TOC1"/>
            <w:tabs>
              <w:tab w:val="right" w:leader="dot" w:pos="9016"/>
            </w:tabs>
            <w:rPr>
              <w:rFonts w:eastAsiaTheme="minorEastAsia"/>
              <w:noProof/>
              <w:lang w:eastAsia="en-GB"/>
            </w:rPr>
          </w:pPr>
          <w:hyperlink w:anchor="_Toc231740290" w:history="1">
            <w:r w:rsidRPr="00874790">
              <w:rPr>
                <w:rStyle w:val="Hyperlink"/>
                <w:noProof/>
              </w:rPr>
              <w:t>List of Figures</w:t>
            </w:r>
            <w:r>
              <w:rPr>
                <w:noProof/>
                <w:webHidden/>
              </w:rPr>
              <w:tab/>
            </w:r>
            <w:r>
              <w:rPr>
                <w:noProof/>
                <w:webHidden/>
              </w:rPr>
              <w:fldChar w:fldCharType="begin"/>
            </w:r>
            <w:r>
              <w:rPr>
                <w:noProof/>
                <w:webHidden/>
              </w:rPr>
              <w:instrText xml:space="preserve"> PAGEREF _Toc231740290 \h </w:instrText>
            </w:r>
            <w:r>
              <w:rPr>
                <w:noProof/>
                <w:webHidden/>
              </w:rPr>
            </w:r>
            <w:r>
              <w:rPr>
                <w:noProof/>
                <w:webHidden/>
              </w:rPr>
              <w:fldChar w:fldCharType="separate"/>
            </w:r>
            <w:r>
              <w:rPr>
                <w:noProof/>
                <w:webHidden/>
              </w:rPr>
              <w:t>6</w:t>
            </w:r>
            <w:r>
              <w:rPr>
                <w:noProof/>
                <w:webHidden/>
              </w:rPr>
              <w:fldChar w:fldCharType="end"/>
            </w:r>
          </w:hyperlink>
        </w:p>
        <w:p w14:paraId="4A0151AF" w14:textId="7E8B87B1" w:rsidR="00AA7DA6" w:rsidRDefault="00AA7DA6">
          <w:pPr>
            <w:pStyle w:val="TOC1"/>
            <w:tabs>
              <w:tab w:val="right" w:leader="dot" w:pos="9016"/>
            </w:tabs>
            <w:rPr>
              <w:rFonts w:eastAsiaTheme="minorEastAsia"/>
              <w:noProof/>
              <w:lang w:eastAsia="en-GB"/>
            </w:rPr>
          </w:pPr>
          <w:hyperlink w:anchor="_Toc231740291" w:history="1">
            <w:r w:rsidRPr="00874790">
              <w:rPr>
                <w:rStyle w:val="Hyperlink"/>
                <w:noProof/>
              </w:rPr>
              <w:t>List of Tables</w:t>
            </w:r>
            <w:r>
              <w:rPr>
                <w:noProof/>
                <w:webHidden/>
              </w:rPr>
              <w:tab/>
            </w:r>
            <w:r>
              <w:rPr>
                <w:noProof/>
                <w:webHidden/>
              </w:rPr>
              <w:fldChar w:fldCharType="begin"/>
            </w:r>
            <w:r>
              <w:rPr>
                <w:noProof/>
                <w:webHidden/>
              </w:rPr>
              <w:instrText xml:space="preserve"> PAGEREF _Toc231740291 \h </w:instrText>
            </w:r>
            <w:r>
              <w:rPr>
                <w:noProof/>
                <w:webHidden/>
              </w:rPr>
            </w:r>
            <w:r>
              <w:rPr>
                <w:noProof/>
                <w:webHidden/>
              </w:rPr>
              <w:fldChar w:fldCharType="separate"/>
            </w:r>
            <w:r>
              <w:rPr>
                <w:noProof/>
                <w:webHidden/>
              </w:rPr>
              <w:t>7</w:t>
            </w:r>
            <w:r>
              <w:rPr>
                <w:noProof/>
                <w:webHidden/>
              </w:rPr>
              <w:fldChar w:fldCharType="end"/>
            </w:r>
          </w:hyperlink>
        </w:p>
        <w:p w14:paraId="2FA777F3" w14:textId="6BA969DA" w:rsidR="00AA7DA6" w:rsidRDefault="00AA7DA6">
          <w:pPr>
            <w:pStyle w:val="TOC1"/>
            <w:tabs>
              <w:tab w:val="right" w:leader="dot" w:pos="9016"/>
            </w:tabs>
            <w:rPr>
              <w:rFonts w:eastAsiaTheme="minorEastAsia"/>
              <w:noProof/>
              <w:lang w:eastAsia="en-GB"/>
            </w:rPr>
          </w:pPr>
          <w:hyperlink w:anchor="_Toc231740292" w:history="1">
            <w:r w:rsidRPr="00874790">
              <w:rPr>
                <w:rStyle w:val="Hyperlink"/>
                <w:noProof/>
              </w:rPr>
              <w:t>Chapter 1: Introduction</w:t>
            </w:r>
            <w:r>
              <w:rPr>
                <w:noProof/>
                <w:webHidden/>
              </w:rPr>
              <w:tab/>
            </w:r>
            <w:r>
              <w:rPr>
                <w:noProof/>
                <w:webHidden/>
              </w:rPr>
              <w:fldChar w:fldCharType="begin"/>
            </w:r>
            <w:r>
              <w:rPr>
                <w:noProof/>
                <w:webHidden/>
              </w:rPr>
              <w:instrText xml:space="preserve"> PAGEREF _Toc231740292 \h </w:instrText>
            </w:r>
            <w:r>
              <w:rPr>
                <w:noProof/>
                <w:webHidden/>
              </w:rPr>
            </w:r>
            <w:r>
              <w:rPr>
                <w:noProof/>
                <w:webHidden/>
              </w:rPr>
              <w:fldChar w:fldCharType="separate"/>
            </w:r>
            <w:r>
              <w:rPr>
                <w:noProof/>
                <w:webHidden/>
              </w:rPr>
              <w:t>11</w:t>
            </w:r>
            <w:r>
              <w:rPr>
                <w:noProof/>
                <w:webHidden/>
              </w:rPr>
              <w:fldChar w:fldCharType="end"/>
            </w:r>
          </w:hyperlink>
        </w:p>
        <w:p w14:paraId="46B162CB" w14:textId="31956249" w:rsidR="00AA7DA6" w:rsidRDefault="00AA7DA6">
          <w:pPr>
            <w:pStyle w:val="TOC2"/>
            <w:tabs>
              <w:tab w:val="right" w:leader="dot" w:pos="9016"/>
            </w:tabs>
            <w:rPr>
              <w:rFonts w:eastAsiaTheme="minorEastAsia"/>
              <w:noProof/>
              <w:lang w:eastAsia="en-GB"/>
            </w:rPr>
          </w:pPr>
          <w:hyperlink w:anchor="_Toc231740293" w:history="1">
            <w:r w:rsidRPr="00874790">
              <w:rPr>
                <w:rStyle w:val="Hyperlink"/>
                <w:noProof/>
              </w:rPr>
              <w:t>1.1 Background of the Study: The FMCG "Double Transition" (Digital-First and Environmental Sustainability)</w:t>
            </w:r>
            <w:r>
              <w:rPr>
                <w:noProof/>
                <w:webHidden/>
              </w:rPr>
              <w:tab/>
            </w:r>
            <w:r>
              <w:rPr>
                <w:noProof/>
                <w:webHidden/>
              </w:rPr>
              <w:fldChar w:fldCharType="begin"/>
            </w:r>
            <w:r>
              <w:rPr>
                <w:noProof/>
                <w:webHidden/>
              </w:rPr>
              <w:instrText xml:space="preserve"> PAGEREF _Toc231740293 \h </w:instrText>
            </w:r>
            <w:r>
              <w:rPr>
                <w:noProof/>
                <w:webHidden/>
              </w:rPr>
            </w:r>
            <w:r>
              <w:rPr>
                <w:noProof/>
                <w:webHidden/>
              </w:rPr>
              <w:fldChar w:fldCharType="separate"/>
            </w:r>
            <w:r>
              <w:rPr>
                <w:noProof/>
                <w:webHidden/>
              </w:rPr>
              <w:t>11</w:t>
            </w:r>
            <w:r>
              <w:rPr>
                <w:noProof/>
                <w:webHidden/>
              </w:rPr>
              <w:fldChar w:fldCharType="end"/>
            </w:r>
          </w:hyperlink>
        </w:p>
        <w:p w14:paraId="1E27E475" w14:textId="4F311CAC" w:rsidR="00AA7DA6" w:rsidRDefault="00AA7DA6">
          <w:pPr>
            <w:pStyle w:val="TOC2"/>
            <w:tabs>
              <w:tab w:val="right" w:leader="dot" w:pos="9016"/>
            </w:tabs>
            <w:rPr>
              <w:rFonts w:eastAsiaTheme="minorEastAsia"/>
              <w:noProof/>
              <w:lang w:eastAsia="en-GB"/>
            </w:rPr>
          </w:pPr>
          <w:hyperlink w:anchor="_Toc231740294" w:history="1">
            <w:r w:rsidRPr="00874790">
              <w:rPr>
                <w:rStyle w:val="Hyperlink"/>
                <w:rFonts w:eastAsia="Times New Roman"/>
                <w:noProof/>
                <w:lang w:eastAsia="en-GB"/>
              </w:rPr>
              <w:t>1.2 Unilever's Strategic Evolution: Transitioning to the "Desire at Scale" Paradigm</w:t>
            </w:r>
            <w:r>
              <w:rPr>
                <w:noProof/>
                <w:webHidden/>
              </w:rPr>
              <w:tab/>
            </w:r>
            <w:r>
              <w:rPr>
                <w:noProof/>
                <w:webHidden/>
              </w:rPr>
              <w:fldChar w:fldCharType="begin"/>
            </w:r>
            <w:r>
              <w:rPr>
                <w:noProof/>
                <w:webHidden/>
              </w:rPr>
              <w:instrText xml:space="preserve"> PAGEREF _Toc231740294 \h </w:instrText>
            </w:r>
            <w:r>
              <w:rPr>
                <w:noProof/>
                <w:webHidden/>
              </w:rPr>
            </w:r>
            <w:r>
              <w:rPr>
                <w:noProof/>
                <w:webHidden/>
              </w:rPr>
              <w:fldChar w:fldCharType="separate"/>
            </w:r>
            <w:r>
              <w:rPr>
                <w:noProof/>
                <w:webHidden/>
              </w:rPr>
              <w:t>12</w:t>
            </w:r>
            <w:r>
              <w:rPr>
                <w:noProof/>
                <w:webHidden/>
              </w:rPr>
              <w:fldChar w:fldCharType="end"/>
            </w:r>
          </w:hyperlink>
        </w:p>
        <w:p w14:paraId="7B7426C1" w14:textId="08A62C1C" w:rsidR="00AA7DA6" w:rsidRDefault="00AA7DA6">
          <w:pPr>
            <w:pStyle w:val="TOC2"/>
            <w:tabs>
              <w:tab w:val="right" w:leader="dot" w:pos="9016"/>
            </w:tabs>
            <w:rPr>
              <w:rFonts w:eastAsiaTheme="minorEastAsia"/>
              <w:noProof/>
              <w:lang w:eastAsia="en-GB"/>
            </w:rPr>
          </w:pPr>
          <w:hyperlink w:anchor="_Toc231740295" w:history="1">
            <w:r w:rsidRPr="00874790">
              <w:rPr>
                <w:rStyle w:val="Hyperlink"/>
                <w:noProof/>
              </w:rPr>
              <w:t>1.3 Problem Statement: The Trust-Digital Paradox and the Rise of Digital Greenwashing</w:t>
            </w:r>
            <w:r>
              <w:rPr>
                <w:noProof/>
                <w:webHidden/>
              </w:rPr>
              <w:tab/>
            </w:r>
            <w:r>
              <w:rPr>
                <w:noProof/>
                <w:webHidden/>
              </w:rPr>
              <w:fldChar w:fldCharType="begin"/>
            </w:r>
            <w:r>
              <w:rPr>
                <w:noProof/>
                <w:webHidden/>
              </w:rPr>
              <w:instrText xml:space="preserve"> PAGEREF _Toc231740295 \h </w:instrText>
            </w:r>
            <w:r>
              <w:rPr>
                <w:noProof/>
                <w:webHidden/>
              </w:rPr>
            </w:r>
            <w:r>
              <w:rPr>
                <w:noProof/>
                <w:webHidden/>
              </w:rPr>
              <w:fldChar w:fldCharType="separate"/>
            </w:r>
            <w:r>
              <w:rPr>
                <w:noProof/>
                <w:webHidden/>
              </w:rPr>
              <w:t>12</w:t>
            </w:r>
            <w:r>
              <w:rPr>
                <w:noProof/>
                <w:webHidden/>
              </w:rPr>
              <w:fldChar w:fldCharType="end"/>
            </w:r>
          </w:hyperlink>
        </w:p>
        <w:p w14:paraId="31FFBA8B" w14:textId="40CAFD00" w:rsidR="00AA7DA6" w:rsidRDefault="00AA7DA6">
          <w:pPr>
            <w:pStyle w:val="TOC2"/>
            <w:tabs>
              <w:tab w:val="right" w:leader="dot" w:pos="9016"/>
            </w:tabs>
            <w:rPr>
              <w:rFonts w:eastAsiaTheme="minorEastAsia"/>
              <w:noProof/>
              <w:lang w:eastAsia="en-GB"/>
            </w:rPr>
          </w:pPr>
          <w:hyperlink w:anchor="_Toc231740296" w:history="1">
            <w:r w:rsidRPr="00874790">
              <w:rPr>
                <w:rStyle w:val="Hyperlink"/>
                <w:noProof/>
              </w:rPr>
              <w:t>1.4 Research Aim and Objectives</w:t>
            </w:r>
            <w:r>
              <w:rPr>
                <w:noProof/>
                <w:webHidden/>
              </w:rPr>
              <w:tab/>
            </w:r>
            <w:r>
              <w:rPr>
                <w:noProof/>
                <w:webHidden/>
              </w:rPr>
              <w:fldChar w:fldCharType="begin"/>
            </w:r>
            <w:r>
              <w:rPr>
                <w:noProof/>
                <w:webHidden/>
              </w:rPr>
              <w:instrText xml:space="preserve"> PAGEREF _Toc231740296 \h </w:instrText>
            </w:r>
            <w:r>
              <w:rPr>
                <w:noProof/>
                <w:webHidden/>
              </w:rPr>
            </w:r>
            <w:r>
              <w:rPr>
                <w:noProof/>
                <w:webHidden/>
              </w:rPr>
              <w:fldChar w:fldCharType="separate"/>
            </w:r>
            <w:r>
              <w:rPr>
                <w:noProof/>
                <w:webHidden/>
              </w:rPr>
              <w:t>13</w:t>
            </w:r>
            <w:r>
              <w:rPr>
                <w:noProof/>
                <w:webHidden/>
              </w:rPr>
              <w:fldChar w:fldCharType="end"/>
            </w:r>
          </w:hyperlink>
        </w:p>
        <w:p w14:paraId="3AA426DC" w14:textId="568AE007" w:rsidR="00AA7DA6" w:rsidRDefault="00AA7DA6">
          <w:pPr>
            <w:pStyle w:val="TOC2"/>
            <w:tabs>
              <w:tab w:val="right" w:leader="dot" w:pos="9016"/>
            </w:tabs>
            <w:rPr>
              <w:rFonts w:eastAsiaTheme="minorEastAsia"/>
              <w:noProof/>
              <w:lang w:eastAsia="en-GB"/>
            </w:rPr>
          </w:pPr>
          <w:hyperlink w:anchor="_Toc231740297" w:history="1">
            <w:r w:rsidRPr="00874790">
              <w:rPr>
                <w:rStyle w:val="Hyperlink"/>
                <w:noProof/>
              </w:rPr>
              <w:t>1.5 Research Questions</w:t>
            </w:r>
            <w:r>
              <w:rPr>
                <w:noProof/>
                <w:webHidden/>
              </w:rPr>
              <w:tab/>
            </w:r>
            <w:r>
              <w:rPr>
                <w:noProof/>
                <w:webHidden/>
              </w:rPr>
              <w:fldChar w:fldCharType="begin"/>
            </w:r>
            <w:r>
              <w:rPr>
                <w:noProof/>
                <w:webHidden/>
              </w:rPr>
              <w:instrText xml:space="preserve"> PAGEREF _Toc231740297 \h </w:instrText>
            </w:r>
            <w:r>
              <w:rPr>
                <w:noProof/>
                <w:webHidden/>
              </w:rPr>
            </w:r>
            <w:r>
              <w:rPr>
                <w:noProof/>
                <w:webHidden/>
              </w:rPr>
              <w:fldChar w:fldCharType="separate"/>
            </w:r>
            <w:r>
              <w:rPr>
                <w:noProof/>
                <w:webHidden/>
              </w:rPr>
              <w:t>14</w:t>
            </w:r>
            <w:r>
              <w:rPr>
                <w:noProof/>
                <w:webHidden/>
              </w:rPr>
              <w:fldChar w:fldCharType="end"/>
            </w:r>
          </w:hyperlink>
        </w:p>
        <w:p w14:paraId="4673A0E2" w14:textId="18FB17AF" w:rsidR="00AA7DA6" w:rsidRDefault="00AA7DA6">
          <w:pPr>
            <w:pStyle w:val="TOC2"/>
            <w:tabs>
              <w:tab w:val="right" w:leader="dot" w:pos="9016"/>
            </w:tabs>
            <w:rPr>
              <w:rFonts w:eastAsiaTheme="minorEastAsia"/>
              <w:noProof/>
              <w:lang w:eastAsia="en-GB"/>
            </w:rPr>
          </w:pPr>
          <w:hyperlink w:anchor="_Toc231740298" w:history="1">
            <w:r w:rsidRPr="00874790">
              <w:rPr>
                <w:rStyle w:val="Hyperlink"/>
                <w:noProof/>
              </w:rPr>
              <w:t>1.6 Rationale of the Study: Navigating Cultural Divides in the UK and India</w:t>
            </w:r>
            <w:r>
              <w:rPr>
                <w:noProof/>
                <w:webHidden/>
              </w:rPr>
              <w:tab/>
            </w:r>
            <w:r>
              <w:rPr>
                <w:noProof/>
                <w:webHidden/>
              </w:rPr>
              <w:fldChar w:fldCharType="begin"/>
            </w:r>
            <w:r>
              <w:rPr>
                <w:noProof/>
                <w:webHidden/>
              </w:rPr>
              <w:instrText xml:space="preserve"> PAGEREF _Toc231740298 \h </w:instrText>
            </w:r>
            <w:r>
              <w:rPr>
                <w:noProof/>
                <w:webHidden/>
              </w:rPr>
            </w:r>
            <w:r>
              <w:rPr>
                <w:noProof/>
                <w:webHidden/>
              </w:rPr>
              <w:fldChar w:fldCharType="separate"/>
            </w:r>
            <w:r>
              <w:rPr>
                <w:noProof/>
                <w:webHidden/>
              </w:rPr>
              <w:t>14</w:t>
            </w:r>
            <w:r>
              <w:rPr>
                <w:noProof/>
                <w:webHidden/>
              </w:rPr>
              <w:fldChar w:fldCharType="end"/>
            </w:r>
          </w:hyperlink>
        </w:p>
        <w:p w14:paraId="5CEFEB92" w14:textId="6555CE55" w:rsidR="00AA7DA6" w:rsidRDefault="00AA7DA6">
          <w:pPr>
            <w:pStyle w:val="TOC2"/>
            <w:tabs>
              <w:tab w:val="right" w:leader="dot" w:pos="9016"/>
            </w:tabs>
            <w:rPr>
              <w:rFonts w:eastAsiaTheme="minorEastAsia"/>
              <w:noProof/>
              <w:lang w:eastAsia="en-GB"/>
            </w:rPr>
          </w:pPr>
          <w:hyperlink w:anchor="_Toc231740299" w:history="1">
            <w:r w:rsidRPr="00874790">
              <w:rPr>
                <w:rStyle w:val="Hyperlink"/>
                <w:rFonts w:eastAsia="Times New Roman"/>
                <w:noProof/>
                <w:lang w:eastAsia="en-GB"/>
              </w:rPr>
              <w:t>1.7 Dissertation Outline</w:t>
            </w:r>
            <w:r>
              <w:rPr>
                <w:noProof/>
                <w:webHidden/>
              </w:rPr>
              <w:tab/>
            </w:r>
            <w:r>
              <w:rPr>
                <w:noProof/>
                <w:webHidden/>
              </w:rPr>
              <w:fldChar w:fldCharType="begin"/>
            </w:r>
            <w:r>
              <w:rPr>
                <w:noProof/>
                <w:webHidden/>
              </w:rPr>
              <w:instrText xml:space="preserve"> PAGEREF _Toc231740299 \h </w:instrText>
            </w:r>
            <w:r>
              <w:rPr>
                <w:noProof/>
                <w:webHidden/>
              </w:rPr>
            </w:r>
            <w:r>
              <w:rPr>
                <w:noProof/>
                <w:webHidden/>
              </w:rPr>
              <w:fldChar w:fldCharType="separate"/>
            </w:r>
            <w:r>
              <w:rPr>
                <w:noProof/>
                <w:webHidden/>
              </w:rPr>
              <w:t>15</w:t>
            </w:r>
            <w:r>
              <w:rPr>
                <w:noProof/>
                <w:webHidden/>
              </w:rPr>
              <w:fldChar w:fldCharType="end"/>
            </w:r>
          </w:hyperlink>
        </w:p>
        <w:p w14:paraId="7B2D2856" w14:textId="5EA1F8AF" w:rsidR="00AA7DA6" w:rsidRDefault="00AA7DA6">
          <w:pPr>
            <w:pStyle w:val="TOC1"/>
            <w:tabs>
              <w:tab w:val="right" w:leader="dot" w:pos="9016"/>
            </w:tabs>
            <w:rPr>
              <w:rFonts w:eastAsiaTheme="minorEastAsia"/>
              <w:noProof/>
              <w:lang w:eastAsia="en-GB"/>
            </w:rPr>
          </w:pPr>
          <w:hyperlink w:anchor="_Toc231740300" w:history="1">
            <w:r w:rsidRPr="00874790">
              <w:rPr>
                <w:rStyle w:val="Hyperlink"/>
                <w:noProof/>
              </w:rPr>
              <w:t>Chapter 2: Literature Review</w:t>
            </w:r>
            <w:r>
              <w:rPr>
                <w:noProof/>
                <w:webHidden/>
              </w:rPr>
              <w:tab/>
            </w:r>
            <w:r>
              <w:rPr>
                <w:noProof/>
                <w:webHidden/>
              </w:rPr>
              <w:fldChar w:fldCharType="begin"/>
            </w:r>
            <w:r>
              <w:rPr>
                <w:noProof/>
                <w:webHidden/>
              </w:rPr>
              <w:instrText xml:space="preserve"> PAGEREF _Toc231740300 \h </w:instrText>
            </w:r>
            <w:r>
              <w:rPr>
                <w:noProof/>
                <w:webHidden/>
              </w:rPr>
            </w:r>
            <w:r>
              <w:rPr>
                <w:noProof/>
                <w:webHidden/>
              </w:rPr>
              <w:fldChar w:fldCharType="separate"/>
            </w:r>
            <w:r>
              <w:rPr>
                <w:noProof/>
                <w:webHidden/>
              </w:rPr>
              <w:t>16</w:t>
            </w:r>
            <w:r>
              <w:rPr>
                <w:noProof/>
                <w:webHidden/>
              </w:rPr>
              <w:fldChar w:fldCharType="end"/>
            </w:r>
          </w:hyperlink>
        </w:p>
        <w:p w14:paraId="0E716574" w14:textId="2DD499A6" w:rsidR="00AA7DA6" w:rsidRDefault="00AA7DA6">
          <w:pPr>
            <w:pStyle w:val="TOC2"/>
            <w:tabs>
              <w:tab w:val="right" w:leader="dot" w:pos="9016"/>
            </w:tabs>
            <w:rPr>
              <w:rFonts w:eastAsiaTheme="minorEastAsia"/>
              <w:noProof/>
              <w:lang w:eastAsia="en-GB"/>
            </w:rPr>
          </w:pPr>
          <w:hyperlink w:anchor="_Toc231740301" w:history="1">
            <w:r w:rsidRPr="00874790">
              <w:rPr>
                <w:rStyle w:val="Hyperlink"/>
                <w:noProof/>
              </w:rPr>
              <w:t>2.1 Introduction to the Literature</w:t>
            </w:r>
            <w:r>
              <w:rPr>
                <w:noProof/>
                <w:webHidden/>
              </w:rPr>
              <w:tab/>
            </w:r>
            <w:r>
              <w:rPr>
                <w:noProof/>
                <w:webHidden/>
              </w:rPr>
              <w:fldChar w:fldCharType="begin"/>
            </w:r>
            <w:r>
              <w:rPr>
                <w:noProof/>
                <w:webHidden/>
              </w:rPr>
              <w:instrText xml:space="preserve"> PAGEREF _Toc231740301 \h </w:instrText>
            </w:r>
            <w:r>
              <w:rPr>
                <w:noProof/>
                <w:webHidden/>
              </w:rPr>
            </w:r>
            <w:r>
              <w:rPr>
                <w:noProof/>
                <w:webHidden/>
              </w:rPr>
              <w:fldChar w:fldCharType="separate"/>
            </w:r>
            <w:r>
              <w:rPr>
                <w:noProof/>
                <w:webHidden/>
              </w:rPr>
              <w:t>16</w:t>
            </w:r>
            <w:r>
              <w:rPr>
                <w:noProof/>
                <w:webHidden/>
              </w:rPr>
              <w:fldChar w:fldCharType="end"/>
            </w:r>
          </w:hyperlink>
        </w:p>
        <w:p w14:paraId="2F4DD082" w14:textId="25953A89" w:rsidR="00AA7DA6" w:rsidRDefault="00AA7DA6">
          <w:pPr>
            <w:pStyle w:val="TOC2"/>
            <w:tabs>
              <w:tab w:val="right" w:leader="dot" w:pos="9016"/>
            </w:tabs>
            <w:rPr>
              <w:rFonts w:eastAsiaTheme="minorEastAsia"/>
              <w:noProof/>
              <w:lang w:eastAsia="en-GB"/>
            </w:rPr>
          </w:pPr>
          <w:hyperlink w:anchor="_Toc231740302" w:history="1">
            <w:r w:rsidRPr="00874790">
              <w:rPr>
                <w:rStyle w:val="Hyperlink"/>
                <w:noProof/>
              </w:rPr>
              <w:t>2.2 The Evolution of Purpose: From "Broadcasting" to Decentralized "Belonging"</w:t>
            </w:r>
            <w:r>
              <w:rPr>
                <w:noProof/>
                <w:webHidden/>
              </w:rPr>
              <w:tab/>
            </w:r>
            <w:r>
              <w:rPr>
                <w:noProof/>
                <w:webHidden/>
              </w:rPr>
              <w:fldChar w:fldCharType="begin"/>
            </w:r>
            <w:r>
              <w:rPr>
                <w:noProof/>
                <w:webHidden/>
              </w:rPr>
              <w:instrText xml:space="preserve"> PAGEREF _Toc231740302 \h </w:instrText>
            </w:r>
            <w:r>
              <w:rPr>
                <w:noProof/>
                <w:webHidden/>
              </w:rPr>
            </w:r>
            <w:r>
              <w:rPr>
                <w:noProof/>
                <w:webHidden/>
              </w:rPr>
              <w:fldChar w:fldCharType="separate"/>
            </w:r>
            <w:r>
              <w:rPr>
                <w:noProof/>
                <w:webHidden/>
              </w:rPr>
              <w:t>16</w:t>
            </w:r>
            <w:r>
              <w:rPr>
                <w:noProof/>
                <w:webHidden/>
              </w:rPr>
              <w:fldChar w:fldCharType="end"/>
            </w:r>
          </w:hyperlink>
        </w:p>
        <w:p w14:paraId="5744DC00" w14:textId="5A2EECD0" w:rsidR="00AA7DA6" w:rsidRDefault="00AA7DA6">
          <w:pPr>
            <w:pStyle w:val="TOC2"/>
            <w:tabs>
              <w:tab w:val="right" w:leader="dot" w:pos="9016"/>
            </w:tabs>
            <w:rPr>
              <w:rFonts w:eastAsiaTheme="minorEastAsia"/>
              <w:noProof/>
              <w:lang w:eastAsia="en-GB"/>
            </w:rPr>
          </w:pPr>
          <w:hyperlink w:anchor="_Toc231740303" w:history="1">
            <w:r w:rsidRPr="00874790">
              <w:rPr>
                <w:rStyle w:val="Hyperlink"/>
                <w:noProof/>
              </w:rPr>
              <w:t>2.3 The SASSY Framework as a Strategic Signalling Tool</w:t>
            </w:r>
            <w:r>
              <w:rPr>
                <w:noProof/>
                <w:webHidden/>
              </w:rPr>
              <w:tab/>
            </w:r>
            <w:r>
              <w:rPr>
                <w:noProof/>
                <w:webHidden/>
              </w:rPr>
              <w:fldChar w:fldCharType="begin"/>
            </w:r>
            <w:r>
              <w:rPr>
                <w:noProof/>
                <w:webHidden/>
              </w:rPr>
              <w:instrText xml:space="preserve"> PAGEREF _Toc231740303 \h </w:instrText>
            </w:r>
            <w:r>
              <w:rPr>
                <w:noProof/>
                <w:webHidden/>
              </w:rPr>
            </w:r>
            <w:r>
              <w:rPr>
                <w:noProof/>
                <w:webHidden/>
              </w:rPr>
              <w:fldChar w:fldCharType="separate"/>
            </w:r>
            <w:r>
              <w:rPr>
                <w:noProof/>
                <w:webHidden/>
              </w:rPr>
              <w:t>17</w:t>
            </w:r>
            <w:r>
              <w:rPr>
                <w:noProof/>
                <w:webHidden/>
              </w:rPr>
              <w:fldChar w:fldCharType="end"/>
            </w:r>
          </w:hyperlink>
        </w:p>
        <w:p w14:paraId="07B8BE80" w14:textId="0E2FACF3" w:rsidR="00AA7DA6" w:rsidRDefault="00AA7DA6">
          <w:pPr>
            <w:pStyle w:val="TOC3"/>
            <w:tabs>
              <w:tab w:val="right" w:leader="dot" w:pos="9016"/>
            </w:tabs>
            <w:rPr>
              <w:rFonts w:eastAsiaTheme="minorEastAsia"/>
              <w:noProof/>
              <w:lang w:eastAsia="en-GB"/>
            </w:rPr>
          </w:pPr>
          <w:hyperlink w:anchor="_Toc231740304" w:history="1">
            <w:r w:rsidRPr="00874790">
              <w:rPr>
                <w:rStyle w:val="Hyperlink"/>
                <w:noProof/>
              </w:rPr>
              <w:t>2.3.1 Superior Science: Indisputable Innovation as a Trust Anchor</w:t>
            </w:r>
            <w:r>
              <w:rPr>
                <w:noProof/>
                <w:webHidden/>
              </w:rPr>
              <w:tab/>
            </w:r>
            <w:r>
              <w:rPr>
                <w:noProof/>
                <w:webHidden/>
              </w:rPr>
              <w:fldChar w:fldCharType="begin"/>
            </w:r>
            <w:r>
              <w:rPr>
                <w:noProof/>
                <w:webHidden/>
              </w:rPr>
              <w:instrText xml:space="preserve"> PAGEREF _Toc231740304 \h </w:instrText>
            </w:r>
            <w:r>
              <w:rPr>
                <w:noProof/>
                <w:webHidden/>
              </w:rPr>
            </w:r>
            <w:r>
              <w:rPr>
                <w:noProof/>
                <w:webHidden/>
              </w:rPr>
              <w:fldChar w:fldCharType="separate"/>
            </w:r>
            <w:r>
              <w:rPr>
                <w:noProof/>
                <w:webHidden/>
              </w:rPr>
              <w:t>18</w:t>
            </w:r>
            <w:r>
              <w:rPr>
                <w:noProof/>
                <w:webHidden/>
              </w:rPr>
              <w:fldChar w:fldCharType="end"/>
            </w:r>
          </w:hyperlink>
        </w:p>
        <w:p w14:paraId="5570E773" w14:textId="70B087A9" w:rsidR="00AA7DA6" w:rsidRDefault="00AA7DA6">
          <w:pPr>
            <w:pStyle w:val="TOC3"/>
            <w:tabs>
              <w:tab w:val="right" w:leader="dot" w:pos="9016"/>
            </w:tabs>
            <w:rPr>
              <w:rFonts w:eastAsiaTheme="minorEastAsia"/>
              <w:noProof/>
              <w:lang w:eastAsia="en-GB"/>
            </w:rPr>
          </w:pPr>
          <w:hyperlink w:anchor="_Toc231740305" w:history="1">
            <w:r w:rsidRPr="00874790">
              <w:rPr>
                <w:rStyle w:val="Hyperlink"/>
                <w:noProof/>
              </w:rPr>
              <w:t>2.3.2 "Said by Others" &amp; Young-Spiritedness: Influencer Narratives and Gen Z Expectations</w:t>
            </w:r>
            <w:r>
              <w:rPr>
                <w:noProof/>
                <w:webHidden/>
              </w:rPr>
              <w:tab/>
            </w:r>
            <w:r>
              <w:rPr>
                <w:noProof/>
                <w:webHidden/>
              </w:rPr>
              <w:fldChar w:fldCharType="begin"/>
            </w:r>
            <w:r>
              <w:rPr>
                <w:noProof/>
                <w:webHidden/>
              </w:rPr>
              <w:instrText xml:space="preserve"> PAGEREF _Toc231740305 \h </w:instrText>
            </w:r>
            <w:r>
              <w:rPr>
                <w:noProof/>
                <w:webHidden/>
              </w:rPr>
            </w:r>
            <w:r>
              <w:rPr>
                <w:noProof/>
                <w:webHidden/>
              </w:rPr>
              <w:fldChar w:fldCharType="separate"/>
            </w:r>
            <w:r>
              <w:rPr>
                <w:noProof/>
                <w:webHidden/>
              </w:rPr>
              <w:t>18</w:t>
            </w:r>
            <w:r>
              <w:rPr>
                <w:noProof/>
                <w:webHidden/>
              </w:rPr>
              <w:fldChar w:fldCharType="end"/>
            </w:r>
          </w:hyperlink>
        </w:p>
        <w:p w14:paraId="676C1465" w14:textId="2E36F5E2" w:rsidR="00AA7DA6" w:rsidRDefault="00AA7DA6">
          <w:pPr>
            <w:pStyle w:val="TOC2"/>
            <w:tabs>
              <w:tab w:val="right" w:leader="dot" w:pos="9016"/>
            </w:tabs>
            <w:rPr>
              <w:rFonts w:eastAsiaTheme="minorEastAsia"/>
              <w:noProof/>
              <w:lang w:eastAsia="en-GB"/>
            </w:rPr>
          </w:pPr>
          <w:hyperlink w:anchor="_Toc231740306" w:history="1">
            <w:r w:rsidRPr="00874790">
              <w:rPr>
                <w:rStyle w:val="Hyperlink"/>
                <w:noProof/>
              </w:rPr>
              <w:t>2.4 Theoretical Framework: Signalling Theory &amp; The Trust-Digital Paradox</w:t>
            </w:r>
            <w:r>
              <w:rPr>
                <w:noProof/>
                <w:webHidden/>
              </w:rPr>
              <w:tab/>
            </w:r>
            <w:r>
              <w:rPr>
                <w:noProof/>
                <w:webHidden/>
              </w:rPr>
              <w:fldChar w:fldCharType="begin"/>
            </w:r>
            <w:r>
              <w:rPr>
                <w:noProof/>
                <w:webHidden/>
              </w:rPr>
              <w:instrText xml:space="preserve"> PAGEREF _Toc231740306 \h </w:instrText>
            </w:r>
            <w:r>
              <w:rPr>
                <w:noProof/>
                <w:webHidden/>
              </w:rPr>
            </w:r>
            <w:r>
              <w:rPr>
                <w:noProof/>
                <w:webHidden/>
              </w:rPr>
              <w:fldChar w:fldCharType="separate"/>
            </w:r>
            <w:r>
              <w:rPr>
                <w:noProof/>
                <w:webHidden/>
              </w:rPr>
              <w:t>18</w:t>
            </w:r>
            <w:r>
              <w:rPr>
                <w:noProof/>
                <w:webHidden/>
              </w:rPr>
              <w:fldChar w:fldCharType="end"/>
            </w:r>
          </w:hyperlink>
        </w:p>
        <w:p w14:paraId="38575CEE" w14:textId="10E4EC87" w:rsidR="00AA7DA6" w:rsidRDefault="00AA7DA6">
          <w:pPr>
            <w:pStyle w:val="TOC3"/>
            <w:tabs>
              <w:tab w:val="right" w:leader="dot" w:pos="9016"/>
            </w:tabs>
            <w:rPr>
              <w:rFonts w:eastAsiaTheme="minorEastAsia"/>
              <w:noProof/>
              <w:lang w:eastAsia="en-GB"/>
            </w:rPr>
          </w:pPr>
          <w:hyperlink w:anchor="_Toc231740307" w:history="1">
            <w:r w:rsidRPr="00874790">
              <w:rPr>
                <w:rStyle w:val="Hyperlink"/>
                <w:noProof/>
              </w:rPr>
              <w:t>2.4.1 Signalling Theory: The Necessity of "High-Cost" Verification</w:t>
            </w:r>
            <w:r>
              <w:rPr>
                <w:noProof/>
                <w:webHidden/>
              </w:rPr>
              <w:tab/>
            </w:r>
            <w:r>
              <w:rPr>
                <w:noProof/>
                <w:webHidden/>
              </w:rPr>
              <w:fldChar w:fldCharType="begin"/>
            </w:r>
            <w:r>
              <w:rPr>
                <w:noProof/>
                <w:webHidden/>
              </w:rPr>
              <w:instrText xml:space="preserve"> PAGEREF _Toc231740307 \h </w:instrText>
            </w:r>
            <w:r>
              <w:rPr>
                <w:noProof/>
                <w:webHidden/>
              </w:rPr>
            </w:r>
            <w:r>
              <w:rPr>
                <w:noProof/>
                <w:webHidden/>
              </w:rPr>
              <w:fldChar w:fldCharType="separate"/>
            </w:r>
            <w:r>
              <w:rPr>
                <w:noProof/>
                <w:webHidden/>
              </w:rPr>
              <w:t>19</w:t>
            </w:r>
            <w:r>
              <w:rPr>
                <w:noProof/>
                <w:webHidden/>
              </w:rPr>
              <w:fldChar w:fldCharType="end"/>
            </w:r>
          </w:hyperlink>
        </w:p>
        <w:p w14:paraId="0A94E211" w14:textId="35A647FF" w:rsidR="00AA7DA6" w:rsidRDefault="00AA7DA6">
          <w:pPr>
            <w:pStyle w:val="TOC3"/>
            <w:tabs>
              <w:tab w:val="right" w:leader="dot" w:pos="9016"/>
            </w:tabs>
            <w:rPr>
              <w:rFonts w:eastAsiaTheme="minorEastAsia"/>
              <w:noProof/>
              <w:lang w:eastAsia="en-GB"/>
            </w:rPr>
          </w:pPr>
          <w:hyperlink w:anchor="_Toc231740308" w:history="1">
            <w:r w:rsidRPr="00874790">
              <w:rPr>
                <w:rStyle w:val="Hyperlink"/>
                <w:noProof/>
              </w:rPr>
              <w:t>2.4.2 The Trust-Digital Paradox: The Legitimacy Crisis of AI Personalization</w:t>
            </w:r>
            <w:r>
              <w:rPr>
                <w:noProof/>
                <w:webHidden/>
              </w:rPr>
              <w:tab/>
            </w:r>
            <w:r>
              <w:rPr>
                <w:noProof/>
                <w:webHidden/>
              </w:rPr>
              <w:fldChar w:fldCharType="begin"/>
            </w:r>
            <w:r>
              <w:rPr>
                <w:noProof/>
                <w:webHidden/>
              </w:rPr>
              <w:instrText xml:space="preserve"> PAGEREF _Toc231740308 \h </w:instrText>
            </w:r>
            <w:r>
              <w:rPr>
                <w:noProof/>
                <w:webHidden/>
              </w:rPr>
            </w:r>
            <w:r>
              <w:rPr>
                <w:noProof/>
                <w:webHidden/>
              </w:rPr>
              <w:fldChar w:fldCharType="separate"/>
            </w:r>
            <w:r>
              <w:rPr>
                <w:noProof/>
                <w:webHidden/>
              </w:rPr>
              <w:t>19</w:t>
            </w:r>
            <w:r>
              <w:rPr>
                <w:noProof/>
                <w:webHidden/>
              </w:rPr>
              <w:fldChar w:fldCharType="end"/>
            </w:r>
          </w:hyperlink>
        </w:p>
        <w:p w14:paraId="0CB16438" w14:textId="688C70F4" w:rsidR="00AA7DA6" w:rsidRDefault="00AA7DA6">
          <w:pPr>
            <w:pStyle w:val="TOC2"/>
            <w:tabs>
              <w:tab w:val="right" w:leader="dot" w:pos="9016"/>
            </w:tabs>
            <w:rPr>
              <w:rFonts w:eastAsiaTheme="minorEastAsia"/>
              <w:noProof/>
              <w:lang w:eastAsia="en-GB"/>
            </w:rPr>
          </w:pPr>
          <w:hyperlink w:anchor="_Toc231740309" w:history="1">
            <w:r w:rsidRPr="00874790">
              <w:rPr>
                <w:rStyle w:val="Hyperlink"/>
                <w:noProof/>
              </w:rPr>
              <w:t>2.5 Cross-Cultural Sustainability Dynamics: A Tale of Two Markets</w:t>
            </w:r>
            <w:r>
              <w:rPr>
                <w:noProof/>
                <w:webHidden/>
              </w:rPr>
              <w:tab/>
            </w:r>
            <w:r>
              <w:rPr>
                <w:noProof/>
                <w:webHidden/>
              </w:rPr>
              <w:fldChar w:fldCharType="begin"/>
            </w:r>
            <w:r>
              <w:rPr>
                <w:noProof/>
                <w:webHidden/>
              </w:rPr>
              <w:instrText xml:space="preserve"> PAGEREF _Toc231740309 \h </w:instrText>
            </w:r>
            <w:r>
              <w:rPr>
                <w:noProof/>
                <w:webHidden/>
              </w:rPr>
            </w:r>
            <w:r>
              <w:rPr>
                <w:noProof/>
                <w:webHidden/>
              </w:rPr>
              <w:fldChar w:fldCharType="separate"/>
            </w:r>
            <w:r>
              <w:rPr>
                <w:noProof/>
                <w:webHidden/>
              </w:rPr>
              <w:t>19</w:t>
            </w:r>
            <w:r>
              <w:rPr>
                <w:noProof/>
                <w:webHidden/>
              </w:rPr>
              <w:fldChar w:fldCharType="end"/>
            </w:r>
          </w:hyperlink>
        </w:p>
        <w:p w14:paraId="0C5E7B1C" w14:textId="27CE0654" w:rsidR="00AA7DA6" w:rsidRDefault="00AA7DA6">
          <w:pPr>
            <w:pStyle w:val="TOC3"/>
            <w:tabs>
              <w:tab w:val="right" w:leader="dot" w:pos="9016"/>
            </w:tabs>
            <w:rPr>
              <w:rFonts w:eastAsiaTheme="minorEastAsia"/>
              <w:noProof/>
              <w:lang w:eastAsia="en-GB"/>
            </w:rPr>
          </w:pPr>
          <w:hyperlink w:anchor="_Toc231740310" w:history="1">
            <w:r w:rsidRPr="00874790">
              <w:rPr>
                <w:rStyle w:val="Hyperlink"/>
                <w:noProof/>
              </w:rPr>
              <w:t>2.5.1 The UK Perspective: Regulatory Scrutiny, Net Zero, and Carbon Metrics</w:t>
            </w:r>
            <w:r>
              <w:rPr>
                <w:noProof/>
                <w:webHidden/>
              </w:rPr>
              <w:tab/>
            </w:r>
            <w:r>
              <w:rPr>
                <w:noProof/>
                <w:webHidden/>
              </w:rPr>
              <w:fldChar w:fldCharType="begin"/>
            </w:r>
            <w:r>
              <w:rPr>
                <w:noProof/>
                <w:webHidden/>
              </w:rPr>
              <w:instrText xml:space="preserve"> PAGEREF _Toc231740310 \h </w:instrText>
            </w:r>
            <w:r>
              <w:rPr>
                <w:noProof/>
                <w:webHidden/>
              </w:rPr>
            </w:r>
            <w:r>
              <w:rPr>
                <w:noProof/>
                <w:webHidden/>
              </w:rPr>
              <w:fldChar w:fldCharType="separate"/>
            </w:r>
            <w:r>
              <w:rPr>
                <w:noProof/>
                <w:webHidden/>
              </w:rPr>
              <w:t>20</w:t>
            </w:r>
            <w:r>
              <w:rPr>
                <w:noProof/>
                <w:webHidden/>
              </w:rPr>
              <w:fldChar w:fldCharType="end"/>
            </w:r>
          </w:hyperlink>
        </w:p>
        <w:p w14:paraId="1FA58E95" w14:textId="0F28DABC" w:rsidR="00AA7DA6" w:rsidRDefault="00AA7DA6">
          <w:pPr>
            <w:pStyle w:val="TOC3"/>
            <w:tabs>
              <w:tab w:val="right" w:leader="dot" w:pos="9016"/>
            </w:tabs>
            <w:rPr>
              <w:rFonts w:eastAsiaTheme="minorEastAsia"/>
              <w:noProof/>
              <w:lang w:eastAsia="en-GB"/>
            </w:rPr>
          </w:pPr>
          <w:hyperlink w:anchor="_Toc231740311" w:history="1">
            <w:r w:rsidRPr="00874790">
              <w:rPr>
                <w:rStyle w:val="Hyperlink"/>
                <w:noProof/>
              </w:rPr>
              <w:t>2.5.2 The India Perspective: Social Mobility, Hygiene, and Community Fairness</w:t>
            </w:r>
            <w:r>
              <w:rPr>
                <w:noProof/>
                <w:webHidden/>
              </w:rPr>
              <w:tab/>
            </w:r>
            <w:r>
              <w:rPr>
                <w:noProof/>
                <w:webHidden/>
              </w:rPr>
              <w:fldChar w:fldCharType="begin"/>
            </w:r>
            <w:r>
              <w:rPr>
                <w:noProof/>
                <w:webHidden/>
              </w:rPr>
              <w:instrText xml:space="preserve"> PAGEREF _Toc231740311 \h </w:instrText>
            </w:r>
            <w:r>
              <w:rPr>
                <w:noProof/>
                <w:webHidden/>
              </w:rPr>
            </w:r>
            <w:r>
              <w:rPr>
                <w:noProof/>
                <w:webHidden/>
              </w:rPr>
              <w:fldChar w:fldCharType="separate"/>
            </w:r>
            <w:r>
              <w:rPr>
                <w:noProof/>
                <w:webHidden/>
              </w:rPr>
              <w:t>20</w:t>
            </w:r>
            <w:r>
              <w:rPr>
                <w:noProof/>
                <w:webHidden/>
              </w:rPr>
              <w:fldChar w:fldCharType="end"/>
            </w:r>
          </w:hyperlink>
        </w:p>
        <w:p w14:paraId="2D5BA074" w14:textId="40116B61" w:rsidR="00AA7DA6" w:rsidRDefault="00AA7DA6">
          <w:pPr>
            <w:pStyle w:val="TOC2"/>
            <w:tabs>
              <w:tab w:val="right" w:leader="dot" w:pos="9016"/>
            </w:tabs>
            <w:rPr>
              <w:rFonts w:eastAsiaTheme="minorEastAsia"/>
              <w:noProof/>
              <w:lang w:eastAsia="en-GB"/>
            </w:rPr>
          </w:pPr>
          <w:hyperlink w:anchor="_Toc231740312" w:history="1">
            <w:r w:rsidRPr="00874790">
              <w:rPr>
                <w:rStyle w:val="Hyperlink"/>
                <w:noProof/>
              </w:rPr>
              <w:t>2.6 Digital Transformation as a Curb on Greenwashing</w:t>
            </w:r>
            <w:r>
              <w:rPr>
                <w:noProof/>
                <w:webHidden/>
              </w:rPr>
              <w:tab/>
            </w:r>
            <w:r>
              <w:rPr>
                <w:noProof/>
                <w:webHidden/>
              </w:rPr>
              <w:fldChar w:fldCharType="begin"/>
            </w:r>
            <w:r>
              <w:rPr>
                <w:noProof/>
                <w:webHidden/>
              </w:rPr>
              <w:instrText xml:space="preserve"> PAGEREF _Toc231740312 \h </w:instrText>
            </w:r>
            <w:r>
              <w:rPr>
                <w:noProof/>
                <w:webHidden/>
              </w:rPr>
            </w:r>
            <w:r>
              <w:rPr>
                <w:noProof/>
                <w:webHidden/>
              </w:rPr>
              <w:fldChar w:fldCharType="separate"/>
            </w:r>
            <w:r>
              <w:rPr>
                <w:noProof/>
                <w:webHidden/>
              </w:rPr>
              <w:t>20</w:t>
            </w:r>
            <w:r>
              <w:rPr>
                <w:noProof/>
                <w:webHidden/>
              </w:rPr>
              <w:fldChar w:fldCharType="end"/>
            </w:r>
          </w:hyperlink>
        </w:p>
        <w:p w14:paraId="2F275011" w14:textId="01446341" w:rsidR="00AA7DA6" w:rsidRDefault="00AA7DA6">
          <w:pPr>
            <w:pStyle w:val="TOC2"/>
            <w:tabs>
              <w:tab w:val="right" w:leader="dot" w:pos="9016"/>
            </w:tabs>
            <w:rPr>
              <w:rFonts w:eastAsiaTheme="minorEastAsia"/>
              <w:noProof/>
              <w:lang w:eastAsia="en-GB"/>
            </w:rPr>
          </w:pPr>
          <w:hyperlink w:anchor="_Toc231740313" w:history="1">
            <w:r w:rsidRPr="00874790">
              <w:rPr>
                <w:rStyle w:val="Hyperlink"/>
                <w:noProof/>
              </w:rPr>
              <w:t>2.7 Literature Gap: The Need for Comparative Digital Signalling Analysis</w:t>
            </w:r>
            <w:r>
              <w:rPr>
                <w:noProof/>
                <w:webHidden/>
              </w:rPr>
              <w:tab/>
            </w:r>
            <w:r>
              <w:rPr>
                <w:noProof/>
                <w:webHidden/>
              </w:rPr>
              <w:fldChar w:fldCharType="begin"/>
            </w:r>
            <w:r>
              <w:rPr>
                <w:noProof/>
                <w:webHidden/>
              </w:rPr>
              <w:instrText xml:space="preserve"> PAGEREF _Toc231740313 \h </w:instrText>
            </w:r>
            <w:r>
              <w:rPr>
                <w:noProof/>
                <w:webHidden/>
              </w:rPr>
            </w:r>
            <w:r>
              <w:rPr>
                <w:noProof/>
                <w:webHidden/>
              </w:rPr>
              <w:fldChar w:fldCharType="separate"/>
            </w:r>
            <w:r>
              <w:rPr>
                <w:noProof/>
                <w:webHidden/>
              </w:rPr>
              <w:t>21</w:t>
            </w:r>
            <w:r>
              <w:rPr>
                <w:noProof/>
                <w:webHidden/>
              </w:rPr>
              <w:fldChar w:fldCharType="end"/>
            </w:r>
          </w:hyperlink>
        </w:p>
        <w:p w14:paraId="1237726C" w14:textId="20D9FF9E" w:rsidR="00AA7DA6" w:rsidRDefault="00AA7DA6">
          <w:pPr>
            <w:pStyle w:val="TOC2"/>
            <w:tabs>
              <w:tab w:val="right" w:leader="dot" w:pos="9016"/>
            </w:tabs>
            <w:rPr>
              <w:rFonts w:eastAsiaTheme="minorEastAsia"/>
              <w:noProof/>
              <w:lang w:eastAsia="en-GB"/>
            </w:rPr>
          </w:pPr>
          <w:hyperlink w:anchor="_Toc231740314" w:history="1">
            <w:r w:rsidRPr="00874790">
              <w:rPr>
                <w:rStyle w:val="Hyperlink"/>
                <w:noProof/>
              </w:rPr>
              <w:t>2.8 The Mechanics of Digital Greenwashing and Consumer Skepticism</w:t>
            </w:r>
            <w:r>
              <w:rPr>
                <w:noProof/>
                <w:webHidden/>
              </w:rPr>
              <w:tab/>
            </w:r>
            <w:r>
              <w:rPr>
                <w:noProof/>
                <w:webHidden/>
              </w:rPr>
              <w:fldChar w:fldCharType="begin"/>
            </w:r>
            <w:r>
              <w:rPr>
                <w:noProof/>
                <w:webHidden/>
              </w:rPr>
              <w:instrText xml:space="preserve"> PAGEREF _Toc231740314 \h </w:instrText>
            </w:r>
            <w:r>
              <w:rPr>
                <w:noProof/>
                <w:webHidden/>
              </w:rPr>
            </w:r>
            <w:r>
              <w:rPr>
                <w:noProof/>
                <w:webHidden/>
              </w:rPr>
              <w:fldChar w:fldCharType="separate"/>
            </w:r>
            <w:r>
              <w:rPr>
                <w:noProof/>
                <w:webHidden/>
              </w:rPr>
              <w:t>21</w:t>
            </w:r>
            <w:r>
              <w:rPr>
                <w:noProof/>
                <w:webHidden/>
              </w:rPr>
              <w:fldChar w:fldCharType="end"/>
            </w:r>
          </w:hyperlink>
        </w:p>
        <w:p w14:paraId="742D4F54" w14:textId="5AEC1BBA" w:rsidR="00AA7DA6" w:rsidRDefault="00AA7DA6">
          <w:pPr>
            <w:pStyle w:val="TOC3"/>
            <w:tabs>
              <w:tab w:val="right" w:leader="dot" w:pos="9016"/>
            </w:tabs>
            <w:rPr>
              <w:rFonts w:eastAsiaTheme="minorEastAsia"/>
              <w:noProof/>
              <w:lang w:eastAsia="en-GB"/>
            </w:rPr>
          </w:pPr>
          <w:hyperlink w:anchor="_Toc231740315" w:history="1">
            <w:r w:rsidRPr="00874790">
              <w:rPr>
                <w:rStyle w:val="Hyperlink"/>
                <w:noProof/>
              </w:rPr>
              <w:t>2.8.1 Consumer Backlash and the "Active Skepticism" Model</w:t>
            </w:r>
            <w:r>
              <w:rPr>
                <w:noProof/>
                <w:webHidden/>
              </w:rPr>
              <w:tab/>
            </w:r>
            <w:r>
              <w:rPr>
                <w:noProof/>
                <w:webHidden/>
              </w:rPr>
              <w:fldChar w:fldCharType="begin"/>
            </w:r>
            <w:r>
              <w:rPr>
                <w:noProof/>
                <w:webHidden/>
              </w:rPr>
              <w:instrText xml:space="preserve"> PAGEREF _Toc231740315 \h </w:instrText>
            </w:r>
            <w:r>
              <w:rPr>
                <w:noProof/>
                <w:webHidden/>
              </w:rPr>
            </w:r>
            <w:r>
              <w:rPr>
                <w:noProof/>
                <w:webHidden/>
              </w:rPr>
              <w:fldChar w:fldCharType="separate"/>
            </w:r>
            <w:r>
              <w:rPr>
                <w:noProof/>
                <w:webHidden/>
              </w:rPr>
              <w:t>22</w:t>
            </w:r>
            <w:r>
              <w:rPr>
                <w:noProof/>
                <w:webHidden/>
              </w:rPr>
              <w:fldChar w:fldCharType="end"/>
            </w:r>
          </w:hyperlink>
        </w:p>
        <w:p w14:paraId="09494F44" w14:textId="5EE43C56" w:rsidR="00AA7DA6" w:rsidRDefault="00AA7DA6">
          <w:pPr>
            <w:pStyle w:val="TOC2"/>
            <w:tabs>
              <w:tab w:val="right" w:leader="dot" w:pos="9016"/>
            </w:tabs>
            <w:rPr>
              <w:rFonts w:eastAsiaTheme="minorEastAsia"/>
              <w:noProof/>
              <w:lang w:eastAsia="en-GB"/>
            </w:rPr>
          </w:pPr>
          <w:hyperlink w:anchor="_Toc231740316" w:history="1">
            <w:r w:rsidRPr="00874790">
              <w:rPr>
                <w:rStyle w:val="Hyperlink"/>
                <w:noProof/>
              </w:rPr>
              <w:t>2.9 The AI Marketing Paradox in FMCG Consumer Journeys</w:t>
            </w:r>
            <w:r>
              <w:rPr>
                <w:noProof/>
                <w:webHidden/>
              </w:rPr>
              <w:tab/>
            </w:r>
            <w:r>
              <w:rPr>
                <w:noProof/>
                <w:webHidden/>
              </w:rPr>
              <w:fldChar w:fldCharType="begin"/>
            </w:r>
            <w:r>
              <w:rPr>
                <w:noProof/>
                <w:webHidden/>
              </w:rPr>
              <w:instrText xml:space="preserve"> PAGEREF _Toc231740316 \h </w:instrText>
            </w:r>
            <w:r>
              <w:rPr>
                <w:noProof/>
                <w:webHidden/>
              </w:rPr>
            </w:r>
            <w:r>
              <w:rPr>
                <w:noProof/>
                <w:webHidden/>
              </w:rPr>
              <w:fldChar w:fldCharType="separate"/>
            </w:r>
            <w:r>
              <w:rPr>
                <w:noProof/>
                <w:webHidden/>
              </w:rPr>
              <w:t>22</w:t>
            </w:r>
            <w:r>
              <w:rPr>
                <w:noProof/>
                <w:webHidden/>
              </w:rPr>
              <w:fldChar w:fldCharType="end"/>
            </w:r>
          </w:hyperlink>
        </w:p>
        <w:p w14:paraId="5C72A005" w14:textId="0FB6A599" w:rsidR="00AA7DA6" w:rsidRDefault="00AA7DA6">
          <w:pPr>
            <w:pStyle w:val="TOC1"/>
            <w:tabs>
              <w:tab w:val="right" w:leader="dot" w:pos="9016"/>
            </w:tabs>
            <w:rPr>
              <w:rFonts w:eastAsiaTheme="minorEastAsia"/>
              <w:noProof/>
              <w:lang w:eastAsia="en-GB"/>
            </w:rPr>
          </w:pPr>
          <w:hyperlink w:anchor="_Toc231740317" w:history="1">
            <w:r w:rsidRPr="00874790">
              <w:rPr>
                <w:rStyle w:val="Hyperlink"/>
                <w:noProof/>
              </w:rPr>
              <w:t>Chapter 3: Research Methodology</w:t>
            </w:r>
            <w:r>
              <w:rPr>
                <w:noProof/>
                <w:webHidden/>
              </w:rPr>
              <w:tab/>
            </w:r>
            <w:r>
              <w:rPr>
                <w:noProof/>
                <w:webHidden/>
              </w:rPr>
              <w:fldChar w:fldCharType="begin"/>
            </w:r>
            <w:r>
              <w:rPr>
                <w:noProof/>
                <w:webHidden/>
              </w:rPr>
              <w:instrText xml:space="preserve"> PAGEREF _Toc231740317 \h </w:instrText>
            </w:r>
            <w:r>
              <w:rPr>
                <w:noProof/>
                <w:webHidden/>
              </w:rPr>
            </w:r>
            <w:r>
              <w:rPr>
                <w:noProof/>
                <w:webHidden/>
              </w:rPr>
              <w:fldChar w:fldCharType="separate"/>
            </w:r>
            <w:r>
              <w:rPr>
                <w:noProof/>
                <w:webHidden/>
              </w:rPr>
              <w:t>24</w:t>
            </w:r>
            <w:r>
              <w:rPr>
                <w:noProof/>
                <w:webHidden/>
              </w:rPr>
              <w:fldChar w:fldCharType="end"/>
            </w:r>
          </w:hyperlink>
        </w:p>
        <w:p w14:paraId="3471C220" w14:textId="0D49B6A8" w:rsidR="00AA7DA6" w:rsidRDefault="00AA7DA6">
          <w:pPr>
            <w:pStyle w:val="TOC2"/>
            <w:tabs>
              <w:tab w:val="right" w:leader="dot" w:pos="9016"/>
            </w:tabs>
            <w:rPr>
              <w:rFonts w:eastAsiaTheme="minorEastAsia"/>
              <w:noProof/>
              <w:lang w:eastAsia="en-GB"/>
            </w:rPr>
          </w:pPr>
          <w:hyperlink w:anchor="_Toc231740318" w:history="1">
            <w:r w:rsidRPr="00874790">
              <w:rPr>
                <w:rStyle w:val="Hyperlink"/>
                <w:noProof/>
              </w:rPr>
              <w:t>3.1 Introduction to the Methodological Framework</w:t>
            </w:r>
            <w:r>
              <w:rPr>
                <w:noProof/>
                <w:webHidden/>
              </w:rPr>
              <w:tab/>
            </w:r>
            <w:r>
              <w:rPr>
                <w:noProof/>
                <w:webHidden/>
              </w:rPr>
              <w:fldChar w:fldCharType="begin"/>
            </w:r>
            <w:r>
              <w:rPr>
                <w:noProof/>
                <w:webHidden/>
              </w:rPr>
              <w:instrText xml:space="preserve"> PAGEREF _Toc231740318 \h </w:instrText>
            </w:r>
            <w:r>
              <w:rPr>
                <w:noProof/>
                <w:webHidden/>
              </w:rPr>
            </w:r>
            <w:r>
              <w:rPr>
                <w:noProof/>
                <w:webHidden/>
              </w:rPr>
              <w:fldChar w:fldCharType="separate"/>
            </w:r>
            <w:r>
              <w:rPr>
                <w:noProof/>
                <w:webHidden/>
              </w:rPr>
              <w:t>24</w:t>
            </w:r>
            <w:r>
              <w:rPr>
                <w:noProof/>
                <w:webHidden/>
              </w:rPr>
              <w:fldChar w:fldCharType="end"/>
            </w:r>
          </w:hyperlink>
        </w:p>
        <w:p w14:paraId="0B310518" w14:textId="39A02713" w:rsidR="00AA7DA6" w:rsidRDefault="00AA7DA6">
          <w:pPr>
            <w:pStyle w:val="TOC2"/>
            <w:tabs>
              <w:tab w:val="right" w:leader="dot" w:pos="9016"/>
            </w:tabs>
            <w:rPr>
              <w:rFonts w:eastAsiaTheme="minorEastAsia"/>
              <w:noProof/>
              <w:lang w:eastAsia="en-GB"/>
            </w:rPr>
          </w:pPr>
          <w:hyperlink w:anchor="_Toc231740319" w:history="1">
            <w:r w:rsidRPr="00874790">
              <w:rPr>
                <w:rStyle w:val="Hyperlink"/>
                <w:rFonts w:eastAsia="Times New Roman"/>
                <w:noProof/>
                <w:lang w:eastAsia="en-GB"/>
              </w:rPr>
              <w:t>3.2 Research Philosophy: Interpretivism</w:t>
            </w:r>
            <w:r>
              <w:rPr>
                <w:noProof/>
                <w:webHidden/>
              </w:rPr>
              <w:tab/>
            </w:r>
            <w:r>
              <w:rPr>
                <w:noProof/>
                <w:webHidden/>
              </w:rPr>
              <w:fldChar w:fldCharType="begin"/>
            </w:r>
            <w:r>
              <w:rPr>
                <w:noProof/>
                <w:webHidden/>
              </w:rPr>
              <w:instrText xml:space="preserve"> PAGEREF _Toc231740319 \h </w:instrText>
            </w:r>
            <w:r>
              <w:rPr>
                <w:noProof/>
                <w:webHidden/>
              </w:rPr>
            </w:r>
            <w:r>
              <w:rPr>
                <w:noProof/>
                <w:webHidden/>
              </w:rPr>
              <w:fldChar w:fldCharType="separate"/>
            </w:r>
            <w:r>
              <w:rPr>
                <w:noProof/>
                <w:webHidden/>
              </w:rPr>
              <w:t>24</w:t>
            </w:r>
            <w:r>
              <w:rPr>
                <w:noProof/>
                <w:webHidden/>
              </w:rPr>
              <w:fldChar w:fldCharType="end"/>
            </w:r>
          </w:hyperlink>
        </w:p>
        <w:p w14:paraId="729D176C" w14:textId="575CE482" w:rsidR="00AA7DA6" w:rsidRDefault="00AA7DA6">
          <w:pPr>
            <w:pStyle w:val="TOC3"/>
            <w:tabs>
              <w:tab w:val="right" w:leader="dot" w:pos="9016"/>
            </w:tabs>
            <w:rPr>
              <w:rFonts w:eastAsiaTheme="minorEastAsia"/>
              <w:noProof/>
              <w:lang w:eastAsia="en-GB"/>
            </w:rPr>
          </w:pPr>
          <w:hyperlink w:anchor="_Toc231740320" w:history="1">
            <w:r w:rsidRPr="00874790">
              <w:rPr>
                <w:rStyle w:val="Hyperlink"/>
                <w:rFonts w:eastAsia="Times New Roman"/>
                <w:noProof/>
                <w:lang w:eastAsia="en-GB"/>
              </w:rPr>
              <w:t>3.2.1 Mapping Cultural "Green Codes" as a Meaning-Making System</w:t>
            </w:r>
            <w:r>
              <w:rPr>
                <w:noProof/>
                <w:webHidden/>
              </w:rPr>
              <w:tab/>
            </w:r>
            <w:r>
              <w:rPr>
                <w:noProof/>
                <w:webHidden/>
              </w:rPr>
              <w:fldChar w:fldCharType="begin"/>
            </w:r>
            <w:r>
              <w:rPr>
                <w:noProof/>
                <w:webHidden/>
              </w:rPr>
              <w:instrText xml:space="preserve"> PAGEREF _Toc231740320 \h </w:instrText>
            </w:r>
            <w:r>
              <w:rPr>
                <w:noProof/>
                <w:webHidden/>
              </w:rPr>
            </w:r>
            <w:r>
              <w:rPr>
                <w:noProof/>
                <w:webHidden/>
              </w:rPr>
              <w:fldChar w:fldCharType="separate"/>
            </w:r>
            <w:r>
              <w:rPr>
                <w:noProof/>
                <w:webHidden/>
              </w:rPr>
              <w:t>24</w:t>
            </w:r>
            <w:r>
              <w:rPr>
                <w:noProof/>
                <w:webHidden/>
              </w:rPr>
              <w:fldChar w:fldCharType="end"/>
            </w:r>
          </w:hyperlink>
        </w:p>
        <w:p w14:paraId="0F9882CC" w14:textId="0A6A45F4" w:rsidR="00AA7DA6" w:rsidRDefault="00AA7DA6">
          <w:pPr>
            <w:pStyle w:val="TOC2"/>
            <w:tabs>
              <w:tab w:val="right" w:leader="dot" w:pos="9016"/>
            </w:tabs>
            <w:rPr>
              <w:rFonts w:eastAsiaTheme="minorEastAsia"/>
              <w:noProof/>
              <w:lang w:eastAsia="en-GB"/>
            </w:rPr>
          </w:pPr>
          <w:hyperlink w:anchor="_Toc231740321" w:history="1">
            <w:r w:rsidRPr="00874790">
              <w:rPr>
                <w:rStyle w:val="Hyperlink"/>
                <w:noProof/>
              </w:rPr>
              <w:t>3.3 Research Approach: Qualitative Comparative Case Study</w:t>
            </w:r>
            <w:r>
              <w:rPr>
                <w:noProof/>
                <w:webHidden/>
              </w:rPr>
              <w:tab/>
            </w:r>
            <w:r>
              <w:rPr>
                <w:noProof/>
                <w:webHidden/>
              </w:rPr>
              <w:fldChar w:fldCharType="begin"/>
            </w:r>
            <w:r>
              <w:rPr>
                <w:noProof/>
                <w:webHidden/>
              </w:rPr>
              <w:instrText xml:space="preserve"> PAGEREF _Toc231740321 \h </w:instrText>
            </w:r>
            <w:r>
              <w:rPr>
                <w:noProof/>
                <w:webHidden/>
              </w:rPr>
            </w:r>
            <w:r>
              <w:rPr>
                <w:noProof/>
                <w:webHidden/>
              </w:rPr>
              <w:fldChar w:fldCharType="separate"/>
            </w:r>
            <w:r>
              <w:rPr>
                <w:noProof/>
                <w:webHidden/>
              </w:rPr>
              <w:t>25</w:t>
            </w:r>
            <w:r>
              <w:rPr>
                <w:noProof/>
                <w:webHidden/>
              </w:rPr>
              <w:fldChar w:fldCharType="end"/>
            </w:r>
          </w:hyperlink>
        </w:p>
        <w:p w14:paraId="68DE89A0" w14:textId="6CB1CC10" w:rsidR="00AA7DA6" w:rsidRDefault="00AA7DA6">
          <w:pPr>
            <w:pStyle w:val="TOC2"/>
            <w:tabs>
              <w:tab w:val="right" w:leader="dot" w:pos="9016"/>
            </w:tabs>
            <w:rPr>
              <w:rFonts w:eastAsiaTheme="minorEastAsia"/>
              <w:noProof/>
              <w:lang w:eastAsia="en-GB"/>
            </w:rPr>
          </w:pPr>
          <w:hyperlink w:anchor="_Toc231740322" w:history="1">
            <w:r w:rsidRPr="00874790">
              <w:rPr>
                <w:rStyle w:val="Hyperlink"/>
                <w:noProof/>
              </w:rPr>
              <w:t>3.4 Research Strategy: Archival Digital Research and Corporate Disclosure Analysis</w:t>
            </w:r>
            <w:r>
              <w:rPr>
                <w:noProof/>
                <w:webHidden/>
              </w:rPr>
              <w:tab/>
            </w:r>
            <w:r>
              <w:rPr>
                <w:noProof/>
                <w:webHidden/>
              </w:rPr>
              <w:fldChar w:fldCharType="begin"/>
            </w:r>
            <w:r>
              <w:rPr>
                <w:noProof/>
                <w:webHidden/>
              </w:rPr>
              <w:instrText xml:space="preserve"> PAGEREF _Toc231740322 \h </w:instrText>
            </w:r>
            <w:r>
              <w:rPr>
                <w:noProof/>
                <w:webHidden/>
              </w:rPr>
            </w:r>
            <w:r>
              <w:rPr>
                <w:noProof/>
                <w:webHidden/>
              </w:rPr>
              <w:fldChar w:fldCharType="separate"/>
            </w:r>
            <w:r>
              <w:rPr>
                <w:noProof/>
                <w:webHidden/>
              </w:rPr>
              <w:t>25</w:t>
            </w:r>
            <w:r>
              <w:rPr>
                <w:noProof/>
                <w:webHidden/>
              </w:rPr>
              <w:fldChar w:fldCharType="end"/>
            </w:r>
          </w:hyperlink>
        </w:p>
        <w:p w14:paraId="3C529DD6" w14:textId="070D3011" w:rsidR="00AA7DA6" w:rsidRDefault="00AA7DA6">
          <w:pPr>
            <w:pStyle w:val="TOC3"/>
            <w:tabs>
              <w:tab w:val="right" w:leader="dot" w:pos="9016"/>
            </w:tabs>
            <w:rPr>
              <w:rFonts w:eastAsiaTheme="minorEastAsia"/>
              <w:noProof/>
              <w:lang w:eastAsia="en-GB"/>
            </w:rPr>
          </w:pPr>
          <w:hyperlink w:anchor="_Toc231740323" w:history="1">
            <w:r w:rsidRPr="00874790">
              <w:rPr>
                <w:rStyle w:val="Hyperlink"/>
                <w:noProof/>
              </w:rPr>
              <w:t>3.4.1 Archival Digital Research</w:t>
            </w:r>
            <w:r>
              <w:rPr>
                <w:noProof/>
                <w:webHidden/>
              </w:rPr>
              <w:tab/>
            </w:r>
            <w:r>
              <w:rPr>
                <w:noProof/>
                <w:webHidden/>
              </w:rPr>
              <w:fldChar w:fldCharType="begin"/>
            </w:r>
            <w:r>
              <w:rPr>
                <w:noProof/>
                <w:webHidden/>
              </w:rPr>
              <w:instrText xml:space="preserve"> PAGEREF _Toc231740323 \h </w:instrText>
            </w:r>
            <w:r>
              <w:rPr>
                <w:noProof/>
                <w:webHidden/>
              </w:rPr>
            </w:r>
            <w:r>
              <w:rPr>
                <w:noProof/>
                <w:webHidden/>
              </w:rPr>
              <w:fldChar w:fldCharType="separate"/>
            </w:r>
            <w:r>
              <w:rPr>
                <w:noProof/>
                <w:webHidden/>
              </w:rPr>
              <w:t>26</w:t>
            </w:r>
            <w:r>
              <w:rPr>
                <w:noProof/>
                <w:webHidden/>
              </w:rPr>
              <w:fldChar w:fldCharType="end"/>
            </w:r>
          </w:hyperlink>
        </w:p>
        <w:p w14:paraId="487DE4FF" w14:textId="49F3DE68" w:rsidR="00AA7DA6" w:rsidRDefault="00AA7DA6">
          <w:pPr>
            <w:pStyle w:val="TOC3"/>
            <w:tabs>
              <w:tab w:val="right" w:leader="dot" w:pos="9016"/>
            </w:tabs>
            <w:rPr>
              <w:rFonts w:eastAsiaTheme="minorEastAsia"/>
              <w:noProof/>
              <w:lang w:eastAsia="en-GB"/>
            </w:rPr>
          </w:pPr>
          <w:hyperlink w:anchor="_Toc231740324" w:history="1">
            <w:r w:rsidRPr="00874790">
              <w:rPr>
                <w:rStyle w:val="Hyperlink"/>
                <w:noProof/>
              </w:rPr>
              <w:t>3.4.2 Corporate Disclosure Analysis</w:t>
            </w:r>
            <w:r>
              <w:rPr>
                <w:noProof/>
                <w:webHidden/>
              </w:rPr>
              <w:tab/>
            </w:r>
            <w:r>
              <w:rPr>
                <w:noProof/>
                <w:webHidden/>
              </w:rPr>
              <w:fldChar w:fldCharType="begin"/>
            </w:r>
            <w:r>
              <w:rPr>
                <w:noProof/>
                <w:webHidden/>
              </w:rPr>
              <w:instrText xml:space="preserve"> PAGEREF _Toc231740324 \h </w:instrText>
            </w:r>
            <w:r>
              <w:rPr>
                <w:noProof/>
                <w:webHidden/>
              </w:rPr>
            </w:r>
            <w:r>
              <w:rPr>
                <w:noProof/>
                <w:webHidden/>
              </w:rPr>
              <w:fldChar w:fldCharType="separate"/>
            </w:r>
            <w:r>
              <w:rPr>
                <w:noProof/>
                <w:webHidden/>
              </w:rPr>
              <w:t>26</w:t>
            </w:r>
            <w:r>
              <w:rPr>
                <w:noProof/>
                <w:webHidden/>
              </w:rPr>
              <w:fldChar w:fldCharType="end"/>
            </w:r>
          </w:hyperlink>
        </w:p>
        <w:p w14:paraId="20C6E4B4" w14:textId="6BBC7623" w:rsidR="00AA7DA6" w:rsidRDefault="00AA7DA6">
          <w:pPr>
            <w:pStyle w:val="TOC2"/>
            <w:tabs>
              <w:tab w:val="right" w:leader="dot" w:pos="9016"/>
            </w:tabs>
            <w:rPr>
              <w:rFonts w:eastAsiaTheme="minorEastAsia"/>
              <w:noProof/>
              <w:lang w:eastAsia="en-GB"/>
            </w:rPr>
          </w:pPr>
          <w:hyperlink w:anchor="_Toc231740325" w:history="1">
            <w:r w:rsidRPr="00874790">
              <w:rPr>
                <w:rStyle w:val="Hyperlink"/>
                <w:noProof/>
              </w:rPr>
              <w:t>3.5 Data Collection Methods</w:t>
            </w:r>
            <w:r>
              <w:rPr>
                <w:noProof/>
                <w:webHidden/>
              </w:rPr>
              <w:tab/>
            </w:r>
            <w:r>
              <w:rPr>
                <w:noProof/>
                <w:webHidden/>
              </w:rPr>
              <w:fldChar w:fldCharType="begin"/>
            </w:r>
            <w:r>
              <w:rPr>
                <w:noProof/>
                <w:webHidden/>
              </w:rPr>
              <w:instrText xml:space="preserve"> PAGEREF _Toc231740325 \h </w:instrText>
            </w:r>
            <w:r>
              <w:rPr>
                <w:noProof/>
                <w:webHidden/>
              </w:rPr>
            </w:r>
            <w:r>
              <w:rPr>
                <w:noProof/>
                <w:webHidden/>
              </w:rPr>
              <w:fldChar w:fldCharType="separate"/>
            </w:r>
            <w:r>
              <w:rPr>
                <w:noProof/>
                <w:webHidden/>
              </w:rPr>
              <w:t>26</w:t>
            </w:r>
            <w:r>
              <w:rPr>
                <w:noProof/>
                <w:webHidden/>
              </w:rPr>
              <w:fldChar w:fldCharType="end"/>
            </w:r>
          </w:hyperlink>
        </w:p>
        <w:p w14:paraId="09408D9C" w14:textId="66F65954" w:rsidR="00AA7DA6" w:rsidRDefault="00AA7DA6">
          <w:pPr>
            <w:pStyle w:val="TOC3"/>
            <w:tabs>
              <w:tab w:val="right" w:leader="dot" w:pos="9016"/>
            </w:tabs>
            <w:rPr>
              <w:rFonts w:eastAsiaTheme="minorEastAsia"/>
              <w:noProof/>
              <w:lang w:eastAsia="en-GB"/>
            </w:rPr>
          </w:pPr>
          <w:hyperlink w:anchor="_Toc231740326" w:history="1">
            <w:r w:rsidRPr="00874790">
              <w:rPr>
                <w:rStyle w:val="Hyperlink"/>
                <w:rFonts w:eastAsia="Times New Roman"/>
                <w:noProof/>
                <w:lang w:eastAsia="en-GB"/>
              </w:rPr>
              <w:t>3.5.1 The Corporate Stream: Unilever Compass and Annual Reports</w:t>
            </w:r>
            <w:r>
              <w:rPr>
                <w:noProof/>
                <w:webHidden/>
              </w:rPr>
              <w:tab/>
            </w:r>
            <w:r>
              <w:rPr>
                <w:noProof/>
                <w:webHidden/>
              </w:rPr>
              <w:fldChar w:fldCharType="begin"/>
            </w:r>
            <w:r>
              <w:rPr>
                <w:noProof/>
                <w:webHidden/>
              </w:rPr>
              <w:instrText xml:space="preserve"> PAGEREF _Toc231740326 \h </w:instrText>
            </w:r>
            <w:r>
              <w:rPr>
                <w:noProof/>
                <w:webHidden/>
              </w:rPr>
            </w:r>
            <w:r>
              <w:rPr>
                <w:noProof/>
                <w:webHidden/>
              </w:rPr>
              <w:fldChar w:fldCharType="separate"/>
            </w:r>
            <w:r>
              <w:rPr>
                <w:noProof/>
                <w:webHidden/>
              </w:rPr>
              <w:t>26</w:t>
            </w:r>
            <w:r>
              <w:rPr>
                <w:noProof/>
                <w:webHidden/>
              </w:rPr>
              <w:fldChar w:fldCharType="end"/>
            </w:r>
          </w:hyperlink>
        </w:p>
        <w:p w14:paraId="0C854057" w14:textId="5986154E" w:rsidR="00AA7DA6" w:rsidRDefault="00AA7DA6">
          <w:pPr>
            <w:pStyle w:val="TOC3"/>
            <w:tabs>
              <w:tab w:val="right" w:leader="dot" w:pos="9016"/>
            </w:tabs>
            <w:rPr>
              <w:rFonts w:eastAsiaTheme="minorEastAsia"/>
              <w:noProof/>
              <w:lang w:eastAsia="en-GB"/>
            </w:rPr>
          </w:pPr>
          <w:hyperlink w:anchor="_Toc231740327" w:history="1">
            <w:r w:rsidRPr="00874790">
              <w:rPr>
                <w:rStyle w:val="Hyperlink"/>
                <w:rFonts w:eastAsia="Times New Roman"/>
                <w:noProof/>
                <w:lang w:eastAsia="en-GB"/>
              </w:rPr>
              <w:t>3.5.2 The Archival Stream: Longitudinal Analysis of Digital Assets</w:t>
            </w:r>
            <w:r>
              <w:rPr>
                <w:noProof/>
                <w:webHidden/>
              </w:rPr>
              <w:tab/>
            </w:r>
            <w:r>
              <w:rPr>
                <w:noProof/>
                <w:webHidden/>
              </w:rPr>
              <w:fldChar w:fldCharType="begin"/>
            </w:r>
            <w:r>
              <w:rPr>
                <w:noProof/>
                <w:webHidden/>
              </w:rPr>
              <w:instrText xml:space="preserve"> PAGEREF _Toc231740327 \h </w:instrText>
            </w:r>
            <w:r>
              <w:rPr>
                <w:noProof/>
                <w:webHidden/>
              </w:rPr>
            </w:r>
            <w:r>
              <w:rPr>
                <w:noProof/>
                <w:webHidden/>
              </w:rPr>
              <w:fldChar w:fldCharType="separate"/>
            </w:r>
            <w:r>
              <w:rPr>
                <w:noProof/>
                <w:webHidden/>
              </w:rPr>
              <w:t>26</w:t>
            </w:r>
            <w:r>
              <w:rPr>
                <w:noProof/>
                <w:webHidden/>
              </w:rPr>
              <w:fldChar w:fldCharType="end"/>
            </w:r>
          </w:hyperlink>
        </w:p>
        <w:p w14:paraId="6F01F297" w14:textId="0C3DF822" w:rsidR="00AA7DA6" w:rsidRDefault="00AA7DA6">
          <w:pPr>
            <w:pStyle w:val="TOC3"/>
            <w:tabs>
              <w:tab w:val="right" w:leader="dot" w:pos="9016"/>
            </w:tabs>
            <w:rPr>
              <w:rFonts w:eastAsiaTheme="minorEastAsia"/>
              <w:noProof/>
              <w:lang w:eastAsia="en-GB"/>
            </w:rPr>
          </w:pPr>
          <w:hyperlink w:anchor="_Toc231740328" w:history="1">
            <w:r w:rsidRPr="00874790">
              <w:rPr>
                <w:rStyle w:val="Hyperlink"/>
                <w:rFonts w:eastAsia="Times New Roman"/>
                <w:noProof/>
                <w:lang w:eastAsia="en-GB"/>
              </w:rPr>
              <w:t>3.5.3 Market Intelligence and Expert Insights</w:t>
            </w:r>
            <w:r>
              <w:rPr>
                <w:noProof/>
                <w:webHidden/>
              </w:rPr>
              <w:tab/>
            </w:r>
            <w:r>
              <w:rPr>
                <w:noProof/>
                <w:webHidden/>
              </w:rPr>
              <w:fldChar w:fldCharType="begin"/>
            </w:r>
            <w:r>
              <w:rPr>
                <w:noProof/>
                <w:webHidden/>
              </w:rPr>
              <w:instrText xml:space="preserve"> PAGEREF _Toc231740328 \h </w:instrText>
            </w:r>
            <w:r>
              <w:rPr>
                <w:noProof/>
                <w:webHidden/>
              </w:rPr>
            </w:r>
            <w:r>
              <w:rPr>
                <w:noProof/>
                <w:webHidden/>
              </w:rPr>
              <w:fldChar w:fldCharType="separate"/>
            </w:r>
            <w:r>
              <w:rPr>
                <w:noProof/>
                <w:webHidden/>
              </w:rPr>
              <w:t>27</w:t>
            </w:r>
            <w:r>
              <w:rPr>
                <w:noProof/>
                <w:webHidden/>
              </w:rPr>
              <w:fldChar w:fldCharType="end"/>
            </w:r>
          </w:hyperlink>
        </w:p>
        <w:p w14:paraId="38C47268" w14:textId="795FAF5E" w:rsidR="00AA7DA6" w:rsidRDefault="00AA7DA6">
          <w:pPr>
            <w:pStyle w:val="TOC2"/>
            <w:tabs>
              <w:tab w:val="right" w:leader="dot" w:pos="9016"/>
            </w:tabs>
            <w:rPr>
              <w:rFonts w:eastAsiaTheme="minorEastAsia"/>
              <w:noProof/>
              <w:lang w:eastAsia="en-GB"/>
            </w:rPr>
          </w:pPr>
          <w:hyperlink w:anchor="_Toc231740329" w:history="1">
            <w:r w:rsidRPr="00874790">
              <w:rPr>
                <w:rStyle w:val="Hyperlink"/>
                <w:noProof/>
              </w:rPr>
              <w:t>3.6 Data Analysis Techniques: Thematic Analysis and Mapping "Green Codes"</w:t>
            </w:r>
            <w:r>
              <w:rPr>
                <w:noProof/>
                <w:webHidden/>
              </w:rPr>
              <w:tab/>
            </w:r>
            <w:r>
              <w:rPr>
                <w:noProof/>
                <w:webHidden/>
              </w:rPr>
              <w:fldChar w:fldCharType="begin"/>
            </w:r>
            <w:r>
              <w:rPr>
                <w:noProof/>
                <w:webHidden/>
              </w:rPr>
              <w:instrText xml:space="preserve"> PAGEREF _Toc231740329 \h </w:instrText>
            </w:r>
            <w:r>
              <w:rPr>
                <w:noProof/>
                <w:webHidden/>
              </w:rPr>
            </w:r>
            <w:r>
              <w:rPr>
                <w:noProof/>
                <w:webHidden/>
              </w:rPr>
              <w:fldChar w:fldCharType="separate"/>
            </w:r>
            <w:r>
              <w:rPr>
                <w:noProof/>
                <w:webHidden/>
              </w:rPr>
              <w:t>27</w:t>
            </w:r>
            <w:r>
              <w:rPr>
                <w:noProof/>
                <w:webHidden/>
              </w:rPr>
              <w:fldChar w:fldCharType="end"/>
            </w:r>
          </w:hyperlink>
        </w:p>
        <w:p w14:paraId="6365DAD1" w14:textId="76FF3C1A" w:rsidR="00AA7DA6" w:rsidRDefault="00AA7DA6">
          <w:pPr>
            <w:pStyle w:val="TOC3"/>
            <w:tabs>
              <w:tab w:val="right" w:leader="dot" w:pos="9016"/>
            </w:tabs>
            <w:rPr>
              <w:rFonts w:eastAsiaTheme="minorEastAsia"/>
              <w:noProof/>
              <w:lang w:eastAsia="en-GB"/>
            </w:rPr>
          </w:pPr>
          <w:hyperlink w:anchor="_Toc231740330" w:history="1">
            <w:r w:rsidRPr="00874790">
              <w:rPr>
                <w:rStyle w:val="Hyperlink"/>
                <w:noProof/>
              </w:rPr>
              <w:t>3.6.1 The Coding Process</w:t>
            </w:r>
            <w:r>
              <w:rPr>
                <w:noProof/>
                <w:webHidden/>
              </w:rPr>
              <w:tab/>
            </w:r>
            <w:r>
              <w:rPr>
                <w:noProof/>
                <w:webHidden/>
              </w:rPr>
              <w:fldChar w:fldCharType="begin"/>
            </w:r>
            <w:r>
              <w:rPr>
                <w:noProof/>
                <w:webHidden/>
              </w:rPr>
              <w:instrText xml:space="preserve"> PAGEREF _Toc231740330 \h </w:instrText>
            </w:r>
            <w:r>
              <w:rPr>
                <w:noProof/>
                <w:webHidden/>
              </w:rPr>
            </w:r>
            <w:r>
              <w:rPr>
                <w:noProof/>
                <w:webHidden/>
              </w:rPr>
              <w:fldChar w:fldCharType="separate"/>
            </w:r>
            <w:r>
              <w:rPr>
                <w:noProof/>
                <w:webHidden/>
              </w:rPr>
              <w:t>27</w:t>
            </w:r>
            <w:r>
              <w:rPr>
                <w:noProof/>
                <w:webHidden/>
              </w:rPr>
              <w:fldChar w:fldCharType="end"/>
            </w:r>
          </w:hyperlink>
        </w:p>
        <w:p w14:paraId="5588785D" w14:textId="12F92AA4" w:rsidR="00AA7DA6" w:rsidRDefault="00AA7DA6">
          <w:pPr>
            <w:pStyle w:val="TOC3"/>
            <w:tabs>
              <w:tab w:val="right" w:leader="dot" w:pos="9016"/>
            </w:tabs>
            <w:rPr>
              <w:rFonts w:eastAsiaTheme="minorEastAsia"/>
              <w:noProof/>
              <w:lang w:eastAsia="en-GB"/>
            </w:rPr>
          </w:pPr>
          <w:hyperlink w:anchor="_Toc231740331" w:history="1">
            <w:r w:rsidRPr="00874790">
              <w:rPr>
                <w:rStyle w:val="Hyperlink"/>
                <w:noProof/>
              </w:rPr>
              <w:t>3.6.2 Hybrid Analytical Design</w:t>
            </w:r>
            <w:r>
              <w:rPr>
                <w:noProof/>
                <w:webHidden/>
              </w:rPr>
              <w:tab/>
            </w:r>
            <w:r>
              <w:rPr>
                <w:noProof/>
                <w:webHidden/>
              </w:rPr>
              <w:fldChar w:fldCharType="begin"/>
            </w:r>
            <w:r>
              <w:rPr>
                <w:noProof/>
                <w:webHidden/>
              </w:rPr>
              <w:instrText xml:space="preserve"> PAGEREF _Toc231740331 \h </w:instrText>
            </w:r>
            <w:r>
              <w:rPr>
                <w:noProof/>
                <w:webHidden/>
              </w:rPr>
            </w:r>
            <w:r>
              <w:rPr>
                <w:noProof/>
                <w:webHidden/>
              </w:rPr>
              <w:fldChar w:fldCharType="separate"/>
            </w:r>
            <w:r>
              <w:rPr>
                <w:noProof/>
                <w:webHidden/>
              </w:rPr>
              <w:t>27</w:t>
            </w:r>
            <w:r>
              <w:rPr>
                <w:noProof/>
                <w:webHidden/>
              </w:rPr>
              <w:fldChar w:fldCharType="end"/>
            </w:r>
          </w:hyperlink>
        </w:p>
        <w:p w14:paraId="6F7E6BF6" w14:textId="2F465594" w:rsidR="00AA7DA6" w:rsidRDefault="00AA7DA6">
          <w:pPr>
            <w:pStyle w:val="TOC2"/>
            <w:tabs>
              <w:tab w:val="right" w:leader="dot" w:pos="9016"/>
            </w:tabs>
            <w:rPr>
              <w:rFonts w:eastAsiaTheme="minorEastAsia"/>
              <w:noProof/>
              <w:lang w:eastAsia="en-GB"/>
            </w:rPr>
          </w:pPr>
          <w:hyperlink w:anchor="_Toc231740332" w:history="1">
            <w:r w:rsidRPr="00874790">
              <w:rPr>
                <w:rStyle w:val="Hyperlink"/>
                <w:rFonts w:eastAsia="Times New Roman"/>
                <w:noProof/>
                <w:lang w:eastAsia="en-GB"/>
              </w:rPr>
              <w:t>3.7 Reliability, Validity, and the Challenge of "Digital Ephemerality"</w:t>
            </w:r>
            <w:r>
              <w:rPr>
                <w:noProof/>
                <w:webHidden/>
              </w:rPr>
              <w:tab/>
            </w:r>
            <w:r>
              <w:rPr>
                <w:noProof/>
                <w:webHidden/>
              </w:rPr>
              <w:fldChar w:fldCharType="begin"/>
            </w:r>
            <w:r>
              <w:rPr>
                <w:noProof/>
                <w:webHidden/>
              </w:rPr>
              <w:instrText xml:space="preserve"> PAGEREF _Toc231740332 \h </w:instrText>
            </w:r>
            <w:r>
              <w:rPr>
                <w:noProof/>
                <w:webHidden/>
              </w:rPr>
            </w:r>
            <w:r>
              <w:rPr>
                <w:noProof/>
                <w:webHidden/>
              </w:rPr>
              <w:fldChar w:fldCharType="separate"/>
            </w:r>
            <w:r>
              <w:rPr>
                <w:noProof/>
                <w:webHidden/>
              </w:rPr>
              <w:t>28</w:t>
            </w:r>
            <w:r>
              <w:rPr>
                <w:noProof/>
                <w:webHidden/>
              </w:rPr>
              <w:fldChar w:fldCharType="end"/>
            </w:r>
          </w:hyperlink>
        </w:p>
        <w:p w14:paraId="6000B6F3" w14:textId="1EDE9F9F" w:rsidR="00AA7DA6" w:rsidRDefault="00AA7DA6">
          <w:pPr>
            <w:pStyle w:val="TOC3"/>
            <w:tabs>
              <w:tab w:val="right" w:leader="dot" w:pos="9016"/>
            </w:tabs>
            <w:rPr>
              <w:rFonts w:eastAsiaTheme="minorEastAsia"/>
              <w:noProof/>
              <w:lang w:eastAsia="en-GB"/>
            </w:rPr>
          </w:pPr>
          <w:hyperlink w:anchor="_Toc231740333" w:history="1">
            <w:r w:rsidRPr="00874790">
              <w:rPr>
                <w:rStyle w:val="Hyperlink"/>
                <w:noProof/>
              </w:rPr>
              <w:t>3.7.1 The Illusion of Digital Permanence</w:t>
            </w:r>
            <w:r>
              <w:rPr>
                <w:noProof/>
                <w:webHidden/>
              </w:rPr>
              <w:tab/>
            </w:r>
            <w:r>
              <w:rPr>
                <w:noProof/>
                <w:webHidden/>
              </w:rPr>
              <w:fldChar w:fldCharType="begin"/>
            </w:r>
            <w:r>
              <w:rPr>
                <w:noProof/>
                <w:webHidden/>
              </w:rPr>
              <w:instrText xml:space="preserve"> PAGEREF _Toc231740333 \h </w:instrText>
            </w:r>
            <w:r>
              <w:rPr>
                <w:noProof/>
                <w:webHidden/>
              </w:rPr>
            </w:r>
            <w:r>
              <w:rPr>
                <w:noProof/>
                <w:webHidden/>
              </w:rPr>
              <w:fldChar w:fldCharType="separate"/>
            </w:r>
            <w:r>
              <w:rPr>
                <w:noProof/>
                <w:webHidden/>
              </w:rPr>
              <w:t>28</w:t>
            </w:r>
            <w:r>
              <w:rPr>
                <w:noProof/>
                <w:webHidden/>
              </w:rPr>
              <w:fldChar w:fldCharType="end"/>
            </w:r>
          </w:hyperlink>
        </w:p>
        <w:p w14:paraId="1677686A" w14:textId="2058AC61" w:rsidR="00AA7DA6" w:rsidRDefault="00AA7DA6">
          <w:pPr>
            <w:pStyle w:val="TOC3"/>
            <w:tabs>
              <w:tab w:val="right" w:leader="dot" w:pos="9016"/>
            </w:tabs>
            <w:rPr>
              <w:rFonts w:eastAsiaTheme="minorEastAsia"/>
              <w:noProof/>
              <w:lang w:eastAsia="en-GB"/>
            </w:rPr>
          </w:pPr>
          <w:hyperlink w:anchor="_Toc231740334" w:history="1">
            <w:r w:rsidRPr="00874790">
              <w:rPr>
                <w:rStyle w:val="Hyperlink"/>
                <w:rFonts w:eastAsia="Times New Roman"/>
                <w:noProof/>
                <w:lang w:eastAsia="en-GB"/>
              </w:rPr>
              <w:t>3.7.2 Addressing Digital Ephemerality</w:t>
            </w:r>
            <w:r>
              <w:rPr>
                <w:noProof/>
                <w:webHidden/>
              </w:rPr>
              <w:tab/>
            </w:r>
            <w:r>
              <w:rPr>
                <w:noProof/>
                <w:webHidden/>
              </w:rPr>
              <w:fldChar w:fldCharType="begin"/>
            </w:r>
            <w:r>
              <w:rPr>
                <w:noProof/>
                <w:webHidden/>
              </w:rPr>
              <w:instrText xml:space="preserve"> PAGEREF _Toc231740334 \h </w:instrText>
            </w:r>
            <w:r>
              <w:rPr>
                <w:noProof/>
                <w:webHidden/>
              </w:rPr>
            </w:r>
            <w:r>
              <w:rPr>
                <w:noProof/>
                <w:webHidden/>
              </w:rPr>
              <w:fldChar w:fldCharType="separate"/>
            </w:r>
            <w:r>
              <w:rPr>
                <w:noProof/>
                <w:webHidden/>
              </w:rPr>
              <w:t>28</w:t>
            </w:r>
            <w:r>
              <w:rPr>
                <w:noProof/>
                <w:webHidden/>
              </w:rPr>
              <w:fldChar w:fldCharType="end"/>
            </w:r>
          </w:hyperlink>
        </w:p>
        <w:p w14:paraId="7DED5FB4" w14:textId="34B49AEC" w:rsidR="00AA7DA6" w:rsidRDefault="00AA7DA6">
          <w:pPr>
            <w:pStyle w:val="TOC2"/>
            <w:tabs>
              <w:tab w:val="right" w:leader="dot" w:pos="9016"/>
            </w:tabs>
            <w:rPr>
              <w:rFonts w:eastAsiaTheme="minorEastAsia"/>
              <w:noProof/>
              <w:lang w:eastAsia="en-GB"/>
            </w:rPr>
          </w:pPr>
          <w:hyperlink w:anchor="_Toc231740335" w:history="1">
            <w:r w:rsidRPr="00874790">
              <w:rPr>
                <w:rStyle w:val="Hyperlink"/>
                <w:noProof/>
              </w:rPr>
              <w:t>3.8 Ethical Considerations in Digital Marketing Research</w:t>
            </w:r>
            <w:r>
              <w:rPr>
                <w:noProof/>
                <w:webHidden/>
              </w:rPr>
              <w:tab/>
            </w:r>
            <w:r>
              <w:rPr>
                <w:noProof/>
                <w:webHidden/>
              </w:rPr>
              <w:fldChar w:fldCharType="begin"/>
            </w:r>
            <w:r>
              <w:rPr>
                <w:noProof/>
                <w:webHidden/>
              </w:rPr>
              <w:instrText xml:space="preserve"> PAGEREF _Toc231740335 \h </w:instrText>
            </w:r>
            <w:r>
              <w:rPr>
                <w:noProof/>
                <w:webHidden/>
              </w:rPr>
            </w:r>
            <w:r>
              <w:rPr>
                <w:noProof/>
                <w:webHidden/>
              </w:rPr>
              <w:fldChar w:fldCharType="separate"/>
            </w:r>
            <w:r>
              <w:rPr>
                <w:noProof/>
                <w:webHidden/>
              </w:rPr>
              <w:t>28</w:t>
            </w:r>
            <w:r>
              <w:rPr>
                <w:noProof/>
                <w:webHidden/>
              </w:rPr>
              <w:fldChar w:fldCharType="end"/>
            </w:r>
          </w:hyperlink>
        </w:p>
        <w:p w14:paraId="167D7B3F" w14:textId="40194C0B" w:rsidR="00AA7DA6" w:rsidRDefault="00AA7DA6">
          <w:pPr>
            <w:pStyle w:val="TOC1"/>
            <w:tabs>
              <w:tab w:val="right" w:leader="dot" w:pos="9016"/>
            </w:tabs>
            <w:rPr>
              <w:rFonts w:eastAsiaTheme="minorEastAsia"/>
              <w:noProof/>
              <w:lang w:eastAsia="en-GB"/>
            </w:rPr>
          </w:pPr>
          <w:hyperlink w:anchor="_Toc231740336" w:history="1">
            <w:r w:rsidRPr="00874790">
              <w:rPr>
                <w:rStyle w:val="Hyperlink"/>
                <w:noProof/>
              </w:rPr>
              <w:t>Chapter 4: Results and Comparative Analysis</w:t>
            </w:r>
            <w:r>
              <w:rPr>
                <w:noProof/>
                <w:webHidden/>
              </w:rPr>
              <w:tab/>
            </w:r>
            <w:r>
              <w:rPr>
                <w:noProof/>
                <w:webHidden/>
              </w:rPr>
              <w:fldChar w:fldCharType="begin"/>
            </w:r>
            <w:r>
              <w:rPr>
                <w:noProof/>
                <w:webHidden/>
              </w:rPr>
              <w:instrText xml:space="preserve"> PAGEREF _Toc231740336 \h </w:instrText>
            </w:r>
            <w:r>
              <w:rPr>
                <w:noProof/>
                <w:webHidden/>
              </w:rPr>
            </w:r>
            <w:r>
              <w:rPr>
                <w:noProof/>
                <w:webHidden/>
              </w:rPr>
              <w:fldChar w:fldCharType="separate"/>
            </w:r>
            <w:r>
              <w:rPr>
                <w:noProof/>
                <w:webHidden/>
              </w:rPr>
              <w:t>30</w:t>
            </w:r>
            <w:r>
              <w:rPr>
                <w:noProof/>
                <w:webHidden/>
              </w:rPr>
              <w:fldChar w:fldCharType="end"/>
            </w:r>
          </w:hyperlink>
        </w:p>
        <w:p w14:paraId="66EDE74B" w14:textId="48E80D92" w:rsidR="00AA7DA6" w:rsidRDefault="00AA7DA6">
          <w:pPr>
            <w:pStyle w:val="TOC2"/>
            <w:tabs>
              <w:tab w:val="right" w:leader="dot" w:pos="9016"/>
            </w:tabs>
            <w:rPr>
              <w:rFonts w:eastAsiaTheme="minorEastAsia"/>
              <w:noProof/>
              <w:lang w:eastAsia="en-GB"/>
            </w:rPr>
          </w:pPr>
          <w:hyperlink w:anchor="_Toc231740337" w:history="1">
            <w:r w:rsidRPr="00874790">
              <w:rPr>
                <w:rStyle w:val="Hyperlink"/>
                <w:noProof/>
              </w:rPr>
              <w:t>4.1 Introduction to the Findings</w:t>
            </w:r>
            <w:r>
              <w:rPr>
                <w:noProof/>
                <w:webHidden/>
              </w:rPr>
              <w:tab/>
            </w:r>
            <w:r>
              <w:rPr>
                <w:noProof/>
                <w:webHidden/>
              </w:rPr>
              <w:fldChar w:fldCharType="begin"/>
            </w:r>
            <w:r>
              <w:rPr>
                <w:noProof/>
                <w:webHidden/>
              </w:rPr>
              <w:instrText xml:space="preserve"> PAGEREF _Toc231740337 \h </w:instrText>
            </w:r>
            <w:r>
              <w:rPr>
                <w:noProof/>
                <w:webHidden/>
              </w:rPr>
            </w:r>
            <w:r>
              <w:rPr>
                <w:noProof/>
                <w:webHidden/>
              </w:rPr>
              <w:fldChar w:fldCharType="separate"/>
            </w:r>
            <w:r>
              <w:rPr>
                <w:noProof/>
                <w:webHidden/>
              </w:rPr>
              <w:t>30</w:t>
            </w:r>
            <w:r>
              <w:rPr>
                <w:noProof/>
                <w:webHidden/>
              </w:rPr>
              <w:fldChar w:fldCharType="end"/>
            </w:r>
          </w:hyperlink>
        </w:p>
        <w:p w14:paraId="4FCF060E" w14:textId="64582C32" w:rsidR="00AA7DA6" w:rsidRDefault="00AA7DA6">
          <w:pPr>
            <w:pStyle w:val="TOC2"/>
            <w:tabs>
              <w:tab w:val="right" w:leader="dot" w:pos="9016"/>
            </w:tabs>
            <w:rPr>
              <w:rFonts w:eastAsiaTheme="minorEastAsia"/>
              <w:noProof/>
              <w:lang w:eastAsia="en-GB"/>
            </w:rPr>
          </w:pPr>
          <w:hyperlink w:anchor="_Toc231740338" w:history="1">
            <w:r w:rsidRPr="00874790">
              <w:rPr>
                <w:rStyle w:val="Hyperlink"/>
                <w:noProof/>
              </w:rPr>
              <w:t>4.2 Strategic Resource Allocation: The Shift to Digital-First Ecosystems</w:t>
            </w:r>
            <w:r>
              <w:rPr>
                <w:noProof/>
                <w:webHidden/>
              </w:rPr>
              <w:tab/>
            </w:r>
            <w:r>
              <w:rPr>
                <w:noProof/>
                <w:webHidden/>
              </w:rPr>
              <w:fldChar w:fldCharType="begin"/>
            </w:r>
            <w:r>
              <w:rPr>
                <w:noProof/>
                <w:webHidden/>
              </w:rPr>
              <w:instrText xml:space="preserve"> PAGEREF _Toc231740338 \h </w:instrText>
            </w:r>
            <w:r>
              <w:rPr>
                <w:noProof/>
                <w:webHidden/>
              </w:rPr>
            </w:r>
            <w:r>
              <w:rPr>
                <w:noProof/>
                <w:webHidden/>
              </w:rPr>
              <w:fldChar w:fldCharType="separate"/>
            </w:r>
            <w:r>
              <w:rPr>
                <w:noProof/>
                <w:webHidden/>
              </w:rPr>
              <w:t>30</w:t>
            </w:r>
            <w:r>
              <w:rPr>
                <w:noProof/>
                <w:webHidden/>
              </w:rPr>
              <w:fldChar w:fldCharType="end"/>
            </w:r>
          </w:hyperlink>
        </w:p>
        <w:p w14:paraId="542830CF" w14:textId="3172FFC5" w:rsidR="00AA7DA6" w:rsidRDefault="00AA7DA6">
          <w:pPr>
            <w:pStyle w:val="TOC2"/>
            <w:tabs>
              <w:tab w:val="right" w:leader="dot" w:pos="9016"/>
            </w:tabs>
            <w:rPr>
              <w:rFonts w:eastAsiaTheme="minorEastAsia"/>
              <w:noProof/>
              <w:lang w:eastAsia="en-GB"/>
            </w:rPr>
          </w:pPr>
          <w:hyperlink w:anchor="_Toc231740339" w:history="1">
            <w:r w:rsidRPr="00874790">
              <w:rPr>
                <w:rStyle w:val="Hyperlink"/>
                <w:noProof/>
              </w:rPr>
              <w:t>4.3 Corporate Stream Analysis: Validating the Narrative</w:t>
            </w:r>
            <w:r>
              <w:rPr>
                <w:noProof/>
                <w:webHidden/>
              </w:rPr>
              <w:tab/>
            </w:r>
            <w:r>
              <w:rPr>
                <w:noProof/>
                <w:webHidden/>
              </w:rPr>
              <w:fldChar w:fldCharType="begin"/>
            </w:r>
            <w:r>
              <w:rPr>
                <w:noProof/>
                <w:webHidden/>
              </w:rPr>
              <w:instrText xml:space="preserve"> PAGEREF _Toc231740339 \h </w:instrText>
            </w:r>
            <w:r>
              <w:rPr>
                <w:noProof/>
                <w:webHidden/>
              </w:rPr>
            </w:r>
            <w:r>
              <w:rPr>
                <w:noProof/>
                <w:webHidden/>
              </w:rPr>
              <w:fldChar w:fldCharType="separate"/>
            </w:r>
            <w:r>
              <w:rPr>
                <w:noProof/>
                <w:webHidden/>
              </w:rPr>
              <w:t>31</w:t>
            </w:r>
            <w:r>
              <w:rPr>
                <w:noProof/>
                <w:webHidden/>
              </w:rPr>
              <w:fldChar w:fldCharType="end"/>
            </w:r>
          </w:hyperlink>
        </w:p>
        <w:p w14:paraId="24E55A5B" w14:textId="3DC0A61C" w:rsidR="00AA7DA6" w:rsidRDefault="00AA7DA6">
          <w:pPr>
            <w:pStyle w:val="TOC2"/>
            <w:tabs>
              <w:tab w:val="right" w:leader="dot" w:pos="9016"/>
            </w:tabs>
            <w:rPr>
              <w:rFonts w:eastAsiaTheme="minorEastAsia"/>
              <w:noProof/>
              <w:lang w:eastAsia="en-GB"/>
            </w:rPr>
          </w:pPr>
          <w:hyperlink w:anchor="_Toc231740340" w:history="1">
            <w:r w:rsidRPr="00874790">
              <w:rPr>
                <w:rStyle w:val="Hyperlink"/>
                <w:noProof/>
              </w:rPr>
              <w:t>4.4 Thematic Mapping of "Green Codes"</w:t>
            </w:r>
            <w:r>
              <w:rPr>
                <w:noProof/>
                <w:webHidden/>
              </w:rPr>
              <w:tab/>
            </w:r>
            <w:r>
              <w:rPr>
                <w:noProof/>
                <w:webHidden/>
              </w:rPr>
              <w:fldChar w:fldCharType="begin"/>
            </w:r>
            <w:r>
              <w:rPr>
                <w:noProof/>
                <w:webHidden/>
              </w:rPr>
              <w:instrText xml:space="preserve"> PAGEREF _Toc231740340 \h </w:instrText>
            </w:r>
            <w:r>
              <w:rPr>
                <w:noProof/>
                <w:webHidden/>
              </w:rPr>
            </w:r>
            <w:r>
              <w:rPr>
                <w:noProof/>
                <w:webHidden/>
              </w:rPr>
              <w:fldChar w:fldCharType="separate"/>
            </w:r>
            <w:r>
              <w:rPr>
                <w:noProof/>
                <w:webHidden/>
              </w:rPr>
              <w:t>32</w:t>
            </w:r>
            <w:r>
              <w:rPr>
                <w:noProof/>
                <w:webHidden/>
              </w:rPr>
              <w:fldChar w:fldCharType="end"/>
            </w:r>
          </w:hyperlink>
        </w:p>
        <w:p w14:paraId="0DC810C8" w14:textId="08024056" w:rsidR="00AA7DA6" w:rsidRDefault="00AA7DA6">
          <w:pPr>
            <w:pStyle w:val="TOC3"/>
            <w:tabs>
              <w:tab w:val="right" w:leader="dot" w:pos="9016"/>
            </w:tabs>
            <w:rPr>
              <w:rFonts w:eastAsiaTheme="minorEastAsia"/>
              <w:noProof/>
              <w:lang w:eastAsia="en-GB"/>
            </w:rPr>
          </w:pPr>
          <w:hyperlink w:anchor="_Toc231740341" w:history="1">
            <w:r w:rsidRPr="00874790">
              <w:rPr>
                <w:rStyle w:val="Hyperlink"/>
                <w:noProof/>
              </w:rPr>
              <w:t>4.4.1 UK Findings: Systemic Accountability and Carbon Literacy</w:t>
            </w:r>
            <w:r>
              <w:rPr>
                <w:noProof/>
                <w:webHidden/>
              </w:rPr>
              <w:tab/>
            </w:r>
            <w:r>
              <w:rPr>
                <w:noProof/>
                <w:webHidden/>
              </w:rPr>
              <w:fldChar w:fldCharType="begin"/>
            </w:r>
            <w:r>
              <w:rPr>
                <w:noProof/>
                <w:webHidden/>
              </w:rPr>
              <w:instrText xml:space="preserve"> PAGEREF _Toc231740341 \h </w:instrText>
            </w:r>
            <w:r>
              <w:rPr>
                <w:noProof/>
                <w:webHidden/>
              </w:rPr>
            </w:r>
            <w:r>
              <w:rPr>
                <w:noProof/>
                <w:webHidden/>
              </w:rPr>
              <w:fldChar w:fldCharType="separate"/>
            </w:r>
            <w:r>
              <w:rPr>
                <w:noProof/>
                <w:webHidden/>
              </w:rPr>
              <w:t>33</w:t>
            </w:r>
            <w:r>
              <w:rPr>
                <w:noProof/>
                <w:webHidden/>
              </w:rPr>
              <w:fldChar w:fldCharType="end"/>
            </w:r>
          </w:hyperlink>
        </w:p>
        <w:p w14:paraId="4F387337" w14:textId="726026A7" w:rsidR="00AA7DA6" w:rsidRDefault="00AA7DA6">
          <w:pPr>
            <w:pStyle w:val="TOC3"/>
            <w:tabs>
              <w:tab w:val="right" w:leader="dot" w:pos="9016"/>
            </w:tabs>
            <w:rPr>
              <w:rFonts w:eastAsiaTheme="minorEastAsia"/>
              <w:noProof/>
              <w:lang w:eastAsia="en-GB"/>
            </w:rPr>
          </w:pPr>
          <w:hyperlink w:anchor="_Toc231740342" w:history="1">
            <w:r w:rsidRPr="00874790">
              <w:rPr>
                <w:rStyle w:val="Hyperlink"/>
                <w:noProof/>
              </w:rPr>
              <w:t>4.4.2 India Findings: Grassroots Empowerment and Collective Upliftment</w:t>
            </w:r>
            <w:r>
              <w:rPr>
                <w:noProof/>
                <w:webHidden/>
              </w:rPr>
              <w:tab/>
            </w:r>
            <w:r>
              <w:rPr>
                <w:noProof/>
                <w:webHidden/>
              </w:rPr>
              <w:fldChar w:fldCharType="begin"/>
            </w:r>
            <w:r>
              <w:rPr>
                <w:noProof/>
                <w:webHidden/>
              </w:rPr>
              <w:instrText xml:space="preserve"> PAGEREF _Toc231740342 \h </w:instrText>
            </w:r>
            <w:r>
              <w:rPr>
                <w:noProof/>
                <w:webHidden/>
              </w:rPr>
            </w:r>
            <w:r>
              <w:rPr>
                <w:noProof/>
                <w:webHidden/>
              </w:rPr>
              <w:fldChar w:fldCharType="separate"/>
            </w:r>
            <w:r>
              <w:rPr>
                <w:noProof/>
                <w:webHidden/>
              </w:rPr>
              <w:t>33</w:t>
            </w:r>
            <w:r>
              <w:rPr>
                <w:noProof/>
                <w:webHidden/>
              </w:rPr>
              <w:fldChar w:fldCharType="end"/>
            </w:r>
          </w:hyperlink>
        </w:p>
        <w:p w14:paraId="43A8E56A" w14:textId="3D2126C8" w:rsidR="00AA7DA6" w:rsidRDefault="00AA7DA6">
          <w:pPr>
            <w:pStyle w:val="TOC2"/>
            <w:tabs>
              <w:tab w:val="right" w:leader="dot" w:pos="9016"/>
            </w:tabs>
            <w:rPr>
              <w:rFonts w:eastAsiaTheme="minorEastAsia"/>
              <w:noProof/>
              <w:lang w:eastAsia="en-GB"/>
            </w:rPr>
          </w:pPr>
          <w:hyperlink w:anchor="_Toc231740343" w:history="1">
            <w:r w:rsidRPr="00874790">
              <w:rPr>
                <w:rStyle w:val="Hyperlink"/>
                <w:noProof/>
              </w:rPr>
              <w:t>4.5 Comparative Narrative Analysis: The Dove Case Study</w:t>
            </w:r>
            <w:r>
              <w:rPr>
                <w:noProof/>
                <w:webHidden/>
              </w:rPr>
              <w:tab/>
            </w:r>
            <w:r>
              <w:rPr>
                <w:noProof/>
                <w:webHidden/>
              </w:rPr>
              <w:fldChar w:fldCharType="begin"/>
            </w:r>
            <w:r>
              <w:rPr>
                <w:noProof/>
                <w:webHidden/>
              </w:rPr>
              <w:instrText xml:space="preserve"> PAGEREF _Toc231740343 \h </w:instrText>
            </w:r>
            <w:r>
              <w:rPr>
                <w:noProof/>
                <w:webHidden/>
              </w:rPr>
            </w:r>
            <w:r>
              <w:rPr>
                <w:noProof/>
                <w:webHidden/>
              </w:rPr>
              <w:fldChar w:fldCharType="separate"/>
            </w:r>
            <w:r>
              <w:rPr>
                <w:noProof/>
                <w:webHidden/>
              </w:rPr>
              <w:t>34</w:t>
            </w:r>
            <w:r>
              <w:rPr>
                <w:noProof/>
                <w:webHidden/>
              </w:rPr>
              <w:fldChar w:fldCharType="end"/>
            </w:r>
          </w:hyperlink>
        </w:p>
        <w:p w14:paraId="4175E495" w14:textId="2584CA1B" w:rsidR="00AA7DA6" w:rsidRDefault="00AA7DA6">
          <w:pPr>
            <w:pStyle w:val="TOC2"/>
            <w:tabs>
              <w:tab w:val="right" w:leader="dot" w:pos="9016"/>
            </w:tabs>
            <w:rPr>
              <w:rFonts w:eastAsiaTheme="minorEastAsia"/>
              <w:noProof/>
              <w:lang w:eastAsia="en-GB"/>
            </w:rPr>
          </w:pPr>
          <w:hyperlink w:anchor="_Toc231740344" w:history="1">
            <w:r w:rsidRPr="00874790">
              <w:rPr>
                <w:rStyle w:val="Hyperlink"/>
                <w:noProof/>
              </w:rPr>
              <w:t>4.6 Competitor Analysis: Unilever vs. Procter &amp; Gamble (P&amp;G)</w:t>
            </w:r>
            <w:r>
              <w:rPr>
                <w:noProof/>
                <w:webHidden/>
              </w:rPr>
              <w:tab/>
            </w:r>
            <w:r>
              <w:rPr>
                <w:noProof/>
                <w:webHidden/>
              </w:rPr>
              <w:fldChar w:fldCharType="begin"/>
            </w:r>
            <w:r>
              <w:rPr>
                <w:noProof/>
                <w:webHidden/>
              </w:rPr>
              <w:instrText xml:space="preserve"> PAGEREF _Toc231740344 \h </w:instrText>
            </w:r>
            <w:r>
              <w:rPr>
                <w:noProof/>
                <w:webHidden/>
              </w:rPr>
            </w:r>
            <w:r>
              <w:rPr>
                <w:noProof/>
                <w:webHidden/>
              </w:rPr>
              <w:fldChar w:fldCharType="separate"/>
            </w:r>
            <w:r>
              <w:rPr>
                <w:noProof/>
                <w:webHidden/>
              </w:rPr>
              <w:t>36</w:t>
            </w:r>
            <w:r>
              <w:rPr>
                <w:noProof/>
                <w:webHidden/>
              </w:rPr>
              <w:fldChar w:fldCharType="end"/>
            </w:r>
          </w:hyperlink>
        </w:p>
        <w:p w14:paraId="62CEF022" w14:textId="23EE1C89" w:rsidR="00AA7DA6" w:rsidRDefault="00AA7DA6">
          <w:pPr>
            <w:pStyle w:val="TOC2"/>
            <w:tabs>
              <w:tab w:val="right" w:leader="dot" w:pos="9016"/>
            </w:tabs>
            <w:rPr>
              <w:rFonts w:eastAsiaTheme="minorEastAsia"/>
              <w:noProof/>
              <w:lang w:eastAsia="en-GB"/>
            </w:rPr>
          </w:pPr>
          <w:hyperlink w:anchor="_Toc231740345" w:history="1">
            <w:r w:rsidRPr="00874790">
              <w:rPr>
                <w:rStyle w:val="Hyperlink"/>
                <w:noProof/>
              </w:rPr>
              <w:t>4.6 Expanding the Narrative: Secondary Comparative Case Studies</w:t>
            </w:r>
            <w:r>
              <w:rPr>
                <w:noProof/>
                <w:webHidden/>
              </w:rPr>
              <w:tab/>
            </w:r>
            <w:r>
              <w:rPr>
                <w:noProof/>
                <w:webHidden/>
              </w:rPr>
              <w:fldChar w:fldCharType="begin"/>
            </w:r>
            <w:r>
              <w:rPr>
                <w:noProof/>
                <w:webHidden/>
              </w:rPr>
              <w:instrText xml:space="preserve"> PAGEREF _Toc231740345 \h </w:instrText>
            </w:r>
            <w:r>
              <w:rPr>
                <w:noProof/>
                <w:webHidden/>
              </w:rPr>
            </w:r>
            <w:r>
              <w:rPr>
                <w:noProof/>
                <w:webHidden/>
              </w:rPr>
              <w:fldChar w:fldCharType="separate"/>
            </w:r>
            <w:r>
              <w:rPr>
                <w:noProof/>
                <w:webHidden/>
              </w:rPr>
              <w:t>36</w:t>
            </w:r>
            <w:r>
              <w:rPr>
                <w:noProof/>
                <w:webHidden/>
              </w:rPr>
              <w:fldChar w:fldCharType="end"/>
            </w:r>
          </w:hyperlink>
        </w:p>
        <w:p w14:paraId="37DF378C" w14:textId="4AB5A01C" w:rsidR="00AA7DA6" w:rsidRDefault="00AA7DA6">
          <w:pPr>
            <w:pStyle w:val="TOC3"/>
            <w:tabs>
              <w:tab w:val="right" w:leader="dot" w:pos="9016"/>
            </w:tabs>
            <w:rPr>
              <w:rFonts w:eastAsiaTheme="minorEastAsia"/>
              <w:noProof/>
              <w:lang w:eastAsia="en-GB"/>
            </w:rPr>
          </w:pPr>
          <w:hyperlink w:anchor="_Toc231740346" w:history="1">
            <w:r w:rsidRPr="00874790">
              <w:rPr>
                <w:rStyle w:val="Hyperlink"/>
                <w:noProof/>
              </w:rPr>
              <w:t>4.6.1 Hellmann’s UK: Algorithmic Interventions in Food Waste</w:t>
            </w:r>
            <w:r>
              <w:rPr>
                <w:noProof/>
                <w:webHidden/>
              </w:rPr>
              <w:tab/>
            </w:r>
            <w:r>
              <w:rPr>
                <w:noProof/>
                <w:webHidden/>
              </w:rPr>
              <w:fldChar w:fldCharType="begin"/>
            </w:r>
            <w:r>
              <w:rPr>
                <w:noProof/>
                <w:webHidden/>
              </w:rPr>
              <w:instrText xml:space="preserve"> PAGEREF _Toc231740346 \h </w:instrText>
            </w:r>
            <w:r>
              <w:rPr>
                <w:noProof/>
                <w:webHidden/>
              </w:rPr>
            </w:r>
            <w:r>
              <w:rPr>
                <w:noProof/>
                <w:webHidden/>
              </w:rPr>
              <w:fldChar w:fldCharType="separate"/>
            </w:r>
            <w:r>
              <w:rPr>
                <w:noProof/>
                <w:webHidden/>
              </w:rPr>
              <w:t>36</w:t>
            </w:r>
            <w:r>
              <w:rPr>
                <w:noProof/>
                <w:webHidden/>
              </w:rPr>
              <w:fldChar w:fldCharType="end"/>
            </w:r>
          </w:hyperlink>
        </w:p>
        <w:p w14:paraId="0962BE9E" w14:textId="16B31863" w:rsidR="00AA7DA6" w:rsidRDefault="00AA7DA6">
          <w:pPr>
            <w:pStyle w:val="TOC3"/>
            <w:tabs>
              <w:tab w:val="right" w:leader="dot" w:pos="9016"/>
            </w:tabs>
            <w:rPr>
              <w:rFonts w:eastAsiaTheme="minorEastAsia"/>
              <w:noProof/>
              <w:lang w:eastAsia="en-GB"/>
            </w:rPr>
          </w:pPr>
          <w:hyperlink w:anchor="_Toc231740347" w:history="1">
            <w:r w:rsidRPr="00874790">
              <w:rPr>
                <w:rStyle w:val="Hyperlink"/>
                <w:noProof/>
              </w:rPr>
              <w:t>4.6.2 Surf Excel India: Recontextualizing Sustainability as Social Harmony</w:t>
            </w:r>
            <w:r>
              <w:rPr>
                <w:noProof/>
                <w:webHidden/>
              </w:rPr>
              <w:tab/>
            </w:r>
            <w:r>
              <w:rPr>
                <w:noProof/>
                <w:webHidden/>
              </w:rPr>
              <w:fldChar w:fldCharType="begin"/>
            </w:r>
            <w:r>
              <w:rPr>
                <w:noProof/>
                <w:webHidden/>
              </w:rPr>
              <w:instrText xml:space="preserve"> PAGEREF _Toc231740347 \h </w:instrText>
            </w:r>
            <w:r>
              <w:rPr>
                <w:noProof/>
                <w:webHidden/>
              </w:rPr>
            </w:r>
            <w:r>
              <w:rPr>
                <w:noProof/>
                <w:webHidden/>
              </w:rPr>
              <w:fldChar w:fldCharType="separate"/>
            </w:r>
            <w:r>
              <w:rPr>
                <w:noProof/>
                <w:webHidden/>
              </w:rPr>
              <w:t>37</w:t>
            </w:r>
            <w:r>
              <w:rPr>
                <w:noProof/>
                <w:webHidden/>
              </w:rPr>
              <w:fldChar w:fldCharType="end"/>
            </w:r>
          </w:hyperlink>
        </w:p>
        <w:p w14:paraId="2C377530" w14:textId="7D1545DE" w:rsidR="00AA7DA6" w:rsidRDefault="00AA7DA6">
          <w:pPr>
            <w:pStyle w:val="TOC3"/>
            <w:tabs>
              <w:tab w:val="right" w:leader="dot" w:pos="9016"/>
            </w:tabs>
            <w:rPr>
              <w:rFonts w:eastAsiaTheme="minorEastAsia"/>
              <w:noProof/>
              <w:lang w:eastAsia="en-GB"/>
            </w:rPr>
          </w:pPr>
          <w:hyperlink w:anchor="_Toc231740348" w:history="1">
            <w:r w:rsidRPr="00874790">
              <w:rPr>
                <w:rStyle w:val="Hyperlink"/>
                <w:rFonts w:eastAsia="Times New Roman"/>
                <w:noProof/>
                <w:lang w:eastAsia="en-GB"/>
              </w:rPr>
              <w:t>4.6.3 Synthesis of Portfolio-Wide "Green Codes"</w:t>
            </w:r>
            <w:r>
              <w:rPr>
                <w:noProof/>
                <w:webHidden/>
              </w:rPr>
              <w:tab/>
            </w:r>
            <w:r>
              <w:rPr>
                <w:noProof/>
                <w:webHidden/>
              </w:rPr>
              <w:fldChar w:fldCharType="begin"/>
            </w:r>
            <w:r>
              <w:rPr>
                <w:noProof/>
                <w:webHidden/>
              </w:rPr>
              <w:instrText xml:space="preserve"> PAGEREF _Toc231740348 \h </w:instrText>
            </w:r>
            <w:r>
              <w:rPr>
                <w:noProof/>
                <w:webHidden/>
              </w:rPr>
            </w:r>
            <w:r>
              <w:rPr>
                <w:noProof/>
                <w:webHidden/>
              </w:rPr>
              <w:fldChar w:fldCharType="separate"/>
            </w:r>
            <w:r>
              <w:rPr>
                <w:noProof/>
                <w:webHidden/>
              </w:rPr>
              <w:t>38</w:t>
            </w:r>
            <w:r>
              <w:rPr>
                <w:noProof/>
                <w:webHidden/>
              </w:rPr>
              <w:fldChar w:fldCharType="end"/>
            </w:r>
          </w:hyperlink>
        </w:p>
        <w:p w14:paraId="66977858" w14:textId="3C53EDFB" w:rsidR="00AA7DA6" w:rsidRDefault="00AA7DA6">
          <w:pPr>
            <w:pStyle w:val="TOC2"/>
            <w:tabs>
              <w:tab w:val="right" w:leader="dot" w:pos="9016"/>
            </w:tabs>
            <w:rPr>
              <w:rFonts w:eastAsiaTheme="minorEastAsia"/>
              <w:noProof/>
              <w:lang w:eastAsia="en-GB"/>
            </w:rPr>
          </w:pPr>
          <w:hyperlink w:anchor="_Toc231740349" w:history="1">
            <w:r w:rsidRPr="00874790">
              <w:rPr>
                <w:rStyle w:val="Hyperlink"/>
                <w:noProof/>
              </w:rPr>
              <w:t>4.7 Role of Technological Hubs for Real-Time Validation</w:t>
            </w:r>
            <w:r>
              <w:rPr>
                <w:noProof/>
                <w:webHidden/>
              </w:rPr>
              <w:tab/>
            </w:r>
            <w:r>
              <w:rPr>
                <w:noProof/>
                <w:webHidden/>
              </w:rPr>
              <w:fldChar w:fldCharType="begin"/>
            </w:r>
            <w:r>
              <w:rPr>
                <w:noProof/>
                <w:webHidden/>
              </w:rPr>
              <w:instrText xml:space="preserve"> PAGEREF _Toc231740349 \h </w:instrText>
            </w:r>
            <w:r>
              <w:rPr>
                <w:noProof/>
                <w:webHidden/>
              </w:rPr>
            </w:r>
            <w:r>
              <w:rPr>
                <w:noProof/>
                <w:webHidden/>
              </w:rPr>
              <w:fldChar w:fldCharType="separate"/>
            </w:r>
            <w:r>
              <w:rPr>
                <w:noProof/>
                <w:webHidden/>
              </w:rPr>
              <w:t>39</w:t>
            </w:r>
            <w:r>
              <w:rPr>
                <w:noProof/>
                <w:webHidden/>
              </w:rPr>
              <w:fldChar w:fldCharType="end"/>
            </w:r>
          </w:hyperlink>
        </w:p>
        <w:p w14:paraId="5BF0B3DD" w14:textId="1DFCC99C" w:rsidR="00AA7DA6" w:rsidRDefault="00AA7DA6">
          <w:pPr>
            <w:pStyle w:val="TOC1"/>
            <w:tabs>
              <w:tab w:val="right" w:leader="dot" w:pos="9016"/>
            </w:tabs>
            <w:rPr>
              <w:rFonts w:eastAsiaTheme="minorEastAsia"/>
              <w:noProof/>
              <w:lang w:eastAsia="en-GB"/>
            </w:rPr>
          </w:pPr>
          <w:hyperlink w:anchor="_Toc231740350" w:history="1">
            <w:r w:rsidRPr="00874790">
              <w:rPr>
                <w:rStyle w:val="Hyperlink"/>
                <w:noProof/>
              </w:rPr>
              <w:t>Chapter 5: Discussion</w:t>
            </w:r>
            <w:r>
              <w:rPr>
                <w:noProof/>
                <w:webHidden/>
              </w:rPr>
              <w:tab/>
            </w:r>
            <w:r>
              <w:rPr>
                <w:noProof/>
                <w:webHidden/>
              </w:rPr>
              <w:fldChar w:fldCharType="begin"/>
            </w:r>
            <w:r>
              <w:rPr>
                <w:noProof/>
                <w:webHidden/>
              </w:rPr>
              <w:instrText xml:space="preserve"> PAGEREF _Toc231740350 \h </w:instrText>
            </w:r>
            <w:r>
              <w:rPr>
                <w:noProof/>
                <w:webHidden/>
              </w:rPr>
            </w:r>
            <w:r>
              <w:rPr>
                <w:noProof/>
                <w:webHidden/>
              </w:rPr>
              <w:fldChar w:fldCharType="separate"/>
            </w:r>
            <w:r>
              <w:rPr>
                <w:noProof/>
                <w:webHidden/>
              </w:rPr>
              <w:t>40</w:t>
            </w:r>
            <w:r>
              <w:rPr>
                <w:noProof/>
                <w:webHidden/>
              </w:rPr>
              <w:fldChar w:fldCharType="end"/>
            </w:r>
          </w:hyperlink>
        </w:p>
        <w:p w14:paraId="3C3114B4" w14:textId="752CD6AA" w:rsidR="00AA7DA6" w:rsidRDefault="00AA7DA6">
          <w:pPr>
            <w:pStyle w:val="TOC2"/>
            <w:tabs>
              <w:tab w:val="right" w:leader="dot" w:pos="9016"/>
            </w:tabs>
            <w:rPr>
              <w:rFonts w:eastAsiaTheme="minorEastAsia"/>
              <w:noProof/>
              <w:lang w:eastAsia="en-GB"/>
            </w:rPr>
          </w:pPr>
          <w:hyperlink w:anchor="_Toc231740351" w:history="1">
            <w:r w:rsidRPr="00874790">
              <w:rPr>
                <w:rStyle w:val="Hyperlink"/>
                <w:noProof/>
              </w:rPr>
              <w:t>5.1 Introduction to the Discussion</w:t>
            </w:r>
            <w:r>
              <w:rPr>
                <w:noProof/>
                <w:webHidden/>
              </w:rPr>
              <w:tab/>
            </w:r>
            <w:r>
              <w:rPr>
                <w:noProof/>
                <w:webHidden/>
              </w:rPr>
              <w:fldChar w:fldCharType="begin"/>
            </w:r>
            <w:r>
              <w:rPr>
                <w:noProof/>
                <w:webHidden/>
              </w:rPr>
              <w:instrText xml:space="preserve"> PAGEREF _Toc231740351 \h </w:instrText>
            </w:r>
            <w:r>
              <w:rPr>
                <w:noProof/>
                <w:webHidden/>
              </w:rPr>
            </w:r>
            <w:r>
              <w:rPr>
                <w:noProof/>
                <w:webHidden/>
              </w:rPr>
              <w:fldChar w:fldCharType="separate"/>
            </w:r>
            <w:r>
              <w:rPr>
                <w:noProof/>
                <w:webHidden/>
              </w:rPr>
              <w:t>40</w:t>
            </w:r>
            <w:r>
              <w:rPr>
                <w:noProof/>
                <w:webHidden/>
              </w:rPr>
              <w:fldChar w:fldCharType="end"/>
            </w:r>
          </w:hyperlink>
        </w:p>
        <w:p w14:paraId="41F41B0D" w14:textId="6F5CCC41" w:rsidR="00AA7DA6" w:rsidRDefault="00AA7DA6">
          <w:pPr>
            <w:pStyle w:val="TOC2"/>
            <w:tabs>
              <w:tab w:val="right" w:leader="dot" w:pos="9016"/>
            </w:tabs>
            <w:rPr>
              <w:rFonts w:eastAsiaTheme="minorEastAsia"/>
              <w:noProof/>
              <w:lang w:eastAsia="en-GB"/>
            </w:rPr>
          </w:pPr>
          <w:hyperlink w:anchor="_Toc231740352" w:history="1">
            <w:r w:rsidRPr="00874790">
              <w:rPr>
                <w:rStyle w:val="Hyperlink"/>
                <w:noProof/>
              </w:rPr>
              <w:t>5.2 Resolving the Trust-Digital Paradox via Real-Time Authenticity</w:t>
            </w:r>
            <w:r>
              <w:rPr>
                <w:noProof/>
                <w:webHidden/>
              </w:rPr>
              <w:tab/>
            </w:r>
            <w:r>
              <w:rPr>
                <w:noProof/>
                <w:webHidden/>
              </w:rPr>
              <w:fldChar w:fldCharType="begin"/>
            </w:r>
            <w:r>
              <w:rPr>
                <w:noProof/>
                <w:webHidden/>
              </w:rPr>
              <w:instrText xml:space="preserve"> PAGEREF _Toc231740352 \h </w:instrText>
            </w:r>
            <w:r>
              <w:rPr>
                <w:noProof/>
                <w:webHidden/>
              </w:rPr>
            </w:r>
            <w:r>
              <w:rPr>
                <w:noProof/>
                <w:webHidden/>
              </w:rPr>
              <w:fldChar w:fldCharType="separate"/>
            </w:r>
            <w:r>
              <w:rPr>
                <w:noProof/>
                <w:webHidden/>
              </w:rPr>
              <w:t>40</w:t>
            </w:r>
            <w:r>
              <w:rPr>
                <w:noProof/>
                <w:webHidden/>
              </w:rPr>
              <w:fldChar w:fldCharType="end"/>
            </w:r>
          </w:hyperlink>
        </w:p>
        <w:p w14:paraId="4CBE9D82" w14:textId="764037E9" w:rsidR="00AA7DA6" w:rsidRDefault="00AA7DA6">
          <w:pPr>
            <w:pStyle w:val="TOC2"/>
            <w:tabs>
              <w:tab w:val="right" w:leader="dot" w:pos="9016"/>
            </w:tabs>
            <w:rPr>
              <w:rFonts w:eastAsiaTheme="minorEastAsia"/>
              <w:noProof/>
              <w:lang w:eastAsia="en-GB"/>
            </w:rPr>
          </w:pPr>
          <w:hyperlink w:anchor="_Toc231740353" w:history="1">
            <w:r w:rsidRPr="00874790">
              <w:rPr>
                <w:rStyle w:val="Hyperlink"/>
                <w:noProof/>
              </w:rPr>
              <w:t>5.3 The Hyper-Localization Imperative: Deconstructing the "Global" Myth</w:t>
            </w:r>
            <w:r>
              <w:rPr>
                <w:noProof/>
                <w:webHidden/>
              </w:rPr>
              <w:tab/>
            </w:r>
            <w:r>
              <w:rPr>
                <w:noProof/>
                <w:webHidden/>
              </w:rPr>
              <w:fldChar w:fldCharType="begin"/>
            </w:r>
            <w:r>
              <w:rPr>
                <w:noProof/>
                <w:webHidden/>
              </w:rPr>
              <w:instrText xml:space="preserve"> PAGEREF _Toc231740353 \h </w:instrText>
            </w:r>
            <w:r>
              <w:rPr>
                <w:noProof/>
                <w:webHidden/>
              </w:rPr>
            </w:r>
            <w:r>
              <w:rPr>
                <w:noProof/>
                <w:webHidden/>
              </w:rPr>
              <w:fldChar w:fldCharType="separate"/>
            </w:r>
            <w:r>
              <w:rPr>
                <w:noProof/>
                <w:webHidden/>
              </w:rPr>
              <w:t>41</w:t>
            </w:r>
            <w:r>
              <w:rPr>
                <w:noProof/>
                <w:webHidden/>
              </w:rPr>
              <w:fldChar w:fldCharType="end"/>
            </w:r>
          </w:hyperlink>
        </w:p>
        <w:p w14:paraId="47AD719F" w14:textId="63B917BF" w:rsidR="00AA7DA6" w:rsidRDefault="00AA7DA6">
          <w:pPr>
            <w:pStyle w:val="TOC2"/>
            <w:tabs>
              <w:tab w:val="right" w:leader="dot" w:pos="9016"/>
            </w:tabs>
            <w:rPr>
              <w:rFonts w:eastAsiaTheme="minorEastAsia"/>
              <w:noProof/>
              <w:lang w:eastAsia="en-GB"/>
            </w:rPr>
          </w:pPr>
          <w:hyperlink w:anchor="_Toc231740354" w:history="1">
            <w:r w:rsidRPr="00874790">
              <w:rPr>
                <w:rStyle w:val="Hyperlink"/>
                <w:noProof/>
              </w:rPr>
              <w:t>5.4 Translating Digital Engagement into Market Share and Purchasing Behaviour</w:t>
            </w:r>
            <w:r>
              <w:rPr>
                <w:noProof/>
                <w:webHidden/>
              </w:rPr>
              <w:tab/>
            </w:r>
            <w:r>
              <w:rPr>
                <w:noProof/>
                <w:webHidden/>
              </w:rPr>
              <w:fldChar w:fldCharType="begin"/>
            </w:r>
            <w:r>
              <w:rPr>
                <w:noProof/>
                <w:webHidden/>
              </w:rPr>
              <w:instrText xml:space="preserve"> PAGEREF _Toc231740354 \h </w:instrText>
            </w:r>
            <w:r>
              <w:rPr>
                <w:noProof/>
                <w:webHidden/>
              </w:rPr>
            </w:r>
            <w:r>
              <w:rPr>
                <w:noProof/>
                <w:webHidden/>
              </w:rPr>
              <w:fldChar w:fldCharType="separate"/>
            </w:r>
            <w:r>
              <w:rPr>
                <w:noProof/>
                <w:webHidden/>
              </w:rPr>
              <w:t>42</w:t>
            </w:r>
            <w:r>
              <w:rPr>
                <w:noProof/>
                <w:webHidden/>
              </w:rPr>
              <w:fldChar w:fldCharType="end"/>
            </w:r>
          </w:hyperlink>
        </w:p>
        <w:p w14:paraId="63ECC217" w14:textId="3D369D8F" w:rsidR="00AA7DA6" w:rsidRDefault="00AA7DA6">
          <w:pPr>
            <w:pStyle w:val="TOC2"/>
            <w:tabs>
              <w:tab w:val="right" w:leader="dot" w:pos="9016"/>
            </w:tabs>
            <w:rPr>
              <w:rFonts w:eastAsiaTheme="minorEastAsia"/>
              <w:noProof/>
              <w:lang w:eastAsia="en-GB"/>
            </w:rPr>
          </w:pPr>
          <w:hyperlink w:anchor="_Toc231740355" w:history="1">
            <w:r w:rsidRPr="00874790">
              <w:rPr>
                <w:rStyle w:val="Hyperlink"/>
                <w:noProof/>
              </w:rPr>
              <w:t>5.5 Constructing a Comparative Moat: Unilever vs. Procter &amp; Gamble (P&amp;G)</w:t>
            </w:r>
            <w:r>
              <w:rPr>
                <w:noProof/>
                <w:webHidden/>
              </w:rPr>
              <w:tab/>
            </w:r>
            <w:r>
              <w:rPr>
                <w:noProof/>
                <w:webHidden/>
              </w:rPr>
              <w:fldChar w:fldCharType="begin"/>
            </w:r>
            <w:r>
              <w:rPr>
                <w:noProof/>
                <w:webHidden/>
              </w:rPr>
              <w:instrText xml:space="preserve"> PAGEREF _Toc231740355 \h </w:instrText>
            </w:r>
            <w:r>
              <w:rPr>
                <w:noProof/>
                <w:webHidden/>
              </w:rPr>
            </w:r>
            <w:r>
              <w:rPr>
                <w:noProof/>
                <w:webHidden/>
              </w:rPr>
              <w:fldChar w:fldCharType="separate"/>
            </w:r>
            <w:r>
              <w:rPr>
                <w:noProof/>
                <w:webHidden/>
              </w:rPr>
              <w:t>42</w:t>
            </w:r>
            <w:r>
              <w:rPr>
                <w:noProof/>
                <w:webHidden/>
              </w:rPr>
              <w:fldChar w:fldCharType="end"/>
            </w:r>
          </w:hyperlink>
        </w:p>
        <w:p w14:paraId="0CDEEAB0" w14:textId="1406EF22" w:rsidR="00AA7DA6" w:rsidRDefault="00AA7DA6">
          <w:pPr>
            <w:pStyle w:val="TOC2"/>
            <w:tabs>
              <w:tab w:val="right" w:leader="dot" w:pos="9016"/>
            </w:tabs>
            <w:rPr>
              <w:rFonts w:eastAsiaTheme="minorEastAsia"/>
              <w:noProof/>
              <w:lang w:eastAsia="en-GB"/>
            </w:rPr>
          </w:pPr>
          <w:hyperlink w:anchor="_Toc231740356" w:history="1">
            <w:r w:rsidRPr="00874790">
              <w:rPr>
                <w:rStyle w:val="Hyperlink"/>
                <w:noProof/>
              </w:rPr>
              <w:t>5.6 Financial Implications and Corporate Reality</w:t>
            </w:r>
            <w:r>
              <w:rPr>
                <w:noProof/>
                <w:webHidden/>
              </w:rPr>
              <w:tab/>
            </w:r>
            <w:r>
              <w:rPr>
                <w:noProof/>
                <w:webHidden/>
              </w:rPr>
              <w:fldChar w:fldCharType="begin"/>
            </w:r>
            <w:r>
              <w:rPr>
                <w:noProof/>
                <w:webHidden/>
              </w:rPr>
              <w:instrText xml:space="preserve"> PAGEREF _Toc231740356 \h </w:instrText>
            </w:r>
            <w:r>
              <w:rPr>
                <w:noProof/>
                <w:webHidden/>
              </w:rPr>
            </w:r>
            <w:r>
              <w:rPr>
                <w:noProof/>
                <w:webHidden/>
              </w:rPr>
              <w:fldChar w:fldCharType="separate"/>
            </w:r>
            <w:r>
              <w:rPr>
                <w:noProof/>
                <w:webHidden/>
              </w:rPr>
              <w:t>43</w:t>
            </w:r>
            <w:r>
              <w:rPr>
                <w:noProof/>
                <w:webHidden/>
              </w:rPr>
              <w:fldChar w:fldCharType="end"/>
            </w:r>
          </w:hyperlink>
        </w:p>
        <w:p w14:paraId="5EDE1EDA" w14:textId="3E5674EE" w:rsidR="00AA7DA6" w:rsidRDefault="00AA7DA6">
          <w:pPr>
            <w:pStyle w:val="TOC2"/>
            <w:tabs>
              <w:tab w:val="right" w:leader="dot" w:pos="9016"/>
            </w:tabs>
            <w:rPr>
              <w:rFonts w:eastAsiaTheme="minorEastAsia"/>
              <w:noProof/>
              <w:lang w:eastAsia="en-GB"/>
            </w:rPr>
          </w:pPr>
          <w:hyperlink w:anchor="_Toc231740357" w:history="1">
            <w:r w:rsidRPr="00874790">
              <w:rPr>
                <w:rStyle w:val="Hyperlink"/>
                <w:noProof/>
              </w:rPr>
              <w:t>5.7 Macroeconomic Pressures and the Erosion of the "Green Premium"</w:t>
            </w:r>
            <w:r>
              <w:rPr>
                <w:noProof/>
                <w:webHidden/>
              </w:rPr>
              <w:tab/>
            </w:r>
            <w:r>
              <w:rPr>
                <w:noProof/>
                <w:webHidden/>
              </w:rPr>
              <w:fldChar w:fldCharType="begin"/>
            </w:r>
            <w:r>
              <w:rPr>
                <w:noProof/>
                <w:webHidden/>
              </w:rPr>
              <w:instrText xml:space="preserve"> PAGEREF _Toc231740357 \h </w:instrText>
            </w:r>
            <w:r>
              <w:rPr>
                <w:noProof/>
                <w:webHidden/>
              </w:rPr>
            </w:r>
            <w:r>
              <w:rPr>
                <w:noProof/>
                <w:webHidden/>
              </w:rPr>
              <w:fldChar w:fldCharType="separate"/>
            </w:r>
            <w:r>
              <w:rPr>
                <w:noProof/>
                <w:webHidden/>
              </w:rPr>
              <w:t>44</w:t>
            </w:r>
            <w:r>
              <w:rPr>
                <w:noProof/>
                <w:webHidden/>
              </w:rPr>
              <w:fldChar w:fldCharType="end"/>
            </w:r>
          </w:hyperlink>
        </w:p>
        <w:p w14:paraId="0A5284E3" w14:textId="7E34C1E7" w:rsidR="00AA7DA6" w:rsidRDefault="00AA7DA6">
          <w:pPr>
            <w:pStyle w:val="TOC3"/>
            <w:tabs>
              <w:tab w:val="right" w:leader="dot" w:pos="9016"/>
            </w:tabs>
            <w:rPr>
              <w:rFonts w:eastAsiaTheme="minorEastAsia"/>
              <w:noProof/>
              <w:lang w:eastAsia="en-GB"/>
            </w:rPr>
          </w:pPr>
          <w:hyperlink w:anchor="_Toc231740358" w:history="1">
            <w:r w:rsidRPr="00874790">
              <w:rPr>
                <w:rStyle w:val="Hyperlink"/>
                <w:noProof/>
              </w:rPr>
              <w:t>5.7.1 The UK Market: From "Eco-Premium" to "Eco-Efficiency"</w:t>
            </w:r>
            <w:r>
              <w:rPr>
                <w:noProof/>
                <w:webHidden/>
              </w:rPr>
              <w:tab/>
            </w:r>
            <w:r>
              <w:rPr>
                <w:noProof/>
                <w:webHidden/>
              </w:rPr>
              <w:fldChar w:fldCharType="begin"/>
            </w:r>
            <w:r>
              <w:rPr>
                <w:noProof/>
                <w:webHidden/>
              </w:rPr>
              <w:instrText xml:space="preserve"> PAGEREF _Toc231740358 \h </w:instrText>
            </w:r>
            <w:r>
              <w:rPr>
                <w:noProof/>
                <w:webHidden/>
              </w:rPr>
            </w:r>
            <w:r>
              <w:rPr>
                <w:noProof/>
                <w:webHidden/>
              </w:rPr>
              <w:fldChar w:fldCharType="separate"/>
            </w:r>
            <w:r>
              <w:rPr>
                <w:noProof/>
                <w:webHidden/>
              </w:rPr>
              <w:t>44</w:t>
            </w:r>
            <w:r>
              <w:rPr>
                <w:noProof/>
                <w:webHidden/>
              </w:rPr>
              <w:fldChar w:fldCharType="end"/>
            </w:r>
          </w:hyperlink>
        </w:p>
        <w:p w14:paraId="1AC0BD54" w14:textId="16725DBC" w:rsidR="00AA7DA6" w:rsidRDefault="00AA7DA6">
          <w:pPr>
            <w:pStyle w:val="TOC3"/>
            <w:tabs>
              <w:tab w:val="right" w:leader="dot" w:pos="9016"/>
            </w:tabs>
            <w:rPr>
              <w:rFonts w:eastAsiaTheme="minorEastAsia"/>
              <w:noProof/>
              <w:lang w:eastAsia="en-GB"/>
            </w:rPr>
          </w:pPr>
          <w:hyperlink w:anchor="_Toc231740359" w:history="1">
            <w:r w:rsidRPr="00874790">
              <w:rPr>
                <w:rStyle w:val="Hyperlink"/>
                <w:noProof/>
              </w:rPr>
              <w:t>5.7.2 The Indian Market: Value-Based Pricing and the Sachet Economy</w:t>
            </w:r>
            <w:r>
              <w:rPr>
                <w:noProof/>
                <w:webHidden/>
              </w:rPr>
              <w:tab/>
            </w:r>
            <w:r>
              <w:rPr>
                <w:noProof/>
                <w:webHidden/>
              </w:rPr>
              <w:fldChar w:fldCharType="begin"/>
            </w:r>
            <w:r>
              <w:rPr>
                <w:noProof/>
                <w:webHidden/>
              </w:rPr>
              <w:instrText xml:space="preserve"> PAGEREF _Toc231740359 \h </w:instrText>
            </w:r>
            <w:r>
              <w:rPr>
                <w:noProof/>
                <w:webHidden/>
              </w:rPr>
            </w:r>
            <w:r>
              <w:rPr>
                <w:noProof/>
                <w:webHidden/>
              </w:rPr>
              <w:fldChar w:fldCharType="separate"/>
            </w:r>
            <w:r>
              <w:rPr>
                <w:noProof/>
                <w:webHidden/>
              </w:rPr>
              <w:t>45</w:t>
            </w:r>
            <w:r>
              <w:rPr>
                <w:noProof/>
                <w:webHidden/>
              </w:rPr>
              <w:fldChar w:fldCharType="end"/>
            </w:r>
          </w:hyperlink>
        </w:p>
        <w:p w14:paraId="6F2BF037" w14:textId="7D439212" w:rsidR="00AA7DA6" w:rsidRDefault="00AA7DA6">
          <w:pPr>
            <w:pStyle w:val="TOC2"/>
            <w:tabs>
              <w:tab w:val="right" w:leader="dot" w:pos="9016"/>
            </w:tabs>
            <w:rPr>
              <w:rFonts w:eastAsiaTheme="minorEastAsia"/>
              <w:noProof/>
              <w:lang w:eastAsia="en-GB"/>
            </w:rPr>
          </w:pPr>
          <w:hyperlink w:anchor="_Toc231740360" w:history="1">
            <w:r w:rsidRPr="00874790">
              <w:rPr>
                <w:rStyle w:val="Hyperlink"/>
                <w:noProof/>
              </w:rPr>
              <w:t>5.8 The Weaponization of Digital Transparency as a Barrier to Entry</w:t>
            </w:r>
            <w:r>
              <w:rPr>
                <w:noProof/>
                <w:webHidden/>
              </w:rPr>
              <w:tab/>
            </w:r>
            <w:r>
              <w:rPr>
                <w:noProof/>
                <w:webHidden/>
              </w:rPr>
              <w:fldChar w:fldCharType="begin"/>
            </w:r>
            <w:r>
              <w:rPr>
                <w:noProof/>
                <w:webHidden/>
              </w:rPr>
              <w:instrText xml:space="preserve"> PAGEREF _Toc231740360 \h </w:instrText>
            </w:r>
            <w:r>
              <w:rPr>
                <w:noProof/>
                <w:webHidden/>
              </w:rPr>
            </w:r>
            <w:r>
              <w:rPr>
                <w:noProof/>
                <w:webHidden/>
              </w:rPr>
              <w:fldChar w:fldCharType="separate"/>
            </w:r>
            <w:r>
              <w:rPr>
                <w:noProof/>
                <w:webHidden/>
              </w:rPr>
              <w:t>45</w:t>
            </w:r>
            <w:r>
              <w:rPr>
                <w:noProof/>
                <w:webHidden/>
              </w:rPr>
              <w:fldChar w:fldCharType="end"/>
            </w:r>
          </w:hyperlink>
        </w:p>
        <w:p w14:paraId="03AB70BC" w14:textId="6DCA8615" w:rsidR="00AA7DA6" w:rsidRDefault="00AA7DA6">
          <w:pPr>
            <w:pStyle w:val="TOC1"/>
            <w:tabs>
              <w:tab w:val="right" w:leader="dot" w:pos="9016"/>
            </w:tabs>
            <w:rPr>
              <w:rFonts w:eastAsiaTheme="minorEastAsia"/>
              <w:noProof/>
              <w:lang w:eastAsia="en-GB"/>
            </w:rPr>
          </w:pPr>
          <w:hyperlink w:anchor="_Toc231740361" w:history="1">
            <w:r w:rsidRPr="00874790">
              <w:rPr>
                <w:rStyle w:val="Hyperlink"/>
                <w:noProof/>
              </w:rPr>
              <w:t>Chapter 6: Conclusion and Recommendations</w:t>
            </w:r>
            <w:r>
              <w:rPr>
                <w:noProof/>
                <w:webHidden/>
              </w:rPr>
              <w:tab/>
            </w:r>
            <w:r>
              <w:rPr>
                <w:noProof/>
                <w:webHidden/>
              </w:rPr>
              <w:fldChar w:fldCharType="begin"/>
            </w:r>
            <w:r>
              <w:rPr>
                <w:noProof/>
                <w:webHidden/>
              </w:rPr>
              <w:instrText xml:space="preserve"> PAGEREF _Toc231740361 \h </w:instrText>
            </w:r>
            <w:r>
              <w:rPr>
                <w:noProof/>
                <w:webHidden/>
              </w:rPr>
            </w:r>
            <w:r>
              <w:rPr>
                <w:noProof/>
                <w:webHidden/>
              </w:rPr>
              <w:fldChar w:fldCharType="separate"/>
            </w:r>
            <w:r>
              <w:rPr>
                <w:noProof/>
                <w:webHidden/>
              </w:rPr>
              <w:t>47</w:t>
            </w:r>
            <w:r>
              <w:rPr>
                <w:noProof/>
                <w:webHidden/>
              </w:rPr>
              <w:fldChar w:fldCharType="end"/>
            </w:r>
          </w:hyperlink>
        </w:p>
        <w:p w14:paraId="63108E6C" w14:textId="07291356" w:rsidR="00AA7DA6" w:rsidRDefault="00AA7DA6">
          <w:pPr>
            <w:pStyle w:val="TOC2"/>
            <w:tabs>
              <w:tab w:val="right" w:leader="dot" w:pos="9016"/>
            </w:tabs>
            <w:rPr>
              <w:rFonts w:eastAsiaTheme="minorEastAsia"/>
              <w:noProof/>
              <w:lang w:eastAsia="en-GB"/>
            </w:rPr>
          </w:pPr>
          <w:hyperlink w:anchor="_Toc231740362" w:history="1">
            <w:r w:rsidRPr="00874790">
              <w:rPr>
                <w:rStyle w:val="Hyperlink"/>
                <w:noProof/>
              </w:rPr>
              <w:t>6.1 Introduction to the Conclusion</w:t>
            </w:r>
            <w:r>
              <w:rPr>
                <w:noProof/>
                <w:webHidden/>
              </w:rPr>
              <w:tab/>
            </w:r>
            <w:r>
              <w:rPr>
                <w:noProof/>
                <w:webHidden/>
              </w:rPr>
              <w:fldChar w:fldCharType="begin"/>
            </w:r>
            <w:r>
              <w:rPr>
                <w:noProof/>
                <w:webHidden/>
              </w:rPr>
              <w:instrText xml:space="preserve"> PAGEREF _Toc231740362 \h </w:instrText>
            </w:r>
            <w:r>
              <w:rPr>
                <w:noProof/>
                <w:webHidden/>
              </w:rPr>
            </w:r>
            <w:r>
              <w:rPr>
                <w:noProof/>
                <w:webHidden/>
              </w:rPr>
              <w:fldChar w:fldCharType="separate"/>
            </w:r>
            <w:r>
              <w:rPr>
                <w:noProof/>
                <w:webHidden/>
              </w:rPr>
              <w:t>47</w:t>
            </w:r>
            <w:r>
              <w:rPr>
                <w:noProof/>
                <w:webHidden/>
              </w:rPr>
              <w:fldChar w:fldCharType="end"/>
            </w:r>
          </w:hyperlink>
        </w:p>
        <w:p w14:paraId="0D34B2EF" w14:textId="5E88F2D1" w:rsidR="00AA7DA6" w:rsidRDefault="00AA7DA6">
          <w:pPr>
            <w:pStyle w:val="TOC2"/>
            <w:tabs>
              <w:tab w:val="right" w:leader="dot" w:pos="9016"/>
            </w:tabs>
            <w:rPr>
              <w:rFonts w:eastAsiaTheme="minorEastAsia"/>
              <w:noProof/>
              <w:lang w:eastAsia="en-GB"/>
            </w:rPr>
          </w:pPr>
          <w:hyperlink w:anchor="_Toc231740363" w:history="1">
            <w:r w:rsidRPr="00874790">
              <w:rPr>
                <w:rStyle w:val="Hyperlink"/>
                <w:noProof/>
              </w:rPr>
              <w:t>6.2 Synthesis of Key Findings</w:t>
            </w:r>
            <w:r>
              <w:rPr>
                <w:noProof/>
                <w:webHidden/>
              </w:rPr>
              <w:tab/>
            </w:r>
            <w:r>
              <w:rPr>
                <w:noProof/>
                <w:webHidden/>
              </w:rPr>
              <w:fldChar w:fldCharType="begin"/>
            </w:r>
            <w:r>
              <w:rPr>
                <w:noProof/>
                <w:webHidden/>
              </w:rPr>
              <w:instrText xml:space="preserve"> PAGEREF _Toc231740363 \h </w:instrText>
            </w:r>
            <w:r>
              <w:rPr>
                <w:noProof/>
                <w:webHidden/>
              </w:rPr>
            </w:r>
            <w:r>
              <w:rPr>
                <w:noProof/>
                <w:webHidden/>
              </w:rPr>
              <w:fldChar w:fldCharType="separate"/>
            </w:r>
            <w:r>
              <w:rPr>
                <w:noProof/>
                <w:webHidden/>
              </w:rPr>
              <w:t>47</w:t>
            </w:r>
            <w:r>
              <w:rPr>
                <w:noProof/>
                <w:webHidden/>
              </w:rPr>
              <w:fldChar w:fldCharType="end"/>
            </w:r>
          </w:hyperlink>
        </w:p>
        <w:p w14:paraId="39C12B4E" w14:textId="6D0997E1" w:rsidR="00AA7DA6" w:rsidRDefault="00AA7DA6">
          <w:pPr>
            <w:pStyle w:val="TOC2"/>
            <w:tabs>
              <w:tab w:val="right" w:leader="dot" w:pos="9016"/>
            </w:tabs>
            <w:rPr>
              <w:rFonts w:eastAsiaTheme="minorEastAsia"/>
              <w:noProof/>
              <w:lang w:eastAsia="en-GB"/>
            </w:rPr>
          </w:pPr>
          <w:hyperlink w:anchor="_Toc231740364" w:history="1">
            <w:r w:rsidRPr="00874790">
              <w:rPr>
                <w:rStyle w:val="Hyperlink"/>
                <w:noProof/>
              </w:rPr>
              <w:t>6.3 Theoretical Contributions</w:t>
            </w:r>
            <w:r>
              <w:rPr>
                <w:noProof/>
                <w:webHidden/>
              </w:rPr>
              <w:tab/>
            </w:r>
            <w:r>
              <w:rPr>
                <w:noProof/>
                <w:webHidden/>
              </w:rPr>
              <w:fldChar w:fldCharType="begin"/>
            </w:r>
            <w:r>
              <w:rPr>
                <w:noProof/>
                <w:webHidden/>
              </w:rPr>
              <w:instrText xml:space="preserve"> PAGEREF _Toc231740364 \h </w:instrText>
            </w:r>
            <w:r>
              <w:rPr>
                <w:noProof/>
                <w:webHidden/>
              </w:rPr>
            </w:r>
            <w:r>
              <w:rPr>
                <w:noProof/>
                <w:webHidden/>
              </w:rPr>
              <w:fldChar w:fldCharType="separate"/>
            </w:r>
            <w:r>
              <w:rPr>
                <w:noProof/>
                <w:webHidden/>
              </w:rPr>
              <w:t>48</w:t>
            </w:r>
            <w:r>
              <w:rPr>
                <w:noProof/>
                <w:webHidden/>
              </w:rPr>
              <w:fldChar w:fldCharType="end"/>
            </w:r>
          </w:hyperlink>
        </w:p>
        <w:p w14:paraId="42A716D1" w14:textId="40DDC156" w:rsidR="00AA7DA6" w:rsidRDefault="00AA7DA6">
          <w:pPr>
            <w:pStyle w:val="TOC2"/>
            <w:tabs>
              <w:tab w:val="right" w:leader="dot" w:pos="9016"/>
            </w:tabs>
            <w:rPr>
              <w:rFonts w:eastAsiaTheme="minorEastAsia"/>
              <w:noProof/>
              <w:lang w:eastAsia="en-GB"/>
            </w:rPr>
          </w:pPr>
          <w:hyperlink w:anchor="_Toc231740365" w:history="1">
            <w:r w:rsidRPr="00874790">
              <w:rPr>
                <w:rStyle w:val="Hyperlink"/>
                <w:noProof/>
              </w:rPr>
              <w:t>6.4 Managerial and Strategic Recommendations</w:t>
            </w:r>
            <w:r>
              <w:rPr>
                <w:noProof/>
                <w:webHidden/>
              </w:rPr>
              <w:tab/>
            </w:r>
            <w:r>
              <w:rPr>
                <w:noProof/>
                <w:webHidden/>
              </w:rPr>
              <w:fldChar w:fldCharType="begin"/>
            </w:r>
            <w:r>
              <w:rPr>
                <w:noProof/>
                <w:webHidden/>
              </w:rPr>
              <w:instrText xml:space="preserve"> PAGEREF _Toc231740365 \h </w:instrText>
            </w:r>
            <w:r>
              <w:rPr>
                <w:noProof/>
                <w:webHidden/>
              </w:rPr>
            </w:r>
            <w:r>
              <w:rPr>
                <w:noProof/>
                <w:webHidden/>
              </w:rPr>
              <w:fldChar w:fldCharType="separate"/>
            </w:r>
            <w:r>
              <w:rPr>
                <w:noProof/>
                <w:webHidden/>
              </w:rPr>
              <w:t>49</w:t>
            </w:r>
            <w:r>
              <w:rPr>
                <w:noProof/>
                <w:webHidden/>
              </w:rPr>
              <w:fldChar w:fldCharType="end"/>
            </w:r>
          </w:hyperlink>
        </w:p>
        <w:p w14:paraId="1F2334B5" w14:textId="6773676E" w:rsidR="00AA7DA6" w:rsidRDefault="00AA7DA6">
          <w:pPr>
            <w:pStyle w:val="TOC2"/>
            <w:tabs>
              <w:tab w:val="right" w:leader="dot" w:pos="9016"/>
            </w:tabs>
            <w:rPr>
              <w:rFonts w:eastAsiaTheme="minorEastAsia"/>
              <w:noProof/>
              <w:lang w:eastAsia="en-GB"/>
            </w:rPr>
          </w:pPr>
          <w:hyperlink w:anchor="_Toc231740366" w:history="1">
            <w:r w:rsidRPr="00874790">
              <w:rPr>
                <w:rStyle w:val="Hyperlink"/>
                <w:noProof/>
              </w:rPr>
              <w:t>6.5 Limitations of the Study</w:t>
            </w:r>
            <w:r>
              <w:rPr>
                <w:noProof/>
                <w:webHidden/>
              </w:rPr>
              <w:tab/>
            </w:r>
            <w:r>
              <w:rPr>
                <w:noProof/>
                <w:webHidden/>
              </w:rPr>
              <w:fldChar w:fldCharType="begin"/>
            </w:r>
            <w:r>
              <w:rPr>
                <w:noProof/>
                <w:webHidden/>
              </w:rPr>
              <w:instrText xml:space="preserve"> PAGEREF _Toc231740366 \h </w:instrText>
            </w:r>
            <w:r>
              <w:rPr>
                <w:noProof/>
                <w:webHidden/>
              </w:rPr>
            </w:r>
            <w:r>
              <w:rPr>
                <w:noProof/>
                <w:webHidden/>
              </w:rPr>
              <w:fldChar w:fldCharType="separate"/>
            </w:r>
            <w:r>
              <w:rPr>
                <w:noProof/>
                <w:webHidden/>
              </w:rPr>
              <w:t>50</w:t>
            </w:r>
            <w:r>
              <w:rPr>
                <w:noProof/>
                <w:webHidden/>
              </w:rPr>
              <w:fldChar w:fldCharType="end"/>
            </w:r>
          </w:hyperlink>
        </w:p>
        <w:p w14:paraId="24A9C2FF" w14:textId="1AF1E6C5" w:rsidR="00AA7DA6" w:rsidRDefault="00AA7DA6">
          <w:pPr>
            <w:pStyle w:val="TOC2"/>
            <w:tabs>
              <w:tab w:val="right" w:leader="dot" w:pos="9016"/>
            </w:tabs>
            <w:rPr>
              <w:rFonts w:eastAsiaTheme="minorEastAsia"/>
              <w:noProof/>
              <w:lang w:eastAsia="en-GB"/>
            </w:rPr>
          </w:pPr>
          <w:hyperlink w:anchor="_Toc231740367" w:history="1">
            <w:r w:rsidRPr="00874790">
              <w:rPr>
                <w:rStyle w:val="Hyperlink"/>
                <w:noProof/>
              </w:rPr>
              <w:t>6.6 Future Research Directions</w:t>
            </w:r>
            <w:r>
              <w:rPr>
                <w:noProof/>
                <w:webHidden/>
              </w:rPr>
              <w:tab/>
            </w:r>
            <w:r>
              <w:rPr>
                <w:noProof/>
                <w:webHidden/>
              </w:rPr>
              <w:fldChar w:fldCharType="begin"/>
            </w:r>
            <w:r>
              <w:rPr>
                <w:noProof/>
                <w:webHidden/>
              </w:rPr>
              <w:instrText xml:space="preserve"> PAGEREF _Toc231740367 \h </w:instrText>
            </w:r>
            <w:r>
              <w:rPr>
                <w:noProof/>
                <w:webHidden/>
              </w:rPr>
            </w:r>
            <w:r>
              <w:rPr>
                <w:noProof/>
                <w:webHidden/>
              </w:rPr>
              <w:fldChar w:fldCharType="separate"/>
            </w:r>
            <w:r>
              <w:rPr>
                <w:noProof/>
                <w:webHidden/>
              </w:rPr>
              <w:t>50</w:t>
            </w:r>
            <w:r>
              <w:rPr>
                <w:noProof/>
                <w:webHidden/>
              </w:rPr>
              <w:fldChar w:fldCharType="end"/>
            </w:r>
          </w:hyperlink>
        </w:p>
        <w:p w14:paraId="1FAA6FCE" w14:textId="16B66140" w:rsidR="00AA7DA6" w:rsidRDefault="00AA7DA6">
          <w:pPr>
            <w:pStyle w:val="TOC2"/>
            <w:tabs>
              <w:tab w:val="right" w:leader="dot" w:pos="9016"/>
            </w:tabs>
            <w:rPr>
              <w:rFonts w:eastAsiaTheme="minorEastAsia"/>
              <w:noProof/>
              <w:lang w:eastAsia="en-GB"/>
            </w:rPr>
          </w:pPr>
          <w:hyperlink w:anchor="_Toc231740368" w:history="1">
            <w:r w:rsidRPr="00874790">
              <w:rPr>
                <w:rStyle w:val="Hyperlink"/>
                <w:noProof/>
              </w:rPr>
              <w:t>6.7 Concluding Remarks</w:t>
            </w:r>
            <w:r>
              <w:rPr>
                <w:noProof/>
                <w:webHidden/>
              </w:rPr>
              <w:tab/>
            </w:r>
            <w:r>
              <w:rPr>
                <w:noProof/>
                <w:webHidden/>
              </w:rPr>
              <w:fldChar w:fldCharType="begin"/>
            </w:r>
            <w:r>
              <w:rPr>
                <w:noProof/>
                <w:webHidden/>
              </w:rPr>
              <w:instrText xml:space="preserve"> PAGEREF _Toc231740368 \h </w:instrText>
            </w:r>
            <w:r>
              <w:rPr>
                <w:noProof/>
                <w:webHidden/>
              </w:rPr>
            </w:r>
            <w:r>
              <w:rPr>
                <w:noProof/>
                <w:webHidden/>
              </w:rPr>
              <w:fldChar w:fldCharType="separate"/>
            </w:r>
            <w:r>
              <w:rPr>
                <w:noProof/>
                <w:webHidden/>
              </w:rPr>
              <w:t>51</w:t>
            </w:r>
            <w:r>
              <w:rPr>
                <w:noProof/>
                <w:webHidden/>
              </w:rPr>
              <w:fldChar w:fldCharType="end"/>
            </w:r>
          </w:hyperlink>
        </w:p>
        <w:p w14:paraId="688FEA08" w14:textId="19F0290C" w:rsidR="00AA7DA6" w:rsidRDefault="00AA7DA6">
          <w:pPr>
            <w:pStyle w:val="TOC1"/>
            <w:tabs>
              <w:tab w:val="right" w:leader="dot" w:pos="9016"/>
            </w:tabs>
            <w:rPr>
              <w:rFonts w:eastAsiaTheme="minorEastAsia"/>
              <w:noProof/>
              <w:lang w:eastAsia="en-GB"/>
            </w:rPr>
          </w:pPr>
          <w:hyperlink w:anchor="_Toc231740369" w:history="1">
            <w:r w:rsidRPr="00874790">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_Toc231740369 \h </w:instrText>
            </w:r>
            <w:r>
              <w:rPr>
                <w:noProof/>
                <w:webHidden/>
              </w:rPr>
            </w:r>
            <w:r>
              <w:rPr>
                <w:noProof/>
                <w:webHidden/>
              </w:rPr>
              <w:fldChar w:fldCharType="separate"/>
            </w:r>
            <w:r>
              <w:rPr>
                <w:noProof/>
                <w:webHidden/>
              </w:rPr>
              <w:t>52</w:t>
            </w:r>
            <w:r>
              <w:rPr>
                <w:noProof/>
                <w:webHidden/>
              </w:rPr>
              <w:fldChar w:fldCharType="end"/>
            </w:r>
          </w:hyperlink>
        </w:p>
        <w:p w14:paraId="74121795" w14:textId="5CB80E07" w:rsidR="00AA7DA6" w:rsidRDefault="00AA7DA6">
          <w:pPr>
            <w:pStyle w:val="TOC1"/>
            <w:tabs>
              <w:tab w:val="right" w:leader="dot" w:pos="9016"/>
            </w:tabs>
            <w:rPr>
              <w:rFonts w:eastAsiaTheme="minorEastAsia"/>
              <w:noProof/>
              <w:lang w:eastAsia="en-GB"/>
            </w:rPr>
          </w:pPr>
          <w:hyperlink w:anchor="_Toc231740370" w:history="1">
            <w:r w:rsidRPr="00874790">
              <w:rPr>
                <w:rStyle w:val="Hyperlink"/>
                <w:rFonts w:eastAsia="Times New Roman"/>
                <w:noProof/>
                <w:lang w:eastAsia="en-GB"/>
              </w:rPr>
              <w:t>Appendices</w:t>
            </w:r>
            <w:r>
              <w:rPr>
                <w:noProof/>
                <w:webHidden/>
              </w:rPr>
              <w:tab/>
            </w:r>
            <w:r>
              <w:rPr>
                <w:noProof/>
                <w:webHidden/>
              </w:rPr>
              <w:fldChar w:fldCharType="begin"/>
            </w:r>
            <w:r>
              <w:rPr>
                <w:noProof/>
                <w:webHidden/>
              </w:rPr>
              <w:instrText xml:space="preserve"> PAGEREF _Toc231740370 \h </w:instrText>
            </w:r>
            <w:r>
              <w:rPr>
                <w:noProof/>
                <w:webHidden/>
              </w:rPr>
            </w:r>
            <w:r>
              <w:rPr>
                <w:noProof/>
                <w:webHidden/>
              </w:rPr>
              <w:fldChar w:fldCharType="separate"/>
            </w:r>
            <w:r>
              <w:rPr>
                <w:noProof/>
                <w:webHidden/>
              </w:rPr>
              <w:t>56</w:t>
            </w:r>
            <w:r>
              <w:rPr>
                <w:noProof/>
                <w:webHidden/>
              </w:rPr>
              <w:fldChar w:fldCharType="end"/>
            </w:r>
          </w:hyperlink>
        </w:p>
        <w:p w14:paraId="7651757F" w14:textId="751FB7CC" w:rsidR="0078498F" w:rsidRDefault="0078498F">
          <w:r>
            <w:rPr>
              <w:b/>
              <w:bCs/>
            </w:rPr>
            <w:fldChar w:fldCharType="end"/>
          </w:r>
        </w:p>
      </w:sdtContent>
    </w:sdt>
    <w:p w14:paraId="0839A790" w14:textId="77777777" w:rsidR="0078498F" w:rsidRPr="00C84D32" w:rsidRDefault="0078498F" w:rsidP="000D27D9">
      <w:pPr>
        <w:spacing w:line="276" w:lineRule="auto"/>
        <w:rPr>
          <w:rFonts w:ascii="Arial" w:hAnsi="Arial" w:cs="Arial"/>
        </w:rPr>
      </w:pPr>
    </w:p>
    <w:p w14:paraId="5278A43B" w14:textId="77777777" w:rsidR="002B5D37" w:rsidRPr="00BD5FBC" w:rsidRDefault="002B5D37" w:rsidP="00BD5FBC">
      <w:pPr>
        <w:spacing w:line="276" w:lineRule="auto"/>
        <w:rPr>
          <w:rFonts w:ascii="Arial" w:hAnsi="Arial" w:cs="Arial"/>
          <w:b/>
          <w:bCs/>
        </w:rPr>
      </w:pPr>
    </w:p>
    <w:p w14:paraId="5BDF9400" w14:textId="77777777" w:rsidR="002B5D37" w:rsidRPr="00BD5FBC" w:rsidRDefault="002B5D37" w:rsidP="00BD5FBC">
      <w:pPr>
        <w:spacing w:line="276" w:lineRule="auto"/>
        <w:rPr>
          <w:rFonts w:ascii="Arial" w:hAnsi="Arial" w:cs="Arial"/>
          <w:b/>
          <w:bCs/>
        </w:rPr>
      </w:pPr>
    </w:p>
    <w:p w14:paraId="58A8547C" w14:textId="77777777" w:rsidR="002B5D37" w:rsidRPr="00BD5FBC" w:rsidRDefault="002B5D37" w:rsidP="00BD5FBC">
      <w:pPr>
        <w:spacing w:line="276" w:lineRule="auto"/>
        <w:rPr>
          <w:rFonts w:ascii="Arial" w:hAnsi="Arial" w:cs="Arial"/>
          <w:b/>
          <w:bCs/>
        </w:rPr>
      </w:pPr>
    </w:p>
    <w:p w14:paraId="0D38F03A" w14:textId="77777777" w:rsidR="00C84D32" w:rsidRPr="0078498F" w:rsidRDefault="00C84D32" w:rsidP="0078498F">
      <w:pPr>
        <w:pStyle w:val="Heading1"/>
      </w:pPr>
      <w:bookmarkStart w:id="13" w:name="_Toc231740292"/>
      <w:r w:rsidRPr="0078498F">
        <w:t>Chapter 1: Introduction</w:t>
      </w:r>
      <w:bookmarkEnd w:id="13"/>
    </w:p>
    <w:p w14:paraId="7EFB0632" w14:textId="6AB0C5EE" w:rsidR="0078498F" w:rsidRPr="0078498F" w:rsidRDefault="00C84D32" w:rsidP="0078498F">
      <w:pPr>
        <w:pStyle w:val="Heading2"/>
      </w:pPr>
      <w:bookmarkStart w:id="14" w:name="_Toc231740293"/>
      <w:r w:rsidRPr="0078498F">
        <w:t>1.1 Background of the Study: The FMCG "Double Transition" (Digital-First and Environmental Sustainability)</w:t>
      </w:r>
      <w:bookmarkEnd w:id="14"/>
    </w:p>
    <w:p w14:paraId="17E8E473" w14:textId="0C06E139" w:rsidR="00C84D32" w:rsidRPr="00C55E2A" w:rsidRDefault="00C84D32" w:rsidP="00C84D32">
      <w:pPr>
        <w:rPr>
          <w:rFonts w:ascii="Arial" w:hAnsi="Arial" w:cs="Arial"/>
        </w:rPr>
      </w:pPr>
      <w:r w:rsidRPr="00C55E2A">
        <w:rPr>
          <w:rFonts w:ascii="Arial" w:hAnsi="Arial" w:cs="Arial"/>
        </w:rPr>
        <w:t xml:space="preserve">For many years, the fast-moving consumer goods (FMCG) industry used to follow a high-volume low-margin static production process, large physical supply chains and one-way mass broadcasting. By using broadcast television, print ads and radio, </w:t>
      </w:r>
      <w:r w:rsidRPr="00761389">
        <w:rPr>
          <w:rFonts w:ascii="Arial" w:hAnsi="Arial" w:cs="Arial"/>
        </w:rPr>
        <w:t>due to their irrelevance, corporates shaped all consumer preferences</w:t>
      </w:r>
      <w:r w:rsidRPr="00C55E2A">
        <w:rPr>
          <w:rFonts w:ascii="Arial" w:hAnsi="Arial" w:cs="Arial"/>
        </w:rPr>
        <w:t xml:space="preserve">. Today we are faced with a never-before level of disruption to the worldwide marketplace. According to industry veterans, the FMCG sector today is in the </w:t>
      </w:r>
      <w:r>
        <w:rPr>
          <w:rFonts w:ascii="Arial" w:hAnsi="Arial" w:cs="Arial"/>
        </w:rPr>
        <w:t>middle</w:t>
      </w:r>
      <w:r w:rsidRPr="00C55E2A">
        <w:rPr>
          <w:rFonts w:ascii="Arial" w:hAnsi="Arial" w:cs="Arial"/>
        </w:rPr>
        <w:t xml:space="preserve"> of a “double transition”. The need of the hour is to reposition quickly for a digital-first corporate architecture and sustainability at the same time (Jaiswal &amp; Singh, 2018).      </w:t>
      </w:r>
    </w:p>
    <w:p w14:paraId="5C90D7A2" w14:textId="77777777" w:rsidR="00C84D32" w:rsidRPr="00C55E2A" w:rsidRDefault="00C84D32" w:rsidP="00C84D32">
      <w:pPr>
        <w:rPr>
          <w:rFonts w:ascii="Arial" w:hAnsi="Arial" w:cs="Arial"/>
        </w:rPr>
      </w:pPr>
      <w:r w:rsidRPr="00C55E2A">
        <w:rPr>
          <w:rFonts w:ascii="Arial" w:hAnsi="Arial" w:cs="Arial"/>
        </w:rPr>
        <w:t xml:space="preserve">The first pillar of this transition digitalization came from Web 2.0 and exponential growth of social and e-commerce sites. </w:t>
      </w:r>
      <w:r w:rsidRPr="002D009D">
        <w:rPr>
          <w:rFonts w:ascii="Arial" w:hAnsi="Arial" w:cs="Arial"/>
        </w:rPr>
        <w:t>People are not as easily influenced anymore. The multinational's monopoly over information about themselves has been</w:t>
      </w:r>
      <w:r>
        <w:rPr>
          <w:rFonts w:ascii="Arial" w:hAnsi="Arial" w:cs="Arial"/>
        </w:rPr>
        <w:t xml:space="preserve"> </w:t>
      </w:r>
      <w:r w:rsidRPr="002D009D">
        <w:rPr>
          <w:rFonts w:ascii="Arial" w:hAnsi="Arial" w:cs="Arial"/>
        </w:rPr>
        <w:t>weakened as people found it easier to find information. Consumers are not passive shoppers who accept everything.</w:t>
      </w:r>
      <w:r w:rsidRPr="005A2097">
        <w:rPr>
          <w:rFonts w:ascii="Arial" w:hAnsi="Arial" w:cs="Arial"/>
        </w:rPr>
        <w:t xml:space="preserve"> They are increasingly becoming a stakeholder, and the stakeholders are becoming actors who want the brand to talk to them back. Further, the brand has to be accountable and transparent (</w:t>
      </w:r>
      <w:proofErr w:type="spellStart"/>
      <w:r w:rsidRPr="005A2097">
        <w:rPr>
          <w:rFonts w:ascii="Arial" w:hAnsi="Arial" w:cs="Arial"/>
        </w:rPr>
        <w:t>Qalati</w:t>
      </w:r>
      <w:proofErr w:type="spellEnd"/>
      <w:r w:rsidRPr="005A2097">
        <w:rPr>
          <w:rFonts w:ascii="Arial" w:hAnsi="Arial" w:cs="Arial"/>
        </w:rPr>
        <w:t xml:space="preserve"> et al., 2024). </w:t>
      </w:r>
      <w:r w:rsidRPr="0005383F">
        <w:rPr>
          <w:rFonts w:ascii="Arial" w:hAnsi="Arial" w:cs="Arial"/>
        </w:rPr>
        <w:t>The broadcasting model will become less and less effective,</w:t>
      </w:r>
      <w:r w:rsidRPr="00832DE2">
        <w:rPr>
          <w:rFonts w:ascii="Arial" w:hAnsi="Arial" w:cs="Arial"/>
          <w:color w:val="0F172A"/>
          <w:spacing w:val="-2"/>
          <w:sz w:val="22"/>
          <w:szCs w:val="22"/>
          <w:shd w:val="clear" w:color="auto" w:fill="FFFFFF"/>
        </w:rPr>
        <w:t xml:space="preserve"> </w:t>
      </w:r>
      <w:r w:rsidRPr="00832DE2">
        <w:rPr>
          <w:rFonts w:ascii="Arial" w:hAnsi="Arial" w:cs="Arial"/>
        </w:rPr>
        <w:t>Since the mass market being clearly categorized into specific micro segments.</w:t>
      </w:r>
    </w:p>
    <w:p w14:paraId="3BAD431C" w14:textId="77777777" w:rsidR="00C84D32" w:rsidRDefault="00C84D32" w:rsidP="00C84D32">
      <w:pPr>
        <w:rPr>
          <w:rFonts w:ascii="Arial" w:hAnsi="Arial" w:cs="Arial"/>
        </w:rPr>
      </w:pPr>
      <w:r w:rsidRPr="00C55E2A">
        <w:rPr>
          <w:rFonts w:ascii="Arial" w:hAnsi="Arial" w:cs="Arial"/>
        </w:rPr>
        <w:t xml:space="preserve">The first column is often social, and the second environmental sustainability which was a minor CSR to </w:t>
      </w:r>
      <w:r w:rsidRPr="00BB75DA">
        <w:rPr>
          <w:rFonts w:ascii="Arial" w:hAnsi="Arial" w:cs="Arial"/>
        </w:rPr>
        <w:t>a tool for economic growth</w:t>
      </w:r>
      <w:r w:rsidRPr="00C55E2A">
        <w:rPr>
          <w:rFonts w:ascii="Arial" w:hAnsi="Arial" w:cs="Arial"/>
        </w:rPr>
        <w:t xml:space="preserve">. Plastic waste is growing day by day just as the climate crisis is. Moreover, there is evolving social value, and there is a scanner on all major FMCG. All over the world, tougher regulations will mean verifiable proof of responsibility toward the environment. Similarly, </w:t>
      </w:r>
      <w:r w:rsidRPr="009040BE">
        <w:rPr>
          <w:rFonts w:ascii="Arial" w:hAnsi="Arial" w:cs="Arial"/>
        </w:rPr>
        <w:t>Consumers today are being impacted more and more by their buying behaviour while purchasing brands considered less harmful or eco-friendly or even boycotting those products which are said to be harmful</w:t>
      </w:r>
      <w:r>
        <w:rPr>
          <w:rFonts w:ascii="Arial" w:hAnsi="Arial" w:cs="Arial"/>
        </w:rPr>
        <w:t xml:space="preserve"> </w:t>
      </w:r>
      <w:r w:rsidRPr="00C55E2A">
        <w:rPr>
          <w:rFonts w:ascii="Arial" w:hAnsi="Arial" w:cs="Arial"/>
        </w:rPr>
        <w:t xml:space="preserve">( Yadav &amp; Kumari, 2024). Unilever, a world leader in FMCG, is leading this dual transition. </w:t>
      </w:r>
      <w:r w:rsidRPr="001C3C17">
        <w:rPr>
          <w:rFonts w:ascii="Arial" w:hAnsi="Arial" w:cs="Arial"/>
        </w:rPr>
        <w:t>In the view of Unilever, anything that it is selling will have no inconsistency of market price because sustainability has been digitised</w:t>
      </w:r>
      <w:r>
        <w:rPr>
          <w:rFonts w:ascii="Arial" w:hAnsi="Arial" w:cs="Arial"/>
        </w:rPr>
        <w:t>.</w:t>
      </w:r>
      <w:r w:rsidRPr="00A7249E">
        <w:rPr>
          <w:rFonts w:ascii="Arial" w:hAnsi="Arial" w:cs="Arial"/>
        </w:rPr>
        <w:t xml:space="preserve"> </w:t>
      </w:r>
      <w:r w:rsidRPr="00CA3D81">
        <w:rPr>
          <w:rFonts w:ascii="Arial" w:hAnsi="Arial" w:cs="Arial"/>
        </w:rPr>
        <w:t xml:space="preserve">According to the organization, digital technology is an important instrument in shaping the consumer mind. </w:t>
      </w:r>
      <w:r w:rsidRPr="00C55E2A">
        <w:rPr>
          <w:rFonts w:ascii="Arial" w:hAnsi="Arial" w:cs="Arial"/>
        </w:rPr>
        <w:t xml:space="preserve">(Ibrahim et al., 2025). This transition will not be worldwide but will depend on financial conditions and socio-global challenges. </w:t>
      </w:r>
      <w:r w:rsidRPr="00C510AD">
        <w:rPr>
          <w:rFonts w:ascii="Arial" w:hAnsi="Arial" w:cs="Arial"/>
        </w:rPr>
        <w:t>The UK and India represent different markets for this shift.</w:t>
      </w:r>
      <w:r w:rsidRPr="00C55E2A">
        <w:rPr>
          <w:rFonts w:ascii="Arial" w:hAnsi="Arial" w:cs="Arial"/>
        </w:rPr>
        <w:t xml:space="preserve"> </w:t>
      </w:r>
    </w:p>
    <w:p w14:paraId="00F45A2C" w14:textId="77777777" w:rsidR="00C84D32" w:rsidRDefault="00C84D32" w:rsidP="00C84D32">
      <w:pPr>
        <w:rPr>
          <w:rFonts w:ascii="Arial" w:hAnsi="Arial" w:cs="Arial"/>
        </w:rPr>
      </w:pPr>
      <w:r w:rsidRPr="00C55E2A">
        <w:rPr>
          <w:rFonts w:ascii="Arial" w:hAnsi="Arial" w:cs="Arial"/>
        </w:rPr>
        <w:t>CO2 Aware</w:t>
      </w:r>
      <w:r>
        <w:rPr>
          <w:rFonts w:ascii="Arial" w:hAnsi="Arial" w:cs="Arial"/>
        </w:rPr>
        <w:t>ness</w:t>
      </w:r>
      <w:r w:rsidRPr="00C55E2A">
        <w:rPr>
          <w:rFonts w:ascii="Arial" w:hAnsi="Arial" w:cs="Arial"/>
        </w:rPr>
        <w:t xml:space="preserve"> explains that knowing the size of the footprint is the very first step toward reducing your carbon footprint. Moreover, the document outlines effective methods for reducing scope 1 emissions through onsite renewable energy use and switching fuels (Subramanian et al., 2025). </w:t>
      </w:r>
      <w:r w:rsidRPr="00107A13">
        <w:rPr>
          <w:rFonts w:ascii="Arial" w:hAnsi="Arial" w:cs="Arial"/>
        </w:rPr>
        <w:t>The amount of greenhouse gas emission by a product or service is its carbon footprint. As a result, more and more organisations, corporations &amp; government agencies are coming to realize that sustainability is becoming a key competitive differentiator and strategy.</w:t>
      </w:r>
    </w:p>
    <w:p w14:paraId="39340B06" w14:textId="77777777" w:rsidR="00C84D32" w:rsidRPr="00C55E2A" w:rsidRDefault="00C84D32" w:rsidP="0078498F">
      <w:pPr>
        <w:pStyle w:val="Heading2"/>
        <w:rPr>
          <w:rFonts w:eastAsia="Times New Roman"/>
          <w:lang w:eastAsia="en-GB"/>
        </w:rPr>
      </w:pPr>
      <w:bookmarkStart w:id="15" w:name="_Toc231740294"/>
      <w:r w:rsidRPr="00C55E2A">
        <w:rPr>
          <w:rFonts w:eastAsia="Times New Roman"/>
          <w:lang w:eastAsia="en-GB"/>
        </w:rPr>
        <w:t>1.2 Unilever's Strategic Evolution: Transitioning to the "Desire at Scale" Paradigm</w:t>
      </w:r>
      <w:bookmarkEnd w:id="15"/>
    </w:p>
    <w:p w14:paraId="1C97B222" w14:textId="793793C3" w:rsidR="00C84D32" w:rsidRPr="00C55E2A" w:rsidRDefault="00C84D32" w:rsidP="00C84D32">
      <w:pPr>
        <w:rPr>
          <w:rFonts w:ascii="Arial" w:hAnsi="Arial" w:cs="Arial"/>
          <w:lang w:eastAsia="en-GB"/>
        </w:rPr>
      </w:pPr>
      <w:r w:rsidRPr="00C55E2A">
        <w:rPr>
          <w:rFonts w:ascii="Arial" w:hAnsi="Arial" w:cs="Arial"/>
          <w:lang w:eastAsia="en-GB"/>
        </w:rPr>
        <w:t xml:space="preserve">Unilever uses the “Desire at Scale” concept in markets to help define and apply this double transition.  In the past, </w:t>
      </w:r>
      <w:r w:rsidR="0078498F" w:rsidRPr="00991860">
        <w:rPr>
          <w:rFonts w:ascii="Arial" w:hAnsi="Arial" w:cs="Arial"/>
          <w:lang w:eastAsia="en-GB"/>
        </w:rPr>
        <w:t>the</w:t>
      </w:r>
      <w:r w:rsidRPr="00991860">
        <w:rPr>
          <w:rFonts w:ascii="Arial" w:hAnsi="Arial" w:cs="Arial"/>
          <w:lang w:eastAsia="en-GB"/>
        </w:rPr>
        <w:t xml:space="preserve"> widespread usage of emotional generic advertising weakened advertising specific for the brand and advertising brand image.</w:t>
      </w:r>
      <w:r w:rsidRPr="00C55E2A">
        <w:rPr>
          <w:rFonts w:ascii="Arial" w:hAnsi="Arial" w:cs="Arial"/>
          <w:lang w:eastAsia="en-GB"/>
        </w:rPr>
        <w:t xml:space="preserve"> While this “Desire at Scale” model has conceptual differences due to the use of advanced AI and machine learning algorithms along with </w:t>
      </w:r>
      <w:r w:rsidRPr="009D4575">
        <w:rPr>
          <w:rFonts w:ascii="Arial" w:hAnsi="Arial" w:cs="Arial"/>
          <w:lang w:eastAsia="en-GB"/>
        </w:rPr>
        <w:t xml:space="preserve">Utilizing big data analytics can help create very personalized marketing pieces that contribute to consumption at a large scale but in an individual manner. </w:t>
      </w:r>
      <w:r w:rsidRPr="00C55E2A">
        <w:rPr>
          <w:rFonts w:ascii="Arial" w:hAnsi="Arial" w:cs="Arial"/>
          <w:lang w:eastAsia="en-GB"/>
        </w:rPr>
        <w:t xml:space="preserve">(Kim et al., 2015). With the help of AI-enabled programmatic advertising and personalised content, Unilever aims to create authentic 1:1 </w:t>
      </w:r>
      <w:r w:rsidR="0078498F" w:rsidRPr="00C55E2A">
        <w:rPr>
          <w:rFonts w:ascii="Arial" w:hAnsi="Arial" w:cs="Arial"/>
          <w:lang w:eastAsia="en-GB"/>
        </w:rPr>
        <w:t>connection</w:t>
      </w:r>
      <w:r w:rsidRPr="00C55E2A">
        <w:rPr>
          <w:rFonts w:ascii="Arial" w:hAnsi="Arial" w:cs="Arial"/>
          <w:lang w:eastAsia="en-GB"/>
        </w:rPr>
        <w:t xml:space="preserve"> with millions of consumers simultaneously. </w:t>
      </w:r>
    </w:p>
    <w:p w14:paraId="02999633" w14:textId="77777777" w:rsidR="00C84D32" w:rsidRPr="00C55E2A" w:rsidRDefault="00C84D32" w:rsidP="00C84D32">
      <w:pPr>
        <w:rPr>
          <w:rFonts w:ascii="Arial" w:hAnsi="Arial" w:cs="Arial"/>
          <w:lang w:eastAsia="en-GB"/>
        </w:rPr>
      </w:pPr>
      <w:r w:rsidRPr="00C55E2A">
        <w:rPr>
          <w:rFonts w:ascii="Arial" w:hAnsi="Arial" w:cs="Arial"/>
          <w:lang w:eastAsia="en-GB"/>
        </w:rPr>
        <w:t xml:space="preserve">The aim is to achieve commercial profit and ethical purpose together in a way that treats sustainability neither as a premium nor as a compromise on the effectiveness of the product. It utilizes the SASSY framework, which refers to Superior Science, Agility, Sustainability and Younique personalization. </w:t>
      </w:r>
      <w:r w:rsidRPr="0065076E">
        <w:rPr>
          <w:rFonts w:ascii="Arial" w:hAnsi="Arial" w:cs="Arial"/>
          <w:lang w:eastAsia="en-GB"/>
        </w:rPr>
        <w:t>Unilever marketers can regularly update their messages as per actual consumer behaviour reports which are available from data tracking</w:t>
      </w:r>
      <w:r w:rsidRPr="00C55E2A">
        <w:rPr>
          <w:rFonts w:ascii="Arial" w:hAnsi="Arial" w:cs="Arial"/>
          <w:lang w:eastAsia="en-GB"/>
        </w:rPr>
        <w:t xml:space="preserve"> (Rana &amp; Kapoor, 2025). Unilever will add more technology hubs to their marketing operations with this strategy.</w:t>
      </w:r>
    </w:p>
    <w:p w14:paraId="5923DFD1" w14:textId="77777777" w:rsidR="00C84D32" w:rsidRPr="00C55E2A" w:rsidRDefault="00C84D32" w:rsidP="00C84D32">
      <w:pPr>
        <w:rPr>
          <w:rFonts w:ascii="Arial" w:hAnsi="Arial" w:cs="Arial"/>
          <w:lang w:eastAsia="en-GB"/>
        </w:rPr>
      </w:pPr>
      <w:r w:rsidRPr="00C55E2A">
        <w:rPr>
          <w:rFonts w:ascii="Arial" w:hAnsi="Arial" w:cs="Arial"/>
          <w:lang w:eastAsia="en-GB"/>
        </w:rPr>
        <w:t xml:space="preserve">Similar to visual story-telling software and data-sharing platforms (eg. “Sketch Pro”) enables the company to practice radical transparency. Due to such tools, Unilever’s supply-chain data, product lifecycle and carbon footprint are easy to present and actively showcase the firm’s compatibility with the Unilever Compass (Ibrahim et al 2025). </w:t>
      </w:r>
      <w:r w:rsidRPr="00945E7E">
        <w:rPr>
          <w:rFonts w:ascii="Arial" w:hAnsi="Arial" w:cs="Arial"/>
          <w:lang w:eastAsia="en-GB"/>
        </w:rPr>
        <w:t>A single big idea can spark a wide conversation, especially with youth. Compass is the sustainability programme of Unilever. However, a message that would feel real and believable in the digital world of London would feel out of place in rural India. As a result, Unilever must generate highly localized digital material for every influencer partnership, as well as localized language content for local news websites.</w:t>
      </w:r>
    </w:p>
    <w:p w14:paraId="504E4518" w14:textId="77777777" w:rsidR="00C84D32" w:rsidRPr="0078498F" w:rsidRDefault="00C84D32" w:rsidP="0078498F">
      <w:pPr>
        <w:pStyle w:val="Heading2"/>
      </w:pPr>
      <w:bookmarkStart w:id="16" w:name="_Toc231740295"/>
      <w:r w:rsidRPr="0078498F">
        <w:t>1.3 Problem Statement: The Trust-Digital Paradox and the Rise of Digital Greenwashing</w:t>
      </w:r>
      <w:bookmarkEnd w:id="16"/>
    </w:p>
    <w:p w14:paraId="65BD9756" w14:textId="77777777" w:rsidR="00C84D32" w:rsidRPr="00C55E2A" w:rsidRDefault="00C84D32" w:rsidP="00C84D32">
      <w:pPr>
        <w:rPr>
          <w:rFonts w:ascii="Arial" w:hAnsi="Arial" w:cs="Arial"/>
          <w:lang w:eastAsia="en-GB"/>
        </w:rPr>
      </w:pPr>
      <w:r w:rsidRPr="0078498F">
        <w:rPr>
          <w:rFonts w:ascii="Arial" w:hAnsi="Arial" w:cs="Arial"/>
          <w:lang w:eastAsia="en-GB"/>
        </w:rPr>
        <w:t>Moving towards digital sustainability marketing allows companies to be more focused and transparent in their dealings. But, it loses a certain something that traditional marketing had. As per the authors, large FMCG brands now face a “Trust-Digital Paradox” (Serhan and Zhang 2025). In other words, while digital platforms allow firms to send out very personal messages, those same digital platforms are now filled with information, knee-jerk reactions and distrust. As the digital marketing industry grows rapidly, the phenomenon of “digital greenwashing” is also on the rise.</w:t>
      </w:r>
      <w:r>
        <w:rPr>
          <w:rFonts w:ascii="Arial" w:hAnsi="Arial" w:cs="Arial"/>
          <w:lang w:eastAsia="en-GB"/>
        </w:rPr>
        <w:t xml:space="preserve"> </w:t>
      </w:r>
      <w:r w:rsidRPr="00672D4B">
        <w:rPr>
          <w:rFonts w:ascii="Arial" w:hAnsi="Arial" w:cs="Arial"/>
          <w:lang w:eastAsia="en-GB"/>
        </w:rPr>
        <w:t>When an enterprise attempts to make a product appear more ecologically friendly than it is through methods such as imposing images of nature</w:t>
      </w:r>
      <w:r>
        <w:rPr>
          <w:rFonts w:ascii="Arial" w:hAnsi="Arial" w:cs="Arial"/>
          <w:lang w:eastAsia="en-GB"/>
        </w:rPr>
        <w:t xml:space="preserve"> </w:t>
      </w:r>
      <w:r w:rsidRPr="00672D4B">
        <w:rPr>
          <w:rFonts w:ascii="Arial" w:hAnsi="Arial" w:cs="Arial"/>
          <w:lang w:eastAsia="en-GB"/>
        </w:rPr>
        <w:t>(</w:t>
      </w:r>
      <w:proofErr w:type="spellStart"/>
      <w:r w:rsidRPr="00672D4B">
        <w:rPr>
          <w:rFonts w:ascii="Arial" w:hAnsi="Arial" w:cs="Arial"/>
          <w:lang w:eastAsia="en-GB"/>
        </w:rPr>
        <w:t>Blagorazumnaia</w:t>
      </w:r>
      <w:proofErr w:type="spellEnd"/>
      <w:r w:rsidRPr="00672D4B">
        <w:rPr>
          <w:rFonts w:ascii="Arial" w:hAnsi="Arial" w:cs="Arial"/>
          <w:lang w:eastAsia="en-GB"/>
        </w:rPr>
        <w:t xml:space="preserve"> et al. 2024).</w:t>
      </w:r>
    </w:p>
    <w:p w14:paraId="3563B47B" w14:textId="77777777" w:rsidR="00C84D32" w:rsidRDefault="00C84D32" w:rsidP="00C84D32">
      <w:pPr>
        <w:rPr>
          <w:rFonts w:ascii="Arial" w:hAnsi="Arial" w:cs="Arial"/>
          <w:lang w:eastAsia="en-GB"/>
        </w:rPr>
      </w:pPr>
      <w:r w:rsidRPr="00F71D3D">
        <w:rPr>
          <w:rFonts w:ascii="Arial" w:hAnsi="Arial" w:cs="Arial"/>
          <w:lang w:eastAsia="en-GB"/>
        </w:rPr>
        <w:t>With large brands moving more of their green messages online consumers are becoming smarter at distancing brands that say one thing but do another. Research tells us most people do not believe companies with environment-friendly claims (Ibrahim et al., 2025). Moreover, electronic messages vanish fast. They are competing. Because of this, brands struggle to keep their credibility over time.</w:t>
      </w:r>
    </w:p>
    <w:p w14:paraId="4D0F9E49" w14:textId="77777777" w:rsidR="00C84D32" w:rsidRPr="0078498F" w:rsidRDefault="00C84D32" w:rsidP="0078498F">
      <w:pPr>
        <w:rPr>
          <w:rFonts w:ascii="Arial" w:hAnsi="Arial" w:cs="Arial"/>
          <w:lang w:eastAsia="en-GB"/>
        </w:rPr>
      </w:pPr>
      <w:r w:rsidRPr="0078498F">
        <w:rPr>
          <w:rFonts w:ascii="Arial" w:hAnsi="Arial" w:cs="Arial"/>
          <w:lang w:eastAsia="en-GB"/>
        </w:rPr>
        <w:t>According to Edelman (2023), the Trust-Digital Paradox is when companies are able to almost perfectly target individuals with an advertisement because of AI. People start to doubt its authenticity when they realize that the ad was created by an algorithm. If the ad sounds like it’s coming from a computer instead of a genuine company guarantee, mistrust sets in quickly. Unilever can use digital signals to demonstrate their sustainability claims more effectively in a real and believable way. Employing a case study method, the trust issues in the UK and India are examined in detail.</w:t>
      </w:r>
    </w:p>
    <w:p w14:paraId="6B383AEC" w14:textId="77777777" w:rsidR="00C84D32" w:rsidRPr="0078498F" w:rsidRDefault="00C84D32" w:rsidP="0078498F">
      <w:pPr>
        <w:pStyle w:val="Heading2"/>
      </w:pPr>
      <w:bookmarkStart w:id="17" w:name="_Toc231740296"/>
      <w:r w:rsidRPr="0078498F">
        <w:t>1.4 Research Aim and Objectives</w:t>
      </w:r>
      <w:bookmarkEnd w:id="17"/>
    </w:p>
    <w:p w14:paraId="673958DB"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The goal of this dissertation is to show how Unilever has moved from traditional marketing to digital and sustainability in the UK and India with special focus on culture, consumer’s trust and brand equity. </w:t>
      </w:r>
    </w:p>
    <w:p w14:paraId="1E12C3C5"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Taking this general objective as the main goal of the study, this study defines the following specific objectives:</w:t>
      </w:r>
    </w:p>
    <w:p w14:paraId="50ED19DB" w14:textId="77777777" w:rsidR="00C84D32" w:rsidRPr="00C55E2A" w:rsidRDefault="00C84D32" w:rsidP="00C84D32">
      <w:pPr>
        <w:numPr>
          <w:ilvl w:val="0"/>
          <w:numId w:val="10"/>
        </w:num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To identify and systematically map the distinct digital "Green Codes"</w:t>
      </w:r>
      <w:r w:rsidRPr="00C55E2A">
        <w:rPr>
          <w:rFonts w:ascii="Arial" w:eastAsia="Times New Roman" w:hAnsi="Arial" w:cs="Arial"/>
          <w:kern w:val="0"/>
          <w:lang w:eastAsia="en-GB"/>
          <w14:ligatures w14:val="none"/>
        </w:rPr>
        <w:t xml:space="preserve"> Consumer engagement in UK and India capturing the use of thematic sustainability narratives and meaning making systems by Unilever in UK versus India.</w:t>
      </w:r>
    </w:p>
    <w:p w14:paraId="3305D6BA" w14:textId="77777777" w:rsidR="00C84D32" w:rsidRPr="00C55E2A" w:rsidRDefault="00C84D32" w:rsidP="00C84D32">
      <w:pPr>
        <w:numPr>
          <w:ilvl w:val="0"/>
          <w:numId w:val="10"/>
        </w:num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To critically assess the effectiveness of these highly localized digital strategies</w:t>
      </w:r>
      <w:r w:rsidRPr="00C55E2A">
        <w:rPr>
          <w:rFonts w:ascii="Arial" w:eastAsia="Times New Roman" w:hAnsi="Arial" w:cs="Arial"/>
          <w:kern w:val="0"/>
          <w:lang w:eastAsia="en-GB"/>
          <w14:ligatures w14:val="none"/>
        </w:rPr>
        <w:t xml:space="preserve"> in mitigating consumer skepticism, countering greenwashing allegations, and overcoming the Trust-Digital Paradox.</w:t>
      </w:r>
    </w:p>
    <w:p w14:paraId="020B7431" w14:textId="77777777" w:rsidR="00C84D32" w:rsidRPr="00C55E2A" w:rsidRDefault="00C84D32" w:rsidP="00C84D32">
      <w:pPr>
        <w:numPr>
          <w:ilvl w:val="0"/>
          <w:numId w:val="10"/>
        </w:num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To evaluate the commercial and strategic efficacy of these narratives</w:t>
      </w:r>
      <w:r w:rsidRPr="00C55E2A">
        <w:rPr>
          <w:rFonts w:ascii="Arial" w:eastAsia="Times New Roman" w:hAnsi="Arial" w:cs="Arial"/>
          <w:kern w:val="0"/>
          <w:lang w:eastAsia="en-GB"/>
          <w14:ligatures w14:val="none"/>
        </w:rPr>
        <w:t xml:space="preserve"> by triangulating documentary evidence, corporate disclosures (such as the </w:t>
      </w:r>
      <w:r w:rsidRPr="00C55E2A">
        <w:rPr>
          <w:rFonts w:ascii="Arial" w:eastAsia="Times New Roman" w:hAnsi="Arial" w:cs="Arial"/>
          <w:i/>
          <w:iCs/>
          <w:kern w:val="0"/>
          <w:lang w:eastAsia="en-GB"/>
          <w14:ligatures w14:val="none"/>
        </w:rPr>
        <w:t>Unilever Compass</w:t>
      </w:r>
      <w:r w:rsidRPr="00C55E2A">
        <w:rPr>
          <w:rFonts w:ascii="Arial" w:eastAsia="Times New Roman" w:hAnsi="Arial" w:cs="Arial"/>
          <w:kern w:val="0"/>
          <w:lang w:eastAsia="en-GB"/>
          <w14:ligatures w14:val="none"/>
        </w:rPr>
        <w:t xml:space="preserve"> and Annual Reports), and independent market intelligence (e.g., Edelman Trust Barometer, Mintel reports).</w:t>
      </w:r>
    </w:p>
    <w:p w14:paraId="0C752E61" w14:textId="77777777" w:rsidR="00C84D32" w:rsidRPr="00C55E2A" w:rsidRDefault="00C84D32" w:rsidP="00C84D32">
      <w:pPr>
        <w:numPr>
          <w:ilvl w:val="0"/>
          <w:numId w:val="10"/>
        </w:num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To provide a critical comparative analysis</w:t>
      </w:r>
      <w:r w:rsidRPr="00C55E2A">
        <w:rPr>
          <w:rFonts w:ascii="Arial" w:eastAsia="Times New Roman" w:hAnsi="Arial" w:cs="Arial"/>
          <w:kern w:val="0"/>
          <w:lang w:eastAsia="en-GB"/>
          <w14:ligatures w14:val="none"/>
        </w:rPr>
        <w:t xml:space="preserve"> of Unilever’s hyper-localized digital sustainability approach against the broader strategic landscape, utilizing specific case studies (such as the Dove brand) to illuminate the divergence between science-led and social-led marketing.</w:t>
      </w:r>
    </w:p>
    <w:p w14:paraId="06810A06" w14:textId="77777777" w:rsidR="00C84D32" w:rsidRPr="0078498F" w:rsidRDefault="00C84D32" w:rsidP="0078498F">
      <w:pPr>
        <w:pStyle w:val="Heading2"/>
      </w:pPr>
      <w:bookmarkStart w:id="18" w:name="_Toc231740297"/>
      <w:r w:rsidRPr="0078498F">
        <w:t>1.5 Research Questions</w:t>
      </w:r>
      <w:bookmarkEnd w:id="18"/>
    </w:p>
    <w:p w14:paraId="1F6A36EE"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Guided by the aims and objectives, and grounded in a qualitative comparative framework, this dissertation seeks to answer the following core research questions:</w:t>
      </w:r>
    </w:p>
    <w:p w14:paraId="48C9F9DE" w14:textId="77777777" w:rsidR="00C84D32" w:rsidRPr="00C55E2A" w:rsidRDefault="00C84D32" w:rsidP="00C84D32">
      <w:pPr>
        <w:numPr>
          <w:ilvl w:val="0"/>
          <w:numId w:val="11"/>
        </w:num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Primary Question:</w:t>
      </w:r>
      <w:r w:rsidRPr="00C55E2A">
        <w:rPr>
          <w:rFonts w:ascii="Arial" w:eastAsia="Times New Roman" w:hAnsi="Arial" w:cs="Arial"/>
          <w:kern w:val="0"/>
          <w:lang w:eastAsia="en-GB"/>
          <w14:ligatures w14:val="none"/>
        </w:rPr>
        <w:t xml:space="preserve"> How do cultural and socio-economic perceptions of sustainability fundamentally differ between the UK and India, and how does Unilever adapt its digital marketing strategies (specifically its "Green Codes" and SASSY framework) to accommodate these divides?</w:t>
      </w:r>
    </w:p>
    <w:p w14:paraId="07838F72" w14:textId="77777777" w:rsidR="00C84D32" w:rsidRPr="00C55E2A" w:rsidRDefault="00C84D32" w:rsidP="00C84D32">
      <w:pPr>
        <w:numPr>
          <w:ilvl w:val="0"/>
          <w:numId w:val="11"/>
        </w:num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Secondary Question 1:</w:t>
      </w:r>
      <w:r w:rsidRPr="00C55E2A">
        <w:rPr>
          <w:rFonts w:ascii="Arial" w:eastAsia="Times New Roman" w:hAnsi="Arial" w:cs="Arial"/>
          <w:kern w:val="0"/>
          <w:lang w:eastAsia="en-GB"/>
          <w14:ligatures w14:val="none"/>
        </w:rPr>
        <w:t xml:space="preserve"> To what extent do Unilever’s localized digital sustainability narratives successfully mitigate the "Trust-Digital Paradox" and defend against accusations of digital greenwashing in both mature and emerging markets?</w:t>
      </w:r>
    </w:p>
    <w:p w14:paraId="5D22BB10" w14:textId="77777777" w:rsidR="00C84D32" w:rsidRPr="00C55E2A" w:rsidRDefault="00C84D32" w:rsidP="00C84D32">
      <w:pPr>
        <w:numPr>
          <w:ilvl w:val="0"/>
          <w:numId w:val="11"/>
        </w:num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Secondary Question 2:</w:t>
      </w:r>
      <w:r w:rsidRPr="00C55E2A">
        <w:rPr>
          <w:rFonts w:ascii="Arial" w:eastAsia="Times New Roman" w:hAnsi="Arial" w:cs="Arial"/>
          <w:kern w:val="0"/>
          <w:lang w:eastAsia="en-GB"/>
          <w14:ligatures w14:val="none"/>
        </w:rPr>
        <w:t xml:space="preserve"> How does the strategic resource allocation toward digital-first ecosystems and technological transparency tools impact the overarching corporate narrative as reflected in Unilever's annual performance and sustainability disclosures?</w:t>
      </w:r>
    </w:p>
    <w:p w14:paraId="186F4CED" w14:textId="77777777" w:rsidR="00C84D32" w:rsidRPr="0078498F" w:rsidRDefault="00C84D32" w:rsidP="0078498F">
      <w:pPr>
        <w:pStyle w:val="Heading2"/>
      </w:pPr>
      <w:bookmarkStart w:id="19" w:name="_Toc231740298"/>
      <w:r w:rsidRPr="0078498F">
        <w:t>1.6 Rationale of the Study: Navigating Cultural Divides in the UK and India</w:t>
      </w:r>
      <w:bookmarkEnd w:id="19"/>
    </w:p>
    <w:p w14:paraId="00E6DA19" w14:textId="77777777" w:rsidR="00C84D32" w:rsidRPr="00C55E2A" w:rsidRDefault="00C84D32" w:rsidP="00C84D32">
      <w:pPr>
        <w:rPr>
          <w:rFonts w:ascii="Arial" w:hAnsi="Arial" w:cs="Arial"/>
          <w:lang w:eastAsia="en-GB"/>
        </w:rPr>
      </w:pPr>
      <w:r w:rsidRPr="005F7680">
        <w:rPr>
          <w:rFonts w:ascii="Arial" w:hAnsi="Arial" w:cs="Arial"/>
          <w:lang w:eastAsia="en-GB"/>
        </w:rPr>
        <w:t>Green marketing is a phenomenon which a number of studies talk about, but the none of them have compared how global companies adapt their online sustainability communication in very different cultural contexts. Marketers need an understanding of the digital marketing and the link between local culture. The usefulness of contrast lies in the fact that UK and India are totally different on many counts. Citizens in United Kingdom are conscious about the environmental issue. They shop with great caution and intelligence. On top of that, the UK has a very stringent DMCC Act. Greenwashing is now illegal in the country. It goes on to analyse carbon reduction, recycling, evidence of claims, the full responsibility of firms, and further (Ibrahim et al. 2025</w:t>
      </w:r>
      <w:r>
        <w:rPr>
          <w:rFonts w:ascii="Arial" w:hAnsi="Arial" w:cs="Arial"/>
          <w:lang w:eastAsia="en-GB"/>
        </w:rPr>
        <w:t>)</w:t>
      </w:r>
      <w:r w:rsidRPr="00C55E2A">
        <w:rPr>
          <w:rFonts w:ascii="Arial" w:hAnsi="Arial" w:cs="Arial"/>
          <w:lang w:eastAsia="en-GB"/>
        </w:rPr>
        <w:t xml:space="preserve">. </w:t>
      </w:r>
    </w:p>
    <w:p w14:paraId="334994D3" w14:textId="77777777" w:rsidR="00C84D32" w:rsidRDefault="00C84D32" w:rsidP="00C84D32">
      <w:pPr>
        <w:rPr>
          <w:rFonts w:ascii="Arial" w:hAnsi="Arial" w:cs="Arial"/>
          <w:lang w:eastAsia="en-GB"/>
        </w:rPr>
      </w:pPr>
      <w:r w:rsidRPr="008A67A4">
        <w:rPr>
          <w:rFonts w:ascii="Arial" w:hAnsi="Arial" w:cs="Arial"/>
          <w:lang w:eastAsia="en-GB"/>
        </w:rPr>
        <w:t>The economy of India is very big and growing very fast. People associate sustainability with bigger issues such as earning more money, being more healthy, having better gender equality and having more community life. As a result, the “thing green” is obscured with these social issues (Imane &amp; Rabeh, 2025).</w:t>
      </w:r>
      <w:r>
        <w:rPr>
          <w:rFonts w:ascii="Arial" w:hAnsi="Arial" w:cs="Arial"/>
          <w:lang w:eastAsia="en-GB"/>
        </w:rPr>
        <w:t xml:space="preserve"> </w:t>
      </w:r>
      <w:r w:rsidRPr="00583C1C">
        <w:rPr>
          <w:rFonts w:ascii="Arial" w:hAnsi="Arial" w:cs="Arial"/>
          <w:lang w:eastAsia="en-GB"/>
        </w:rPr>
        <w:t xml:space="preserve">This research </w:t>
      </w:r>
      <w:proofErr w:type="spellStart"/>
      <w:r w:rsidRPr="00583C1C">
        <w:rPr>
          <w:rFonts w:ascii="Arial" w:hAnsi="Arial" w:cs="Arial"/>
          <w:lang w:eastAsia="en-GB"/>
        </w:rPr>
        <w:t>analyzes</w:t>
      </w:r>
      <w:proofErr w:type="spellEnd"/>
      <w:r w:rsidRPr="00583C1C">
        <w:rPr>
          <w:rFonts w:ascii="Arial" w:hAnsi="Arial" w:cs="Arial"/>
          <w:lang w:eastAsia="en-GB"/>
        </w:rPr>
        <w:t xml:space="preserve"> the effectiveness of green advertising in two very different contexts in a much deeper, not superficial fashion. They demonstrate that a global brand cannot simply take one message and make it work in every market, but needs to customize their narrative on a national level only. Brands that understand the local culture of the market are doing the best sustainability marketing.</w:t>
      </w:r>
    </w:p>
    <w:p w14:paraId="28DF2EC8" w14:textId="77777777" w:rsidR="00C84D32" w:rsidRPr="00C55E2A" w:rsidRDefault="00C84D32" w:rsidP="0078498F">
      <w:pPr>
        <w:pStyle w:val="Heading2"/>
        <w:rPr>
          <w:rFonts w:eastAsia="Times New Roman"/>
          <w:lang w:eastAsia="en-GB"/>
        </w:rPr>
      </w:pPr>
      <w:bookmarkStart w:id="20" w:name="_Toc231740299"/>
      <w:r w:rsidRPr="00C55E2A">
        <w:rPr>
          <w:rFonts w:eastAsia="Times New Roman"/>
          <w:lang w:eastAsia="en-GB"/>
        </w:rPr>
        <w:t>1.7 Dissertation Outline</w:t>
      </w:r>
      <w:bookmarkEnd w:id="20"/>
    </w:p>
    <w:p w14:paraId="1512829E" w14:textId="77777777" w:rsidR="00C84D32" w:rsidRPr="00C55E2A" w:rsidRDefault="00C84D32" w:rsidP="00C84D32">
      <w:pPr>
        <w:rPr>
          <w:rFonts w:ascii="Arial" w:hAnsi="Arial" w:cs="Arial"/>
          <w:lang w:eastAsia="en-GB"/>
        </w:rPr>
      </w:pPr>
      <w:r w:rsidRPr="00C55E2A">
        <w:rPr>
          <w:rFonts w:ascii="Arial" w:hAnsi="Arial" w:cs="Arial"/>
          <w:lang w:eastAsia="en-GB"/>
        </w:rPr>
        <w:t>Chapter 2 (Literature Review) will critically review the academic discussion and literature around evolution of brand purpose, Broadcasting to Belonging, SASSY marketing and Signalling Theory in the light of digital greenwashing. The study uses interpretivist philosophy and qualitative comparative case study methodology as discussed in chapter 3 (Research Methodology) covering archival digital research and corporate disclosure analysis. Chapter 4 (Results and Comparative Analysis) includes important qualitative findings as they relate the specific “Green Codes” of the UK and India by virtue of a comparative case study of Dove as well as Unilever’s corporate streams. In chapter 5 (Discussion), Critical reflections on these findings are presented in a novel way in terms of how the Trust-Digital Paradox could be resolved by Localized Authenticity. Chapter 6, consisting of the Conclusion and Recommendations, provides a synthesis of theoretical contribution and strategic managerial recommendations for the working FMCG sector.</w:t>
      </w:r>
    </w:p>
    <w:p w14:paraId="02299BF7" w14:textId="77777777" w:rsidR="00C84D32" w:rsidRPr="00C55E2A" w:rsidRDefault="00C84D32" w:rsidP="00C84D32">
      <w:pPr>
        <w:rPr>
          <w:rFonts w:ascii="Arial" w:hAnsi="Arial" w:cs="Arial"/>
          <w:lang w:eastAsia="en-GB"/>
        </w:rPr>
      </w:pPr>
    </w:p>
    <w:p w14:paraId="1151032D" w14:textId="77777777" w:rsidR="00C84D32" w:rsidRPr="00C55E2A" w:rsidRDefault="00C84D32" w:rsidP="00C84D32">
      <w:pPr>
        <w:rPr>
          <w:rFonts w:ascii="Arial" w:hAnsi="Arial" w:cs="Arial"/>
          <w:lang w:eastAsia="en-GB"/>
        </w:rPr>
      </w:pPr>
    </w:p>
    <w:p w14:paraId="6BF3862A" w14:textId="77777777" w:rsidR="00C84D32" w:rsidRPr="00C55E2A" w:rsidRDefault="00C84D32" w:rsidP="00C84D32">
      <w:pPr>
        <w:rPr>
          <w:rFonts w:ascii="Arial" w:hAnsi="Arial" w:cs="Arial"/>
          <w:lang w:eastAsia="en-GB"/>
        </w:rPr>
      </w:pPr>
    </w:p>
    <w:p w14:paraId="786EE3EA" w14:textId="77777777" w:rsidR="00C84D32" w:rsidRPr="00C55E2A" w:rsidRDefault="00C84D32" w:rsidP="00C84D32">
      <w:pPr>
        <w:rPr>
          <w:rFonts w:ascii="Arial" w:hAnsi="Arial" w:cs="Arial"/>
          <w:lang w:eastAsia="en-GB"/>
        </w:rPr>
      </w:pPr>
    </w:p>
    <w:p w14:paraId="512A8AC2" w14:textId="77777777" w:rsidR="00C84D32" w:rsidRPr="00C55E2A" w:rsidRDefault="00C84D32" w:rsidP="00C84D32">
      <w:pPr>
        <w:rPr>
          <w:rFonts w:ascii="Arial" w:hAnsi="Arial" w:cs="Arial"/>
          <w:lang w:eastAsia="en-GB"/>
        </w:rPr>
      </w:pPr>
    </w:p>
    <w:p w14:paraId="681A0CF7" w14:textId="77777777" w:rsidR="00C84D32" w:rsidRPr="00C55E2A" w:rsidRDefault="00C84D32" w:rsidP="00C84D32">
      <w:pPr>
        <w:rPr>
          <w:rFonts w:ascii="Arial" w:hAnsi="Arial" w:cs="Arial"/>
          <w:lang w:eastAsia="en-GB"/>
        </w:rPr>
      </w:pPr>
    </w:p>
    <w:p w14:paraId="4A704D6D" w14:textId="77777777" w:rsidR="00C84D32" w:rsidRPr="00C55E2A" w:rsidRDefault="00C84D32" w:rsidP="00C84D32">
      <w:pPr>
        <w:rPr>
          <w:rFonts w:ascii="Arial" w:hAnsi="Arial" w:cs="Arial"/>
          <w:lang w:eastAsia="en-GB"/>
        </w:rPr>
      </w:pPr>
    </w:p>
    <w:p w14:paraId="51572570" w14:textId="77777777" w:rsidR="00C84D32" w:rsidRPr="00C55E2A" w:rsidRDefault="00C84D32" w:rsidP="00C84D32">
      <w:pPr>
        <w:rPr>
          <w:rFonts w:ascii="Arial" w:hAnsi="Arial" w:cs="Arial"/>
          <w:lang w:eastAsia="en-GB"/>
        </w:rPr>
      </w:pPr>
    </w:p>
    <w:p w14:paraId="17442789" w14:textId="77777777" w:rsidR="00C84D32" w:rsidRPr="00C55E2A" w:rsidRDefault="00C84D32" w:rsidP="00C84D32">
      <w:pPr>
        <w:rPr>
          <w:rFonts w:ascii="Arial" w:hAnsi="Arial" w:cs="Arial"/>
          <w:lang w:eastAsia="en-GB"/>
        </w:rPr>
      </w:pPr>
    </w:p>
    <w:p w14:paraId="2CAD7130" w14:textId="77777777" w:rsidR="00C84D32" w:rsidRDefault="00C84D32" w:rsidP="00C84D32">
      <w:pPr>
        <w:rPr>
          <w:rFonts w:ascii="Arial" w:hAnsi="Arial" w:cs="Arial"/>
          <w:lang w:eastAsia="en-GB"/>
        </w:rPr>
      </w:pPr>
    </w:p>
    <w:p w14:paraId="5E980084" w14:textId="4DAADEBE" w:rsidR="00C84D32" w:rsidRDefault="00C84D32" w:rsidP="00C84D32">
      <w:pPr>
        <w:rPr>
          <w:rFonts w:ascii="Arial" w:hAnsi="Arial" w:cs="Arial"/>
          <w:lang w:eastAsia="en-GB"/>
        </w:rPr>
      </w:pPr>
    </w:p>
    <w:p w14:paraId="5E6B07F5" w14:textId="77777777" w:rsidR="00C84D32" w:rsidRDefault="00C84D32" w:rsidP="00C84D32">
      <w:pPr>
        <w:rPr>
          <w:rFonts w:ascii="Arial" w:hAnsi="Arial" w:cs="Arial"/>
          <w:lang w:eastAsia="en-GB"/>
        </w:rPr>
      </w:pPr>
    </w:p>
    <w:p w14:paraId="36B0BFEB" w14:textId="77777777" w:rsidR="00C84D32" w:rsidRDefault="00C84D32" w:rsidP="00C84D32">
      <w:pPr>
        <w:rPr>
          <w:rFonts w:ascii="Arial" w:hAnsi="Arial" w:cs="Arial"/>
          <w:lang w:eastAsia="en-GB"/>
        </w:rPr>
      </w:pPr>
    </w:p>
    <w:p w14:paraId="0ABDA59B" w14:textId="77777777" w:rsidR="00C84D32" w:rsidRDefault="00C84D32" w:rsidP="00C84D32">
      <w:pPr>
        <w:rPr>
          <w:rFonts w:ascii="Arial" w:hAnsi="Arial" w:cs="Arial"/>
          <w:lang w:eastAsia="en-GB"/>
        </w:rPr>
      </w:pPr>
    </w:p>
    <w:p w14:paraId="5A2BCA89" w14:textId="77777777" w:rsidR="00C84D32" w:rsidRDefault="00C84D32" w:rsidP="00C84D32">
      <w:pPr>
        <w:rPr>
          <w:rFonts w:ascii="Arial" w:hAnsi="Arial" w:cs="Arial"/>
          <w:lang w:eastAsia="en-GB"/>
        </w:rPr>
      </w:pPr>
    </w:p>
    <w:p w14:paraId="569FBB60" w14:textId="77777777" w:rsidR="00C84D32" w:rsidRDefault="00C84D32" w:rsidP="00C84D32">
      <w:pPr>
        <w:rPr>
          <w:rFonts w:ascii="Arial" w:hAnsi="Arial" w:cs="Arial"/>
          <w:lang w:eastAsia="en-GB"/>
        </w:rPr>
      </w:pPr>
    </w:p>
    <w:p w14:paraId="48E4306F" w14:textId="77777777" w:rsidR="00C84D32" w:rsidRDefault="00C84D32" w:rsidP="00C84D32">
      <w:pPr>
        <w:rPr>
          <w:rFonts w:ascii="Arial" w:hAnsi="Arial" w:cs="Arial"/>
          <w:lang w:eastAsia="en-GB"/>
        </w:rPr>
      </w:pPr>
    </w:p>
    <w:p w14:paraId="7522F500" w14:textId="77777777" w:rsidR="00C84D32" w:rsidRPr="00C55E2A" w:rsidRDefault="00C84D32" w:rsidP="00C84D32">
      <w:pPr>
        <w:rPr>
          <w:rFonts w:ascii="Arial" w:hAnsi="Arial" w:cs="Arial"/>
          <w:lang w:eastAsia="en-GB"/>
        </w:rPr>
      </w:pPr>
    </w:p>
    <w:p w14:paraId="591E09AB" w14:textId="77777777" w:rsidR="00C84D32" w:rsidRPr="0078498F" w:rsidRDefault="00C84D32" w:rsidP="0078498F">
      <w:pPr>
        <w:pStyle w:val="Heading1"/>
      </w:pPr>
      <w:bookmarkStart w:id="21" w:name="_Toc231740300"/>
      <w:r w:rsidRPr="0078498F">
        <w:t>Chapter 2: Literature Review</w:t>
      </w:r>
      <w:bookmarkEnd w:id="21"/>
    </w:p>
    <w:p w14:paraId="7065CAF2" w14:textId="77777777" w:rsidR="00C84D32" w:rsidRPr="0078498F" w:rsidRDefault="00C84D32" w:rsidP="0078498F">
      <w:pPr>
        <w:pStyle w:val="Heading2"/>
      </w:pPr>
      <w:bookmarkStart w:id="22" w:name="_Toc231740301"/>
      <w:r w:rsidRPr="0078498F">
        <w:t>2.1 Introduction to the Literature</w:t>
      </w:r>
      <w:bookmarkEnd w:id="22"/>
    </w:p>
    <w:p w14:paraId="0C27A05A" w14:textId="77777777" w:rsidR="00C84D32" w:rsidRPr="00C55E2A" w:rsidRDefault="00C84D32" w:rsidP="00C84D32">
      <w:pPr>
        <w:rPr>
          <w:rFonts w:ascii="Arial" w:hAnsi="Arial" w:cs="Arial"/>
          <w:lang w:eastAsia="en-GB"/>
        </w:rPr>
      </w:pPr>
      <w:r w:rsidRPr="00C55E2A">
        <w:rPr>
          <w:rFonts w:ascii="Arial" w:hAnsi="Arial" w:cs="Arial"/>
          <w:lang w:eastAsia="en-GB"/>
        </w:rPr>
        <w:t>In recent years, the issue of marketing of fast-moving consumer goods (FMCG), digital transformation, and environmental sustainability</w:t>
      </w:r>
      <w:r>
        <w:rPr>
          <w:rFonts w:ascii="Arial" w:hAnsi="Arial" w:cs="Arial"/>
          <w:lang w:eastAsia="en-GB"/>
        </w:rPr>
        <w:t xml:space="preserve"> </w:t>
      </w:r>
      <w:r w:rsidRPr="00C00DB0">
        <w:rPr>
          <w:rFonts w:ascii="Arial" w:hAnsi="Arial" w:cs="Arial"/>
          <w:lang w:eastAsia="en-GB"/>
        </w:rPr>
        <w:t>has become a very important topic in business studies.</w:t>
      </w:r>
      <w:r w:rsidRPr="00C55E2A">
        <w:rPr>
          <w:rFonts w:ascii="Arial" w:hAnsi="Arial" w:cs="Arial"/>
          <w:lang w:eastAsia="en-GB"/>
        </w:rPr>
        <w:t xml:space="preserve">  International companies, such as Unilever, must deal with a more complex world with shifting consumer expectations and regulations as they move into a digital sustainability strategy (Ibrahim et al. 2025). </w:t>
      </w:r>
    </w:p>
    <w:p w14:paraId="673F48AD" w14:textId="77777777" w:rsidR="00C84D32" w:rsidRDefault="00C84D32" w:rsidP="00C84D32">
      <w:pPr>
        <w:rPr>
          <w:rFonts w:ascii="Arial" w:hAnsi="Arial" w:cs="Arial"/>
          <w:lang w:eastAsia="en-GB"/>
        </w:rPr>
      </w:pPr>
      <w:r w:rsidRPr="00151198">
        <w:rPr>
          <w:rFonts w:ascii="Arial" w:hAnsi="Arial" w:cs="Arial"/>
          <w:lang w:eastAsia="en-GB"/>
        </w:rPr>
        <w:t>These days, there is a move away from the traditional kind of “green marketing” to more decentralized and digitally enabled forms that aim to counter digital greenwashing, authenticity and transparency</w:t>
      </w:r>
      <w:r>
        <w:rPr>
          <w:rFonts w:ascii="Arial" w:hAnsi="Arial" w:cs="Arial"/>
          <w:lang w:eastAsia="en-GB"/>
        </w:rPr>
        <w:t xml:space="preserve"> </w:t>
      </w:r>
      <w:r w:rsidRPr="00C55E2A">
        <w:rPr>
          <w:rFonts w:ascii="Arial" w:hAnsi="Arial" w:cs="Arial"/>
          <w:lang w:eastAsia="en-GB"/>
        </w:rPr>
        <w:t>(</w:t>
      </w:r>
      <w:proofErr w:type="spellStart"/>
      <w:r w:rsidRPr="00C55E2A">
        <w:rPr>
          <w:rFonts w:ascii="Arial" w:hAnsi="Arial" w:cs="Arial"/>
          <w:lang w:eastAsia="en-GB"/>
        </w:rPr>
        <w:t>Shaimerdenkyzy</w:t>
      </w:r>
      <w:proofErr w:type="spellEnd"/>
      <w:r w:rsidRPr="00C55E2A">
        <w:rPr>
          <w:rFonts w:ascii="Arial" w:hAnsi="Arial" w:cs="Arial"/>
          <w:lang w:eastAsia="en-GB"/>
        </w:rPr>
        <w:t xml:space="preserve"> et al. 2025). </w:t>
      </w:r>
      <w:r w:rsidRPr="005A75A0">
        <w:rPr>
          <w:rFonts w:ascii="Arial" w:hAnsi="Arial" w:cs="Arial"/>
          <w:lang w:eastAsia="en-GB"/>
        </w:rPr>
        <w:t>The chapter discusses what the literature says about sustainability marketing. Initially, it describes the evolution of the idea of brand purpose. Next, signalling theory and the SASSY framework will be discussed. It concludes by showing UK and Indian consumers’ characteristic comparison.</w:t>
      </w:r>
    </w:p>
    <w:p w14:paraId="01D40698" w14:textId="77777777" w:rsidR="00C84D32" w:rsidRPr="00C55E2A" w:rsidRDefault="00C84D32" w:rsidP="0078498F">
      <w:pPr>
        <w:pStyle w:val="Heading2"/>
      </w:pPr>
      <w:bookmarkStart w:id="23" w:name="_Toc231740302"/>
      <w:r w:rsidRPr="00C55E2A">
        <w:t>2.2 The Evolution of Purpose: From "Broadcasting" to Decentralized "Belonging"</w:t>
      </w:r>
      <w:bookmarkEnd w:id="23"/>
    </w:p>
    <w:p w14:paraId="3E0D9E5B" w14:textId="77777777" w:rsidR="00C84D32" w:rsidRPr="009C07A5" w:rsidRDefault="00C84D32" w:rsidP="00C84D32">
      <w:pPr>
        <w:rPr>
          <w:rFonts w:ascii="Arial" w:hAnsi="Arial" w:cs="Arial"/>
          <w:lang w:val="en-IN"/>
        </w:rPr>
      </w:pPr>
      <w:r w:rsidRPr="009B0313">
        <w:rPr>
          <w:rFonts w:ascii="Arial" w:hAnsi="Arial" w:cs="Arial"/>
        </w:rPr>
        <w:t>Marketing has evolved sufficiently as per Serhan and Zhang (2025). There used to be the one-way “broadcast” style, where one sender spoke to many persons. Currently, it is more community-based and decentralized</w:t>
      </w:r>
      <w:r w:rsidRPr="00C55E2A">
        <w:rPr>
          <w:rFonts w:ascii="Arial" w:hAnsi="Arial" w:cs="Arial"/>
        </w:rPr>
        <w:t xml:space="preserve">. In this model, the “sender” (company) and “receiver” (consumer) were very clearly defined. Television or print is the key communication tool used by the FMGC brands. </w:t>
      </w:r>
      <w:r w:rsidRPr="00CA76D4">
        <w:rPr>
          <w:rFonts w:ascii="Arial" w:hAnsi="Arial" w:cs="Arial"/>
          <w:lang w:val="en-IN"/>
        </w:rPr>
        <w:t>Back in the day, the FMCG brands had the ability to push messages downwards from the top to a passive audience. Back then, sustainability wasn’t a very big deal. Actually, it was just an extension of CSR.</w:t>
      </w:r>
      <w:r>
        <w:rPr>
          <w:rFonts w:ascii="Arial" w:hAnsi="Arial" w:cs="Arial"/>
          <w:lang w:val="en-IN"/>
        </w:rPr>
        <w:t xml:space="preserve"> </w:t>
      </w:r>
      <w:r w:rsidRPr="00CA76D4">
        <w:rPr>
          <w:rFonts w:ascii="Arial" w:hAnsi="Arial" w:cs="Arial"/>
          <w:lang w:val="en-IN"/>
        </w:rPr>
        <w:t>Reflecting such positioning, the firms decide to communicate their sustainability only once in a year through reports or a single PR campaign but not in their daily branding (Jaiswal &amp; Singh, 2018)</w:t>
      </w:r>
      <w:r>
        <w:rPr>
          <w:rFonts w:ascii="Arial" w:hAnsi="Arial" w:cs="Arial"/>
          <w:lang w:val="en-IN"/>
        </w:rPr>
        <w:t xml:space="preserve">. </w:t>
      </w:r>
      <w:r w:rsidRPr="00C55E2A">
        <w:rPr>
          <w:rFonts w:ascii="Arial" w:hAnsi="Arial" w:cs="Arial"/>
        </w:rPr>
        <w:t>However, things changed with the coming of the 2.0 and algorithmic social media. These days, the individual wants full disclosure and complete two-way engagement in the corporate sustainability initiative. According to literature, the consumers have stopped “buying”. Consumers want to “belong” to a brand community</w:t>
      </w:r>
      <w:r w:rsidRPr="00623689">
        <w:rPr>
          <w:rFonts w:ascii="Arial" w:hAnsi="Arial" w:cs="Arial"/>
        </w:rPr>
        <w:t xml:space="preserve"> that reflect their morals and the environment. </w:t>
      </w:r>
      <w:r w:rsidRPr="00C55E2A">
        <w:rPr>
          <w:rFonts w:ascii="Arial" w:hAnsi="Arial" w:cs="Arial"/>
        </w:rPr>
        <w:t xml:space="preserve">(Belk, 2017). </w:t>
      </w:r>
      <w:r w:rsidRPr="0056102F">
        <w:rPr>
          <w:rFonts w:ascii="Arial" w:hAnsi="Arial" w:cs="Arial"/>
        </w:rPr>
        <w:t>Recent research noted that Unilever now emphasizes something called, “Desire at Scale.” It refers to making things most people want and relate to</w:t>
      </w:r>
      <w:r>
        <w:rPr>
          <w:rFonts w:ascii="Arial" w:hAnsi="Arial" w:cs="Arial"/>
        </w:rPr>
        <w:t>.</w:t>
      </w:r>
      <w:r w:rsidRPr="00C55E2A">
        <w:rPr>
          <w:rFonts w:ascii="Arial" w:hAnsi="Arial" w:cs="Arial"/>
        </w:rPr>
        <w:t xml:space="preserve">  Through data-driven insights and AI-generated personalized digital touchpoints, it creates a sense of “belonging” for consumers from diverse backgrounds (</w:t>
      </w:r>
      <w:proofErr w:type="spellStart"/>
      <w:r w:rsidRPr="00C55E2A">
        <w:rPr>
          <w:rFonts w:ascii="Arial" w:hAnsi="Arial" w:cs="Arial"/>
        </w:rPr>
        <w:t>Shaimerdenkyzy</w:t>
      </w:r>
      <w:proofErr w:type="spellEnd"/>
      <w:r w:rsidRPr="00C55E2A">
        <w:rPr>
          <w:rFonts w:ascii="Arial" w:hAnsi="Arial" w:cs="Arial"/>
        </w:rPr>
        <w:t xml:space="preserve"> et al., 2025).</w:t>
      </w:r>
    </w:p>
    <w:p w14:paraId="2B80D830" w14:textId="77777777" w:rsidR="00C84D32" w:rsidRDefault="00C84D32" w:rsidP="00C84D32">
      <w:pPr>
        <w:rPr>
          <w:rFonts w:ascii="Arial" w:hAnsi="Arial" w:cs="Arial"/>
        </w:rPr>
      </w:pPr>
      <w:r w:rsidRPr="00C55E2A">
        <w:rPr>
          <w:rFonts w:ascii="Arial" w:hAnsi="Arial" w:cs="Arial"/>
        </w:rPr>
        <w:t xml:space="preserve">FMCG companies aren’t just running static advertisements or regular brand promotions or building awareness. </w:t>
      </w:r>
      <w:r w:rsidRPr="009F7223">
        <w:rPr>
          <w:rFonts w:ascii="Arial" w:hAnsi="Arial" w:cs="Arial"/>
        </w:rPr>
        <w:t>Using digital channels, they develop a complete brand narrative. On top of that, local stories and cultural information further clarifies the main message</w:t>
      </w:r>
      <w:r w:rsidRPr="00C55E2A">
        <w:rPr>
          <w:rFonts w:ascii="Arial" w:hAnsi="Arial" w:cs="Arial"/>
        </w:rPr>
        <w:t xml:space="preserve">. </w:t>
      </w:r>
      <w:r w:rsidRPr="002811E0">
        <w:rPr>
          <w:rFonts w:ascii="Arial" w:hAnsi="Arial" w:cs="Arial"/>
        </w:rPr>
        <w:t>People in the UK are obviously participating in digital networks, taking real-world environmental action, and supporting lower-carbon practices</w:t>
      </w:r>
      <w:r w:rsidRPr="00C55E2A">
        <w:rPr>
          <w:rFonts w:ascii="Arial" w:hAnsi="Arial" w:cs="Arial"/>
        </w:rPr>
        <w:t xml:space="preserve">. </w:t>
      </w:r>
      <w:r w:rsidRPr="006B66C2">
        <w:rPr>
          <w:rFonts w:ascii="Arial" w:hAnsi="Arial" w:cs="Arial"/>
        </w:rPr>
        <w:t>In India, brands’ local stories generation is engaging more on fairness, community wellbeing and social issues (Imane &amp; Rabeh, 2025).</w:t>
      </w:r>
    </w:p>
    <w:p w14:paraId="08F26CBA" w14:textId="77777777" w:rsidR="00C84D32" w:rsidRDefault="00C84D32" w:rsidP="00C84D32">
      <w:pPr>
        <w:rPr>
          <w:rFonts w:ascii="Arial" w:hAnsi="Arial" w:cs="Arial"/>
        </w:rPr>
      </w:pPr>
      <w:r w:rsidRPr="00882B31">
        <w:rPr>
          <w:rFonts w:ascii="Arial" w:hAnsi="Arial" w:cs="Arial"/>
        </w:rPr>
        <w:t>Many experts claim that branding has now been made open and is accessible to everyone. The organization does not control the whole message. The communities are now developing the message. Therefore, sustainable messages are naturally boosted within the digital community. People become more loyal with the brand. Hence, a strong protection of the company against stronger competing companies exists (Rana &amp; Kapoor, 2025).</w:t>
      </w:r>
    </w:p>
    <w:p w14:paraId="5741D364" w14:textId="77777777" w:rsidR="00C84D32" w:rsidRPr="0078498F" w:rsidRDefault="00C84D32" w:rsidP="0078498F">
      <w:pPr>
        <w:pStyle w:val="Heading2"/>
      </w:pPr>
      <w:bookmarkStart w:id="24" w:name="_Toc231740303"/>
      <w:r w:rsidRPr="0078498F">
        <w:t>2.3 The SASSY Framework as a Strategic Signalling Tool</w:t>
      </w:r>
      <w:bookmarkEnd w:id="24"/>
    </w:p>
    <w:p w14:paraId="6A65D298" w14:textId="4CFE1220" w:rsidR="00C84D32" w:rsidRPr="0078498F" w:rsidRDefault="00C84D32" w:rsidP="00C84D32">
      <w:pPr>
        <w:rPr>
          <w:rFonts w:ascii="Arial" w:hAnsi="Arial" w:cs="Arial"/>
        </w:rPr>
      </w:pPr>
      <w:r w:rsidRPr="00F5234E">
        <w:rPr>
          <w:rFonts w:ascii="Arial" w:hAnsi="Arial" w:cs="Arial"/>
        </w:rPr>
        <w:t xml:space="preserve">Experts say that digitalisation can help big corporates achieve their sustainability business goals more effectively. </w:t>
      </w:r>
      <w:r w:rsidR="0078498F" w:rsidRPr="00F5234E">
        <w:rPr>
          <w:rFonts w:ascii="Arial" w:hAnsi="Arial" w:cs="Arial"/>
        </w:rPr>
        <w:t>Most</w:t>
      </w:r>
      <w:r w:rsidRPr="00F5234E">
        <w:rPr>
          <w:rFonts w:ascii="Arial" w:hAnsi="Arial" w:cs="Arial"/>
        </w:rPr>
        <w:t xml:space="preserve"> people focus on this one thing. SASSY: </w:t>
      </w:r>
      <w:r w:rsidRPr="002A6AC6">
        <w:rPr>
          <w:rFonts w:ascii="Arial" w:hAnsi="Arial" w:cs="Arial"/>
        </w:rPr>
        <w:t>which refers to superior science, agility, sustainability and Younique personalization</w:t>
      </w:r>
      <w:r w:rsidRPr="00F5234E">
        <w:rPr>
          <w:rFonts w:ascii="Arial" w:hAnsi="Arial" w:cs="Arial"/>
        </w:rPr>
        <w:t xml:space="preserve">. This framework highlights ‘signalling’ which means signal what you actually do environmentally as top focus. Due to the current digital consumer being more sceptical and demanding evidence (Azhar 2024). </w:t>
      </w:r>
      <w:r w:rsidRPr="00901570">
        <w:rPr>
          <w:rFonts w:ascii="Arial" w:hAnsi="Arial" w:cs="Arial"/>
        </w:rPr>
        <w:t>area-specific marketing requires communicating messages that can easily be adapted and modified. Although Unilever has become a global brand, it continues to use regional marketing through customized marketing messages.</w:t>
      </w:r>
      <w:r>
        <w:rPr>
          <w:rFonts w:ascii="Arial" w:hAnsi="Arial" w:cs="Arial"/>
        </w:rPr>
        <w:t xml:space="preserve"> </w:t>
      </w:r>
      <w:r w:rsidRPr="00901570">
        <w:rPr>
          <w:rFonts w:ascii="Arial" w:hAnsi="Arial" w:cs="Arial"/>
        </w:rPr>
        <w:t>(</w:t>
      </w:r>
      <w:proofErr w:type="spellStart"/>
      <w:r w:rsidRPr="00901570">
        <w:rPr>
          <w:rFonts w:ascii="Arial" w:hAnsi="Arial" w:cs="Arial"/>
        </w:rPr>
        <w:t>Shaimerdenkyzyzy</w:t>
      </w:r>
      <w:proofErr w:type="spellEnd"/>
      <w:r w:rsidRPr="00901570">
        <w:rPr>
          <w:rFonts w:ascii="Arial" w:hAnsi="Arial" w:cs="Arial"/>
        </w:rPr>
        <w:t>, 2025)</w:t>
      </w:r>
      <w:r>
        <w:rPr>
          <w:rFonts w:ascii="Arial" w:hAnsi="Arial" w:cs="Arial"/>
        </w:rPr>
        <w:t>.</w:t>
      </w:r>
      <w:r w:rsidRPr="00C55E2A">
        <w:rPr>
          <w:rFonts w:ascii="Arial" w:hAnsi="Arial" w:cs="Arial"/>
        </w:rPr>
        <w:t xml:space="preserve"> </w:t>
      </w:r>
      <w:r w:rsidRPr="00DD6E09">
        <w:rPr>
          <w:rFonts w:ascii="Arial" w:hAnsi="Arial" w:cs="Arial"/>
        </w:rPr>
        <w:t>Younique Personalisation Scores Well On These Things. UK consumers have strong positive feelings towards real sustainability initiatives. They demand guarantee and clear evidence that your quality brand is doing something well for the environment.</w:t>
      </w:r>
      <w:r w:rsidRPr="00C55E2A">
        <w:rPr>
          <w:rFonts w:ascii="Arial" w:hAnsi="Arial" w:cs="Arial"/>
        </w:rPr>
        <w:t xml:space="preserve"> </w:t>
      </w:r>
      <w:r w:rsidRPr="00F50E44">
        <w:rPr>
          <w:rFonts w:ascii="Arial" w:hAnsi="Arial" w:cs="Arial"/>
          <w:lang w:val="en-IN"/>
        </w:rPr>
        <w:t>Moreover, there are too many barriers to social responsibility with the environment warning. In India, the system can be flexible enough to move to social responsibility using local stories and people’s wellbeing.</w:t>
      </w:r>
      <w:r>
        <w:rPr>
          <w:rFonts w:ascii="Arial" w:hAnsi="Arial" w:cs="Arial"/>
          <w:lang w:val="en-IN"/>
        </w:rPr>
        <w:t xml:space="preserve"> </w:t>
      </w:r>
      <w:r w:rsidRPr="00F50E44">
        <w:rPr>
          <w:rFonts w:ascii="Arial" w:hAnsi="Arial" w:cs="Arial"/>
          <w:lang w:val="en-IN"/>
        </w:rPr>
        <w:t>This is aligned with</w:t>
      </w:r>
      <w:r>
        <w:rPr>
          <w:rFonts w:ascii="Arial" w:hAnsi="Arial" w:cs="Arial"/>
          <w:lang w:val="en-IN"/>
        </w:rPr>
        <w:t xml:space="preserve"> </w:t>
      </w:r>
      <w:r w:rsidRPr="00F50E44">
        <w:rPr>
          <w:rFonts w:ascii="Arial" w:hAnsi="Arial" w:cs="Arial"/>
          <w:lang w:val="en-IN"/>
        </w:rPr>
        <w:t>the economic and cultural objectives of the area</w:t>
      </w:r>
      <w:r w:rsidRPr="00C55E2A">
        <w:rPr>
          <w:rFonts w:ascii="Arial" w:hAnsi="Arial" w:cs="Arial"/>
        </w:rPr>
        <w:t xml:space="preserve"> </w:t>
      </w:r>
      <w:r w:rsidRPr="00C55E2A">
        <w:rPr>
          <w:rFonts w:ascii="Arial" w:eastAsia="Times New Roman" w:hAnsi="Arial" w:cs="Arial"/>
          <w:kern w:val="0"/>
          <w:lang w:eastAsia="en-GB"/>
          <w14:ligatures w14:val="none"/>
        </w:rPr>
        <w:t>(</w:t>
      </w:r>
      <w:proofErr w:type="spellStart"/>
      <w:r w:rsidRPr="00C55E2A">
        <w:rPr>
          <w:rFonts w:ascii="Arial" w:eastAsia="Times New Roman" w:hAnsi="Arial" w:cs="Arial"/>
          <w:kern w:val="0"/>
          <w:lang w:eastAsia="en-GB"/>
          <w14:ligatures w14:val="none"/>
        </w:rPr>
        <w:t>Qalati</w:t>
      </w:r>
      <w:proofErr w:type="spellEnd"/>
      <w:r w:rsidRPr="00C55E2A">
        <w:rPr>
          <w:rFonts w:ascii="Arial" w:eastAsia="Times New Roman" w:hAnsi="Arial" w:cs="Arial"/>
          <w:kern w:val="0"/>
          <w:lang w:eastAsia="en-GB"/>
          <w14:ligatures w14:val="none"/>
        </w:rPr>
        <w:t xml:space="preserve"> et al., 2024).</w:t>
      </w:r>
    </w:p>
    <w:p w14:paraId="3CB71CF7" w14:textId="77777777" w:rsidR="0078498F" w:rsidRDefault="00C84D32" w:rsidP="0078498F">
      <w:pPr>
        <w:jc w:val="center"/>
        <w:rPr>
          <w:rFonts w:ascii="Arial" w:hAnsi="Arial" w:cs="Arial"/>
        </w:rPr>
      </w:pPr>
      <w:r w:rsidRPr="00C55E2A">
        <w:rPr>
          <w:rFonts w:ascii="Arial" w:eastAsia="Times New Roman" w:hAnsi="Arial" w:cs="Arial"/>
          <w:noProof/>
          <w:kern w:val="0"/>
          <w:lang w:eastAsia="en-GB"/>
        </w:rPr>
        <w:drawing>
          <wp:inline distT="0" distB="0" distL="0" distR="0" wp14:anchorId="6FC46F39" wp14:editId="04FC6C33">
            <wp:extent cx="3548782" cy="2339089"/>
            <wp:effectExtent l="0" t="254000" r="0" b="137795"/>
            <wp:docPr id="1716122763"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6A89BB0" w14:textId="4E23566B" w:rsidR="00C84D32" w:rsidRPr="0078498F" w:rsidRDefault="00C84D32" w:rsidP="0078498F">
      <w:pPr>
        <w:jc w:val="center"/>
        <w:rPr>
          <w:rFonts w:ascii="Arial" w:hAnsi="Arial" w:cs="Arial"/>
        </w:rPr>
      </w:pPr>
      <w:r w:rsidRPr="00C55E2A">
        <w:rPr>
          <w:rFonts w:ascii="Arial" w:eastAsia="Times New Roman" w:hAnsi="Arial" w:cs="Arial"/>
          <w:kern w:val="0"/>
          <w:sz w:val="20"/>
          <w:szCs w:val="20"/>
          <w:lang w:eastAsia="en-GB"/>
          <w14:ligatures w14:val="none"/>
        </w:rPr>
        <w:t>Figure 1: The SASSY Framework dimensions tailored for localized consumer markets. (Source: Created by author).</w:t>
      </w:r>
    </w:p>
    <w:p w14:paraId="2D698961" w14:textId="77777777" w:rsidR="00C84D32" w:rsidRPr="0078498F" w:rsidRDefault="00C84D32" w:rsidP="0078498F">
      <w:pPr>
        <w:pStyle w:val="Heading3"/>
      </w:pPr>
      <w:bookmarkStart w:id="25" w:name="_Toc231740304"/>
      <w:r w:rsidRPr="0078498F">
        <w:t>2.3.1 Superior Science: Indisputable Innovation as a Trust Anchor</w:t>
      </w:r>
      <w:bookmarkEnd w:id="25"/>
    </w:p>
    <w:p w14:paraId="44C80AEE" w14:textId="77777777" w:rsidR="00C84D32" w:rsidRPr="002F0EB6" w:rsidRDefault="00C84D32" w:rsidP="00C84D32">
      <w:pPr>
        <w:rPr>
          <w:rFonts w:ascii="Arial" w:hAnsi="Arial" w:cs="Arial"/>
          <w:lang w:val="en-IN"/>
        </w:rPr>
      </w:pPr>
      <w:r w:rsidRPr="0078498F">
        <w:rPr>
          <w:rFonts w:ascii="Arial" w:hAnsi="Arial" w:cs="Arial"/>
        </w:rPr>
        <w:t>According</w:t>
      </w:r>
      <w:r w:rsidRPr="001F6D42">
        <w:rPr>
          <w:rFonts w:ascii="Arial" w:hAnsi="Arial" w:cs="Arial"/>
        </w:rPr>
        <w:t xml:space="preserve"> to marketing experts, the most convincing </w:t>
      </w:r>
      <w:bookmarkStart w:id="26" w:name="_Int_44ThzY92"/>
      <w:r w:rsidRPr="001F6D42">
        <w:rPr>
          <w:rFonts w:ascii="Arial" w:hAnsi="Arial" w:cs="Arial"/>
        </w:rPr>
        <w:t>component</w:t>
      </w:r>
      <w:bookmarkEnd w:id="26"/>
      <w:r w:rsidRPr="001F6D42">
        <w:rPr>
          <w:rFonts w:ascii="Arial" w:hAnsi="Arial" w:cs="Arial"/>
        </w:rPr>
        <w:t xml:space="preserve"> of the SASSY framework in developed markets is “Superior Science”</w:t>
      </w:r>
      <w:r w:rsidRPr="00C55E2A">
        <w:rPr>
          <w:rFonts w:ascii="Arial" w:hAnsi="Arial" w:cs="Arial"/>
        </w:rPr>
        <w:t>.</w:t>
      </w:r>
      <w:r>
        <w:rPr>
          <w:rFonts w:ascii="Arial" w:hAnsi="Arial" w:cs="Arial"/>
        </w:rPr>
        <w:t xml:space="preserve"> </w:t>
      </w:r>
      <w:r w:rsidRPr="00F84786">
        <w:rPr>
          <w:rFonts w:ascii="Arial" w:hAnsi="Arial" w:cs="Arial"/>
          <w:lang w:val="en-IN"/>
        </w:rPr>
        <w:t xml:space="preserve"> in recent times, a lot of people have been complaining there is much “greenwashing” going on; that is, companies claiming to be “eco” when they </w:t>
      </w:r>
      <w:bookmarkStart w:id="27" w:name="_Int_hRkQyhhR"/>
      <w:r w:rsidRPr="00F84786">
        <w:rPr>
          <w:rFonts w:ascii="Arial" w:hAnsi="Arial" w:cs="Arial"/>
          <w:lang w:val="en-IN"/>
        </w:rPr>
        <w:t>aren’t</w:t>
      </w:r>
      <w:bookmarkEnd w:id="27"/>
      <w:r w:rsidRPr="00F84786">
        <w:rPr>
          <w:rFonts w:ascii="Arial" w:hAnsi="Arial" w:cs="Arial"/>
          <w:lang w:val="en-IN"/>
        </w:rPr>
        <w:t xml:space="preserve">, really. If companies want to show true impact on the ground, they will </w:t>
      </w:r>
      <w:bookmarkStart w:id="28" w:name="_Int_44biGUCx"/>
      <w:r w:rsidRPr="00F84786">
        <w:rPr>
          <w:rFonts w:ascii="Arial" w:hAnsi="Arial" w:cs="Arial"/>
          <w:lang w:val="en-IN"/>
        </w:rPr>
        <w:t>require</w:t>
      </w:r>
      <w:bookmarkEnd w:id="28"/>
      <w:r w:rsidRPr="00F84786">
        <w:rPr>
          <w:rFonts w:ascii="Arial" w:hAnsi="Arial" w:cs="Arial"/>
          <w:lang w:val="en-IN"/>
        </w:rPr>
        <w:t xml:space="preserve"> real science</w:t>
      </w:r>
      <w:r>
        <w:rPr>
          <w:rFonts w:ascii="Arial" w:hAnsi="Arial" w:cs="Arial"/>
          <w:lang w:val="en-IN"/>
        </w:rPr>
        <w:t xml:space="preserve"> </w:t>
      </w:r>
      <w:r w:rsidRPr="00C55E2A">
        <w:rPr>
          <w:rFonts w:ascii="Arial" w:hAnsi="Arial" w:cs="Arial"/>
        </w:rPr>
        <w:t>(Ibrahim et al. 2025).</w:t>
      </w:r>
    </w:p>
    <w:p w14:paraId="49582B3F" w14:textId="77777777" w:rsidR="00C84D32" w:rsidRPr="00C55E2A" w:rsidRDefault="00C84D32" w:rsidP="00C84D32">
      <w:pPr>
        <w:rPr>
          <w:rFonts w:ascii="Arial" w:hAnsi="Arial" w:cs="Arial"/>
        </w:rPr>
      </w:pPr>
      <w:r w:rsidRPr="00F427FD">
        <w:rPr>
          <w:rFonts w:ascii="Arial" w:hAnsi="Arial" w:cs="Arial"/>
        </w:rPr>
        <w:t xml:space="preserve">The people of UK are </w:t>
      </w:r>
      <w:bookmarkStart w:id="29" w:name="_Int_b0egSLKR"/>
      <w:r w:rsidRPr="00F427FD">
        <w:rPr>
          <w:rFonts w:ascii="Arial" w:hAnsi="Arial" w:cs="Arial"/>
        </w:rPr>
        <w:t>very concerned</w:t>
      </w:r>
      <w:bookmarkEnd w:id="29"/>
      <w:r w:rsidRPr="00F427FD">
        <w:rPr>
          <w:rFonts w:ascii="Arial" w:hAnsi="Arial" w:cs="Arial"/>
        </w:rPr>
        <w:t xml:space="preserve"> for environment issues. Due to this eco-awareness, UK customers are being more trusting of brands with genuinely biodegradable packaging, with supply chains that can </w:t>
      </w:r>
      <w:bookmarkStart w:id="30" w:name="_Int_kwHF7Rxn"/>
      <w:r w:rsidRPr="00F427FD">
        <w:rPr>
          <w:rFonts w:ascii="Arial" w:hAnsi="Arial" w:cs="Arial"/>
        </w:rPr>
        <w:t>be verified</w:t>
      </w:r>
      <w:bookmarkEnd w:id="30"/>
      <w:r w:rsidRPr="00F427FD">
        <w:rPr>
          <w:rFonts w:ascii="Arial" w:hAnsi="Arial" w:cs="Arial"/>
        </w:rPr>
        <w:t xml:space="preserve"> via blockchain, and with clear &amp; measurable evidence given to reductions in their carbon footprint</w:t>
      </w:r>
      <w:r w:rsidRPr="00C55E2A">
        <w:rPr>
          <w:rFonts w:ascii="Arial" w:hAnsi="Arial" w:cs="Arial"/>
        </w:rPr>
        <w:t xml:space="preserve"> (Serhan &amp; Zhang 2025)</w:t>
      </w:r>
      <w:r>
        <w:rPr>
          <w:rFonts w:ascii="Arial" w:hAnsi="Arial" w:cs="Arial"/>
        </w:rPr>
        <w:t>. S</w:t>
      </w:r>
      <w:r w:rsidRPr="001C17FD">
        <w:rPr>
          <w:rFonts w:ascii="Arial" w:hAnsi="Arial" w:cs="Arial"/>
        </w:rPr>
        <w:t>tudies show</w:t>
      </w:r>
      <w:r>
        <w:rPr>
          <w:rFonts w:ascii="Arial" w:hAnsi="Arial" w:cs="Arial"/>
        </w:rPr>
        <w:t xml:space="preserve"> that</w:t>
      </w:r>
      <w:r w:rsidRPr="00C55E2A">
        <w:rPr>
          <w:rFonts w:ascii="Arial" w:hAnsi="Arial" w:cs="Arial"/>
        </w:rPr>
        <w:t xml:space="preserve"> </w:t>
      </w:r>
      <w:r w:rsidRPr="001C17FD">
        <w:rPr>
          <w:rFonts w:ascii="Arial" w:hAnsi="Arial" w:cs="Arial"/>
        </w:rPr>
        <w:t>"Superior Science" works differently in fast-growing markets</w:t>
      </w:r>
      <w:r>
        <w:rPr>
          <w:rFonts w:ascii="Arial" w:hAnsi="Arial" w:cs="Arial"/>
        </w:rPr>
        <w:t>, t</w:t>
      </w:r>
      <w:r w:rsidRPr="001C17FD">
        <w:rPr>
          <w:rFonts w:ascii="Arial" w:hAnsi="Arial" w:cs="Arial"/>
        </w:rPr>
        <w:t xml:space="preserve">his means that India </w:t>
      </w:r>
      <w:bookmarkStart w:id="31" w:name="_Int_e5kRog1W"/>
      <w:r w:rsidRPr="001C17FD">
        <w:rPr>
          <w:rFonts w:ascii="Arial" w:hAnsi="Arial" w:cs="Arial"/>
        </w:rPr>
        <w:t>utilizes</w:t>
      </w:r>
      <w:bookmarkEnd w:id="31"/>
      <w:r w:rsidRPr="001C17FD">
        <w:rPr>
          <w:rFonts w:ascii="Arial" w:hAnsi="Arial" w:cs="Arial"/>
        </w:rPr>
        <w:t xml:space="preserve"> local products</w:t>
      </w:r>
      <w:r>
        <w:rPr>
          <w:rFonts w:ascii="Arial" w:hAnsi="Arial" w:cs="Arial"/>
        </w:rPr>
        <w:t xml:space="preserve"> like</w:t>
      </w:r>
      <w:r w:rsidRPr="001C17FD">
        <w:rPr>
          <w:rFonts w:ascii="Arial" w:hAnsi="Arial" w:cs="Arial"/>
        </w:rPr>
        <w:t xml:space="preserve"> Ayurvedic ideas, and cheap hygiene products. People’s everyday needs and sense of fairness can </w:t>
      </w:r>
      <w:bookmarkStart w:id="32" w:name="_Int_8dxk6Ukf"/>
      <w:r w:rsidRPr="001C17FD">
        <w:rPr>
          <w:rFonts w:ascii="Arial" w:hAnsi="Arial" w:cs="Arial"/>
        </w:rPr>
        <w:t>be met</w:t>
      </w:r>
      <w:bookmarkEnd w:id="32"/>
      <w:r w:rsidRPr="001C17FD">
        <w:rPr>
          <w:rFonts w:ascii="Arial" w:hAnsi="Arial" w:cs="Arial"/>
        </w:rPr>
        <w:t xml:space="preserve">, while also supporting the environment. </w:t>
      </w:r>
      <w:r w:rsidRPr="00C55E2A">
        <w:rPr>
          <w:rFonts w:ascii="Arial" w:hAnsi="Arial" w:cs="Arial"/>
        </w:rPr>
        <w:t>(Choudhury et al., 2025).</w:t>
      </w:r>
    </w:p>
    <w:p w14:paraId="567FE11C" w14:textId="77777777" w:rsidR="00C84D32" w:rsidRPr="00C55E2A" w:rsidRDefault="00C84D32" w:rsidP="0078498F">
      <w:pPr>
        <w:pStyle w:val="Heading3"/>
      </w:pPr>
      <w:bookmarkStart w:id="33" w:name="_Toc231740305"/>
      <w:r w:rsidRPr="00C55E2A">
        <w:t>2.3.2 "Said by Others" &amp; Young-Spiritedness: Influencer Narratives and Gen Z Expectations</w:t>
      </w:r>
      <w:bookmarkEnd w:id="33"/>
    </w:p>
    <w:p w14:paraId="02EBC51E" w14:textId="77777777" w:rsidR="00C84D32" w:rsidRPr="00C55E2A" w:rsidRDefault="00C84D32" w:rsidP="00C84D32">
      <w:pPr>
        <w:rPr>
          <w:rFonts w:ascii="Arial" w:hAnsi="Arial" w:cs="Arial"/>
        </w:rPr>
      </w:pPr>
      <w:r w:rsidRPr="00C55E2A">
        <w:rPr>
          <w:rFonts w:ascii="Arial" w:hAnsi="Arial" w:cs="Arial"/>
        </w:rPr>
        <w:t>According to the literature</w:t>
      </w:r>
      <w:r>
        <w:rPr>
          <w:rFonts w:ascii="Arial" w:hAnsi="Arial" w:cs="Arial"/>
        </w:rPr>
        <w:t xml:space="preserve">, </w:t>
      </w:r>
      <w:r w:rsidRPr="00850DF2">
        <w:rPr>
          <w:rFonts w:ascii="Arial" w:hAnsi="Arial" w:cs="Arial"/>
        </w:rPr>
        <w:t xml:space="preserve">Studies have shown that Generation Z is currently a generation who is </w:t>
      </w:r>
      <w:bookmarkStart w:id="34" w:name="_Int_U2Chpuad"/>
      <w:r w:rsidRPr="00850DF2">
        <w:rPr>
          <w:rFonts w:ascii="Arial" w:hAnsi="Arial" w:cs="Arial"/>
        </w:rPr>
        <w:t>young at heart</w:t>
      </w:r>
      <w:bookmarkEnd w:id="34"/>
      <w:r w:rsidRPr="00850DF2">
        <w:rPr>
          <w:rFonts w:ascii="Arial" w:hAnsi="Arial" w:cs="Arial"/>
        </w:rPr>
        <w:t xml:space="preserve">. They </w:t>
      </w:r>
      <w:bookmarkStart w:id="35" w:name="_Int_dKZX0pWy"/>
      <w:r w:rsidRPr="00850DF2">
        <w:rPr>
          <w:rFonts w:ascii="Arial" w:hAnsi="Arial" w:cs="Arial"/>
        </w:rPr>
        <w:t>were equipped</w:t>
      </w:r>
      <w:bookmarkEnd w:id="35"/>
      <w:r w:rsidRPr="00850DF2">
        <w:rPr>
          <w:rFonts w:ascii="Arial" w:hAnsi="Arial" w:cs="Arial"/>
        </w:rPr>
        <w:t xml:space="preserve"> with a lot of new technology and their hearts were in a good place towards helping big social issues.</w:t>
      </w:r>
      <w:r w:rsidRPr="00C55E2A">
        <w:rPr>
          <w:rFonts w:ascii="Arial" w:hAnsi="Arial" w:cs="Arial"/>
        </w:rPr>
        <w:t xml:space="preserve"> </w:t>
      </w:r>
      <w:r w:rsidRPr="0095398C">
        <w:rPr>
          <w:rFonts w:ascii="Arial" w:hAnsi="Arial" w:cs="Arial"/>
        </w:rPr>
        <w:t>Because of the demand of this generation, some brands have started using the approach of “Said by Others”. This means letting other people or communities talk about it. Thus, communicating the brand’s message without sounding fake or forced</w:t>
      </w:r>
      <w:r w:rsidRPr="00C55E2A">
        <w:rPr>
          <w:rFonts w:ascii="Arial" w:hAnsi="Arial" w:cs="Arial"/>
        </w:rPr>
        <w:t xml:space="preserve">. According to </w:t>
      </w:r>
      <w:proofErr w:type="spellStart"/>
      <w:r w:rsidRPr="00C55E2A">
        <w:rPr>
          <w:rFonts w:ascii="Arial" w:hAnsi="Arial" w:cs="Arial"/>
        </w:rPr>
        <w:t>Shaimerdenkyzy</w:t>
      </w:r>
      <w:proofErr w:type="spellEnd"/>
      <w:r w:rsidRPr="00C55E2A">
        <w:rPr>
          <w:rFonts w:ascii="Arial" w:hAnsi="Arial" w:cs="Arial"/>
        </w:rPr>
        <w:t xml:space="preserve"> et al. (2025), the sustainability message is purely dependent on digital influencers.</w:t>
      </w:r>
    </w:p>
    <w:p w14:paraId="29F5D07D" w14:textId="77777777" w:rsidR="00C84D32" w:rsidRPr="00C55E2A" w:rsidRDefault="00C84D32" w:rsidP="00C84D32">
      <w:pPr>
        <w:rPr>
          <w:rFonts w:ascii="Arial" w:hAnsi="Arial" w:cs="Arial"/>
        </w:rPr>
      </w:pPr>
      <w:r w:rsidRPr="002A0AED">
        <w:rPr>
          <w:rFonts w:ascii="Arial" w:hAnsi="Arial" w:cs="Arial"/>
        </w:rPr>
        <w:t xml:space="preserve">As per research “Said by Others” </w:t>
      </w:r>
      <w:bookmarkStart w:id="36" w:name="_Int_A3MxzaQu"/>
      <w:r w:rsidRPr="002A0AED">
        <w:rPr>
          <w:rFonts w:ascii="Arial" w:hAnsi="Arial" w:cs="Arial"/>
        </w:rPr>
        <w:t>is used</w:t>
      </w:r>
      <w:bookmarkEnd w:id="36"/>
      <w:r w:rsidRPr="002A0AED">
        <w:rPr>
          <w:rFonts w:ascii="Arial" w:hAnsi="Arial" w:cs="Arial"/>
        </w:rPr>
        <w:t xml:space="preserve"> differently in cultures. For example, brands in the UK often use humour and sarcasm since that connects with the way people think about environmental issues there.</w:t>
      </w:r>
      <w:r w:rsidRPr="00C55E2A">
        <w:rPr>
          <w:rFonts w:ascii="Arial" w:hAnsi="Arial" w:cs="Arial"/>
        </w:rPr>
        <w:t xml:space="preserve"> </w:t>
      </w:r>
      <w:r w:rsidRPr="00E4269A">
        <w:rPr>
          <w:rFonts w:ascii="Arial" w:hAnsi="Arial" w:cs="Arial"/>
        </w:rPr>
        <w:t xml:space="preserve">Similarly, UK users in the same way categorize brands online. However, Indian influencers </w:t>
      </w:r>
      <w:bookmarkStart w:id="37" w:name="_Int_nxEkOZDK"/>
      <w:r w:rsidRPr="00E4269A">
        <w:rPr>
          <w:rFonts w:ascii="Arial" w:hAnsi="Arial" w:cs="Arial"/>
        </w:rPr>
        <w:t>generally depend</w:t>
      </w:r>
      <w:bookmarkEnd w:id="37"/>
      <w:r w:rsidRPr="00E4269A">
        <w:rPr>
          <w:rFonts w:ascii="Arial" w:hAnsi="Arial" w:cs="Arial"/>
        </w:rPr>
        <w:t xml:space="preserve"> on drawing from the local culture, family values, and community upliftment to achieve higher participation</w:t>
      </w:r>
      <w:r>
        <w:rPr>
          <w:rFonts w:ascii="Arial" w:hAnsi="Arial" w:cs="Arial"/>
        </w:rPr>
        <w:t xml:space="preserve"> </w:t>
      </w:r>
      <w:r w:rsidRPr="00C55E2A">
        <w:rPr>
          <w:rFonts w:ascii="Arial" w:hAnsi="Arial" w:cs="Arial"/>
        </w:rPr>
        <w:t xml:space="preserve">(Imane &amp; Rabeh, 2025). </w:t>
      </w:r>
      <w:r>
        <w:rPr>
          <w:rFonts w:ascii="Arial" w:hAnsi="Arial" w:cs="Arial"/>
        </w:rPr>
        <w:t xml:space="preserve">Many </w:t>
      </w:r>
      <w:r w:rsidRPr="009A1BE1">
        <w:rPr>
          <w:rFonts w:ascii="Arial" w:hAnsi="Arial" w:cs="Arial"/>
          <w:u w:val="single"/>
        </w:rPr>
        <w:t>studies</w:t>
      </w:r>
      <w:r w:rsidRPr="009A1BE1">
        <w:rPr>
          <w:rFonts w:ascii="Arial" w:hAnsi="Arial" w:cs="Arial"/>
        </w:rPr>
        <w:t xml:space="preserve"> show that the discussion about sustainability by local influencers help to clarify the topic while building authentic trust within communities </w:t>
      </w:r>
      <w:r w:rsidRPr="00C55E2A">
        <w:rPr>
          <w:rFonts w:ascii="Arial" w:hAnsi="Arial" w:cs="Arial"/>
        </w:rPr>
        <w:t>(Udeh et al., 2023).</w:t>
      </w:r>
    </w:p>
    <w:p w14:paraId="564C14EB" w14:textId="77777777" w:rsidR="00C84D32" w:rsidRPr="0078498F" w:rsidRDefault="00C84D32" w:rsidP="0078498F">
      <w:pPr>
        <w:pStyle w:val="Heading2"/>
      </w:pPr>
      <w:bookmarkStart w:id="38" w:name="_Toc231740306"/>
      <w:r w:rsidRPr="0078498F">
        <w:t>2.4 Theoretical Framework: Signalling Theory &amp; The Trust-Digital Paradox</w:t>
      </w:r>
      <w:bookmarkEnd w:id="38"/>
    </w:p>
    <w:p w14:paraId="3FCB4D1E" w14:textId="77777777" w:rsidR="00C84D32" w:rsidRPr="005737C1" w:rsidRDefault="00C84D32" w:rsidP="00C84D32">
      <w:pPr>
        <w:rPr>
          <w:rFonts w:ascii="Arial" w:hAnsi="Arial" w:cs="Arial"/>
          <w:lang w:val="en-IN"/>
        </w:rPr>
      </w:pPr>
      <w:r>
        <w:rPr>
          <w:rFonts w:ascii="Arial" w:hAnsi="Arial" w:cs="Arial"/>
        </w:rPr>
        <w:t>In t</w:t>
      </w:r>
      <w:r w:rsidRPr="00C55E2A">
        <w:rPr>
          <w:rFonts w:ascii="Arial" w:hAnsi="Arial" w:cs="Arial"/>
        </w:rPr>
        <w:t>his dissertation</w:t>
      </w:r>
      <w:r>
        <w:rPr>
          <w:rFonts w:ascii="Arial" w:hAnsi="Arial" w:cs="Arial"/>
          <w:lang w:val="en-IN"/>
        </w:rPr>
        <w:t xml:space="preserve"> w</w:t>
      </w:r>
      <w:r w:rsidRPr="00476E26">
        <w:rPr>
          <w:rFonts w:ascii="Arial" w:hAnsi="Arial" w:cs="Arial"/>
          <w:lang w:val="en-IN"/>
        </w:rPr>
        <w:t>e will analyse how consumers understand digital sustainability messages</w:t>
      </w:r>
      <w:r w:rsidRPr="00C55E2A">
        <w:rPr>
          <w:rFonts w:ascii="Arial" w:hAnsi="Arial" w:cs="Arial"/>
        </w:rPr>
        <w:t xml:space="preserve">. </w:t>
      </w:r>
      <w:r w:rsidRPr="00AF50B5">
        <w:rPr>
          <w:rFonts w:ascii="Arial" w:hAnsi="Arial" w:cs="Arial"/>
        </w:rPr>
        <w:t xml:space="preserve">Originally, the signalling theory </w:t>
      </w:r>
      <w:bookmarkStart w:id="39" w:name="_Int_4XzzxSMb"/>
      <w:r w:rsidRPr="00AF50B5">
        <w:rPr>
          <w:rFonts w:ascii="Arial" w:hAnsi="Arial" w:cs="Arial"/>
        </w:rPr>
        <w:t>is originates</w:t>
      </w:r>
      <w:bookmarkEnd w:id="39"/>
      <w:r w:rsidRPr="00AF50B5">
        <w:rPr>
          <w:rFonts w:ascii="Arial" w:hAnsi="Arial" w:cs="Arial"/>
        </w:rPr>
        <w:t xml:space="preserve"> from biology and economics</w:t>
      </w:r>
      <w:r w:rsidRPr="00C55E2A">
        <w:rPr>
          <w:rFonts w:ascii="Arial" w:hAnsi="Arial" w:cs="Arial"/>
        </w:rPr>
        <w:t xml:space="preserve"> (</w:t>
      </w:r>
      <w:proofErr w:type="spellStart"/>
      <w:r w:rsidRPr="00C55E2A">
        <w:rPr>
          <w:rFonts w:ascii="Arial" w:hAnsi="Arial" w:cs="Arial"/>
        </w:rPr>
        <w:t>spitzeck</w:t>
      </w:r>
      <w:proofErr w:type="spellEnd"/>
      <w:r w:rsidRPr="00C55E2A">
        <w:rPr>
          <w:rFonts w:ascii="Arial" w:hAnsi="Arial" w:cs="Arial"/>
        </w:rPr>
        <w:t xml:space="preserve"> and chapman, 2012). </w:t>
      </w:r>
      <w:r w:rsidRPr="001A107C">
        <w:rPr>
          <w:rFonts w:ascii="Arial" w:hAnsi="Arial" w:cs="Arial"/>
        </w:rPr>
        <w:t xml:space="preserve">Anything you can see is a signal. When one side has more information than the other, they both send signals </w:t>
      </w:r>
      <w:bookmarkStart w:id="40" w:name="_Int_uxCPnD4e"/>
      <w:r w:rsidRPr="001A107C">
        <w:rPr>
          <w:rFonts w:ascii="Arial" w:hAnsi="Arial" w:cs="Arial"/>
        </w:rPr>
        <w:t>regarding</w:t>
      </w:r>
      <w:bookmarkEnd w:id="40"/>
      <w:r w:rsidRPr="001A107C">
        <w:rPr>
          <w:rFonts w:ascii="Arial" w:hAnsi="Arial" w:cs="Arial"/>
        </w:rPr>
        <w:t xml:space="preserve"> their quality to each other. For example, a company knows about its environmental footprint, but a consumer does not. Hence the company sends its signals. A company displays behaviour which confirms their claims; actions speak louder than words</w:t>
      </w:r>
      <w:r w:rsidRPr="00C55E2A">
        <w:rPr>
          <w:rFonts w:ascii="Arial" w:hAnsi="Arial" w:cs="Arial"/>
        </w:rPr>
        <w:t>.</w:t>
      </w:r>
    </w:p>
    <w:p w14:paraId="755A5841" w14:textId="77777777" w:rsidR="00C84D32" w:rsidRPr="0078498F" w:rsidRDefault="00C84D32" w:rsidP="0078498F">
      <w:pPr>
        <w:pStyle w:val="Heading3"/>
      </w:pPr>
      <w:bookmarkStart w:id="41" w:name="_Toc231740307"/>
      <w:r w:rsidRPr="0078498F">
        <w:t>2.4.1 Signalling Theory: The Necessity of "High-Cost" Verification</w:t>
      </w:r>
      <w:bookmarkEnd w:id="41"/>
    </w:p>
    <w:p w14:paraId="25F8A615" w14:textId="77777777" w:rsidR="00C84D32" w:rsidRPr="00C55E2A" w:rsidRDefault="00C84D32" w:rsidP="00C84D32">
      <w:pPr>
        <w:rPr>
          <w:rFonts w:ascii="Arial" w:hAnsi="Arial" w:cs="Arial"/>
          <w:lang w:eastAsia="en-GB"/>
        </w:rPr>
      </w:pPr>
      <w:r w:rsidRPr="00C55E2A">
        <w:rPr>
          <w:rFonts w:ascii="Arial" w:hAnsi="Arial" w:cs="Arial"/>
          <w:lang w:eastAsia="en-GB"/>
        </w:rPr>
        <w:t xml:space="preserve">The difference between low-cost and high-cost signals in digital green marketing is narrowed down. </w:t>
      </w:r>
      <w:r w:rsidRPr="00BC088A">
        <w:rPr>
          <w:rFonts w:ascii="Arial" w:hAnsi="Arial" w:cs="Arial"/>
          <w:lang w:eastAsia="en-GB"/>
        </w:rPr>
        <w:t>This can be done by anyone due to free cost</w:t>
      </w:r>
      <w:r w:rsidRPr="00C55E2A">
        <w:rPr>
          <w:rFonts w:ascii="Arial" w:hAnsi="Arial" w:cs="Arial"/>
          <w:lang w:eastAsia="en-GB"/>
        </w:rPr>
        <w:t>. For example, you can change the logo on your social media to green or post vague phrases about being green. A competitor who is anything but green does the same thing. Someone similar to a superstore does it too. Anyone with a budget can essentially do this. They’re cheap to manufacture, so consumers quickly learn to ignore them as mere greenwashing.</w:t>
      </w:r>
    </w:p>
    <w:p w14:paraId="4F083FD5" w14:textId="77777777" w:rsidR="00C84D32" w:rsidRPr="00C55E2A" w:rsidRDefault="00C84D32" w:rsidP="00C84D32">
      <w:pPr>
        <w:rPr>
          <w:rFonts w:ascii="Arial" w:hAnsi="Arial" w:cs="Arial"/>
          <w:lang w:eastAsia="en-GB"/>
        </w:rPr>
      </w:pPr>
      <w:r w:rsidRPr="008E65C7">
        <w:rPr>
          <w:rFonts w:ascii="Arial" w:hAnsi="Arial" w:cs="Arial"/>
          <w:lang w:eastAsia="en-GB"/>
        </w:rPr>
        <w:t>For a company to show they are legitimate, it must send a costly signal that is hard to fake</w:t>
      </w:r>
      <w:r w:rsidRPr="00C55E2A">
        <w:rPr>
          <w:rFonts w:ascii="Arial" w:hAnsi="Arial" w:cs="Arial"/>
          <w:lang w:eastAsia="en-GB"/>
        </w:rPr>
        <w:t xml:space="preserve"> </w:t>
      </w:r>
      <w:r w:rsidRPr="00C55E2A">
        <w:rPr>
          <w:rFonts w:ascii="Arial" w:hAnsi="Arial" w:cs="Arial"/>
        </w:rPr>
        <w:t xml:space="preserve">(Dr. Rana &amp; Kapoor, 2025). </w:t>
      </w:r>
      <w:r w:rsidRPr="007B3E40">
        <w:rPr>
          <w:rFonts w:ascii="Arial" w:hAnsi="Arial" w:cs="Arial"/>
          <w:lang w:eastAsia="en-GB"/>
        </w:rPr>
        <w:t>Businesses need to invest actual money in sustainable standards and technologies that other fake “green” businesses cannot copy. For instance, for Dove, Unilever changed its entire production process, with the bottles now made of 100% recycled plastic, which no one else in the UK has done before. This costly, transparent signal reveals a genuine commitment to sustainability</w:t>
      </w:r>
      <w:r>
        <w:rPr>
          <w:rFonts w:ascii="Arial" w:hAnsi="Arial" w:cs="Arial"/>
          <w:lang w:eastAsia="en-GB"/>
        </w:rPr>
        <w:t xml:space="preserve"> </w:t>
      </w:r>
      <w:r w:rsidRPr="00C55E2A">
        <w:rPr>
          <w:rFonts w:ascii="Arial" w:hAnsi="Arial" w:cs="Arial"/>
          <w:lang w:eastAsia="en-GB"/>
        </w:rPr>
        <w:t>(</w:t>
      </w:r>
      <w:proofErr w:type="spellStart"/>
      <w:r w:rsidRPr="00C55E2A">
        <w:rPr>
          <w:rFonts w:ascii="Arial" w:hAnsi="Arial" w:cs="Arial"/>
          <w:lang w:eastAsia="en-GB"/>
        </w:rPr>
        <w:t>Qalati</w:t>
      </w:r>
      <w:proofErr w:type="spellEnd"/>
      <w:r w:rsidRPr="00C55E2A">
        <w:rPr>
          <w:rFonts w:ascii="Arial" w:hAnsi="Arial" w:cs="Arial"/>
          <w:lang w:eastAsia="en-GB"/>
        </w:rPr>
        <w:t xml:space="preserve"> et al., 2024).</w:t>
      </w:r>
    </w:p>
    <w:p w14:paraId="0A859DCE" w14:textId="77777777" w:rsidR="00C84D32" w:rsidRPr="0078498F" w:rsidRDefault="00C84D32" w:rsidP="0078498F">
      <w:pPr>
        <w:pStyle w:val="Heading3"/>
      </w:pPr>
      <w:bookmarkStart w:id="42" w:name="_Toc231740308"/>
      <w:r w:rsidRPr="0078498F">
        <w:t>2.4.2 The Trust-Digital Paradox: The Legitimacy Crisis of AI Personalization</w:t>
      </w:r>
      <w:bookmarkEnd w:id="42"/>
    </w:p>
    <w:p w14:paraId="4303AFFE" w14:textId="77777777" w:rsidR="00C84D32" w:rsidRPr="00C55E2A" w:rsidRDefault="00C84D32" w:rsidP="00C84D32">
      <w:pPr>
        <w:rPr>
          <w:rFonts w:ascii="Arial" w:hAnsi="Arial" w:cs="Arial"/>
        </w:rPr>
      </w:pPr>
      <w:r w:rsidRPr="00AF55EC">
        <w:rPr>
          <w:rFonts w:ascii="Arial" w:hAnsi="Arial" w:cs="Arial"/>
        </w:rPr>
        <w:t>The use of AI and automated targeting in FMCG marketing has created Trust-Digital Paradox. According to the study, even though AI can also send super-personalised messaging that exactly suits a person's environmental concern, it makes people wonder if the firm is being truthful. In addition, the failure to resolve doubt sets off repeated ‘crises of legitimacy’, or whether the brand can really be trusted</w:t>
      </w:r>
      <w:r>
        <w:rPr>
          <w:rFonts w:ascii="Arial" w:hAnsi="Arial" w:cs="Arial"/>
        </w:rPr>
        <w:t xml:space="preserve"> </w:t>
      </w:r>
      <w:r w:rsidRPr="00C55E2A">
        <w:rPr>
          <w:rFonts w:ascii="Arial" w:hAnsi="Arial" w:cs="Arial"/>
        </w:rPr>
        <w:t>(Ibrahim et al., 2025).</w:t>
      </w:r>
      <w:r w:rsidRPr="006B0386">
        <w:rPr>
          <w:rFonts w:ascii="Arial" w:hAnsi="Arial" w:cs="Arial"/>
          <w:color w:val="0F172A"/>
          <w:spacing w:val="-2"/>
          <w:sz w:val="22"/>
          <w:szCs w:val="22"/>
          <w:bdr w:val="single" w:sz="2" w:space="0" w:color="E2E8F0" w:frame="1"/>
          <w:shd w:val="clear" w:color="auto" w:fill="FFFFFF"/>
        </w:rPr>
        <w:t xml:space="preserve"> </w:t>
      </w:r>
      <w:r w:rsidRPr="006B0386">
        <w:rPr>
          <w:rFonts w:ascii="Arial" w:hAnsi="Arial" w:cs="Arial"/>
        </w:rPr>
        <w:t>When a consumer understands that an algorithm which used personal data delivered a powerful, purpose-driven sustainability message, it may change how they view that message. It feels more like a marketing gimmick than a legitimate commitment to social justice</w:t>
      </w:r>
      <w:r>
        <w:rPr>
          <w:rFonts w:ascii="Arial" w:hAnsi="Arial" w:cs="Arial"/>
        </w:rPr>
        <w:t xml:space="preserve"> </w:t>
      </w:r>
      <w:r w:rsidRPr="00C55E2A">
        <w:rPr>
          <w:rFonts w:ascii="Arial" w:hAnsi="Arial" w:cs="Arial"/>
        </w:rPr>
        <w:t>(</w:t>
      </w:r>
      <w:proofErr w:type="spellStart"/>
      <w:r w:rsidRPr="00C55E2A">
        <w:rPr>
          <w:rFonts w:ascii="Arial" w:hAnsi="Arial" w:cs="Arial"/>
        </w:rPr>
        <w:t>Shaimerdenkyzy</w:t>
      </w:r>
      <w:proofErr w:type="spellEnd"/>
      <w:r w:rsidRPr="00C55E2A">
        <w:rPr>
          <w:rFonts w:ascii="Arial" w:hAnsi="Arial" w:cs="Arial"/>
        </w:rPr>
        <w:t xml:space="preserve"> et al., 2025). </w:t>
      </w:r>
    </w:p>
    <w:p w14:paraId="683EA18C" w14:textId="77777777" w:rsidR="00C84D32" w:rsidRDefault="00C84D32" w:rsidP="00C84D32">
      <w:pPr>
        <w:rPr>
          <w:rFonts w:ascii="Arial" w:hAnsi="Arial" w:cs="Arial"/>
        </w:rPr>
      </w:pPr>
      <w:r w:rsidRPr="008C05C4">
        <w:rPr>
          <w:rFonts w:ascii="Arial" w:hAnsi="Arial" w:cs="Arial"/>
        </w:rPr>
        <w:t>Personalisation behind the screen might increase engagement, but it reduces trust. This paradox comes from the same digital tools that help companies reach large audiences and provoke strong emotions, also damaging trust. According to the researchers, the only way to eliminate this doubt is absolute transparency, open data, actions people can verify for themselves. These things restore faith which deep personalization harms</w:t>
      </w:r>
      <w:r>
        <w:rPr>
          <w:rFonts w:ascii="Arial" w:hAnsi="Arial" w:cs="Arial"/>
        </w:rPr>
        <w:t xml:space="preserve"> </w:t>
      </w:r>
      <w:r w:rsidRPr="00C55E2A">
        <w:rPr>
          <w:rFonts w:ascii="Arial" w:hAnsi="Arial" w:cs="Arial"/>
        </w:rPr>
        <w:t>(Imane &amp; Rabeh, 2025).</w:t>
      </w:r>
    </w:p>
    <w:p w14:paraId="71EDB882" w14:textId="65B83E65" w:rsidR="00C84D32" w:rsidRPr="0078498F" w:rsidRDefault="00C84D32" w:rsidP="0078498F">
      <w:pPr>
        <w:pStyle w:val="Heading2"/>
      </w:pPr>
      <w:bookmarkStart w:id="43" w:name="_Toc231740309"/>
      <w:r w:rsidRPr="0078498F">
        <w:t>2.5 Cross-Cultural Sustainability Dynamics: A Tale of Two Markets</w:t>
      </w:r>
      <w:bookmarkEnd w:id="43"/>
    </w:p>
    <w:p w14:paraId="47CC3C33" w14:textId="79AF21A3" w:rsidR="00C84D32" w:rsidRPr="0078498F" w:rsidRDefault="00C84D32" w:rsidP="0078498F">
      <w:pPr>
        <w:rPr>
          <w:rFonts w:ascii="Arial" w:hAnsi="Arial" w:cs="Arial"/>
        </w:rPr>
      </w:pPr>
      <w:r w:rsidRPr="0078498F">
        <w:rPr>
          <w:rFonts w:ascii="Arial" w:hAnsi="Arial" w:cs="Arial"/>
        </w:rPr>
        <w:t xml:space="preserve">Many researchers claim that the term ‘sustainability’ is heavily debated in discussion and lacks agreement amongst scholars. Sustainability doesn't have a clear global definition. </w:t>
      </w:r>
      <w:r w:rsidR="0078498F" w:rsidRPr="0078498F">
        <w:rPr>
          <w:rFonts w:ascii="Arial" w:hAnsi="Arial" w:cs="Arial"/>
        </w:rPr>
        <w:t>Every</w:t>
      </w:r>
      <w:r w:rsidRPr="0078498F">
        <w:rPr>
          <w:rFonts w:ascii="Arial" w:hAnsi="Arial" w:cs="Arial"/>
        </w:rPr>
        <w:t xml:space="preserve"> location has its own unique environmental conditions and marketing requirements.</w:t>
      </w:r>
    </w:p>
    <w:p w14:paraId="012E5CCE" w14:textId="77777777" w:rsidR="00C84D32" w:rsidRPr="0078498F" w:rsidRDefault="00C84D32" w:rsidP="0078498F">
      <w:pPr>
        <w:pStyle w:val="Heading3"/>
      </w:pPr>
      <w:bookmarkStart w:id="44" w:name="_Toc231740310"/>
      <w:r w:rsidRPr="0078498F">
        <w:t>2.5.1 The UK Perspective: Regulatory Scrutiny, Net Zero, and Carbon Metrics</w:t>
      </w:r>
      <w:bookmarkEnd w:id="44"/>
    </w:p>
    <w:p w14:paraId="6AAAEA01" w14:textId="77777777" w:rsidR="00C84D32" w:rsidRDefault="00C84D32" w:rsidP="00C84D32">
      <w:pPr>
        <w:rPr>
          <w:rFonts w:ascii="Arial" w:hAnsi="Arial" w:cs="Arial"/>
        </w:rPr>
      </w:pPr>
      <w:r w:rsidRPr="00C55E2A">
        <w:rPr>
          <w:rFonts w:ascii="Arial" w:hAnsi="Arial" w:cs="Arial"/>
        </w:rPr>
        <w:t>T</w:t>
      </w:r>
      <w:r w:rsidRPr="005C205F">
        <w:rPr>
          <w:rFonts w:ascii="Arial" w:hAnsi="Arial" w:cs="Arial"/>
          <w:color w:val="0F172A"/>
          <w:spacing w:val="-2"/>
          <w:sz w:val="22"/>
          <w:szCs w:val="22"/>
          <w:bdr w:val="single" w:sz="2" w:space="0" w:color="E2E8F0" w:frame="1"/>
        </w:rPr>
        <w:t>h</w:t>
      </w:r>
      <w:r w:rsidRPr="005C205F">
        <w:rPr>
          <w:rFonts w:ascii="Arial" w:hAnsi="Arial" w:cs="Arial"/>
        </w:rPr>
        <w:t xml:space="preserve">e DCMM Act 2024 in the UK states that every company must provide supportive evidence for any environmental claim that it makes (Ibrahim et al., 2025). UK consumers today live in an established market that has climate concern. As they have much environmental understanding, they expect organisations to align their own sustainability goals with the UK’s net-zero and circular economy frameworks. Consumers want proof from businesses to show that they align to national targets. </w:t>
      </w:r>
    </w:p>
    <w:p w14:paraId="39E017C9" w14:textId="77777777" w:rsidR="00C84D32" w:rsidRPr="00C55E2A" w:rsidRDefault="00C84D32" w:rsidP="00C84D32">
      <w:pPr>
        <w:rPr>
          <w:rFonts w:ascii="Arial" w:hAnsi="Arial" w:cs="Arial"/>
        </w:rPr>
      </w:pPr>
      <w:r w:rsidRPr="00C55E2A">
        <w:rPr>
          <w:rFonts w:ascii="Arial" w:hAnsi="Arial" w:cs="Arial"/>
        </w:rPr>
        <w:t xml:space="preserve">In addition, </w:t>
      </w:r>
      <w:r w:rsidRPr="005C5DC9">
        <w:rPr>
          <w:rFonts w:ascii="Arial" w:hAnsi="Arial" w:cs="Arial"/>
        </w:rPr>
        <w:t>people in the UK debate whether or the use of Ai is ethical and their personal information is safe or protected. Brand managers state that brands now need to walk a fine line to establish a balance. They aim to employ advanced digital tools that allow them to target individuals based on their carbon literacy. But they also want to be open about how their algorithms work to maintain the trust of the consumer. When companies fail to get the balance right, trust quickly crashes down</w:t>
      </w:r>
      <w:r>
        <w:rPr>
          <w:rFonts w:ascii="Arial" w:hAnsi="Arial" w:cs="Arial"/>
        </w:rPr>
        <w:t xml:space="preserve"> </w:t>
      </w:r>
      <w:r w:rsidRPr="00C55E2A">
        <w:rPr>
          <w:rFonts w:ascii="Arial" w:hAnsi="Arial" w:cs="Arial"/>
        </w:rPr>
        <w:t>(Dr. Rana &amp; Kapoor, 2025).</w:t>
      </w:r>
    </w:p>
    <w:p w14:paraId="64FD3CC7" w14:textId="77777777" w:rsidR="00C84D32" w:rsidRPr="0078498F" w:rsidRDefault="00C84D32" w:rsidP="0078498F">
      <w:pPr>
        <w:pStyle w:val="Heading3"/>
      </w:pPr>
      <w:bookmarkStart w:id="45" w:name="_Toc231740311"/>
      <w:r w:rsidRPr="0078498F">
        <w:t>2.5.2 The India Perspective: Social Mobility, Hygiene, and Community Fairness</w:t>
      </w:r>
      <w:bookmarkEnd w:id="45"/>
    </w:p>
    <w:p w14:paraId="6211986D" w14:textId="77777777" w:rsidR="00C84D32" w:rsidRDefault="00C84D32" w:rsidP="00C84D32">
      <w:pPr>
        <w:rPr>
          <w:rFonts w:ascii="Arial" w:hAnsi="Arial" w:cs="Arial"/>
        </w:rPr>
      </w:pPr>
      <w:r w:rsidRPr="00AA1AFF">
        <w:rPr>
          <w:rFonts w:ascii="Arial" w:hAnsi="Arial" w:cs="Arial"/>
        </w:rPr>
        <w:t>As per research on emerging markets, in India, sustainability is impossible without meeting basic social and economic requirements. People care about climate change. But they are more worried about their daily lives. This includes getting a better job, staying healthy, getting good hygiene, and not being unfairly treated in the community (Serhan and Zhang, 2025).</w:t>
      </w:r>
      <w:r>
        <w:rPr>
          <w:rFonts w:ascii="Arial" w:hAnsi="Arial" w:cs="Arial"/>
        </w:rPr>
        <w:t xml:space="preserve"> </w:t>
      </w:r>
      <w:r w:rsidRPr="00871812">
        <w:rPr>
          <w:rFonts w:ascii="Arial" w:hAnsi="Arial" w:cs="Arial"/>
        </w:rPr>
        <w:t xml:space="preserve">As per </w:t>
      </w:r>
      <w:proofErr w:type="spellStart"/>
      <w:r w:rsidRPr="00871812">
        <w:rPr>
          <w:rFonts w:ascii="Arial" w:hAnsi="Arial" w:cs="Arial"/>
        </w:rPr>
        <w:t>Shaimerdenkyzy</w:t>
      </w:r>
      <w:proofErr w:type="spellEnd"/>
      <w:r w:rsidRPr="00871812">
        <w:rPr>
          <w:rFonts w:ascii="Arial" w:hAnsi="Arial" w:cs="Arial"/>
        </w:rPr>
        <w:t xml:space="preserve"> et al. (2025), India must satisfy the real community and physical requirements of its citizens. Based on research, Unilever did this by empowering women to earn income through Project Shakti and supporting hygiene education with Lifebuoy. True support equalizes power relations and ensures social justice.</w:t>
      </w:r>
    </w:p>
    <w:p w14:paraId="58116A48" w14:textId="77777777" w:rsidR="00C84D32" w:rsidRPr="00C55E2A" w:rsidRDefault="00C84D32" w:rsidP="0078498F">
      <w:pPr>
        <w:pStyle w:val="Heading2"/>
      </w:pPr>
      <w:bookmarkStart w:id="46" w:name="_Toc231740312"/>
      <w:r w:rsidRPr="00C55E2A">
        <w:t>2.6 Digital Transformation as a Curb on Greenwashing</w:t>
      </w:r>
      <w:bookmarkEnd w:id="46"/>
    </w:p>
    <w:p w14:paraId="2F274072" w14:textId="53558E59" w:rsidR="00C84D32" w:rsidRPr="00C55E2A" w:rsidRDefault="00C84D32" w:rsidP="00C84D32">
      <w:pPr>
        <w:rPr>
          <w:rFonts w:ascii="Arial" w:hAnsi="Arial" w:cs="Arial"/>
        </w:rPr>
      </w:pPr>
      <w:r w:rsidRPr="00C55E2A">
        <w:rPr>
          <w:rFonts w:ascii="Arial" w:hAnsi="Arial" w:cs="Arial"/>
        </w:rPr>
        <w:t xml:space="preserve">Recently, </w:t>
      </w:r>
      <w:r w:rsidRPr="00F369C0">
        <w:rPr>
          <w:rFonts w:ascii="Arial" w:hAnsi="Arial" w:cs="Arial"/>
        </w:rPr>
        <w:t xml:space="preserve">there </w:t>
      </w:r>
      <w:r w:rsidR="0078498F" w:rsidRPr="00F369C0">
        <w:rPr>
          <w:rFonts w:ascii="Arial" w:hAnsi="Arial" w:cs="Arial"/>
        </w:rPr>
        <w:t>were</w:t>
      </w:r>
      <w:r w:rsidRPr="00F369C0">
        <w:rPr>
          <w:rFonts w:ascii="Arial" w:hAnsi="Arial" w:cs="Arial"/>
        </w:rPr>
        <w:t xml:space="preserve"> researchers who want to find out if the same people who think that digital platforms are making greenwashing easier, would use digital technology to escape a problem they created themselves. In other words, they want to know if digital transformation can both be a problem and a solution to greenwashing.</w:t>
      </w:r>
      <w:r w:rsidRPr="00C55E2A">
        <w:rPr>
          <w:rFonts w:ascii="Arial" w:hAnsi="Arial" w:cs="Arial"/>
        </w:rPr>
        <w:t xml:space="preserve">  </w:t>
      </w:r>
      <w:r w:rsidRPr="00E92314">
        <w:rPr>
          <w:rFonts w:ascii="Arial" w:hAnsi="Arial" w:cs="Arial"/>
        </w:rPr>
        <w:t>Through technology like blockchain, real-time supply-chain tracking, and shared databases, consumers now have a permanent digital record. This document helps people in confirming a company’s sustainability claims. Companies and their stakeholders work together more closely and confirm the information that is shared is accurately represented</w:t>
      </w:r>
      <w:r w:rsidRPr="00C55E2A">
        <w:rPr>
          <w:rFonts w:ascii="Arial" w:hAnsi="Arial" w:cs="Arial"/>
        </w:rPr>
        <w:t xml:space="preserve"> (Ibrahim et al. 2025).</w:t>
      </w:r>
    </w:p>
    <w:p w14:paraId="0FE02BA9" w14:textId="77777777" w:rsidR="00C84D32" w:rsidRPr="00CA5530" w:rsidRDefault="00C84D32" w:rsidP="00CA5530">
      <w:pPr>
        <w:rPr>
          <w:rFonts w:ascii="Arial" w:hAnsi="Arial" w:cs="Arial"/>
        </w:rPr>
      </w:pPr>
      <w:r w:rsidRPr="00CA5530">
        <w:rPr>
          <w:rFonts w:ascii="Arial" w:hAnsi="Arial" w:cs="Arial"/>
        </w:rPr>
        <w:t>Brands using new technologies for complete transparency will share their true stories backed up by real, everywhere, verifiable data. Moreover, top brands are creating a new standard for a redesign that has very specific product acceptance rules. In the future, these guidelines will continuously adapt so they always reflect the changing consumer expectations, ongoing digital transformation and development of new technologies.</w:t>
      </w:r>
    </w:p>
    <w:p w14:paraId="25F7A87F" w14:textId="77777777" w:rsidR="00C84D32" w:rsidRPr="0078498F" w:rsidRDefault="00C84D32" w:rsidP="0078498F">
      <w:pPr>
        <w:pStyle w:val="Heading2"/>
      </w:pPr>
      <w:bookmarkStart w:id="47" w:name="_Toc231740313"/>
      <w:r w:rsidRPr="0078498F">
        <w:t>2.7 Literature Gap: The Need for Comparative Digital Signalling Analysis</w:t>
      </w:r>
      <w:bookmarkEnd w:id="47"/>
    </w:p>
    <w:p w14:paraId="2907C929" w14:textId="77777777" w:rsidR="00C84D32" w:rsidRPr="00C55E2A" w:rsidRDefault="00C84D32" w:rsidP="00C84D32">
      <w:pPr>
        <w:rPr>
          <w:rFonts w:ascii="Arial" w:hAnsi="Arial" w:cs="Arial"/>
        </w:rPr>
      </w:pPr>
      <w:r w:rsidRPr="00130400">
        <w:rPr>
          <w:rFonts w:ascii="Arial" w:hAnsi="Arial" w:cs="Arial"/>
        </w:rPr>
        <w:t>Although we all have a basic idea of what sustainability means, and we can think of some examples of digital marketing for sustainability from different markets, the literature shows that there is still a clear gap in strong, side</w:t>
      </w:r>
      <w:r w:rsidRPr="00130400">
        <w:rPr>
          <w:rFonts w:ascii="Arial" w:hAnsi="Arial" w:cs="Arial"/>
        </w:rPr>
        <w:noBreakHyphen/>
        <w:t>by</w:t>
      </w:r>
      <w:r w:rsidRPr="00130400">
        <w:rPr>
          <w:rFonts w:ascii="Arial" w:hAnsi="Arial" w:cs="Arial"/>
        </w:rPr>
        <w:noBreakHyphen/>
        <w:t>side comparisons. At the moment, we do not yet have a lot of in-depth research about how international firms adjust their digital sustainability signalling or manage the Trust–Digital Paradox while working across countries with different economies</w:t>
      </w:r>
      <w:r w:rsidRPr="00C55E2A">
        <w:rPr>
          <w:rFonts w:ascii="Arial" w:hAnsi="Arial" w:cs="Arial"/>
        </w:rPr>
        <w:t xml:space="preserve"> (Ibrahim et al., 2025).</w:t>
      </w:r>
    </w:p>
    <w:p w14:paraId="2ABCE623" w14:textId="77777777" w:rsidR="00C84D32" w:rsidRPr="00C55E2A" w:rsidRDefault="00C84D32" w:rsidP="00C84D32">
      <w:pPr>
        <w:rPr>
          <w:rFonts w:ascii="Arial" w:hAnsi="Arial" w:cs="Arial"/>
        </w:rPr>
      </w:pPr>
      <w:r w:rsidRPr="00C55E2A">
        <w:rPr>
          <w:rFonts w:ascii="Arial" w:hAnsi="Arial" w:cs="Arial"/>
        </w:rPr>
        <w:t>Because the existing carbon focused market (UK) is mature whereas the socially focused emerging economy (India) is developing rapidly, the existing study often doesn’t contextualize how digital transparency, authenticity and “Green Codes” need to be differently localized depending on embedded cultural norms (Dr. Rana &amp; Kapoor, 2025). This paper focuses on the global brand Unilever and how it deploys distinctly hyper-local digital marketing strategies to communicate sustainability with a view to developing durable trust across deep cultural divides (Rawat and Pande, 2024).</w:t>
      </w:r>
    </w:p>
    <w:p w14:paraId="2BD5A80E" w14:textId="77777777" w:rsidR="00C84D32" w:rsidRPr="0078498F" w:rsidRDefault="00C84D32" w:rsidP="0078498F">
      <w:pPr>
        <w:pStyle w:val="Heading2"/>
      </w:pPr>
      <w:bookmarkStart w:id="48" w:name="_Toc231740314"/>
      <w:r w:rsidRPr="0078498F">
        <w:t>2.8 The Mechanics of Digital Greenwashing and Consumer Skepticism</w:t>
      </w:r>
      <w:bookmarkEnd w:id="48"/>
    </w:p>
    <w:p w14:paraId="3E9CE4AC" w14:textId="77777777" w:rsidR="00C84D32" w:rsidRPr="00C55E2A" w:rsidRDefault="00C84D32" w:rsidP="00C84D32">
      <w:pPr>
        <w:rPr>
          <w:rFonts w:ascii="Arial" w:hAnsi="Arial" w:cs="Arial"/>
        </w:rPr>
      </w:pPr>
      <w:r w:rsidRPr="00A17B9A">
        <w:rPr>
          <w:rFonts w:ascii="Arial" w:hAnsi="Arial" w:cs="Arial"/>
        </w:rPr>
        <w:t>Sometimes it seems that the brand’s claims are unverified or exaggerated. It becomes a major issue when such marketing communications change the consumer’s understanding about the positive environmental effect of something</w:t>
      </w:r>
      <w:r>
        <w:rPr>
          <w:rFonts w:ascii="Arial" w:hAnsi="Arial" w:cs="Arial"/>
        </w:rPr>
        <w:t xml:space="preserve"> </w:t>
      </w:r>
      <w:r w:rsidRPr="00C55E2A">
        <w:rPr>
          <w:rFonts w:ascii="Arial" w:hAnsi="Arial" w:cs="Arial"/>
        </w:rPr>
        <w:t xml:space="preserve">(Siano et al 2017) </w:t>
      </w:r>
      <w:r w:rsidRPr="00387844">
        <w:rPr>
          <w:rFonts w:ascii="Arial" w:hAnsi="Arial" w:cs="Arial"/>
        </w:rPr>
        <w:t>Digital platforms that promote sustainability marketing allow participation, use of the algorithm to target audiences, and enable rapid distribution. This platform’s adoption of corporates which makes them exposed to a huge extent. Keeping track of false sustainability claims in the internet space is tough. Many brands use vague terms such as ‘eco-friendly’, ‘natural’ or ‘carbon-neutral’ in paid for, targeted social media ads to reinforce their messages. Many unverified claims can also be found in sponsored posts by digital influencers who praise about various green lifestyles without ever providing proof of the brand’s actual sustainability</w:t>
      </w:r>
      <w:r>
        <w:rPr>
          <w:rFonts w:ascii="Arial" w:hAnsi="Arial" w:cs="Arial"/>
        </w:rPr>
        <w:t xml:space="preserve"> </w:t>
      </w:r>
      <w:r w:rsidRPr="00C55E2A">
        <w:rPr>
          <w:rFonts w:ascii="Arial" w:hAnsi="Arial" w:cs="Arial"/>
        </w:rPr>
        <w:t>(Delmas and Burbano, 2011).</w:t>
      </w:r>
    </w:p>
    <w:p w14:paraId="23FD6E2E" w14:textId="77777777" w:rsidR="00C84D32" w:rsidRPr="00C55E2A" w:rsidRDefault="00C84D32" w:rsidP="00C84D32">
      <w:pPr>
        <w:rPr>
          <w:rFonts w:ascii="Arial" w:hAnsi="Arial" w:cs="Arial"/>
        </w:rPr>
      </w:pPr>
      <w:r w:rsidRPr="00BA4507">
        <w:rPr>
          <w:rFonts w:ascii="Arial" w:hAnsi="Arial" w:cs="Arial"/>
        </w:rPr>
        <w:t xml:space="preserve">According to </w:t>
      </w:r>
      <w:proofErr w:type="spellStart"/>
      <w:r w:rsidRPr="00BA4507">
        <w:rPr>
          <w:rFonts w:ascii="Arial" w:hAnsi="Arial" w:cs="Arial"/>
        </w:rPr>
        <w:t>torelli</w:t>
      </w:r>
      <w:proofErr w:type="spellEnd"/>
      <w:r w:rsidRPr="00BA4507">
        <w:rPr>
          <w:rFonts w:ascii="Arial" w:hAnsi="Arial" w:cs="Arial"/>
        </w:rPr>
        <w:t xml:space="preserve">, </w:t>
      </w:r>
      <w:proofErr w:type="spellStart"/>
      <w:r w:rsidRPr="00BA4507">
        <w:rPr>
          <w:rFonts w:ascii="Arial" w:hAnsi="Arial" w:cs="Arial"/>
        </w:rPr>
        <w:t>Balluchi</w:t>
      </w:r>
      <w:proofErr w:type="spellEnd"/>
      <w:r w:rsidRPr="00BA4507">
        <w:rPr>
          <w:rFonts w:ascii="Arial" w:hAnsi="Arial" w:cs="Arial"/>
        </w:rPr>
        <w:t xml:space="preserve"> and </w:t>
      </w:r>
      <w:proofErr w:type="spellStart"/>
      <w:r w:rsidRPr="00BA4507">
        <w:rPr>
          <w:rFonts w:ascii="Arial" w:hAnsi="Arial" w:cs="Arial"/>
        </w:rPr>
        <w:t>Lazzini</w:t>
      </w:r>
      <w:proofErr w:type="spellEnd"/>
      <w:r w:rsidRPr="00BA4507">
        <w:rPr>
          <w:rFonts w:ascii="Arial" w:hAnsi="Arial" w:cs="Arial"/>
        </w:rPr>
        <w:t xml:space="preserve"> (2020), people using digital platforms often tend to prefer content that is visual, emotional and eye catching rather than detail and logic. Consumers don’t understand what sustainability means due to the lack of clarity. Many people have a basic knowledge of words but lack the technical know-how to even judge truth. Smart pictures and more influencer posts can mask greenwashing, without question. As companies compete for attention on social media, visual or emotional content works better</w:t>
      </w:r>
      <w:r w:rsidRPr="00C55E2A">
        <w:rPr>
          <w:rFonts w:ascii="Arial" w:hAnsi="Arial" w:cs="Arial"/>
        </w:rPr>
        <w:t>.</w:t>
      </w:r>
    </w:p>
    <w:p w14:paraId="4C78B06E" w14:textId="77777777" w:rsidR="00C84D32" w:rsidRPr="0078498F" w:rsidRDefault="00C84D32" w:rsidP="0078498F">
      <w:pPr>
        <w:pStyle w:val="Heading3"/>
      </w:pPr>
      <w:bookmarkStart w:id="49" w:name="_Toc231740315"/>
      <w:r w:rsidRPr="0078498F">
        <w:t>2.8.1 Consumer Backlash and the "Active Skepticism" Model</w:t>
      </w:r>
      <w:bookmarkEnd w:id="49"/>
    </w:p>
    <w:p w14:paraId="4D153E02" w14:textId="77777777" w:rsidR="00C84D32" w:rsidRPr="00C55E2A" w:rsidRDefault="00C84D32" w:rsidP="00C84D32">
      <w:pPr>
        <w:rPr>
          <w:rFonts w:ascii="Arial" w:hAnsi="Arial" w:cs="Arial"/>
          <w:lang w:eastAsia="en-GB"/>
        </w:rPr>
      </w:pPr>
      <w:r w:rsidRPr="00C23E07">
        <w:rPr>
          <w:rFonts w:ascii="Arial" w:hAnsi="Arial" w:cs="Arial"/>
          <w:lang w:eastAsia="en-GB"/>
        </w:rPr>
        <w:t xml:space="preserve">Research shows that future customers will “punish” brands that practice digital greenwashing. According to </w:t>
      </w:r>
      <w:r w:rsidRPr="001F4341">
        <w:rPr>
          <w:rFonts w:ascii="Arial" w:hAnsi="Arial" w:cs="Arial"/>
          <w:lang w:eastAsia="en-GB"/>
        </w:rPr>
        <w:t>Schmuck, D., Matthes, J. and Naderer, B. (2018)</w:t>
      </w:r>
      <w:r w:rsidRPr="00C23E07">
        <w:rPr>
          <w:rFonts w:ascii="Arial" w:hAnsi="Arial" w:cs="Arial"/>
          <w:lang w:eastAsia="en-GB"/>
        </w:rPr>
        <w:t>, consumers experienced negative emotions like anger, disappointment, and skepticism when they identified a mismatch between the environmental claims and actual behaviour of a brand. However, the research disagrees each other on how quickly the consumer can spot this inconsistency automatically.</w:t>
      </w:r>
      <w:r>
        <w:rPr>
          <w:rFonts w:ascii="Arial" w:hAnsi="Arial" w:cs="Arial"/>
          <w:lang w:eastAsia="en-GB"/>
        </w:rPr>
        <w:t xml:space="preserve"> Therefore, r</w:t>
      </w:r>
      <w:r w:rsidRPr="00C23E07">
        <w:rPr>
          <w:rFonts w:ascii="Arial" w:hAnsi="Arial" w:cs="Arial"/>
          <w:lang w:eastAsia="en-GB"/>
        </w:rPr>
        <w:t>esponses can differ between various groups.</w:t>
      </w:r>
      <w:r w:rsidRPr="00C55E2A">
        <w:rPr>
          <w:rFonts w:ascii="Arial" w:hAnsi="Arial" w:cs="Arial"/>
          <w:lang w:eastAsia="en-GB"/>
        </w:rPr>
        <w:t xml:space="preserve"> </w:t>
      </w:r>
    </w:p>
    <w:p w14:paraId="42F8A898" w14:textId="77777777" w:rsidR="00C84D32" w:rsidRPr="00C55E2A" w:rsidRDefault="00C84D32" w:rsidP="00C84D32">
      <w:pPr>
        <w:rPr>
          <w:rFonts w:ascii="Arial" w:hAnsi="Arial" w:cs="Arial"/>
          <w:lang w:eastAsia="en-GB"/>
        </w:rPr>
      </w:pPr>
      <w:r w:rsidRPr="00146871">
        <w:rPr>
          <w:rFonts w:ascii="Arial" w:hAnsi="Arial" w:cs="Arial"/>
          <w:lang w:eastAsia="en-GB"/>
        </w:rPr>
        <w:t xml:space="preserve">In 2014, Nyilasy, G., </w:t>
      </w:r>
      <w:proofErr w:type="spellStart"/>
      <w:r w:rsidRPr="00146871">
        <w:rPr>
          <w:rFonts w:ascii="Arial" w:hAnsi="Arial" w:cs="Arial"/>
          <w:lang w:eastAsia="en-GB"/>
        </w:rPr>
        <w:t>Gangadharbatla</w:t>
      </w:r>
      <w:proofErr w:type="spellEnd"/>
      <w:r w:rsidRPr="00146871">
        <w:rPr>
          <w:rFonts w:ascii="Arial" w:hAnsi="Arial" w:cs="Arial"/>
          <w:lang w:eastAsia="en-GB"/>
        </w:rPr>
        <w:t>, H. and Paladino, A</w:t>
      </w:r>
      <w:r>
        <w:rPr>
          <w:rFonts w:ascii="Arial" w:hAnsi="Arial" w:cs="Arial"/>
          <w:lang w:eastAsia="en-GB"/>
        </w:rPr>
        <w:t>.</w:t>
      </w:r>
      <w:r>
        <w:rPr>
          <w:rFonts w:ascii="Arial" w:eastAsia="Times New Roman" w:hAnsi="Arial" w:cs="Arial"/>
          <w:kern w:val="0"/>
          <w:lang w:eastAsia="en-GB"/>
          <w14:ligatures w14:val="none"/>
        </w:rPr>
        <w:t xml:space="preserve"> </w:t>
      </w:r>
      <w:r w:rsidRPr="00C55E2A">
        <w:rPr>
          <w:rFonts w:ascii="Arial" w:hAnsi="Arial" w:cs="Arial"/>
          <w:lang w:eastAsia="en-GB"/>
        </w:rPr>
        <w:t xml:space="preserve">used structural equation </w:t>
      </w:r>
      <w:proofErr w:type="spellStart"/>
      <w:r w:rsidRPr="00C55E2A">
        <w:rPr>
          <w:rFonts w:ascii="Arial" w:hAnsi="Arial" w:cs="Arial"/>
          <w:lang w:eastAsia="en-GB"/>
        </w:rPr>
        <w:t>modeling</w:t>
      </w:r>
      <w:proofErr w:type="spellEnd"/>
      <w:r w:rsidRPr="00C55E2A">
        <w:rPr>
          <w:rFonts w:ascii="Arial" w:hAnsi="Arial" w:cs="Arial"/>
          <w:lang w:eastAsia="en-GB"/>
        </w:rPr>
        <w:t xml:space="preserve"> to show that consumers notice (detect) digital greenwashing only when specifically invited by the researcher to inspect (upfront) sustainability communication. This backs up the theory that digital skepticism is an active choice, not an automatic response.</w:t>
      </w:r>
    </w:p>
    <w:p w14:paraId="5868AF33" w14:textId="77777777" w:rsidR="00C84D32" w:rsidRPr="00C55E2A" w:rsidRDefault="00C84D32" w:rsidP="00C84D32">
      <w:pPr>
        <w:rPr>
          <w:rFonts w:ascii="Arial" w:hAnsi="Arial" w:cs="Arial"/>
          <w:lang w:eastAsia="en-GB"/>
        </w:rPr>
      </w:pPr>
      <w:r w:rsidRPr="00C55E2A">
        <w:rPr>
          <w:rFonts w:ascii="Arial" w:hAnsi="Arial" w:cs="Arial"/>
          <w:lang w:eastAsia="en-GB"/>
        </w:rPr>
        <w:t xml:space="preserve">As a result, </w:t>
      </w:r>
      <w:r w:rsidRPr="00553D1A">
        <w:rPr>
          <w:rFonts w:ascii="Arial" w:hAnsi="Arial" w:cs="Arial"/>
          <w:lang w:eastAsia="en-GB"/>
        </w:rPr>
        <w:t>People ignore when they scroll casually through algorithm</w:t>
      </w:r>
      <w:r w:rsidRPr="00553D1A">
        <w:rPr>
          <w:rFonts w:ascii="Arial" w:hAnsi="Arial" w:cs="Arial"/>
          <w:lang w:eastAsia="en-GB"/>
        </w:rPr>
        <w:noBreakHyphen/>
        <w:t xml:space="preserve">controlled feeds on Facebook, Instagram or LinkedIn. As people become more trusting, they tend to drop their guard. Thus, they’re easier to pull one over with dark patterns and fake “green” moves. When they are in this state, they don’t ask questions </w:t>
      </w:r>
      <w:r w:rsidRPr="00C55E2A">
        <w:rPr>
          <w:rFonts w:ascii="Arial" w:hAnsi="Arial" w:cs="Arial"/>
          <w:lang w:eastAsia="en-GB"/>
        </w:rPr>
        <w:t xml:space="preserve">(Paramitha, Tan, &amp; Lim, 2025).  Because brands cannot leave it to the consumer to not detect it, </w:t>
      </w:r>
      <w:r w:rsidRPr="00D15199">
        <w:rPr>
          <w:rFonts w:ascii="Arial" w:hAnsi="Arial" w:cs="Arial"/>
          <w:lang w:eastAsia="en-GB"/>
        </w:rPr>
        <w:t>the brand is responsible to bridge the trust gap so the brand can provide validation-ready data to actually validate its sustainability claims. FMCG brands have to adopt sustainable green marketing for brand development and positioning.</w:t>
      </w:r>
    </w:p>
    <w:p w14:paraId="43162B84" w14:textId="77777777" w:rsidR="00C84D32" w:rsidRPr="0078498F" w:rsidRDefault="00C84D32" w:rsidP="0078498F">
      <w:pPr>
        <w:pStyle w:val="Heading2"/>
      </w:pPr>
      <w:bookmarkStart w:id="50" w:name="_Toc231740316"/>
      <w:r w:rsidRPr="0078498F">
        <w:t>2.9 The AI Marketing Paradox in FMCG Consumer Journeys</w:t>
      </w:r>
      <w:bookmarkEnd w:id="50"/>
    </w:p>
    <w:p w14:paraId="449047B0" w14:textId="77777777" w:rsidR="00C84D32" w:rsidRPr="00C55E2A" w:rsidRDefault="00C84D32" w:rsidP="00C84D32">
      <w:pPr>
        <w:rPr>
          <w:rFonts w:ascii="Arial" w:hAnsi="Arial" w:cs="Arial"/>
          <w:lang w:eastAsia="en-GB"/>
        </w:rPr>
      </w:pPr>
      <w:r w:rsidRPr="00193717">
        <w:rPr>
          <w:rFonts w:ascii="Arial" w:hAnsi="Arial" w:cs="Arial"/>
          <w:lang w:eastAsia="en-GB"/>
        </w:rPr>
        <w:t>According to reports 2026, around 89% of firms utilise AI in at least one of their marketing functions. The majority of people utilize AI to improve messaging and communications, including targeting, issuing at a micro-segment level. The growing adoption of Artificial Intelligence is challenging digital sustainability marketing</w:t>
      </w:r>
      <w:r w:rsidRPr="00C55E2A">
        <w:rPr>
          <w:rFonts w:ascii="Arial" w:hAnsi="Arial" w:cs="Arial"/>
          <w:lang w:eastAsia="en-GB"/>
        </w:rPr>
        <w:t xml:space="preserve"> (</w:t>
      </w:r>
      <w:proofErr w:type="spellStart"/>
      <w:r w:rsidRPr="00C55E2A">
        <w:rPr>
          <w:rFonts w:ascii="Arial" w:hAnsi="Arial" w:cs="Arial"/>
          <w:lang w:eastAsia="en-GB"/>
        </w:rPr>
        <w:t>Mustak</w:t>
      </w:r>
      <w:proofErr w:type="spellEnd"/>
      <w:r w:rsidRPr="00C55E2A">
        <w:rPr>
          <w:rFonts w:ascii="Arial" w:hAnsi="Arial" w:cs="Arial"/>
          <w:lang w:eastAsia="en-GB"/>
        </w:rPr>
        <w:t xml:space="preserve"> et al., 2021). </w:t>
      </w:r>
      <w:r w:rsidRPr="009E7F47">
        <w:rPr>
          <w:rFonts w:ascii="Arial" w:hAnsi="Arial" w:cs="Arial"/>
          <w:lang w:eastAsia="en-GB"/>
        </w:rPr>
        <w:t xml:space="preserve">FMCG </w:t>
      </w:r>
      <w:r>
        <w:rPr>
          <w:rFonts w:ascii="Arial" w:hAnsi="Arial" w:cs="Arial"/>
          <w:lang w:eastAsia="en-GB"/>
        </w:rPr>
        <w:t>companies</w:t>
      </w:r>
      <w:r w:rsidRPr="009E7F47">
        <w:rPr>
          <w:rFonts w:ascii="Arial" w:hAnsi="Arial" w:cs="Arial"/>
          <w:lang w:eastAsia="en-GB"/>
        </w:rPr>
        <w:t xml:space="preserve"> are using generative AI to assist their marketing officials with creating thousands of variants of ads, emails, graphics, and more. So basically, AI helps them make endless content quickly.</w:t>
      </w:r>
      <w:r w:rsidRPr="00C55E2A">
        <w:rPr>
          <w:rFonts w:ascii="Arial" w:hAnsi="Arial" w:cs="Arial"/>
          <w:lang w:eastAsia="en-GB"/>
        </w:rPr>
        <w:t xml:space="preserve"> </w:t>
      </w:r>
      <w:r w:rsidRPr="00471377">
        <w:rPr>
          <w:rFonts w:ascii="Arial" w:hAnsi="Arial" w:cs="Arial"/>
          <w:lang w:eastAsia="en-GB"/>
        </w:rPr>
        <w:t>Artificial intelligence can send automatically sustainable appearing messages to every consumer because of this high level of personalisation. However, researchers warn this creates an AI Marketing Paradox.</w:t>
      </w:r>
      <w:r>
        <w:rPr>
          <w:rFonts w:ascii="Arial" w:hAnsi="Arial" w:cs="Arial"/>
          <w:lang w:eastAsia="en-GB"/>
        </w:rPr>
        <w:t xml:space="preserve"> </w:t>
      </w:r>
      <w:r w:rsidRPr="00C55E2A">
        <w:rPr>
          <w:rFonts w:ascii="Arial" w:hAnsi="Arial" w:cs="Arial"/>
          <w:lang w:eastAsia="en-GB"/>
        </w:rPr>
        <w:t xml:space="preserve">This happens when </w:t>
      </w:r>
      <w:r>
        <w:rPr>
          <w:rFonts w:ascii="Arial" w:hAnsi="Arial" w:cs="Arial"/>
          <w:lang w:eastAsia="en-GB"/>
        </w:rPr>
        <w:t xml:space="preserve">u see </w:t>
      </w:r>
      <w:r w:rsidRPr="00C55E2A">
        <w:rPr>
          <w:rFonts w:ascii="Arial" w:hAnsi="Arial" w:cs="Arial"/>
          <w:lang w:eastAsia="en-GB"/>
        </w:rPr>
        <w:t xml:space="preserve">automated digital touchpoints multiply the brand presence, </w:t>
      </w:r>
      <w:r w:rsidRPr="00BE11C7">
        <w:rPr>
          <w:rFonts w:ascii="Arial" w:hAnsi="Arial" w:cs="Arial"/>
          <w:lang w:eastAsia="en-GB"/>
        </w:rPr>
        <w:t>Due to the large number of automated messages, the engagement feels less genuine and less meaningful.</w:t>
      </w:r>
    </w:p>
    <w:p w14:paraId="6E1AF184" w14:textId="77777777" w:rsidR="00C84D32" w:rsidRPr="00C55E2A" w:rsidRDefault="00C84D32" w:rsidP="00C84D32">
      <w:pPr>
        <w:rPr>
          <w:rFonts w:ascii="Arial" w:hAnsi="Arial" w:cs="Arial"/>
          <w:lang w:eastAsia="en-GB"/>
        </w:rPr>
      </w:pPr>
      <w:r w:rsidRPr="00A705A0">
        <w:rPr>
          <w:rFonts w:ascii="Arial" w:hAnsi="Arial" w:cs="Arial"/>
          <w:lang w:eastAsia="en-GB"/>
        </w:rPr>
        <w:t>Consumers are more and more overwhelmed with advertisements utilising AI technology to promote sustainability message. They soon figure out that these messages have no brand led intentions but are just algorithmic tactics.</w:t>
      </w:r>
      <w:r>
        <w:rPr>
          <w:rFonts w:ascii="Arial" w:hAnsi="Arial" w:cs="Arial"/>
          <w:lang w:eastAsia="en-GB"/>
        </w:rPr>
        <w:t xml:space="preserve"> </w:t>
      </w:r>
      <w:r w:rsidRPr="00C55E2A">
        <w:rPr>
          <w:rFonts w:ascii="Arial" w:hAnsi="Arial" w:cs="Arial"/>
          <w:lang w:eastAsia="en-GB"/>
        </w:rPr>
        <w:t xml:space="preserve"> According to </w:t>
      </w:r>
      <w:proofErr w:type="spellStart"/>
      <w:r w:rsidRPr="00C55E2A">
        <w:rPr>
          <w:rFonts w:ascii="Arial" w:hAnsi="Arial" w:cs="Arial"/>
          <w:lang w:eastAsia="en-GB"/>
        </w:rPr>
        <w:t>mustak</w:t>
      </w:r>
      <w:proofErr w:type="spellEnd"/>
      <w:r w:rsidRPr="00C55E2A">
        <w:rPr>
          <w:rFonts w:ascii="Arial" w:hAnsi="Arial" w:cs="Arial"/>
          <w:lang w:eastAsia="en-GB"/>
        </w:rPr>
        <w:t xml:space="preserve"> et al., 2021, </w:t>
      </w:r>
      <w:r w:rsidRPr="00363199">
        <w:rPr>
          <w:rFonts w:ascii="Arial" w:hAnsi="Arial" w:cs="Arial"/>
          <w:lang w:eastAsia="en-GB"/>
        </w:rPr>
        <w:t>AI can definitely help get information out to consumers and help you connect with them. However, in sustainability marketing, it only works when it is part of a bigger meaningful brand experience and not just a tool to get content out. Hence, we need to question how AI and CSR can spark together. Up until now AI has often been used mainly for speed and productivity. Brands should consider utilizing AI in ways that promote genuine connection and strong empathy. Unilever and other global companies should not use AI in operations to enhance greenwash or undermine sustainability claims.</w:t>
      </w:r>
    </w:p>
    <w:p w14:paraId="1AB05934" w14:textId="364E658C" w:rsidR="00C84D32" w:rsidRDefault="00C84D32" w:rsidP="00C84D32">
      <w:pPr>
        <w:rPr>
          <w:rFonts w:ascii="Arial" w:hAnsi="Arial" w:cs="Arial"/>
          <w:lang w:eastAsia="en-GB"/>
        </w:rPr>
      </w:pPr>
      <w:r w:rsidRPr="007C230A">
        <w:rPr>
          <w:rFonts w:ascii="Arial" w:hAnsi="Arial" w:cs="Arial"/>
          <w:lang w:val="en-IN" w:eastAsia="en-GB"/>
        </w:rPr>
        <w:t>AI should help people discover what is real, verifiable information instead of just making up a story that sounds good. Interactive AI could let us all check who made our clothes and where our food comes from, while pointing out the carbon footprint of something</w:t>
      </w:r>
      <w:r>
        <w:rPr>
          <w:rFonts w:ascii="Arial" w:hAnsi="Arial" w:cs="Arial"/>
          <w:lang w:val="en-IN" w:eastAsia="en-GB"/>
        </w:rPr>
        <w:t xml:space="preserve">. </w:t>
      </w:r>
      <w:r w:rsidRPr="00100781">
        <w:rPr>
          <w:rFonts w:ascii="Arial" w:hAnsi="Arial" w:cs="Arial"/>
          <w:lang w:eastAsia="en-GB"/>
        </w:rPr>
        <w:t>Such transparency builds trust because you can see it for yourself.</w:t>
      </w:r>
      <w:r w:rsidRPr="00C55E2A">
        <w:rPr>
          <w:rFonts w:ascii="Arial" w:hAnsi="Arial" w:cs="Arial"/>
          <w:lang w:eastAsia="en-GB"/>
        </w:rPr>
        <w:t xml:space="preserve"> (Siano et al. 2021).</w:t>
      </w:r>
    </w:p>
    <w:p w14:paraId="403BC30D" w14:textId="3490CC92" w:rsidR="00C84D32" w:rsidRPr="00C55E2A" w:rsidRDefault="00C84D32" w:rsidP="00C84D32">
      <w:pPr>
        <w:rPr>
          <w:rFonts w:ascii="Arial" w:hAnsi="Arial" w:cs="Arial"/>
          <w:lang w:eastAsia="en-GB"/>
        </w:rPr>
      </w:pPr>
      <w:r>
        <w:rPr>
          <w:rFonts w:ascii="Arial" w:hAnsi="Arial" w:cs="Arial"/>
          <w:lang w:eastAsia="en-GB"/>
        </w:rPr>
        <w:br w:type="page"/>
      </w:r>
    </w:p>
    <w:p w14:paraId="4FB69A45" w14:textId="77777777" w:rsidR="00C84D32" w:rsidRPr="0078498F" w:rsidRDefault="00C84D32" w:rsidP="0078498F">
      <w:pPr>
        <w:pStyle w:val="Heading1"/>
      </w:pPr>
      <w:bookmarkStart w:id="51" w:name="_Toc231740317"/>
      <w:r w:rsidRPr="0078498F">
        <w:t>Chapter 3: Research Methodology</w:t>
      </w:r>
      <w:bookmarkEnd w:id="51"/>
    </w:p>
    <w:p w14:paraId="2B493B69" w14:textId="77777777" w:rsidR="00C84D32" w:rsidRPr="0078498F" w:rsidRDefault="00C84D32" w:rsidP="0078498F">
      <w:pPr>
        <w:pStyle w:val="Heading2"/>
      </w:pPr>
      <w:bookmarkStart w:id="52" w:name="_Toc231740318"/>
      <w:r w:rsidRPr="0078498F">
        <w:t>3.1 Introduction to the Methodological Framework</w:t>
      </w:r>
      <w:bookmarkEnd w:id="52"/>
    </w:p>
    <w:p w14:paraId="3378E5AA" w14:textId="77777777" w:rsidR="00C84D32" w:rsidRDefault="00C84D32" w:rsidP="00C84D32">
      <w:pPr>
        <w:rPr>
          <w:rFonts w:ascii="Arial" w:hAnsi="Arial" w:cs="Arial"/>
        </w:rPr>
      </w:pPr>
      <w:r w:rsidRPr="00E75F4D">
        <w:rPr>
          <w:rFonts w:ascii="Arial" w:hAnsi="Arial" w:cs="Arial"/>
        </w:rPr>
        <w:t>In marketing for fast-moving consumer goods, you won’t see the shift in approach by looking at the data. Data only shows a small portion of what is happening. Marketing nowadays is much more than planning, managing and executing marketing campaigns. As a result, the methodology chapter will adopt the qualitative approach to implement Unilever’s strategy change coherently.</w:t>
      </w:r>
      <w:r>
        <w:rPr>
          <w:rFonts w:ascii="Arial" w:hAnsi="Arial" w:cs="Arial"/>
        </w:rPr>
        <w:t xml:space="preserve"> </w:t>
      </w:r>
      <w:r w:rsidRPr="006577FB">
        <w:rPr>
          <w:rFonts w:ascii="Arial" w:hAnsi="Arial" w:cs="Arial"/>
        </w:rPr>
        <w:t>In this paper, we utilize a qualitative comparative case method that combines various forms of evidence documents, reports from companies, and other secondary data. This methodology will apply a thematic analysis to uncover the key themes and cultural Green Codes that demonstrate the meanings relating to sustainability culturally in the UK and India</w:t>
      </w:r>
      <w:r w:rsidRPr="00C55E2A">
        <w:rPr>
          <w:rFonts w:ascii="Arial" w:hAnsi="Arial" w:cs="Arial"/>
        </w:rPr>
        <w:t xml:space="preserve">. </w:t>
      </w:r>
      <w:r w:rsidRPr="004E5090">
        <w:rPr>
          <w:rFonts w:ascii="Arial" w:hAnsi="Arial" w:cs="Arial"/>
        </w:rPr>
        <w:t xml:space="preserve">This method confirms the findings through comparison across multiple data sets. It helps organizations synthesize reports and uses only available materials to offer a summary. Simultaneously, it is aware of limitations in the data, </w:t>
      </w:r>
      <w:r w:rsidRPr="00AD2AD7">
        <w:rPr>
          <w:rFonts w:ascii="Arial" w:hAnsi="Arial" w:cs="Arial"/>
        </w:rPr>
        <w:t>The online information may come with unwanted “contaminants”, for instance misleading data, biased content, or manipulated sustainability claims. At the same time, the ethical issues in digital marketing are already well-known.</w:t>
      </w:r>
    </w:p>
    <w:p w14:paraId="400F7F47" w14:textId="77777777" w:rsidR="00C84D32" w:rsidRPr="00C55E2A" w:rsidRDefault="00C84D32" w:rsidP="0078498F">
      <w:pPr>
        <w:pStyle w:val="Heading2"/>
        <w:rPr>
          <w:rFonts w:eastAsia="Times New Roman"/>
          <w:lang w:eastAsia="en-GB"/>
        </w:rPr>
      </w:pPr>
      <w:bookmarkStart w:id="53" w:name="_Toc231740319"/>
      <w:r w:rsidRPr="00C55E2A">
        <w:rPr>
          <w:rFonts w:eastAsia="Times New Roman"/>
          <w:lang w:eastAsia="en-GB"/>
        </w:rPr>
        <w:t>3.2 Research Philosophy: Interpretivism</w:t>
      </w:r>
      <w:bookmarkEnd w:id="53"/>
    </w:p>
    <w:p w14:paraId="2D929C70" w14:textId="77777777" w:rsidR="00C84D32" w:rsidRPr="00C55E2A" w:rsidRDefault="00C84D32" w:rsidP="00C84D32">
      <w:pPr>
        <w:rPr>
          <w:rFonts w:ascii="Arial" w:hAnsi="Arial" w:cs="Arial"/>
        </w:rPr>
      </w:pPr>
      <w:r w:rsidRPr="00801B1E">
        <w:rPr>
          <w:rFonts w:ascii="Arial" w:hAnsi="Arial" w:cs="Arial"/>
        </w:rPr>
        <w:t xml:space="preserve">Understanding the diversified consumer marketing mixes across cultures enable us to comprehend how people understand and respond to the corporate sustainability claims. Since it’s complex, the research uses a </w:t>
      </w:r>
      <w:proofErr w:type="spellStart"/>
      <w:r w:rsidRPr="00801B1E">
        <w:rPr>
          <w:rFonts w:ascii="Arial" w:hAnsi="Arial" w:cs="Arial"/>
        </w:rPr>
        <w:t>interpretivist</w:t>
      </w:r>
      <w:proofErr w:type="spellEnd"/>
      <w:r w:rsidRPr="00801B1E">
        <w:rPr>
          <w:rFonts w:ascii="Arial" w:hAnsi="Arial" w:cs="Arial"/>
        </w:rPr>
        <w:t xml:space="preserve"> philosophy to </w:t>
      </w:r>
      <w:proofErr w:type="spellStart"/>
      <w:r w:rsidRPr="00801B1E">
        <w:rPr>
          <w:rFonts w:ascii="Arial" w:hAnsi="Arial" w:cs="Arial"/>
        </w:rPr>
        <w:t>analyze</w:t>
      </w:r>
      <w:proofErr w:type="spellEnd"/>
      <w:r w:rsidRPr="00801B1E">
        <w:rPr>
          <w:rFonts w:ascii="Arial" w:hAnsi="Arial" w:cs="Arial"/>
        </w:rPr>
        <w:t xml:space="preserve"> data; not to show what the number’s methods are, but how the research participant created meaning.</w:t>
      </w:r>
    </w:p>
    <w:p w14:paraId="6C883FC3" w14:textId="77777777" w:rsidR="00C84D32" w:rsidRDefault="00C84D32" w:rsidP="00C84D32">
      <w:pPr>
        <w:rPr>
          <w:rFonts w:ascii="Arial" w:hAnsi="Arial" w:cs="Arial"/>
        </w:rPr>
      </w:pPr>
      <w:r w:rsidRPr="005B2228">
        <w:rPr>
          <w:rFonts w:ascii="Arial" w:hAnsi="Arial" w:cs="Arial"/>
        </w:rPr>
        <w:t>Unlike positivism, constructivism holds reality and meaning are subjective, resulting from the influences within society and culture (</w:t>
      </w:r>
      <w:proofErr w:type="spellStart"/>
      <w:r w:rsidRPr="005B2228">
        <w:rPr>
          <w:rFonts w:ascii="Arial" w:hAnsi="Arial" w:cs="Arial"/>
        </w:rPr>
        <w:t>Vespestad</w:t>
      </w:r>
      <w:proofErr w:type="spellEnd"/>
      <w:r w:rsidRPr="005B2228">
        <w:rPr>
          <w:rFonts w:ascii="Arial" w:hAnsi="Arial" w:cs="Arial"/>
        </w:rPr>
        <w:t xml:space="preserve"> &amp; Clancy, 2020). On the </w:t>
      </w:r>
      <w:r>
        <w:rPr>
          <w:rFonts w:ascii="Arial" w:hAnsi="Arial" w:cs="Arial"/>
        </w:rPr>
        <w:t>other hand</w:t>
      </w:r>
      <w:r w:rsidRPr="005B2228">
        <w:rPr>
          <w:rFonts w:ascii="Arial" w:hAnsi="Arial" w:cs="Arial"/>
        </w:rPr>
        <w:t>, positivism thinks that reality can be objectively measured. Interpretivism acknowledges the fact that not everywhere consumer behaviour towards sustainability is the same.</w:t>
      </w:r>
      <w:r>
        <w:rPr>
          <w:rFonts w:ascii="Arial" w:hAnsi="Arial" w:cs="Arial"/>
        </w:rPr>
        <w:t xml:space="preserve"> </w:t>
      </w:r>
      <w:r w:rsidRPr="00FD6730">
        <w:rPr>
          <w:rFonts w:ascii="Arial" w:hAnsi="Arial" w:cs="Arial"/>
        </w:rPr>
        <w:t>Both personal identity and shared cultural identity influence the action of people. Local consumers’ expectations and behaviours are shaped by these two aspects which is crucial to interpreting analysis</w:t>
      </w:r>
    </w:p>
    <w:p w14:paraId="42031C31" w14:textId="77777777" w:rsidR="00C84D32" w:rsidRPr="00C55E2A" w:rsidRDefault="00C84D32" w:rsidP="0078498F">
      <w:pPr>
        <w:pStyle w:val="Heading3"/>
        <w:rPr>
          <w:rFonts w:eastAsia="Times New Roman"/>
          <w:lang w:eastAsia="en-GB"/>
        </w:rPr>
      </w:pPr>
      <w:bookmarkStart w:id="54" w:name="_Toc231740320"/>
      <w:r w:rsidRPr="00C55E2A">
        <w:rPr>
          <w:rFonts w:eastAsia="Times New Roman"/>
          <w:lang w:eastAsia="en-GB"/>
        </w:rPr>
        <w:t>3.2.1 Mapping Cultural "Green Codes" as a Meaning-Making System</w:t>
      </w:r>
      <w:bookmarkEnd w:id="54"/>
    </w:p>
    <w:p w14:paraId="75BE6429" w14:textId="02E03F5D" w:rsidR="00C84D32" w:rsidRPr="00C55E2A" w:rsidRDefault="00C84D32" w:rsidP="00C84D32">
      <w:pPr>
        <w:rPr>
          <w:rFonts w:ascii="Arial" w:hAnsi="Arial" w:cs="Arial"/>
        </w:rPr>
      </w:pPr>
      <w:r w:rsidRPr="00D9070E">
        <w:rPr>
          <w:rFonts w:ascii="Arial" w:hAnsi="Arial" w:cs="Arial"/>
        </w:rPr>
        <w:t>The research utilizes a constructivist position by identifying out cultural “green codes,” which refer to the short-cut rules that ordinary people depend on to make sense of environmental claims. They showcase how consumers in distinct cultures understand sustainability messages, linking to constructivist thinking and green marketing codes.</w:t>
      </w:r>
      <w:r>
        <w:rPr>
          <w:rFonts w:ascii="Arial" w:hAnsi="Arial" w:cs="Arial"/>
        </w:rPr>
        <w:t xml:space="preserve"> </w:t>
      </w:r>
      <w:r w:rsidRPr="0059624A">
        <w:rPr>
          <w:rFonts w:ascii="Arial" w:hAnsi="Arial" w:cs="Arial"/>
        </w:rPr>
        <w:t xml:space="preserve">A constructivist analysis of the UK suggests that people usually </w:t>
      </w:r>
      <w:r>
        <w:rPr>
          <w:rFonts w:ascii="Arial" w:hAnsi="Arial" w:cs="Arial"/>
        </w:rPr>
        <w:t>link</w:t>
      </w:r>
      <w:r w:rsidRPr="0059624A">
        <w:rPr>
          <w:rFonts w:ascii="Arial" w:hAnsi="Arial" w:cs="Arial"/>
        </w:rPr>
        <w:t xml:space="preserve"> the consumption of sustainable with environmentalism and social responsibility and scientific evidence. Sustainability only feels real to UK customers if brands demonstrate authenticity because shoppers are highly aware of greenwashing. This has a direct connection to green codes and constructivist thinking.</w:t>
      </w:r>
      <w:r w:rsidRPr="00C55E2A">
        <w:rPr>
          <w:rFonts w:ascii="Arial" w:hAnsi="Arial" w:cs="Arial"/>
        </w:rPr>
        <w:t xml:space="preserve"> (Ibrahim et al, 2025).</w:t>
      </w:r>
    </w:p>
    <w:p w14:paraId="24156A1D" w14:textId="3ACC7B88" w:rsidR="00C84D32" w:rsidRPr="00C55E2A" w:rsidRDefault="00C84D32" w:rsidP="00C84D32">
      <w:pPr>
        <w:rPr>
          <w:rFonts w:ascii="Arial" w:hAnsi="Arial" w:cs="Arial"/>
        </w:rPr>
      </w:pPr>
      <w:r w:rsidRPr="00300377">
        <w:rPr>
          <w:rFonts w:ascii="Arial" w:hAnsi="Arial" w:cs="Arial"/>
        </w:rPr>
        <w:t>People in India view sustainable consumption through practical (cultural) habits and business necessity. When the interpretivist approach is used, a different kind of sustainability message emerges. It relates what companies do to key social issues like cleanliness, empowerment and social justice</w:t>
      </w:r>
      <w:r>
        <w:rPr>
          <w:rFonts w:ascii="Arial" w:hAnsi="Arial" w:cs="Arial"/>
        </w:rPr>
        <w:t xml:space="preserve"> </w:t>
      </w:r>
      <w:r w:rsidRPr="00C55E2A">
        <w:rPr>
          <w:rFonts w:ascii="Arial" w:hAnsi="Arial" w:cs="Arial"/>
        </w:rPr>
        <w:t>(</w:t>
      </w:r>
      <w:proofErr w:type="spellStart"/>
      <w:r w:rsidRPr="00C55E2A">
        <w:rPr>
          <w:rFonts w:ascii="Arial" w:hAnsi="Arial" w:cs="Arial"/>
        </w:rPr>
        <w:t>Shaimerdenkov</w:t>
      </w:r>
      <w:proofErr w:type="spellEnd"/>
      <w:r w:rsidRPr="00C55E2A">
        <w:rPr>
          <w:rFonts w:ascii="Arial" w:hAnsi="Arial" w:cs="Arial"/>
        </w:rPr>
        <w:t xml:space="preserve"> et al. 2025). </w:t>
      </w:r>
      <w:r w:rsidRPr="004F7D0D">
        <w:rPr>
          <w:rFonts w:ascii="Arial" w:hAnsi="Arial" w:cs="Arial"/>
        </w:rPr>
        <w:t xml:space="preserve">By using a multi-level interpretation, we can see how digital stories can be more engaging for consumers. In addition, it generates </w:t>
      </w:r>
      <w:r w:rsidR="0078498F" w:rsidRPr="004F7D0D">
        <w:rPr>
          <w:rFonts w:ascii="Arial" w:hAnsi="Arial" w:cs="Arial"/>
        </w:rPr>
        <w:t>culturally sensitive</w:t>
      </w:r>
      <w:r w:rsidRPr="004F7D0D">
        <w:rPr>
          <w:rFonts w:ascii="Arial" w:hAnsi="Arial" w:cs="Arial"/>
        </w:rPr>
        <w:t xml:space="preserve"> research findings that address the Trust</w:t>
      </w:r>
      <w:r w:rsidRPr="004F7D0D">
        <w:rPr>
          <w:rFonts w:ascii="Arial" w:hAnsi="Arial" w:cs="Arial"/>
        </w:rPr>
        <w:noBreakHyphen/>
        <w:t>Digital Paradox</w:t>
      </w:r>
      <w:r>
        <w:rPr>
          <w:rFonts w:ascii="Arial" w:hAnsi="Arial" w:cs="Arial"/>
        </w:rPr>
        <w:t>,</w:t>
      </w:r>
      <w:r w:rsidRPr="004F7D0D">
        <w:rPr>
          <w:rFonts w:ascii="Arial" w:hAnsi="Arial" w:cs="Arial"/>
        </w:rPr>
        <w:t xml:space="preserve"> people may stop believing in digital messages because they seem too automated or too unrealistic.</w:t>
      </w:r>
      <w:r w:rsidRPr="00C55E2A">
        <w:rPr>
          <w:rFonts w:ascii="Arial" w:hAnsi="Arial" w:cs="Arial"/>
        </w:rPr>
        <w:t xml:space="preserve"> (Imane &amp; Rabeh, 2025).</w:t>
      </w:r>
    </w:p>
    <w:p w14:paraId="64949FB1" w14:textId="77777777" w:rsidR="00C84D32" w:rsidRPr="0078498F" w:rsidRDefault="00C84D32" w:rsidP="0078498F">
      <w:pPr>
        <w:pStyle w:val="Heading2"/>
      </w:pPr>
      <w:bookmarkStart w:id="55" w:name="_Toc231740321"/>
      <w:r w:rsidRPr="0078498F">
        <w:t>3.3 Research Approach: Qualitative Comparative Case Study</w:t>
      </w:r>
      <w:bookmarkEnd w:id="55"/>
    </w:p>
    <w:p w14:paraId="34BF3C3E" w14:textId="77777777" w:rsidR="00C84D32" w:rsidRPr="00C55E2A" w:rsidRDefault="00C84D32" w:rsidP="00C84D32">
      <w:pPr>
        <w:rPr>
          <w:rFonts w:ascii="Arial" w:hAnsi="Arial" w:cs="Arial"/>
        </w:rPr>
      </w:pPr>
      <w:r w:rsidRPr="005E7090">
        <w:rPr>
          <w:rFonts w:ascii="Arial" w:hAnsi="Arial" w:cs="Arial"/>
        </w:rPr>
        <w:t>Researchers selected the qualitative comparative case study to apply the subjectivist way of thinking. A case study is helpful when you want to investigate into a real life situation, not just collect survey numbers. It’s great when you can’t tell what’s happening and where -- for example, when something works because of cultural differences. This matches with interpretivist research perfectly</w:t>
      </w:r>
      <w:r>
        <w:rPr>
          <w:rFonts w:ascii="Arial" w:hAnsi="Arial" w:cs="Arial"/>
        </w:rPr>
        <w:t xml:space="preserve"> </w:t>
      </w:r>
      <w:r w:rsidRPr="00C55E2A">
        <w:rPr>
          <w:rFonts w:ascii="Arial" w:hAnsi="Arial" w:cs="Arial"/>
        </w:rPr>
        <w:t xml:space="preserve">(Dr. Rana &amp; Kapoor, 2025). </w:t>
      </w:r>
      <w:r w:rsidRPr="00CB20BE">
        <w:rPr>
          <w:rFonts w:ascii="Arial" w:hAnsi="Arial" w:cs="Arial"/>
        </w:rPr>
        <w:t>Similarly, Dove, Unilever’s top purpose-driven product, will be one brand we will study. Dove has focused on, and helps us understand how they smoothly operate, digitally communicate and how they deliver sustainably. This is a direct link to brand case study analysis and sustainability marketing</w:t>
      </w:r>
      <w:r>
        <w:rPr>
          <w:rFonts w:ascii="Arial" w:hAnsi="Arial" w:cs="Arial"/>
        </w:rPr>
        <w:t xml:space="preserve"> </w:t>
      </w:r>
      <w:r w:rsidRPr="00C55E2A">
        <w:rPr>
          <w:rFonts w:ascii="Arial" w:hAnsi="Arial" w:cs="Arial"/>
        </w:rPr>
        <w:t xml:space="preserve">(Serhan and Zhang, 2025). </w:t>
      </w:r>
    </w:p>
    <w:p w14:paraId="2776E26D" w14:textId="77777777" w:rsidR="00C84D32" w:rsidRPr="00C55E2A" w:rsidRDefault="00C84D32" w:rsidP="00C84D32">
      <w:pPr>
        <w:rPr>
          <w:rFonts w:ascii="Arial" w:hAnsi="Arial" w:cs="Arial"/>
        </w:rPr>
      </w:pPr>
      <w:r w:rsidRPr="00F53891">
        <w:rPr>
          <w:rFonts w:ascii="Arial" w:hAnsi="Arial" w:cs="Arial"/>
        </w:rPr>
        <w:t>The comparative case study allows for a closer look at the Trust-Digital Paradox. The results show that large international brands cannot always build trust through sustainability talk. And this issue is not just limited to online but also the fear of greenwashing, where businesses make statements that sound impressive but are not quite so</w:t>
      </w:r>
      <w:r>
        <w:rPr>
          <w:rFonts w:ascii="Arial" w:hAnsi="Arial" w:cs="Arial"/>
        </w:rPr>
        <w:t xml:space="preserve"> </w:t>
      </w:r>
      <w:r w:rsidRPr="00C55E2A">
        <w:rPr>
          <w:rFonts w:ascii="Arial" w:hAnsi="Arial" w:cs="Arial"/>
        </w:rPr>
        <w:t>(Ibrahim et al.</w:t>
      </w:r>
      <w:r>
        <w:t xml:space="preserve"> </w:t>
      </w:r>
      <w:r w:rsidRPr="00C55E2A">
        <w:rPr>
          <w:rFonts w:ascii="Arial" w:hAnsi="Arial" w:cs="Arial"/>
        </w:rPr>
        <w:t xml:space="preserve">2025). </w:t>
      </w:r>
      <w:r w:rsidRPr="008C6BF1">
        <w:rPr>
          <w:rFonts w:ascii="Arial" w:hAnsi="Arial" w:cs="Arial"/>
        </w:rPr>
        <w:t>The qualitative data collected in both countries provides us insight into voices and opinions of different people. It shows the attitudes and emotions of consumers and other stakeholders, providing a more balanced account of sustainability across cultures. "To explain why the reactions differ in each setting, it would help simplify the collaboration with interpretivist analysis.</w:t>
      </w:r>
      <w:r>
        <w:rPr>
          <w:rFonts w:ascii="Arial" w:hAnsi="Arial" w:cs="Arial"/>
        </w:rPr>
        <w:t xml:space="preserve"> </w:t>
      </w:r>
      <w:r w:rsidRPr="005756AA">
        <w:rPr>
          <w:rFonts w:ascii="Arial" w:hAnsi="Arial" w:cs="Arial"/>
        </w:rPr>
        <w:t xml:space="preserve">With this framework, we can </w:t>
      </w:r>
      <w:proofErr w:type="spellStart"/>
      <w:r w:rsidRPr="005756AA">
        <w:rPr>
          <w:rFonts w:ascii="Arial" w:hAnsi="Arial" w:cs="Arial"/>
        </w:rPr>
        <w:t>analyze</w:t>
      </w:r>
      <w:proofErr w:type="spellEnd"/>
      <w:r w:rsidRPr="005756AA">
        <w:rPr>
          <w:rFonts w:ascii="Arial" w:hAnsi="Arial" w:cs="Arial"/>
        </w:rPr>
        <w:t xml:space="preserve"> the marketing messages and judge how authentic, relevant or valuable they are. This process boosts the global dialogue on sustainability marketing as well, making it more stable to weak claims or greenwashing. This helps achieve a stronger sustainability analysis, and a clearer message evaluation</w:t>
      </w:r>
      <w:r>
        <w:rPr>
          <w:rFonts w:ascii="Arial" w:hAnsi="Arial" w:cs="Arial"/>
        </w:rPr>
        <w:t xml:space="preserve"> </w:t>
      </w:r>
      <w:r w:rsidRPr="00C55E2A">
        <w:rPr>
          <w:rFonts w:ascii="Arial" w:hAnsi="Arial" w:cs="Arial"/>
        </w:rPr>
        <w:t>(</w:t>
      </w:r>
      <w:proofErr w:type="spellStart"/>
      <w:r w:rsidRPr="00C55E2A">
        <w:rPr>
          <w:rFonts w:ascii="Arial" w:hAnsi="Arial" w:cs="Arial"/>
        </w:rPr>
        <w:t>Qalati</w:t>
      </w:r>
      <w:proofErr w:type="spellEnd"/>
      <w:r w:rsidRPr="00C55E2A">
        <w:rPr>
          <w:rFonts w:ascii="Arial" w:hAnsi="Arial" w:cs="Arial"/>
        </w:rPr>
        <w:t xml:space="preserve"> et al 2024).</w:t>
      </w:r>
    </w:p>
    <w:p w14:paraId="16D94984" w14:textId="77777777" w:rsidR="00C84D32" w:rsidRPr="0078498F" w:rsidRDefault="00C84D32" w:rsidP="0078498F">
      <w:pPr>
        <w:pStyle w:val="Heading2"/>
      </w:pPr>
      <w:bookmarkStart w:id="56" w:name="_Toc231740322"/>
      <w:r w:rsidRPr="0078498F">
        <w:t>3.4 Research Strategy: Archival Digital Research and Corporate Disclosure Analysis</w:t>
      </w:r>
      <w:bookmarkEnd w:id="56"/>
    </w:p>
    <w:p w14:paraId="28E5FF3B" w14:textId="77777777" w:rsidR="00C84D32" w:rsidRPr="00C55E2A" w:rsidRDefault="00C84D32" w:rsidP="00C84D32">
      <w:pPr>
        <w:rPr>
          <w:rFonts w:ascii="Arial" w:hAnsi="Arial" w:cs="Arial"/>
        </w:rPr>
      </w:pPr>
      <w:r w:rsidRPr="00C55E2A">
        <w:rPr>
          <w:rFonts w:ascii="Arial" w:hAnsi="Arial" w:cs="Arial"/>
        </w:rPr>
        <w:t>The research strategy consists of two parts, namely archival digital research and organizational disclosure.</w:t>
      </w:r>
    </w:p>
    <w:p w14:paraId="1A7D4FB4" w14:textId="77777777" w:rsidR="00C84D32" w:rsidRPr="0078498F" w:rsidRDefault="00C84D32" w:rsidP="0078498F">
      <w:pPr>
        <w:pStyle w:val="Heading3"/>
      </w:pPr>
      <w:bookmarkStart w:id="57" w:name="_Toc231740323"/>
      <w:r w:rsidRPr="0078498F">
        <w:t>3.4.1 Archival Digital Research</w:t>
      </w:r>
      <w:bookmarkEnd w:id="57"/>
    </w:p>
    <w:p w14:paraId="54677AFD" w14:textId="77777777" w:rsidR="00C84D32" w:rsidRPr="00C55E2A" w:rsidRDefault="00C84D32" w:rsidP="00C84D32">
      <w:pPr>
        <w:rPr>
          <w:rFonts w:ascii="Arial" w:hAnsi="Arial" w:cs="Arial"/>
        </w:rPr>
      </w:pPr>
      <w:r w:rsidRPr="0097653A">
        <w:rPr>
          <w:rFonts w:ascii="Arial" w:hAnsi="Arial" w:cs="Arial"/>
        </w:rPr>
        <w:t>Ibrahim et al. (2025) conducts a digital study of both branded content and social media posts, and any other digital material that gets shared through websites and e</w:t>
      </w:r>
      <w:r w:rsidRPr="0097653A">
        <w:rPr>
          <w:rFonts w:ascii="Arial" w:hAnsi="Arial" w:cs="Arial"/>
        </w:rPr>
        <w:noBreakHyphen/>
        <w:t>commerce. It shows how companies create, verify and update their public narratives over time. This relates to brand storytelling and communicating sustainability.</w:t>
      </w:r>
      <w:r>
        <w:rPr>
          <w:rFonts w:ascii="Arial" w:hAnsi="Arial" w:cs="Arial"/>
        </w:rPr>
        <w:t xml:space="preserve"> </w:t>
      </w:r>
      <w:r w:rsidRPr="00643811">
        <w:rPr>
          <w:rFonts w:ascii="Arial" w:hAnsi="Arial" w:cs="Arial"/>
        </w:rPr>
        <w:t>Architectural digital archives allow us to see how the reporting style of companies has been different in their older and newer versions of the website. They also demonstrate how brands adapt these reports to fit various demographic groups they want to address.</w:t>
      </w:r>
    </w:p>
    <w:p w14:paraId="20E62A82" w14:textId="77777777" w:rsidR="00C84D32" w:rsidRPr="0078498F" w:rsidRDefault="00C84D32" w:rsidP="0078498F">
      <w:pPr>
        <w:pStyle w:val="Heading3"/>
      </w:pPr>
      <w:bookmarkStart w:id="58" w:name="_Toc231740324"/>
      <w:r w:rsidRPr="0078498F">
        <w:t>3.4.2 Corporate Disclosure Analysis</w:t>
      </w:r>
      <w:bookmarkEnd w:id="58"/>
    </w:p>
    <w:p w14:paraId="38F97499" w14:textId="77777777" w:rsidR="00C84D32" w:rsidRPr="00C55E2A" w:rsidRDefault="00C84D32" w:rsidP="00C84D32">
      <w:pPr>
        <w:rPr>
          <w:rFonts w:ascii="Arial" w:hAnsi="Arial" w:cs="Arial"/>
        </w:rPr>
      </w:pPr>
      <w:r w:rsidRPr="00C22594">
        <w:rPr>
          <w:rFonts w:ascii="Arial" w:hAnsi="Arial" w:cs="Arial"/>
        </w:rPr>
        <w:t>The internal production, resource allocation and compliance assessment of a corporation is done through corporate report analysis</w:t>
      </w:r>
      <w:r w:rsidRPr="00C55E2A">
        <w:rPr>
          <w:rFonts w:ascii="Arial" w:hAnsi="Arial" w:cs="Arial"/>
        </w:rPr>
        <w:t xml:space="preserve"> (</w:t>
      </w:r>
      <w:proofErr w:type="spellStart"/>
      <w:r w:rsidRPr="00C55E2A">
        <w:rPr>
          <w:rFonts w:ascii="Arial" w:hAnsi="Arial" w:cs="Arial"/>
        </w:rPr>
        <w:t>Shaimerdenkyzy</w:t>
      </w:r>
      <w:proofErr w:type="spellEnd"/>
      <w:r w:rsidRPr="00C55E2A">
        <w:rPr>
          <w:rFonts w:ascii="Arial" w:hAnsi="Arial" w:cs="Arial"/>
        </w:rPr>
        <w:t xml:space="preserve"> et al. 2025)</w:t>
      </w:r>
      <w:r>
        <w:rPr>
          <w:rFonts w:ascii="Arial" w:hAnsi="Arial" w:cs="Arial"/>
        </w:rPr>
        <w:t>.</w:t>
      </w:r>
      <w:r w:rsidRPr="00C55E2A">
        <w:rPr>
          <w:rFonts w:ascii="Arial" w:hAnsi="Arial" w:cs="Arial"/>
        </w:rPr>
        <w:t xml:space="preserve"> </w:t>
      </w:r>
      <w:r w:rsidRPr="00D77FA0">
        <w:rPr>
          <w:rFonts w:ascii="Arial" w:hAnsi="Arial" w:cs="Arial"/>
        </w:rPr>
        <w:t>Due to this dual-purpose technique, we know that certain cultures like sustainability messages to be “personalised” in formal documents and frameworks. It also helps the researcher in a deep discussion analysis, comparing the companies’ claims online with what they do in real life. This helps in determining how these activities affect brand equity and citizens’ trust in sustainable brands. It connects with the digital assessment of a brand and discourse analysis of sustainability.</w:t>
      </w:r>
    </w:p>
    <w:p w14:paraId="54FAF456" w14:textId="77777777" w:rsidR="00C84D32" w:rsidRPr="0078498F" w:rsidRDefault="00C84D32" w:rsidP="0078498F">
      <w:pPr>
        <w:pStyle w:val="Heading2"/>
      </w:pPr>
      <w:bookmarkStart w:id="59" w:name="_Toc231740325"/>
      <w:r w:rsidRPr="0078498F">
        <w:t>3.5 Data Collection Methods</w:t>
      </w:r>
      <w:bookmarkEnd w:id="59"/>
    </w:p>
    <w:p w14:paraId="3A7C7084" w14:textId="77777777" w:rsidR="00C84D32" w:rsidRPr="00C55E2A" w:rsidRDefault="00C84D32" w:rsidP="00C84D32">
      <w:pPr>
        <w:rPr>
          <w:rFonts w:ascii="Arial" w:hAnsi="Arial" w:cs="Arial"/>
        </w:rPr>
      </w:pPr>
      <w:r w:rsidRPr="00064B85">
        <w:rPr>
          <w:rFonts w:ascii="Arial" w:hAnsi="Arial" w:cs="Arial"/>
        </w:rPr>
        <w:t>Collecting information is the most important step towards a digital sustainability strategy and execution. The integrated framework allows researchers to perform an in-depth qualitative study using the existing literature</w:t>
      </w:r>
      <w:r w:rsidRPr="00C55E2A">
        <w:rPr>
          <w:rFonts w:ascii="Arial" w:hAnsi="Arial" w:cs="Arial"/>
        </w:rPr>
        <w:t>.</w:t>
      </w:r>
    </w:p>
    <w:p w14:paraId="52F559A9" w14:textId="77777777" w:rsidR="00C84D32" w:rsidRPr="00C55E2A" w:rsidRDefault="00C84D32" w:rsidP="0078498F">
      <w:pPr>
        <w:pStyle w:val="Heading3"/>
      </w:pPr>
      <w:bookmarkStart w:id="60" w:name="_Toc231740326"/>
      <w:r w:rsidRPr="00C55E2A">
        <w:rPr>
          <w:rFonts w:eastAsia="Times New Roman"/>
          <w:lang w:eastAsia="en-GB"/>
        </w:rPr>
        <w:t>3.5.1 The Corporate Stream: Unilever Compass and Annual Reports</w:t>
      </w:r>
      <w:bookmarkEnd w:id="60"/>
    </w:p>
    <w:p w14:paraId="297D7CD7" w14:textId="77777777" w:rsidR="00C84D32" w:rsidRDefault="00C84D32" w:rsidP="00C84D32">
      <w:pPr>
        <w:rPr>
          <w:rFonts w:ascii="Arial" w:hAnsi="Arial" w:cs="Arial"/>
          <w:lang w:eastAsia="en-GB"/>
        </w:rPr>
      </w:pPr>
      <w:r w:rsidRPr="00DC63A7">
        <w:rPr>
          <w:rFonts w:ascii="Arial" w:hAnsi="Arial" w:cs="Arial"/>
          <w:lang w:eastAsia="en-GB"/>
        </w:rPr>
        <w:t xml:space="preserve">Unilever </w:t>
      </w:r>
      <w:r>
        <w:rPr>
          <w:rFonts w:ascii="Arial" w:hAnsi="Arial" w:cs="Arial"/>
          <w:lang w:eastAsia="en-GB"/>
        </w:rPr>
        <w:t>c</w:t>
      </w:r>
      <w:r w:rsidRPr="00DC63A7">
        <w:rPr>
          <w:rFonts w:ascii="Arial" w:hAnsi="Arial" w:cs="Arial"/>
          <w:lang w:eastAsia="en-GB"/>
        </w:rPr>
        <w:t>ompass is the internal information source for</w:t>
      </w:r>
      <w:r>
        <w:rPr>
          <w:rFonts w:ascii="Arial" w:hAnsi="Arial" w:cs="Arial"/>
          <w:lang w:eastAsia="en-GB"/>
        </w:rPr>
        <w:t xml:space="preserve"> the</w:t>
      </w:r>
      <w:r w:rsidRPr="00DC63A7">
        <w:rPr>
          <w:rFonts w:ascii="Arial" w:hAnsi="Arial" w:cs="Arial"/>
          <w:lang w:eastAsia="en-GB"/>
        </w:rPr>
        <w:t xml:space="preserve"> </w:t>
      </w:r>
      <w:r>
        <w:rPr>
          <w:rFonts w:ascii="Arial" w:hAnsi="Arial" w:cs="Arial"/>
          <w:lang w:eastAsia="en-GB"/>
        </w:rPr>
        <w:t>c</w:t>
      </w:r>
      <w:r w:rsidRPr="00DC63A7">
        <w:rPr>
          <w:rFonts w:ascii="Arial" w:hAnsi="Arial" w:cs="Arial"/>
          <w:lang w:eastAsia="en-GB"/>
        </w:rPr>
        <w:t>orporation. This document presents a plan for future validation and responsibility in operations. The latest Unilever Annual Reports also provide further evidence of these goals. This connects with the organizations reporting appraisal and sustainability strategy</w:t>
      </w:r>
      <w:r w:rsidRPr="00C55E2A">
        <w:rPr>
          <w:rFonts w:ascii="Arial" w:hAnsi="Arial" w:cs="Arial"/>
          <w:lang w:eastAsia="en-GB"/>
        </w:rPr>
        <w:t xml:space="preserve">. According to Ibrahim et al. (2025), these reports include measurable results such as reduced carbon emissions and no non-hazardous waste to landfill. </w:t>
      </w:r>
      <w:r w:rsidRPr="001B7B10">
        <w:rPr>
          <w:rFonts w:ascii="Arial" w:hAnsi="Arial" w:cs="Arial"/>
          <w:lang w:eastAsia="en-GB"/>
        </w:rPr>
        <w:t>Therefore, consumers are engaging in conversations that involve sustainability messages from brands. This is linked to sustainability communication and public discourse</w:t>
      </w:r>
      <w:r w:rsidRPr="00C55E2A">
        <w:rPr>
          <w:rFonts w:ascii="Arial" w:hAnsi="Arial" w:cs="Arial"/>
          <w:lang w:eastAsia="en-GB"/>
        </w:rPr>
        <w:t xml:space="preserve">. </w:t>
      </w:r>
      <w:r w:rsidRPr="003924AC">
        <w:rPr>
          <w:rFonts w:ascii="Arial" w:hAnsi="Arial" w:cs="Arial"/>
          <w:lang w:eastAsia="en-GB"/>
        </w:rPr>
        <w:t>The Unilever Compass and the Annual Reports act as significant data benchmarks for creating a verifiable evaluation of Unilever’s digital marketing. Like the UK DMCC Act (Rana and Kapoor, 2025), the company is reacting to rising governance demands and stricter regulatory frameworks. This is connected to the analysis of corporate reporting and regulation on sustainability.</w:t>
      </w:r>
    </w:p>
    <w:p w14:paraId="4E2B12C8" w14:textId="77777777" w:rsidR="00C84D32" w:rsidRPr="00C55E2A" w:rsidRDefault="00C84D32" w:rsidP="0078498F">
      <w:pPr>
        <w:pStyle w:val="Heading3"/>
        <w:rPr>
          <w:rFonts w:eastAsia="Times New Roman"/>
          <w:lang w:eastAsia="en-GB"/>
        </w:rPr>
      </w:pPr>
      <w:bookmarkStart w:id="61" w:name="_Toc231740327"/>
      <w:r w:rsidRPr="00C55E2A">
        <w:rPr>
          <w:rFonts w:eastAsia="Times New Roman"/>
          <w:lang w:eastAsia="en-GB"/>
        </w:rPr>
        <w:t>3.5.2 The Archival Stream: Longitudinal Analysis of Digital Assets</w:t>
      </w:r>
      <w:bookmarkEnd w:id="61"/>
    </w:p>
    <w:p w14:paraId="657C51DA" w14:textId="77777777" w:rsidR="00C84D32" w:rsidRDefault="00C84D32" w:rsidP="00C84D32">
      <w:pPr>
        <w:rPr>
          <w:rFonts w:ascii="Arial" w:hAnsi="Arial" w:cs="Arial"/>
          <w:lang w:eastAsia="en-GB"/>
        </w:rPr>
      </w:pPr>
      <w:r w:rsidRPr="00E241B8">
        <w:rPr>
          <w:rFonts w:ascii="Arial" w:hAnsi="Arial" w:cs="Arial"/>
          <w:lang w:eastAsia="en-GB"/>
        </w:rPr>
        <w:t>To enable a time-series analysis of consumer-facing marketing, a detailed review of around 40-50 digital assets in the UK and India has been done. There were social media posts on Facebook and Instagram, YouTube videos, branded sites and</w:t>
      </w:r>
      <w:r>
        <w:rPr>
          <w:rFonts w:ascii="Arial" w:hAnsi="Arial" w:cs="Arial"/>
          <w:lang w:eastAsia="en-GB"/>
        </w:rPr>
        <w:t xml:space="preserve"> </w:t>
      </w:r>
      <w:r w:rsidRPr="00C55E2A">
        <w:rPr>
          <w:rFonts w:ascii="Arial" w:hAnsi="Arial" w:cs="Arial"/>
          <w:lang w:eastAsia="en-GB"/>
        </w:rPr>
        <w:t xml:space="preserve">influencer marketing. Imane and Rabeh (2025) </w:t>
      </w:r>
      <w:r w:rsidRPr="002F5852">
        <w:rPr>
          <w:rFonts w:ascii="Arial" w:hAnsi="Arial" w:cs="Arial"/>
          <w:lang w:eastAsia="en-GB"/>
        </w:rPr>
        <w:t>They claim that over time the marketing messages develop to better address the challenges of engaging local consumers. Describes a connection to users’ engagement with brands.</w:t>
      </w:r>
      <w:r>
        <w:rPr>
          <w:rFonts w:ascii="Arial" w:hAnsi="Arial" w:cs="Arial"/>
          <w:lang w:eastAsia="en-GB"/>
        </w:rPr>
        <w:t xml:space="preserve"> </w:t>
      </w:r>
      <w:r w:rsidRPr="000F487D">
        <w:rPr>
          <w:rFonts w:ascii="Arial" w:hAnsi="Arial" w:cs="Arial"/>
          <w:lang w:eastAsia="en-GB"/>
        </w:rPr>
        <w:t xml:space="preserve">Moreover, brands with an updated marketing rule that represents sustainability as a core feature benefit from this messaging. It relates to sustainable communications and brand positioning. </w:t>
      </w:r>
    </w:p>
    <w:p w14:paraId="6D5D182C" w14:textId="77777777" w:rsidR="00C84D32" w:rsidRPr="00C55E2A" w:rsidRDefault="00C84D32" w:rsidP="0078498F">
      <w:pPr>
        <w:pStyle w:val="Heading3"/>
        <w:rPr>
          <w:rFonts w:eastAsia="Times New Roman"/>
          <w:lang w:eastAsia="en-GB"/>
        </w:rPr>
      </w:pPr>
      <w:bookmarkStart w:id="62" w:name="_Toc231740328"/>
      <w:r w:rsidRPr="00C55E2A">
        <w:rPr>
          <w:rFonts w:eastAsia="Times New Roman"/>
          <w:lang w:eastAsia="en-GB"/>
        </w:rPr>
        <w:t>3.5.3 Market Intelligence and Expert Insights</w:t>
      </w:r>
      <w:bookmarkEnd w:id="62"/>
    </w:p>
    <w:p w14:paraId="2775331E" w14:textId="77777777" w:rsidR="00C84D32" w:rsidRPr="00C55E2A" w:rsidRDefault="00C84D32" w:rsidP="00C84D32">
      <w:pPr>
        <w:rPr>
          <w:rFonts w:ascii="Arial" w:hAnsi="Arial" w:cs="Arial"/>
          <w:lang w:eastAsia="en-GB"/>
        </w:rPr>
      </w:pPr>
      <w:r w:rsidRPr="00FB1722">
        <w:rPr>
          <w:rFonts w:ascii="Arial" w:hAnsi="Arial" w:cs="Arial"/>
          <w:lang w:eastAsia="en-GB"/>
        </w:rPr>
        <w:t>The best way to judge any strategy is within its own context. The Edelman Trust Barometer shows, for instance, that only about 60% of consumers trust brands, and that 61% do not trust green claims (Ibrahim et al. 2025)</w:t>
      </w:r>
      <w:r w:rsidRPr="00C55E2A">
        <w:rPr>
          <w:rFonts w:ascii="Arial" w:hAnsi="Arial" w:cs="Arial"/>
          <w:lang w:eastAsia="en-GB"/>
        </w:rPr>
        <w:t xml:space="preserve">. After that, </w:t>
      </w:r>
      <w:r w:rsidRPr="00A162F3">
        <w:rPr>
          <w:rFonts w:ascii="Arial" w:hAnsi="Arial" w:cs="Arial"/>
          <w:lang w:eastAsia="en-GB"/>
        </w:rPr>
        <w:t>we reviewed Mintel reports which showcased consumer behaviour patterns as well as market conditions. They pointed out that consumers are looking for sustainable brands. Yet, they also showed a greater price sensitivity in developing markets like Indi</w:t>
      </w:r>
      <w:r>
        <w:rPr>
          <w:rFonts w:ascii="Arial" w:hAnsi="Arial" w:cs="Arial"/>
          <w:lang w:eastAsia="en-GB"/>
        </w:rPr>
        <w:t>a</w:t>
      </w:r>
      <w:r w:rsidRPr="00C55E2A">
        <w:rPr>
          <w:rFonts w:ascii="Arial" w:hAnsi="Arial" w:cs="Arial"/>
          <w:lang w:eastAsia="en-GB"/>
        </w:rPr>
        <w:t xml:space="preserve"> (</w:t>
      </w:r>
      <w:proofErr w:type="spellStart"/>
      <w:r w:rsidRPr="00C55E2A">
        <w:rPr>
          <w:rFonts w:ascii="Arial" w:hAnsi="Arial" w:cs="Arial"/>
          <w:lang w:eastAsia="en-GB"/>
        </w:rPr>
        <w:t>Shaimerdenkyzy</w:t>
      </w:r>
      <w:proofErr w:type="spellEnd"/>
      <w:r w:rsidRPr="00C55E2A">
        <w:rPr>
          <w:rFonts w:ascii="Arial" w:hAnsi="Arial" w:cs="Arial"/>
          <w:lang w:eastAsia="en-GB"/>
        </w:rPr>
        <w:t xml:space="preserve"> et al. 2025). </w:t>
      </w:r>
    </w:p>
    <w:p w14:paraId="5636C55D" w14:textId="77777777" w:rsidR="00C84D32" w:rsidRPr="0078498F" w:rsidRDefault="00C84D32" w:rsidP="0078498F">
      <w:pPr>
        <w:pStyle w:val="Heading2"/>
      </w:pPr>
      <w:bookmarkStart w:id="63" w:name="_Toc231740329"/>
      <w:r w:rsidRPr="0078498F">
        <w:t>3.6 Data Analysis Techniques: Thematic Analysis and Mapping "Green Codes"</w:t>
      </w:r>
      <w:bookmarkEnd w:id="63"/>
    </w:p>
    <w:p w14:paraId="0E3E54DC" w14:textId="77777777" w:rsidR="00C84D32" w:rsidRPr="0078498F" w:rsidRDefault="00C84D32" w:rsidP="0078498F">
      <w:pPr>
        <w:rPr>
          <w:rFonts w:ascii="Arial" w:hAnsi="Arial" w:cs="Arial"/>
          <w:lang w:eastAsia="en-GB"/>
        </w:rPr>
      </w:pPr>
      <w:r w:rsidRPr="0078498F">
        <w:rPr>
          <w:rFonts w:ascii="Arial" w:hAnsi="Arial" w:cs="Arial"/>
          <w:lang w:eastAsia="en-GB"/>
        </w:rPr>
        <w:t>Data collected for this research project is diverse and qualitative. In addition, it is suitable for thematic analysis. The use of this method is to identify patterns, or themes, in data and be able to organize and report on them (</w:t>
      </w:r>
      <w:proofErr w:type="spellStart"/>
      <w:r w:rsidRPr="0078498F">
        <w:rPr>
          <w:rFonts w:ascii="Arial" w:hAnsi="Arial" w:cs="Arial"/>
          <w:lang w:eastAsia="en-GB"/>
        </w:rPr>
        <w:t>Vespestad</w:t>
      </w:r>
      <w:proofErr w:type="spellEnd"/>
      <w:r w:rsidRPr="0078498F">
        <w:rPr>
          <w:rFonts w:ascii="Arial" w:hAnsi="Arial" w:cs="Arial"/>
          <w:lang w:eastAsia="en-GB"/>
        </w:rPr>
        <w:t xml:space="preserve"> and Clancy, 2018).</w:t>
      </w:r>
    </w:p>
    <w:p w14:paraId="084A27C2" w14:textId="77777777" w:rsidR="00C84D32" w:rsidRPr="0078498F" w:rsidRDefault="00C84D32" w:rsidP="0078498F">
      <w:pPr>
        <w:pStyle w:val="Heading3"/>
      </w:pPr>
      <w:bookmarkStart w:id="64" w:name="_Toc231740330"/>
      <w:r w:rsidRPr="0078498F">
        <w:t>3.6.1 The Coding Process</w:t>
      </w:r>
      <w:bookmarkEnd w:id="64"/>
    </w:p>
    <w:p w14:paraId="0A0CEFAA" w14:textId="77777777" w:rsidR="00C84D32" w:rsidRDefault="00C84D32" w:rsidP="00C84D32">
      <w:pPr>
        <w:rPr>
          <w:rFonts w:ascii="Arial" w:hAnsi="Arial" w:cs="Arial"/>
          <w:lang w:eastAsia="en-GB"/>
        </w:rPr>
      </w:pPr>
      <w:r w:rsidRPr="00C55E2A">
        <w:rPr>
          <w:rFonts w:ascii="Arial" w:hAnsi="Arial" w:cs="Arial"/>
          <w:lang w:eastAsia="en-GB"/>
        </w:rPr>
        <w:t xml:space="preserve">According to Ibrahim et al. (2025), </w:t>
      </w:r>
      <w:r w:rsidRPr="00F93D41">
        <w:rPr>
          <w:rFonts w:ascii="Arial" w:hAnsi="Arial" w:cs="Arial"/>
          <w:lang w:eastAsia="en-GB"/>
        </w:rPr>
        <w:t>Thematic analysis of the Green Codes was carried out on a systematic basis to show qualitative patterns that explain how Unilever’s communication on sustainability works.</w:t>
      </w:r>
      <w:r w:rsidRPr="00C55E2A">
        <w:rPr>
          <w:rFonts w:ascii="Arial" w:hAnsi="Arial" w:cs="Arial"/>
          <w:lang w:eastAsia="en-GB"/>
        </w:rPr>
        <w:t xml:space="preserve"> </w:t>
      </w:r>
      <w:r w:rsidRPr="00F244A8">
        <w:rPr>
          <w:rFonts w:ascii="Arial" w:hAnsi="Arial" w:cs="Arial"/>
          <w:lang w:eastAsia="en-GB"/>
        </w:rPr>
        <w:t xml:space="preserve">For example, it happens while reviewing digital resources and company files. When set of instructions were created, the first codes got created by identifying repeated language or images. terms like “Carbon offset” or “hand in hand” are </w:t>
      </w:r>
      <w:r>
        <w:rPr>
          <w:rFonts w:ascii="Arial" w:hAnsi="Arial" w:cs="Arial"/>
          <w:lang w:eastAsia="en-GB"/>
        </w:rPr>
        <w:t xml:space="preserve">some of the </w:t>
      </w:r>
      <w:r w:rsidRPr="00F244A8">
        <w:rPr>
          <w:rFonts w:ascii="Arial" w:hAnsi="Arial" w:cs="Arial"/>
          <w:lang w:eastAsia="en-GB"/>
        </w:rPr>
        <w:t>examples.</w:t>
      </w:r>
    </w:p>
    <w:p w14:paraId="081DE11E" w14:textId="74C7970A" w:rsidR="00C84D32" w:rsidRDefault="00C84D32" w:rsidP="00C84D32">
      <w:pPr>
        <w:rPr>
          <w:rFonts w:ascii="Arial" w:hAnsi="Arial" w:cs="Arial"/>
          <w:lang w:eastAsia="en-GB"/>
        </w:rPr>
      </w:pPr>
      <w:r w:rsidRPr="006600F8">
        <w:rPr>
          <w:rFonts w:ascii="Arial" w:hAnsi="Arial" w:cs="Arial"/>
          <w:lang w:eastAsia="en-GB"/>
        </w:rPr>
        <w:t xml:space="preserve">These codes were combined into wider themes. In the UK, terms like ‘Sustainable Innovation’ and carbon-related data were classified as “Superior Science” and “Systemic Accountability”. In comparison, stories from India offering something for everyone and supporting women </w:t>
      </w:r>
      <w:r>
        <w:rPr>
          <w:rFonts w:ascii="Arial" w:hAnsi="Arial" w:cs="Arial"/>
          <w:lang w:eastAsia="en-GB"/>
        </w:rPr>
        <w:t>called</w:t>
      </w:r>
      <w:r w:rsidRPr="006600F8">
        <w:rPr>
          <w:rFonts w:ascii="Arial" w:hAnsi="Arial" w:cs="Arial"/>
          <w:lang w:eastAsia="en-GB"/>
        </w:rPr>
        <w:t xml:space="preserve"> as “social responsibility.”</w:t>
      </w:r>
    </w:p>
    <w:p w14:paraId="7D51E3E8" w14:textId="77777777" w:rsidR="00C84D32" w:rsidRPr="0078498F" w:rsidRDefault="00C84D32" w:rsidP="0078498F">
      <w:pPr>
        <w:pStyle w:val="Heading3"/>
      </w:pPr>
      <w:bookmarkStart w:id="65" w:name="_Toc231740331"/>
      <w:r w:rsidRPr="0078498F">
        <w:t>3.6.2 Hybrid Analytical Design</w:t>
      </w:r>
      <w:bookmarkEnd w:id="65"/>
    </w:p>
    <w:p w14:paraId="49A13B55" w14:textId="77777777" w:rsidR="00C84D32" w:rsidRDefault="00C84D32" w:rsidP="00C84D32">
      <w:pPr>
        <w:rPr>
          <w:rFonts w:ascii="Arial" w:hAnsi="Arial" w:cs="Arial"/>
          <w:lang w:eastAsia="en-GB"/>
        </w:rPr>
      </w:pPr>
      <w:r w:rsidRPr="00A00C19">
        <w:rPr>
          <w:rFonts w:ascii="Arial" w:hAnsi="Arial" w:cs="Arial"/>
          <w:lang w:eastAsia="en-GB"/>
        </w:rPr>
        <w:t>Each green code shows a connection between what consumers expect, and how the business runs. By identifying patterns and mapping the appearance of a code in digital assets, it is possible to see how strategies are created due to changing consumer behaviour.</w:t>
      </w:r>
      <w:r>
        <w:rPr>
          <w:rFonts w:ascii="Arial" w:hAnsi="Arial" w:cs="Arial"/>
          <w:lang w:eastAsia="en-GB"/>
        </w:rPr>
        <w:t xml:space="preserve"> </w:t>
      </w:r>
      <w:r w:rsidRPr="00D13BB1">
        <w:rPr>
          <w:rFonts w:ascii="Arial" w:hAnsi="Arial" w:cs="Arial"/>
          <w:lang w:eastAsia="en-GB"/>
        </w:rPr>
        <w:t xml:space="preserve">The research used quantitative and qualitative methods. It applies a constructivist thematic qualitative analysis in two ways. It also utilizes systematic qualitative content analysis to </w:t>
      </w:r>
      <w:proofErr w:type="spellStart"/>
      <w:r w:rsidRPr="00D13BB1">
        <w:rPr>
          <w:rFonts w:ascii="Arial" w:hAnsi="Arial" w:cs="Arial"/>
          <w:lang w:eastAsia="en-GB"/>
        </w:rPr>
        <w:t>analyze</w:t>
      </w:r>
      <w:proofErr w:type="spellEnd"/>
      <w:r w:rsidRPr="00D13BB1">
        <w:rPr>
          <w:rFonts w:ascii="Arial" w:hAnsi="Arial" w:cs="Arial"/>
          <w:lang w:eastAsia="en-GB"/>
        </w:rPr>
        <w:t xml:space="preserve"> how these codes are represented throughout Unilever’s digital ecosystem</w:t>
      </w:r>
      <w:r>
        <w:rPr>
          <w:rFonts w:ascii="Arial" w:hAnsi="Arial" w:cs="Arial"/>
          <w:lang w:eastAsia="en-GB"/>
        </w:rPr>
        <w:t xml:space="preserve"> </w:t>
      </w:r>
      <w:r w:rsidRPr="00C55E2A">
        <w:rPr>
          <w:rFonts w:ascii="Arial" w:hAnsi="Arial" w:cs="Arial"/>
          <w:lang w:eastAsia="en-GB"/>
        </w:rPr>
        <w:t xml:space="preserve">(Serhan &amp; Zhang, 2025). </w:t>
      </w:r>
      <w:r w:rsidRPr="00517D26">
        <w:rPr>
          <w:rFonts w:ascii="Arial" w:hAnsi="Arial" w:cs="Arial"/>
          <w:lang w:eastAsia="en-GB"/>
        </w:rPr>
        <w:t>The paper used graphical data visualization like BCG matrix and graphs showing growth potential of IoT technology to explain the distribution of resources and how digital investments are changing and evolving over time.</w:t>
      </w:r>
    </w:p>
    <w:p w14:paraId="496E160D" w14:textId="77777777" w:rsidR="00C84D32" w:rsidRPr="00C55E2A" w:rsidRDefault="00C84D32" w:rsidP="0078498F">
      <w:pPr>
        <w:pStyle w:val="Heading2"/>
        <w:rPr>
          <w:rFonts w:eastAsia="Times New Roman"/>
          <w:lang w:eastAsia="en-GB"/>
        </w:rPr>
      </w:pPr>
      <w:bookmarkStart w:id="66" w:name="_Toc231740332"/>
      <w:r w:rsidRPr="00C55E2A">
        <w:rPr>
          <w:rFonts w:eastAsia="Times New Roman"/>
          <w:lang w:eastAsia="en-GB"/>
        </w:rPr>
        <w:t>3.7 Reliability, Validity, and the Challenge of "Digital Ephemerality"</w:t>
      </w:r>
      <w:bookmarkEnd w:id="66"/>
    </w:p>
    <w:p w14:paraId="1F50D953" w14:textId="77777777" w:rsidR="00C84D32" w:rsidRPr="0078498F" w:rsidRDefault="00C84D32" w:rsidP="0078498F">
      <w:pPr>
        <w:rPr>
          <w:rFonts w:ascii="Arial" w:hAnsi="Arial" w:cs="Arial"/>
          <w:lang w:eastAsia="en-GB"/>
        </w:rPr>
      </w:pPr>
      <w:r w:rsidRPr="0078498F">
        <w:rPr>
          <w:rFonts w:ascii="Arial" w:hAnsi="Arial" w:cs="Arial"/>
          <w:lang w:eastAsia="en-GB"/>
        </w:rPr>
        <w:t>In today’s digital market advertising messages go at “light” speed – messages go viral. The analysis requires advanced systematic techniques so only high-quality research results consumer trust dynamics.</w:t>
      </w:r>
    </w:p>
    <w:p w14:paraId="7BAE0E81" w14:textId="77777777" w:rsidR="00C84D32" w:rsidRPr="0078498F" w:rsidRDefault="00C84D32" w:rsidP="0078498F">
      <w:pPr>
        <w:pStyle w:val="Heading3"/>
      </w:pPr>
      <w:bookmarkStart w:id="67" w:name="_Toc231740333"/>
      <w:r w:rsidRPr="0078498F">
        <w:t>3.7.1 The Illusion of Digital Permanence</w:t>
      </w:r>
      <w:bookmarkEnd w:id="67"/>
    </w:p>
    <w:p w14:paraId="5F6F6465" w14:textId="77777777" w:rsidR="00C84D32" w:rsidRDefault="00C84D32" w:rsidP="00C84D32">
      <w:pPr>
        <w:rPr>
          <w:rFonts w:ascii="Arial" w:hAnsi="Arial" w:cs="Arial"/>
          <w:lang w:eastAsia="en-GB"/>
        </w:rPr>
      </w:pPr>
      <w:r w:rsidRPr="00885BBB">
        <w:rPr>
          <w:rFonts w:ascii="Arial" w:hAnsi="Arial" w:cs="Arial"/>
          <w:lang w:eastAsia="en-GB"/>
        </w:rPr>
        <w:t xml:space="preserve">These days </w:t>
      </w:r>
      <w:r>
        <w:rPr>
          <w:rFonts w:ascii="Arial" w:hAnsi="Arial" w:cs="Arial"/>
          <w:lang w:eastAsia="en-GB"/>
        </w:rPr>
        <w:t xml:space="preserve">the </w:t>
      </w:r>
      <w:r w:rsidRPr="00885BBB">
        <w:rPr>
          <w:rFonts w:ascii="Arial" w:hAnsi="Arial" w:cs="Arial"/>
          <w:lang w:eastAsia="en-GB"/>
        </w:rPr>
        <w:t>digital media makes you feel like any brand can just switch on a button and have access to its customers wherever and whenever it wants. Noisy social media has a role to play in sharing correct information</w:t>
      </w:r>
      <w:r w:rsidRPr="00C55E2A">
        <w:rPr>
          <w:rFonts w:ascii="Arial" w:hAnsi="Arial" w:cs="Arial"/>
          <w:lang w:eastAsia="en-GB"/>
        </w:rPr>
        <w:t xml:space="preserve">. </w:t>
      </w:r>
      <w:r w:rsidRPr="00311616">
        <w:rPr>
          <w:rFonts w:ascii="Arial" w:hAnsi="Arial" w:cs="Arial"/>
          <w:lang w:eastAsia="en-GB"/>
        </w:rPr>
        <w:t>On the other hand, green washing could sneak in through a back door. This refers to useless information, for instance. The growing fire and consumer backlash have raised doubt on the authenticity and practicality of the whole thing</w:t>
      </w:r>
      <w:r>
        <w:rPr>
          <w:rFonts w:ascii="Arial" w:hAnsi="Arial" w:cs="Arial"/>
          <w:lang w:eastAsia="en-GB"/>
        </w:rPr>
        <w:t xml:space="preserve"> </w:t>
      </w:r>
      <w:r w:rsidRPr="00C55E2A">
        <w:rPr>
          <w:rFonts w:ascii="Arial" w:hAnsi="Arial" w:cs="Arial"/>
          <w:lang w:eastAsia="en-GB"/>
        </w:rPr>
        <w:t xml:space="preserve">(Serhan &amp; Zhang, 2025). </w:t>
      </w:r>
      <w:r w:rsidRPr="00E74308">
        <w:rPr>
          <w:rFonts w:ascii="Arial" w:hAnsi="Arial" w:cs="Arial"/>
          <w:lang w:eastAsia="en-GB"/>
        </w:rPr>
        <w:t>AI's Impact on Sustainability: Limitation on Communication Algorithms Organizations will have to undertake strict data verification or the data can attract greenwashing charges which will increase due to AI.</w:t>
      </w:r>
    </w:p>
    <w:p w14:paraId="4F6B6882" w14:textId="77777777" w:rsidR="00C84D32" w:rsidRPr="00C55E2A" w:rsidRDefault="00C84D32" w:rsidP="0078498F">
      <w:pPr>
        <w:pStyle w:val="Heading3"/>
        <w:rPr>
          <w:rFonts w:eastAsia="Times New Roman"/>
          <w:lang w:eastAsia="en-GB"/>
        </w:rPr>
      </w:pPr>
      <w:bookmarkStart w:id="68" w:name="_Toc231740334"/>
      <w:r w:rsidRPr="00C55E2A">
        <w:rPr>
          <w:rFonts w:eastAsia="Times New Roman"/>
          <w:lang w:eastAsia="en-GB"/>
        </w:rPr>
        <w:t>3.7.2 Addressing Digital Ephemerality</w:t>
      </w:r>
      <w:bookmarkEnd w:id="68"/>
    </w:p>
    <w:p w14:paraId="669519B1" w14:textId="77777777" w:rsidR="00C84D32" w:rsidRPr="00C55E2A" w:rsidRDefault="00C84D32" w:rsidP="00C84D32">
      <w:pPr>
        <w:rPr>
          <w:rFonts w:ascii="Arial" w:hAnsi="Arial" w:cs="Arial"/>
          <w:lang w:eastAsia="en-GB"/>
        </w:rPr>
      </w:pPr>
      <w:r>
        <w:rPr>
          <w:rFonts w:ascii="Arial" w:hAnsi="Arial" w:cs="Arial"/>
          <w:lang w:eastAsia="en-GB"/>
        </w:rPr>
        <w:t>A</w:t>
      </w:r>
      <w:r w:rsidRPr="00B8335C">
        <w:rPr>
          <w:rFonts w:ascii="Arial" w:hAnsi="Arial" w:cs="Arial"/>
          <w:lang w:eastAsia="en-GB"/>
        </w:rPr>
        <w:t>dvertisements of a campaign become outdated as soon as the campaign is over. A major takeaway is that using tactics to grab short</w:t>
      </w:r>
      <w:r w:rsidRPr="00B8335C">
        <w:rPr>
          <w:rFonts w:ascii="Arial" w:hAnsi="Arial" w:cs="Arial"/>
          <w:lang w:eastAsia="en-GB"/>
        </w:rPr>
        <w:noBreakHyphen/>
        <w:t>term attention does damage to the credibility of the brand over the long term. Online consumer comparison is quick but offline is slow</w:t>
      </w:r>
      <w:r>
        <w:rPr>
          <w:rFonts w:ascii="Arial" w:hAnsi="Arial" w:cs="Arial"/>
          <w:lang w:eastAsia="en-GB"/>
        </w:rPr>
        <w:t xml:space="preserve"> </w:t>
      </w:r>
      <w:r w:rsidRPr="00C55E2A">
        <w:rPr>
          <w:rFonts w:ascii="Arial" w:hAnsi="Arial" w:cs="Arial"/>
          <w:lang w:eastAsia="en-GB"/>
        </w:rPr>
        <w:t xml:space="preserve">(Azhar, 2024). </w:t>
      </w:r>
      <w:r w:rsidRPr="005202A6">
        <w:rPr>
          <w:rFonts w:ascii="Arial" w:hAnsi="Arial" w:cs="Arial"/>
          <w:lang w:eastAsia="en-GB"/>
        </w:rPr>
        <w:t>To put it another way, communication isn’t going to be digital for long.</w:t>
      </w:r>
      <w:r w:rsidRPr="00C55E2A">
        <w:rPr>
          <w:rFonts w:ascii="Arial" w:hAnsi="Arial" w:cs="Arial"/>
          <w:lang w:eastAsia="en-GB"/>
        </w:rPr>
        <w:t xml:space="preserve"> </w:t>
      </w:r>
      <w:r w:rsidRPr="00CF430E">
        <w:rPr>
          <w:rFonts w:ascii="Arial" w:hAnsi="Arial" w:cs="Arial"/>
          <w:lang w:eastAsia="en-GB"/>
        </w:rPr>
        <w:t>Digital data collected in a short period of time alone was limited and did not provide valid evidence on communication and strategy. To fix the challenge identified within the data, reliable institutional disclosures and long-term market intelligence reports were used to complement the digital data</w:t>
      </w:r>
      <w:r>
        <w:rPr>
          <w:rFonts w:ascii="Arial" w:hAnsi="Arial" w:cs="Arial"/>
          <w:lang w:eastAsia="en-GB"/>
        </w:rPr>
        <w:t xml:space="preserve"> </w:t>
      </w:r>
      <w:r w:rsidRPr="00C55E2A">
        <w:rPr>
          <w:rFonts w:ascii="Arial" w:hAnsi="Arial" w:cs="Arial"/>
          <w:lang w:eastAsia="en-GB"/>
        </w:rPr>
        <w:t>(Choudhury et al. 2025).</w:t>
      </w:r>
    </w:p>
    <w:p w14:paraId="01078CAC" w14:textId="77777777" w:rsidR="00C84D32" w:rsidRPr="0078498F" w:rsidRDefault="00C84D32" w:rsidP="0078498F">
      <w:pPr>
        <w:pStyle w:val="Heading2"/>
      </w:pPr>
      <w:bookmarkStart w:id="69" w:name="_Toc231740335"/>
      <w:r w:rsidRPr="0078498F">
        <w:t>3.8 Ethical Considerations in Digital Marketing Research</w:t>
      </w:r>
      <w:bookmarkEnd w:id="69"/>
    </w:p>
    <w:p w14:paraId="19AC4F25" w14:textId="3DC1AF27" w:rsidR="00C84D32" w:rsidRDefault="0078498F" w:rsidP="00C84D32">
      <w:pPr>
        <w:rPr>
          <w:rFonts w:ascii="Arial" w:hAnsi="Arial" w:cs="Arial"/>
          <w:lang w:eastAsia="en-GB"/>
        </w:rPr>
      </w:pPr>
      <w:r w:rsidRPr="00063E65">
        <w:rPr>
          <w:rFonts w:ascii="Arial" w:hAnsi="Arial" w:cs="Arial"/>
          <w:lang w:eastAsia="en-GB"/>
        </w:rPr>
        <w:t>Considering</w:t>
      </w:r>
      <w:r w:rsidR="00C84D32" w:rsidRPr="00063E65">
        <w:rPr>
          <w:rFonts w:ascii="Arial" w:hAnsi="Arial" w:cs="Arial"/>
          <w:lang w:eastAsia="en-GB"/>
        </w:rPr>
        <w:t xml:space="preserve"> the Trust-Digital Paradox, it is essential that we supervise how brands are becoming ethically engaged. Just because a brand uses the right legal channels, it does not mean that it is using ethical marketing methods. There are several other methods of influencing those including the physical and local communities as well as the consumers. </w:t>
      </w:r>
    </w:p>
    <w:p w14:paraId="0264FBD0" w14:textId="1D64BF50" w:rsidR="00C84D32" w:rsidRPr="00C55E2A" w:rsidRDefault="00C84D32" w:rsidP="00C84D32">
      <w:pPr>
        <w:rPr>
          <w:rFonts w:ascii="Arial" w:hAnsi="Arial" w:cs="Arial"/>
          <w:lang w:eastAsia="en-GB"/>
        </w:rPr>
      </w:pPr>
      <w:r w:rsidRPr="00C55E2A">
        <w:rPr>
          <w:rFonts w:ascii="Arial" w:hAnsi="Arial" w:cs="Arial"/>
          <w:lang w:eastAsia="en-GB"/>
        </w:rPr>
        <w:t xml:space="preserve">Efforts aimed at environmental sustainability must be transparent and avoid the ethical issue of greenwashing (Ibrahim et al., 2025). Unilever’s digital services and products were </w:t>
      </w:r>
      <w:r w:rsidRPr="00E35C0B">
        <w:rPr>
          <w:rFonts w:ascii="Arial" w:hAnsi="Arial" w:cs="Arial"/>
          <w:lang w:eastAsia="en-GB"/>
        </w:rPr>
        <w:t>examined</w:t>
      </w:r>
      <w:r w:rsidRPr="00C55E2A">
        <w:rPr>
          <w:rFonts w:ascii="Arial" w:hAnsi="Arial" w:cs="Arial"/>
          <w:lang w:eastAsia="en-GB"/>
        </w:rPr>
        <w:t xml:space="preserve"> with a critical perspective. </w:t>
      </w:r>
      <w:r w:rsidRPr="00AF5E97">
        <w:rPr>
          <w:rFonts w:ascii="Arial" w:hAnsi="Arial" w:cs="Arial"/>
          <w:lang w:eastAsia="en-GB"/>
        </w:rPr>
        <w:t>In 2020, AI hyper-personalisation was considered unethical by many people, but that didn’t stop its outburst across industries. When unlimited personalized options are available to consumers, the company can influence or guide and even manipulate consumers with data</w:t>
      </w:r>
      <w:r>
        <w:rPr>
          <w:rFonts w:ascii="Arial" w:hAnsi="Arial" w:cs="Arial"/>
          <w:lang w:eastAsia="en-GB"/>
        </w:rPr>
        <w:t xml:space="preserve"> </w:t>
      </w:r>
      <w:r w:rsidRPr="00C55E2A">
        <w:rPr>
          <w:rFonts w:ascii="Arial" w:hAnsi="Arial" w:cs="Arial"/>
          <w:lang w:eastAsia="en-GB"/>
        </w:rPr>
        <w:t>(Serhan &amp; Zhang, 2025).</w:t>
      </w:r>
    </w:p>
    <w:p w14:paraId="771D1078" w14:textId="17CB9377" w:rsidR="00C84D32" w:rsidRPr="00C55E2A" w:rsidRDefault="00C84D32" w:rsidP="00C84D32">
      <w:pPr>
        <w:rPr>
          <w:rFonts w:ascii="Arial" w:hAnsi="Arial" w:cs="Arial"/>
          <w:lang w:eastAsia="en-GB"/>
        </w:rPr>
      </w:pPr>
      <w:r w:rsidRPr="00C55E2A">
        <w:rPr>
          <w:rFonts w:ascii="Arial" w:hAnsi="Arial" w:cs="Arial"/>
          <w:lang w:eastAsia="en-GB"/>
        </w:rPr>
        <w:t xml:space="preserve">Moreover, when making use of influencer marketing as a part of Said by Others, </w:t>
      </w:r>
      <w:r w:rsidRPr="000177D8">
        <w:rPr>
          <w:rFonts w:ascii="Arial" w:hAnsi="Arial" w:cs="Arial"/>
          <w:lang w:eastAsia="en-GB"/>
        </w:rPr>
        <w:t>in influencer marketing. They’re in it for the money influencers can essentially make sustainability or product claims because they’re paid to do so</w:t>
      </w:r>
      <w:r w:rsidRPr="00C55E2A">
        <w:rPr>
          <w:rFonts w:ascii="Arial" w:hAnsi="Arial" w:cs="Arial"/>
          <w:lang w:eastAsia="en-GB"/>
        </w:rPr>
        <w:t xml:space="preserve"> (Imane &amp; Rabeh, 2025).</w:t>
      </w:r>
      <w:r w:rsidRPr="00177268">
        <w:rPr>
          <w:rFonts w:ascii="Arial" w:hAnsi="Arial" w:cs="Arial"/>
          <w:color w:val="0F172A"/>
          <w:spacing w:val="-2"/>
          <w:sz w:val="22"/>
          <w:szCs w:val="22"/>
          <w:bdr w:val="single" w:sz="2" w:space="0" w:color="E2E8F0" w:frame="1"/>
        </w:rPr>
        <w:t xml:space="preserve"> </w:t>
      </w:r>
      <w:r w:rsidRPr="00177268">
        <w:rPr>
          <w:rFonts w:ascii="Arial" w:hAnsi="Arial" w:cs="Arial"/>
          <w:lang w:eastAsia="en-GB"/>
        </w:rPr>
        <w:t>For sustainability marketing to be trustworthy and ethical, constant discussion and verification are needed. Global Companies are involving external parties like NGOs and consumer organisations more and more</w:t>
      </w:r>
      <w:r>
        <w:rPr>
          <w:rFonts w:ascii="Arial" w:hAnsi="Arial" w:cs="Arial"/>
          <w:lang w:eastAsia="en-GB"/>
        </w:rPr>
        <w:t xml:space="preserve"> </w:t>
      </w:r>
      <w:r w:rsidRPr="00C55E2A">
        <w:rPr>
          <w:rFonts w:ascii="Arial" w:hAnsi="Arial" w:cs="Arial"/>
          <w:lang w:eastAsia="en-GB"/>
        </w:rPr>
        <w:t>(Rana &amp; Kapoor, 2025)</w:t>
      </w:r>
    </w:p>
    <w:p w14:paraId="310DD31B" w14:textId="77777777" w:rsidR="00C84D32" w:rsidRPr="00C55E2A" w:rsidRDefault="00C84D32" w:rsidP="00C84D32">
      <w:pPr>
        <w:rPr>
          <w:rFonts w:ascii="Arial" w:hAnsi="Arial" w:cs="Arial"/>
          <w:lang w:eastAsia="en-GB"/>
        </w:rPr>
      </w:pPr>
      <w:r w:rsidRPr="00C55E2A">
        <w:rPr>
          <w:rFonts w:ascii="Arial" w:hAnsi="Arial" w:cs="Arial"/>
          <w:lang w:eastAsia="en-GB"/>
        </w:rPr>
        <w:br w:type="page"/>
      </w:r>
    </w:p>
    <w:p w14:paraId="7A687D36" w14:textId="77777777" w:rsidR="00C84D32" w:rsidRPr="0078498F" w:rsidRDefault="00C84D32" w:rsidP="0078498F">
      <w:pPr>
        <w:pStyle w:val="Heading1"/>
      </w:pPr>
      <w:bookmarkStart w:id="70" w:name="_Toc231740336"/>
      <w:r w:rsidRPr="0078498F">
        <w:t>Chapter 4: Results and Comparative Analysis</w:t>
      </w:r>
      <w:bookmarkEnd w:id="70"/>
    </w:p>
    <w:p w14:paraId="1598689F" w14:textId="77777777" w:rsidR="00C84D32" w:rsidRPr="0078498F" w:rsidRDefault="00C84D32" w:rsidP="0078498F">
      <w:pPr>
        <w:pStyle w:val="Heading2"/>
      </w:pPr>
      <w:bookmarkStart w:id="71" w:name="_Toc231740337"/>
      <w:r w:rsidRPr="0078498F">
        <w:t>4.1 Introduction to the Findings</w:t>
      </w:r>
      <w:bookmarkEnd w:id="71"/>
    </w:p>
    <w:p w14:paraId="12F253BC" w14:textId="77777777" w:rsidR="00C84D32" w:rsidRPr="00C55E2A" w:rsidRDefault="00C84D32" w:rsidP="00C84D32">
      <w:pPr>
        <w:rPr>
          <w:rFonts w:ascii="Arial" w:hAnsi="Arial" w:cs="Arial"/>
          <w:lang w:eastAsia="en-GB"/>
        </w:rPr>
      </w:pPr>
      <w:r w:rsidRPr="006C7A8E">
        <w:rPr>
          <w:rFonts w:ascii="Arial" w:hAnsi="Arial" w:cs="Arial"/>
          <w:lang w:eastAsia="en-GB"/>
        </w:rPr>
        <w:t xml:space="preserve">According to Unilever findings the UK and India have different ways of working but they are linked in some ways. The report </w:t>
      </w:r>
      <w:proofErr w:type="spellStart"/>
      <w:r w:rsidRPr="006C7A8E">
        <w:rPr>
          <w:rFonts w:ascii="Arial" w:hAnsi="Arial" w:cs="Arial"/>
          <w:lang w:eastAsia="en-GB"/>
        </w:rPr>
        <w:t>analyzes</w:t>
      </w:r>
      <w:proofErr w:type="spellEnd"/>
      <w:r w:rsidRPr="006C7A8E">
        <w:rPr>
          <w:rFonts w:ascii="Arial" w:hAnsi="Arial" w:cs="Arial"/>
          <w:lang w:eastAsia="en-GB"/>
        </w:rPr>
        <w:t xml:space="preserve"> Unilever’s larger transformation journey and compares the two markets to discover this difference</w:t>
      </w:r>
      <w:r w:rsidRPr="00C55E2A">
        <w:rPr>
          <w:rFonts w:ascii="Arial" w:hAnsi="Arial" w:cs="Arial"/>
          <w:lang w:eastAsia="en-GB"/>
        </w:rPr>
        <w:t xml:space="preserve">. </w:t>
      </w:r>
      <w:r w:rsidRPr="00EB055B">
        <w:rPr>
          <w:rFonts w:ascii="Arial" w:hAnsi="Arial" w:cs="Arial"/>
          <w:lang w:eastAsia="en-GB"/>
        </w:rPr>
        <w:t>Unilever’s total sustainability targets seem to set the example for both the UK and the Indian markets. However, the analysis shows that local strategies have a significant effect on culture, economy and consumer behaviour. That’s the reason</w:t>
      </w:r>
      <w:r>
        <w:rPr>
          <w:rFonts w:ascii="Arial" w:hAnsi="Arial" w:cs="Arial"/>
          <w:lang w:eastAsia="en-GB"/>
        </w:rPr>
        <w:t xml:space="preserve"> that there is a</w:t>
      </w:r>
      <w:r w:rsidRPr="00EB055B">
        <w:rPr>
          <w:rFonts w:ascii="Arial" w:hAnsi="Arial" w:cs="Arial"/>
          <w:lang w:eastAsia="en-GB"/>
        </w:rPr>
        <w:t xml:space="preserve"> gap in the</w:t>
      </w:r>
      <w:r>
        <w:rPr>
          <w:rFonts w:ascii="Arial" w:hAnsi="Arial" w:cs="Arial"/>
          <w:lang w:eastAsia="en-GB"/>
        </w:rPr>
        <w:t>se</w:t>
      </w:r>
      <w:r w:rsidRPr="00EB055B">
        <w:rPr>
          <w:rFonts w:ascii="Arial" w:hAnsi="Arial" w:cs="Arial"/>
          <w:lang w:eastAsia="en-GB"/>
        </w:rPr>
        <w:t xml:space="preserve"> two markets.</w:t>
      </w:r>
    </w:p>
    <w:p w14:paraId="75832112" w14:textId="77777777" w:rsidR="00C84D32" w:rsidRPr="00C55E2A" w:rsidRDefault="00C84D32" w:rsidP="00C84D32">
      <w:pPr>
        <w:rPr>
          <w:rFonts w:ascii="Arial" w:hAnsi="Arial" w:cs="Arial"/>
          <w:lang w:eastAsia="en-GB"/>
        </w:rPr>
      </w:pPr>
      <w:r w:rsidRPr="0043496D">
        <w:rPr>
          <w:rFonts w:ascii="Arial" w:hAnsi="Arial" w:cs="Arial"/>
          <w:lang w:eastAsia="en-GB"/>
        </w:rPr>
        <w:t>Just listing down these strategic differences will not make this a full-fledged study. In this chapter the analysis will be different and we will measure the commercial effectiveness of these strategies based on a close examination of the local campaigns of Unilever in the previous chapter.</w:t>
      </w:r>
      <w:r w:rsidRPr="00C55E2A">
        <w:rPr>
          <w:rFonts w:ascii="Arial" w:hAnsi="Arial" w:cs="Arial"/>
          <w:lang w:eastAsia="en-GB"/>
        </w:rPr>
        <w:t xml:space="preserve"> </w:t>
      </w:r>
      <w:r w:rsidRPr="00833AA5">
        <w:rPr>
          <w:rFonts w:ascii="Arial" w:hAnsi="Arial" w:cs="Arial"/>
          <w:lang w:eastAsia="en-GB"/>
        </w:rPr>
        <w:t>This chapter tests if Unilever’s strategies are working to get consumers to change their behaviour. The task measures the capability of their investment, digital content and reports to impact consumers’ behaviour and solve the trust-digital paradox. The analysis also examines how the brand’s building a name internationally.</w:t>
      </w:r>
    </w:p>
    <w:p w14:paraId="42989E35" w14:textId="77777777" w:rsidR="00C84D32" w:rsidRPr="0078498F" w:rsidRDefault="00C84D32" w:rsidP="0078498F">
      <w:pPr>
        <w:pStyle w:val="Heading2"/>
      </w:pPr>
      <w:bookmarkStart w:id="72" w:name="_Toc231740338"/>
      <w:r w:rsidRPr="0078498F">
        <w:t>4.2 Strategic Resource Allocation: The Shift to Digital-First Ecosystems</w:t>
      </w:r>
      <w:bookmarkEnd w:id="72"/>
    </w:p>
    <w:p w14:paraId="73FA3C08" w14:textId="77777777" w:rsidR="00C84D32" w:rsidRPr="00C55E2A" w:rsidRDefault="00C84D32" w:rsidP="00C84D32">
      <w:pPr>
        <w:rPr>
          <w:rFonts w:ascii="Arial" w:hAnsi="Arial" w:cs="Arial"/>
          <w:lang w:eastAsia="en-GB"/>
        </w:rPr>
      </w:pPr>
      <w:r w:rsidRPr="00543AE8">
        <w:rPr>
          <w:rFonts w:ascii="Arial" w:hAnsi="Arial" w:cs="Arial"/>
          <w:lang w:eastAsia="en-GB"/>
        </w:rPr>
        <w:t>With a focus on smarter eco-claims checked for authenticity, Unilever is changing the way it buys media as part of a shift away from mass media to digital-first systems.</w:t>
      </w:r>
      <w:r w:rsidRPr="00C55E2A">
        <w:rPr>
          <w:rFonts w:ascii="Arial" w:hAnsi="Arial" w:cs="Arial"/>
          <w:lang w:eastAsia="en-GB"/>
        </w:rPr>
        <w:t xml:space="preserve"> </w:t>
      </w:r>
      <w:r w:rsidRPr="002730E8">
        <w:rPr>
          <w:rFonts w:ascii="Arial" w:hAnsi="Arial" w:cs="Arial"/>
          <w:lang w:eastAsia="en-GB"/>
        </w:rPr>
        <w:t>Unilever has claimed that they need to introduce a far greater level of digital engagement. The company now sends messages to stakeholders on the platform and channels. This gap has become quite obvious in worldwide technology spending in the past years. Advanced software development/IoT support</w:t>
      </w:r>
      <w:r>
        <w:rPr>
          <w:rFonts w:ascii="Arial" w:hAnsi="Arial" w:cs="Arial"/>
          <w:lang w:eastAsia="en-GB"/>
        </w:rPr>
        <w:t>s</w:t>
      </w:r>
      <w:r w:rsidRPr="002730E8">
        <w:rPr>
          <w:rFonts w:ascii="Arial" w:hAnsi="Arial" w:cs="Arial"/>
          <w:lang w:eastAsia="en-GB"/>
        </w:rPr>
        <w:t xml:space="preserve"> people in critical mission operations and situation that matters. As a result, several Advertisers and businesses today all over the world are experiencing </w:t>
      </w:r>
      <w:r>
        <w:rPr>
          <w:rFonts w:ascii="Arial" w:hAnsi="Arial" w:cs="Arial"/>
          <w:lang w:eastAsia="en-GB"/>
        </w:rPr>
        <w:t xml:space="preserve">a lot of </w:t>
      </w:r>
      <w:r w:rsidRPr="002730E8">
        <w:rPr>
          <w:rFonts w:ascii="Arial" w:hAnsi="Arial" w:cs="Arial"/>
          <w:lang w:eastAsia="en-GB"/>
        </w:rPr>
        <w:t>usage of digitalisation.</w:t>
      </w:r>
    </w:p>
    <w:p w14:paraId="61DDE482" w14:textId="77777777" w:rsidR="00C84D32" w:rsidRPr="00C55E2A" w:rsidRDefault="00C84D32" w:rsidP="00C84D32">
      <w:pPr>
        <w:rPr>
          <w:rFonts w:ascii="Arial" w:hAnsi="Arial" w:cs="Arial"/>
          <w:lang w:eastAsia="en-GB"/>
        </w:rPr>
      </w:pPr>
      <w:r w:rsidRPr="00C233A4">
        <w:rPr>
          <w:rFonts w:ascii="Arial" w:hAnsi="Arial" w:cs="Arial"/>
          <w:lang w:eastAsia="en-GB"/>
        </w:rPr>
        <w:t>Unilever is using digital media for sustainability communication to make its messages more impactful. Additionally, the company is changing the message depending on who the audience is and how they understand it.</w:t>
      </w:r>
      <w:r w:rsidRPr="00C55E2A">
        <w:rPr>
          <w:rFonts w:ascii="Arial" w:hAnsi="Arial" w:cs="Arial"/>
          <w:lang w:eastAsia="en-GB"/>
        </w:rPr>
        <w:t xml:space="preserve"> </w:t>
      </w:r>
      <w:r w:rsidRPr="00C50213">
        <w:rPr>
          <w:rFonts w:ascii="Arial" w:hAnsi="Arial" w:cs="Arial"/>
          <w:lang w:eastAsia="en-GB"/>
        </w:rPr>
        <w:t>In the UK where sustainability claims are taken very seriously Unilever engages with high</w:t>
      </w:r>
      <w:r w:rsidRPr="00C50213">
        <w:rPr>
          <w:rFonts w:ascii="Arial" w:hAnsi="Arial" w:cs="Arial"/>
          <w:lang w:eastAsia="en-GB"/>
        </w:rPr>
        <w:noBreakHyphen/>
        <w:t xml:space="preserve">engagement visual platforms like Instagram and YouTube. Consumers prefer brands with strong environmental actions </w:t>
      </w:r>
      <w:r>
        <w:rPr>
          <w:rFonts w:ascii="Arial" w:hAnsi="Arial" w:cs="Arial"/>
          <w:lang w:eastAsia="en-GB"/>
        </w:rPr>
        <w:t xml:space="preserve">as </w:t>
      </w:r>
      <w:r w:rsidRPr="00C50213">
        <w:rPr>
          <w:rFonts w:ascii="Arial" w:hAnsi="Arial" w:cs="Arial"/>
          <w:lang w:eastAsia="en-GB"/>
        </w:rPr>
        <w:t>per recent studies</w:t>
      </w:r>
      <w:r w:rsidRPr="00C55E2A">
        <w:rPr>
          <w:rFonts w:ascii="Arial" w:hAnsi="Arial" w:cs="Arial"/>
          <w:lang w:eastAsia="en-GB"/>
        </w:rPr>
        <w:t xml:space="preserve">. </w:t>
      </w:r>
      <w:r w:rsidRPr="00A16D7D">
        <w:rPr>
          <w:rFonts w:ascii="Arial" w:hAnsi="Arial" w:cs="Arial"/>
          <w:lang w:eastAsia="en-GB"/>
        </w:rPr>
        <w:t>As mentioned by Unilever, the company plans to achieve a net zero emissions footprint by 2039. Unilever has improved its media plan which is now becoming data-rich and allows for digital-first media implementation in real-time. Due to digital platforms, a brand is able to modify correct messaging in a campaign as per consumer reaction in real-time</w:t>
      </w:r>
      <w:r w:rsidRPr="00C55E2A">
        <w:rPr>
          <w:rFonts w:ascii="Arial" w:hAnsi="Arial" w:cs="Arial"/>
          <w:lang w:eastAsia="en-GB"/>
        </w:rPr>
        <w:t>.</w:t>
      </w:r>
    </w:p>
    <w:p w14:paraId="189434C2" w14:textId="77777777" w:rsidR="00C84D32" w:rsidRPr="00C55E2A" w:rsidRDefault="00C84D32" w:rsidP="00C84D32">
      <w:pPr>
        <w:rPr>
          <w:rFonts w:ascii="Arial" w:hAnsi="Arial" w:cs="Arial"/>
          <w:lang w:eastAsia="en-GB"/>
        </w:rPr>
      </w:pPr>
      <w:r w:rsidRPr="00441231">
        <w:rPr>
          <w:rFonts w:ascii="Arial" w:hAnsi="Arial" w:cs="Arial"/>
          <w:lang w:eastAsia="en-GB"/>
        </w:rPr>
        <w:t>However, the story in the Indian contexts rather different. This gets an aware audience to move forward.</w:t>
      </w:r>
      <w:r>
        <w:rPr>
          <w:rFonts w:ascii="Arial" w:hAnsi="Arial" w:cs="Arial"/>
          <w:lang w:eastAsia="en-GB"/>
        </w:rPr>
        <w:t xml:space="preserve"> </w:t>
      </w:r>
      <w:r w:rsidRPr="006D731D">
        <w:rPr>
          <w:rFonts w:ascii="Arial" w:hAnsi="Arial" w:cs="Arial"/>
          <w:lang w:eastAsia="en-GB"/>
        </w:rPr>
        <w:t>The two worlds that have very different technological access and behaviour have a lot going on.</w:t>
      </w:r>
      <w:r>
        <w:rPr>
          <w:rFonts w:ascii="Arial" w:hAnsi="Arial" w:cs="Arial"/>
          <w:lang w:eastAsia="en-GB"/>
        </w:rPr>
        <w:t xml:space="preserve"> As </w:t>
      </w:r>
      <w:r w:rsidRPr="009D36A5">
        <w:rPr>
          <w:rFonts w:ascii="Arial" w:hAnsi="Arial" w:cs="Arial"/>
          <w:lang w:eastAsia="en-GB"/>
        </w:rPr>
        <w:t>this trend is gradually turning out to be more bottom-up one than top down one</w:t>
      </w:r>
      <w:r w:rsidRPr="00C55E2A">
        <w:rPr>
          <w:rFonts w:ascii="Arial" w:hAnsi="Arial" w:cs="Arial"/>
          <w:lang w:eastAsia="en-GB"/>
        </w:rPr>
        <w:t xml:space="preserve">, Unilever’s digital-first approach in India is one of more and more people being connected through their phones. </w:t>
      </w:r>
      <w:r w:rsidRPr="0006792E">
        <w:rPr>
          <w:rFonts w:ascii="Arial" w:hAnsi="Arial" w:cs="Arial"/>
          <w:lang w:eastAsia="en-GB"/>
        </w:rPr>
        <w:t>The organization is actively promoting the generation of engaging content in local languages, as well as the use of localised digital channels and platforms for stronger and more customised engagement with its consumers.</w:t>
      </w:r>
      <w:r w:rsidRPr="00C55E2A">
        <w:rPr>
          <w:rFonts w:ascii="Arial" w:hAnsi="Arial" w:cs="Arial"/>
          <w:lang w:eastAsia="en-GB"/>
        </w:rPr>
        <w:t xml:space="preserve"> </w:t>
      </w:r>
      <w:r w:rsidRPr="00621A22">
        <w:rPr>
          <w:rFonts w:ascii="Arial" w:hAnsi="Arial" w:cs="Arial"/>
          <w:lang w:eastAsia="en-GB"/>
        </w:rPr>
        <w:t>At present, local marketing initiative is happening in digital marketing. The concept of SB value creation will start with responsible, resource effective and sustainable consciousness building and branding. It will be a valid standard that will contribute to creating demand in future for that sustainability which is emerging.</w:t>
      </w:r>
    </w:p>
    <w:p w14:paraId="08B8AEAD" w14:textId="77777777" w:rsidR="00C84D32" w:rsidRPr="00C55E2A" w:rsidRDefault="00C84D32" w:rsidP="00C84D32">
      <w:pPr>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 xml:space="preserve">Original Analysis of Strategic Efficacy: </w:t>
      </w:r>
      <w:r w:rsidRPr="0015392F">
        <w:rPr>
          <w:rFonts w:ascii="Arial" w:eastAsia="Times New Roman" w:hAnsi="Arial" w:cs="Arial"/>
          <w:kern w:val="0"/>
          <w:lang w:eastAsia="en-GB"/>
          <w14:ligatures w14:val="none"/>
        </w:rPr>
        <w:t xml:space="preserve">My analysis suggests that AI-generated personal ads should not be the main focus for sustainability. Rather than real customer demand, their impact comes more from responding to the trust-digital paradox. Through its hyper-targeted messaging Unilever </w:t>
      </w:r>
      <w:r>
        <w:rPr>
          <w:rFonts w:ascii="Arial" w:eastAsia="Times New Roman" w:hAnsi="Arial" w:cs="Arial"/>
          <w:kern w:val="0"/>
          <w:lang w:eastAsia="en-GB"/>
          <w14:ligatures w14:val="none"/>
        </w:rPr>
        <w:t>try</w:t>
      </w:r>
      <w:r w:rsidRPr="0015392F">
        <w:rPr>
          <w:rFonts w:ascii="Arial" w:eastAsia="Times New Roman" w:hAnsi="Arial" w:cs="Arial"/>
          <w:kern w:val="0"/>
          <w:lang w:eastAsia="en-GB"/>
          <w14:ligatures w14:val="none"/>
        </w:rPr>
        <w:t xml:space="preserve"> to dodge accusations of greenwash feeling relevant to a small segment; every message is shaped to aim at groupings. I think this only holds true if the company is totally transparent at a 1 to 1 level. People will rise against lack of supply-chain transparency.</w:t>
      </w:r>
      <w:r w:rsidRPr="00C55E2A">
        <w:rPr>
          <w:rFonts w:ascii="Arial" w:eastAsia="Times New Roman" w:hAnsi="Arial" w:cs="Arial"/>
          <w:kern w:val="0"/>
          <w:lang w:eastAsia="en-GB"/>
          <w14:ligatures w14:val="none"/>
        </w:rPr>
        <w:t xml:space="preserve"> </w:t>
      </w:r>
    </w:p>
    <w:p w14:paraId="3011DF2B" w14:textId="77777777" w:rsidR="00C84D32" w:rsidRPr="00C55E2A" w:rsidRDefault="00C84D32" w:rsidP="00C84D32">
      <w:pPr>
        <w:rPr>
          <w:rFonts w:ascii="Arial" w:eastAsia="Times New Roman" w:hAnsi="Arial" w:cs="Arial"/>
          <w:kern w:val="0"/>
          <w:lang w:eastAsia="en-GB"/>
          <w14:ligatures w14:val="none"/>
        </w:rPr>
      </w:pPr>
      <w:r w:rsidRPr="00C25DDF">
        <w:rPr>
          <w:rFonts w:ascii="Arial" w:eastAsia="Times New Roman" w:hAnsi="Arial" w:cs="Arial"/>
          <w:kern w:val="0"/>
          <w:lang w:eastAsia="en-GB"/>
          <w14:ligatures w14:val="none"/>
        </w:rPr>
        <w:t>Personalization for Sustainability Using AI Is Tricky It is placed in the zone of ethics. According to Unilever, hyper-personalization is educational, but it is still large-scale behaviour manipulation. We can see surveillance capitalism in how this company manufactures eco-anxiety. People will soon understand that all these algorithms do twist everything around for climate anxiety and make money off it, in which case, this strategy will fail very soon. Pushing people does not equal sustainability. Genuine sustainable action is required now, not further clicks driven by algorithms.</w:t>
      </w:r>
    </w:p>
    <w:p w14:paraId="38AB3091" w14:textId="77777777" w:rsidR="00C84D32" w:rsidRPr="0078498F" w:rsidRDefault="00C84D32" w:rsidP="0078498F">
      <w:pPr>
        <w:pStyle w:val="Heading2"/>
      </w:pPr>
      <w:bookmarkStart w:id="73" w:name="_Toc231740339"/>
      <w:r w:rsidRPr="0078498F">
        <w:t>4.3 Corporate Stream Analysis: Validating the Narrative</w:t>
      </w:r>
      <w:bookmarkEnd w:id="73"/>
    </w:p>
    <w:p w14:paraId="458D3B26" w14:textId="1BBD6A5C" w:rsidR="00C84D32" w:rsidRPr="00C55E2A" w:rsidRDefault="00C84D32" w:rsidP="00C84D32">
      <w:pPr>
        <w:rPr>
          <w:rFonts w:ascii="Arial" w:eastAsia="Times New Roman" w:hAnsi="Arial" w:cs="Arial"/>
          <w:kern w:val="0"/>
          <w:lang w:eastAsia="en-GB"/>
          <w14:ligatures w14:val="none"/>
        </w:rPr>
      </w:pPr>
      <w:r w:rsidRPr="00F53D34">
        <w:rPr>
          <w:rFonts w:ascii="Arial" w:eastAsia="Times New Roman" w:hAnsi="Arial" w:cs="Arial"/>
          <w:kern w:val="0"/>
          <w:lang w:eastAsia="en-GB"/>
          <w14:ligatures w14:val="none"/>
        </w:rPr>
        <w:t>Every company in India or the UK has a advantage of its own and an responsibility to its parent company. However, Unilever is different Like any number of international organisations, the EU is not a ordinary company and does not work by the normal principles</w:t>
      </w:r>
      <w:r w:rsidRPr="00C55E2A">
        <w:rPr>
          <w:rFonts w:ascii="Arial" w:eastAsia="Times New Roman" w:hAnsi="Arial" w:cs="Arial"/>
          <w:kern w:val="0"/>
          <w:lang w:eastAsia="en-GB"/>
          <w14:ligatures w14:val="none"/>
        </w:rPr>
        <w:t xml:space="preserve">. </w:t>
      </w:r>
      <w:r w:rsidRPr="00CF15B8">
        <w:rPr>
          <w:rFonts w:ascii="Arial" w:eastAsia="Times New Roman" w:hAnsi="Arial" w:cs="Arial"/>
          <w:kern w:val="0"/>
          <w:lang w:eastAsia="en-GB"/>
          <w14:ligatures w14:val="none"/>
        </w:rPr>
        <w:t>According to the UNILEVER COMPASS, the investments made by Unilever to embed sustainability at the centre of its resources was another key factor in DOVE’s success as a brand. Unilever’s sustainable living plan links its big futures to its day-to-day ways at work, so it is transparent and accountable. Additionally, external members can also make use of the Compass. It helps Unilever in adjusting to the changing expectations of consumers in the UK and India</w:t>
      </w:r>
      <w:r w:rsidRPr="00C55E2A">
        <w:rPr>
          <w:rFonts w:ascii="Arial" w:eastAsia="Times New Roman" w:hAnsi="Arial" w:cs="Arial"/>
          <w:kern w:val="0"/>
          <w:lang w:eastAsia="en-GB"/>
          <w14:ligatures w14:val="none"/>
        </w:rPr>
        <w:t>.</w:t>
      </w:r>
    </w:p>
    <w:p w14:paraId="5622F300" w14:textId="77777777" w:rsidR="00C84D32" w:rsidRPr="00C55E2A" w:rsidRDefault="00C84D32" w:rsidP="00C84D32">
      <w:pPr>
        <w:rPr>
          <w:rFonts w:ascii="Arial" w:eastAsia="Times New Roman" w:hAnsi="Arial" w:cs="Arial"/>
          <w:kern w:val="0"/>
          <w:lang w:eastAsia="en-GB"/>
          <w14:ligatures w14:val="none"/>
        </w:rPr>
      </w:pPr>
      <w:r w:rsidRPr="008C1F21">
        <w:rPr>
          <w:rFonts w:ascii="Arial" w:eastAsia="Times New Roman" w:hAnsi="Arial" w:cs="Arial"/>
          <w:kern w:val="0"/>
          <w:lang w:eastAsia="en-GB"/>
          <w14:ligatures w14:val="none"/>
        </w:rPr>
        <w:t>Unilever's claim that they are focused on long-term success is backed up by the above. The company’s Annual Reports seem to somewhat confirm this claim as they observe the performance of some sustainability metrics.</w:t>
      </w:r>
      <w:r>
        <w:rPr>
          <w:rFonts w:ascii="Arial" w:eastAsia="Times New Roman" w:hAnsi="Arial" w:cs="Arial"/>
          <w:kern w:val="0"/>
          <w:lang w:eastAsia="en-GB"/>
          <w14:ligatures w14:val="none"/>
        </w:rPr>
        <w:t xml:space="preserve"> </w:t>
      </w:r>
      <w:r w:rsidRPr="00C55E2A">
        <w:rPr>
          <w:rFonts w:ascii="Arial" w:eastAsia="Times New Roman" w:hAnsi="Arial" w:cs="Arial"/>
          <w:kern w:val="0"/>
          <w:lang w:eastAsia="en-GB"/>
          <w14:ligatures w14:val="none"/>
        </w:rPr>
        <w:t xml:space="preserve"> </w:t>
      </w:r>
      <w:r w:rsidRPr="002E323C">
        <w:rPr>
          <w:rFonts w:ascii="Arial" w:eastAsia="Times New Roman" w:hAnsi="Arial" w:cs="Arial"/>
          <w:kern w:val="0"/>
          <w:lang w:eastAsia="en-GB"/>
          <w14:ligatures w14:val="none"/>
        </w:rPr>
        <w:t>At least the multinational will take these reports seriously; this is what the story is on these standards. Consequently, look at its claim of ‘zero non-hazardous waste to landfill. Unilever is undertaking every possible effort to convince stakeholders that its goodness and sustainability are not just real but measurable.</w:t>
      </w:r>
    </w:p>
    <w:p w14:paraId="15D12ACF" w14:textId="77777777" w:rsidR="00C84D32" w:rsidRPr="00C55E2A" w:rsidRDefault="00C84D32" w:rsidP="00C84D32">
      <w:pPr>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 xml:space="preserve">Original Evaluation of Regulatory Resilience: </w:t>
      </w:r>
      <w:r w:rsidRPr="008B199E">
        <w:rPr>
          <w:rFonts w:ascii="Arial" w:eastAsia="Times New Roman" w:hAnsi="Arial" w:cs="Arial"/>
          <w:kern w:val="0"/>
          <w:lang w:eastAsia="en-GB"/>
          <w14:ligatures w14:val="none"/>
        </w:rPr>
        <w:t>Unilever’s Annual Reports are in line with the Compass. If you read together the Unilever Compass and the Annual Reports, you’ll read a connected story about the way the company works. Basically, the Annual Reports and the Compass serve as powerful “proof tools” in combination. The tools help in the digital marketing and Sustainability claims of Unilever. The compass aligns with the business vision that will bring a prepared Unilever.</w:t>
      </w:r>
      <w:r>
        <w:rPr>
          <w:rFonts w:ascii="Arial" w:eastAsia="Times New Roman" w:hAnsi="Arial" w:cs="Arial"/>
          <w:kern w:val="0"/>
          <w:lang w:eastAsia="en-GB"/>
          <w14:ligatures w14:val="none"/>
        </w:rPr>
        <w:t xml:space="preserve"> I</w:t>
      </w:r>
      <w:r w:rsidRPr="007A13DD">
        <w:rPr>
          <w:rFonts w:ascii="Arial" w:eastAsia="Times New Roman" w:hAnsi="Arial" w:cs="Arial"/>
          <w:kern w:val="0"/>
          <w:lang w:eastAsia="en-GB"/>
          <w14:ligatures w14:val="none"/>
        </w:rPr>
        <w:t xml:space="preserve"> think Unilever is being cautious about transparency. The DMCC Act states that in the UK, any environmental claim must be qualified by actual evidence. Sustainability reporting regulations are also getting strict in India. With honesty and transparency, Unilever can stay unaffected with these increasing regulations.</w:t>
      </w:r>
      <w:r w:rsidRPr="00C55E2A">
        <w:rPr>
          <w:rFonts w:ascii="Arial" w:eastAsia="Times New Roman" w:hAnsi="Arial" w:cs="Arial"/>
          <w:noProof/>
          <w:kern w:val="0"/>
          <w:lang w:eastAsia="en-GB"/>
        </w:rPr>
        <w:drawing>
          <wp:inline distT="0" distB="0" distL="0" distR="0" wp14:anchorId="3B067854" wp14:editId="100F6FE4">
            <wp:extent cx="5731510" cy="1859280"/>
            <wp:effectExtent l="0" t="0" r="2540" b="7620"/>
            <wp:docPr id="1854030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30302" name="Picture 185403030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859280"/>
                    </a:xfrm>
                    <a:prstGeom prst="rect">
                      <a:avLst/>
                    </a:prstGeom>
                  </pic:spPr>
                </pic:pic>
              </a:graphicData>
            </a:graphic>
          </wp:inline>
        </w:drawing>
      </w:r>
    </w:p>
    <w:p w14:paraId="1463F894" w14:textId="77777777" w:rsidR="00C84D32" w:rsidRDefault="00C84D32" w:rsidP="00C84D32">
      <w:pPr>
        <w:rPr>
          <w:rFonts w:ascii="Arial" w:eastAsia="Times New Roman" w:hAnsi="Arial" w:cs="Arial"/>
          <w:kern w:val="0"/>
          <w:lang w:eastAsia="en-GB"/>
          <w14:ligatures w14:val="none"/>
        </w:rPr>
      </w:pPr>
      <w:r w:rsidRPr="00C55E2A">
        <w:rPr>
          <w:rFonts w:ascii="Arial" w:eastAsia="Times New Roman" w:hAnsi="Arial" w:cs="Arial"/>
          <w:noProof/>
          <w:kern w:val="0"/>
          <w:lang w:eastAsia="en-GB"/>
        </w:rPr>
        <w:drawing>
          <wp:inline distT="0" distB="0" distL="0" distR="0" wp14:anchorId="5F5F8B58" wp14:editId="10B52314">
            <wp:extent cx="5731510" cy="2066925"/>
            <wp:effectExtent l="0" t="0" r="2540" b="9525"/>
            <wp:docPr id="15878727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872793" name="Picture 158787279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066925"/>
                    </a:xfrm>
                    <a:prstGeom prst="rect">
                      <a:avLst/>
                    </a:prstGeom>
                  </pic:spPr>
                </pic:pic>
              </a:graphicData>
            </a:graphic>
          </wp:inline>
        </w:drawing>
      </w:r>
    </w:p>
    <w:p w14:paraId="51E66412" w14:textId="77777777" w:rsidR="0078498F" w:rsidRDefault="0078498F" w:rsidP="00D20669">
      <w:pPr>
        <w:jc w:val="center"/>
      </w:pPr>
      <w:r w:rsidRPr="00C55E2A">
        <w:t>Figure 2: Unilever's corporate progress on key environmental metrics. (Source: Unilever Annual Report and Accounts 2025).</w:t>
      </w:r>
    </w:p>
    <w:p w14:paraId="00C582C5" w14:textId="77777777" w:rsidR="00C84D32" w:rsidRPr="0078498F" w:rsidRDefault="00C84D32" w:rsidP="0078498F">
      <w:pPr>
        <w:pStyle w:val="Heading2"/>
      </w:pPr>
      <w:bookmarkStart w:id="74" w:name="_Toc231740340"/>
      <w:r w:rsidRPr="0078498F">
        <w:t>4.4 Thematic Mapping of "Green Codes"</w:t>
      </w:r>
      <w:bookmarkEnd w:id="74"/>
    </w:p>
    <w:p w14:paraId="3436834D" w14:textId="3829EF30" w:rsidR="00C84D32" w:rsidRPr="00D20669" w:rsidRDefault="00C84D32" w:rsidP="00D20669">
      <w:pPr>
        <w:rPr>
          <w:rFonts w:ascii="Arial" w:hAnsi="Arial" w:cs="Arial"/>
          <w:lang w:eastAsia="en-GB"/>
        </w:rPr>
      </w:pPr>
      <w:r w:rsidRPr="00D20669">
        <w:rPr>
          <w:rFonts w:ascii="Arial" w:hAnsi="Arial" w:cs="Arial"/>
          <w:lang w:eastAsia="en-GB"/>
        </w:rPr>
        <w:t>In this case, the green codes carry important meaning regarding how Unilever is developing. The study sets standards for effective sustainability communication in generating consumer demand. It presents a pretty picture with the message that activists and organizers are anything but legitimate professionals.</w:t>
      </w:r>
      <w:r w:rsidR="0078498F" w:rsidRPr="00D20669">
        <w:rPr>
          <w:rFonts w:ascii="Arial" w:hAnsi="Arial" w:cs="Arial"/>
          <w:lang w:eastAsia="en-GB"/>
        </w:rPr>
        <w:t xml:space="preserve"> Also </w:t>
      </w:r>
      <w:r w:rsidRPr="00D20669">
        <w:rPr>
          <w:rFonts w:ascii="Arial" w:hAnsi="Arial" w:cs="Arial"/>
          <w:lang w:eastAsia="en-GB"/>
        </w:rPr>
        <w:t>the same codes are very important as they show how Unilever is responsive to always changing cultural expectations in every market.</w:t>
      </w:r>
    </w:p>
    <w:p w14:paraId="2A58029B" w14:textId="77777777" w:rsidR="00C84D32" w:rsidRPr="0078498F" w:rsidRDefault="00C84D32" w:rsidP="0078498F">
      <w:pPr>
        <w:pStyle w:val="Heading3"/>
      </w:pPr>
      <w:bookmarkStart w:id="75" w:name="_Toc231740341"/>
      <w:r w:rsidRPr="0078498F">
        <w:t>4.4.1 UK Findings: Systemic Accountability and Carbon Literacy</w:t>
      </w:r>
      <w:bookmarkEnd w:id="75"/>
    </w:p>
    <w:p w14:paraId="0D68CD4A" w14:textId="77777777" w:rsidR="00C84D32" w:rsidRPr="00C55E2A" w:rsidRDefault="00C84D32" w:rsidP="00C84D32">
      <w:pPr>
        <w:rPr>
          <w:rFonts w:ascii="Arial" w:hAnsi="Arial" w:cs="Arial"/>
          <w:lang w:eastAsia="en-GB"/>
        </w:rPr>
      </w:pPr>
      <w:r w:rsidRPr="00352D32">
        <w:rPr>
          <w:rFonts w:ascii="Arial" w:hAnsi="Arial" w:cs="Arial"/>
          <w:lang w:eastAsia="en-GB"/>
        </w:rPr>
        <w:t>The study in the UK found two themes, which were Systemic Accountability and Carbon Literacy. This tells us how far the UK has come in holding companies accountable for environmentally harmful practices.</w:t>
      </w:r>
      <w:r>
        <w:rPr>
          <w:rFonts w:ascii="Arial" w:hAnsi="Arial" w:cs="Arial"/>
          <w:lang w:eastAsia="en-GB"/>
        </w:rPr>
        <w:t xml:space="preserve"> </w:t>
      </w:r>
      <w:r w:rsidRPr="002859FE">
        <w:rPr>
          <w:rFonts w:ascii="Arial" w:hAnsi="Arial" w:cs="Arial"/>
          <w:lang w:eastAsia="en-GB"/>
        </w:rPr>
        <w:t>According to a report, British people are becoming more climate-smart, as climate threats increase. Also known as the climate-smart citizen, they want brands to be honest about</w:t>
      </w:r>
      <w:r w:rsidRPr="00C55E2A">
        <w:rPr>
          <w:rFonts w:ascii="Arial" w:hAnsi="Arial" w:cs="Arial"/>
          <w:lang w:eastAsia="en-GB"/>
        </w:rPr>
        <w:t xml:space="preserve"> where their goods come from, how they’re made and what will be greater impacts. </w:t>
      </w:r>
      <w:r w:rsidRPr="00CB135C">
        <w:rPr>
          <w:rFonts w:ascii="Arial" w:hAnsi="Arial" w:cs="Arial"/>
          <w:lang w:eastAsia="en-GB"/>
        </w:rPr>
        <w:t>Unilever’s marketing strategy involves “Superior Science” as a vital component. It refers to the use of data that is believable, cost-effective, and measurable to verify its claims. It helps to add credibility and truthfulness to the brand image.</w:t>
      </w:r>
    </w:p>
    <w:p w14:paraId="08984AF8" w14:textId="77777777" w:rsidR="00C84D32" w:rsidRPr="002C0A3B" w:rsidRDefault="00C84D32" w:rsidP="00C84D32">
      <w:pPr>
        <w:rPr>
          <w:rFonts w:ascii="Arial" w:hAnsi="Arial" w:cs="Arial"/>
          <w:lang w:val="en-IN" w:eastAsia="en-GB"/>
        </w:rPr>
      </w:pPr>
      <w:r w:rsidRPr="002C0A3B">
        <w:rPr>
          <w:rFonts w:ascii="Arial" w:hAnsi="Arial" w:cs="Arial"/>
          <w:lang w:val="en-IN" w:eastAsia="en-GB"/>
        </w:rPr>
        <w:t>Scientists are creating AI algorithms to improve Unilever’s advertising through scientific methods. It makes their brand feel believable because it has eco product formulation.</w:t>
      </w:r>
      <w:r w:rsidRPr="00C55E2A">
        <w:rPr>
          <w:rFonts w:ascii="Arial" w:hAnsi="Arial" w:cs="Arial"/>
          <w:lang w:eastAsia="en-GB"/>
        </w:rPr>
        <w:t xml:space="preserve"> </w:t>
      </w:r>
      <w:r w:rsidRPr="00CE452B">
        <w:rPr>
          <w:rFonts w:ascii="Arial" w:hAnsi="Arial" w:cs="Arial"/>
          <w:lang w:eastAsia="en-GB"/>
        </w:rPr>
        <w:t>The power of choice is the ability and knowledge to analyse the impact that a choice will have on the environment. Unilever's programs help provide carbon literacy to stakeholders and consumers</w:t>
      </w:r>
      <w:r w:rsidRPr="00C55E2A">
        <w:rPr>
          <w:rFonts w:ascii="Arial" w:hAnsi="Arial" w:cs="Arial"/>
          <w:lang w:eastAsia="en-GB"/>
        </w:rPr>
        <w:t xml:space="preserve">. The UK market is addressed by Unilever by telling stories about structural accountability through highly technical, verifiable digital interventions.  </w:t>
      </w:r>
      <w:r>
        <w:rPr>
          <w:rFonts w:ascii="Arial" w:hAnsi="Arial" w:cs="Arial"/>
          <w:lang w:eastAsia="en-GB"/>
        </w:rPr>
        <w:t xml:space="preserve"> </w:t>
      </w:r>
    </w:p>
    <w:p w14:paraId="5580B4F7" w14:textId="77777777" w:rsidR="00C84D32" w:rsidRPr="0078498F" w:rsidRDefault="00C84D32" w:rsidP="0078498F">
      <w:pPr>
        <w:pStyle w:val="Heading3"/>
      </w:pPr>
      <w:bookmarkStart w:id="76" w:name="_Toc231740342"/>
      <w:r w:rsidRPr="0078498F">
        <w:t>4.4.2 India Findings: Grassroots Empowerment and Collective Upliftment</w:t>
      </w:r>
      <w:bookmarkEnd w:id="76"/>
    </w:p>
    <w:p w14:paraId="45AB5803" w14:textId="77777777" w:rsidR="00C84D32" w:rsidRPr="006E5C35" w:rsidRDefault="00C84D32" w:rsidP="00C84D32">
      <w:pPr>
        <w:rPr>
          <w:rFonts w:ascii="Arial" w:hAnsi="Arial" w:cs="Arial"/>
          <w:lang w:val="en-IN" w:eastAsia="en-GB"/>
        </w:rPr>
      </w:pPr>
      <w:r w:rsidRPr="00C55E2A">
        <w:rPr>
          <w:rFonts w:ascii="Arial" w:hAnsi="Arial" w:cs="Arial"/>
          <w:lang w:eastAsia="en-GB"/>
        </w:rPr>
        <w:t xml:space="preserve">In the very first example it makes an e-sensational statement which proves it is saying that eCommerce is Green. Unilever is committed to a “world where nothing will be wasted” and a “planet where nothing is lost”. Everything is produced using only what is necessary and important we believe. The introduction of green codes by India is aspirational; it’s not so technical in nature. </w:t>
      </w:r>
      <w:r w:rsidRPr="00FD465B">
        <w:rPr>
          <w:rFonts w:ascii="Arial" w:hAnsi="Arial" w:cs="Arial"/>
          <w:lang w:eastAsia="en-GB"/>
        </w:rPr>
        <w:t>Results suggest a very effective situation for empowerment and uplifting of grass roots. In this case, the story on sustainable development has more social impact and cultural narrative than scientific proof.</w:t>
      </w:r>
      <w:r>
        <w:rPr>
          <w:rFonts w:ascii="Arial" w:hAnsi="Arial" w:cs="Arial"/>
          <w:lang w:eastAsia="en-GB"/>
        </w:rPr>
        <w:t xml:space="preserve"> </w:t>
      </w:r>
      <w:r w:rsidRPr="00433FA7">
        <w:rPr>
          <w:rFonts w:ascii="Arial" w:hAnsi="Arial" w:cs="Arial"/>
          <w:lang w:eastAsia="en-GB"/>
        </w:rPr>
        <w:t>Unilever efficiently uses digital platforms to promote its products and facilitate ground actions by the local ecosystem and poor community in India. Take Shakti, for example, an initiative that trains women from the rural sector to market Unilever products</w:t>
      </w:r>
      <w:r w:rsidRPr="00C55E2A">
        <w:rPr>
          <w:rFonts w:ascii="Arial" w:hAnsi="Arial" w:cs="Arial"/>
          <w:lang w:eastAsia="en-GB"/>
        </w:rPr>
        <w:t xml:space="preserve">. It shows how business and social objectives can be mutually beneficial. Similarly, </w:t>
      </w:r>
      <w:r w:rsidRPr="006E5C35">
        <w:rPr>
          <w:rFonts w:ascii="Arial" w:hAnsi="Arial" w:cs="Arial"/>
          <w:lang w:val="en-IN" w:eastAsia="en-GB"/>
        </w:rPr>
        <w:t>another trend that will become popular is local influencers who will promote sustainability with a brand story linked to local culture</w:t>
      </w:r>
      <w:r w:rsidRPr="00C55E2A">
        <w:rPr>
          <w:rFonts w:ascii="Arial" w:hAnsi="Arial" w:cs="Arial"/>
          <w:lang w:eastAsia="en-GB"/>
        </w:rPr>
        <w:t xml:space="preserve">. Unilever aims to empower women and local entrepreneurs. Consumers in developing </w:t>
      </w:r>
      <w:r>
        <w:rPr>
          <w:rFonts w:ascii="Arial" w:hAnsi="Arial" w:cs="Arial"/>
          <w:lang w:eastAsia="en-GB"/>
        </w:rPr>
        <w:t>nations</w:t>
      </w:r>
      <w:r w:rsidRPr="00C55E2A">
        <w:rPr>
          <w:rFonts w:ascii="Arial" w:hAnsi="Arial" w:cs="Arial"/>
          <w:lang w:eastAsia="en-GB"/>
        </w:rPr>
        <w:t xml:space="preserve"> are </w:t>
      </w:r>
      <w:r>
        <w:rPr>
          <w:rFonts w:ascii="Arial" w:hAnsi="Arial" w:cs="Arial"/>
          <w:lang w:eastAsia="en-GB"/>
        </w:rPr>
        <w:t xml:space="preserve">slowly </w:t>
      </w:r>
      <w:r w:rsidRPr="00C55E2A">
        <w:rPr>
          <w:rFonts w:ascii="Arial" w:hAnsi="Arial" w:cs="Arial"/>
          <w:lang w:eastAsia="en-GB"/>
        </w:rPr>
        <w:t>realizing the efficacy of the entire organization’s compassion. Brand Strategy of Unilever.</w:t>
      </w:r>
    </w:p>
    <w:p w14:paraId="595C3904"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 xml:space="preserve">Implications for Purchasing </w:t>
      </w:r>
      <w:proofErr w:type="spellStart"/>
      <w:r w:rsidRPr="00C55E2A">
        <w:rPr>
          <w:rFonts w:ascii="Arial" w:eastAsia="Times New Roman" w:hAnsi="Arial" w:cs="Arial"/>
          <w:b/>
          <w:bCs/>
          <w:kern w:val="0"/>
          <w:lang w:eastAsia="en-GB"/>
          <w14:ligatures w14:val="none"/>
        </w:rPr>
        <w:t>Behavior</w:t>
      </w:r>
      <w:proofErr w:type="spellEnd"/>
      <w:r w:rsidRPr="00C55E2A">
        <w:rPr>
          <w:rFonts w:ascii="Arial" w:eastAsia="Times New Roman" w:hAnsi="Arial" w:cs="Arial"/>
          <w:b/>
          <w:bCs/>
          <w:kern w:val="0"/>
          <w:lang w:eastAsia="en-GB"/>
          <w14:ligatures w14:val="none"/>
        </w:rPr>
        <w:t xml:space="preserve">: </w:t>
      </w:r>
      <w:r w:rsidRPr="0072619A">
        <w:rPr>
          <w:rFonts w:ascii="Arial" w:eastAsia="Times New Roman" w:hAnsi="Arial" w:cs="Arial"/>
          <w:kern w:val="0"/>
          <w:lang w:eastAsia="en-GB"/>
          <w14:ligatures w14:val="none"/>
        </w:rPr>
        <w:t>The themes in the UK and India are very different and it affects product purchase behaviour greatly. In the UK, customers want clarity and tools like blockchain</w:t>
      </w:r>
      <w:r w:rsidRPr="0072619A">
        <w:rPr>
          <w:rFonts w:ascii="Arial" w:eastAsia="Times New Roman" w:hAnsi="Arial" w:cs="Arial"/>
          <w:kern w:val="0"/>
          <w:lang w:eastAsia="en-GB"/>
          <w14:ligatures w14:val="none"/>
        </w:rPr>
        <w:noBreakHyphen/>
        <w:t>based carbon labels lead to higher trust and chance to buy again.</w:t>
      </w:r>
      <w:r>
        <w:rPr>
          <w:rFonts w:ascii="Arial" w:eastAsia="Times New Roman" w:hAnsi="Arial" w:cs="Arial"/>
          <w:kern w:val="0"/>
          <w:lang w:eastAsia="en-GB"/>
          <w14:ligatures w14:val="none"/>
        </w:rPr>
        <w:t xml:space="preserve"> </w:t>
      </w:r>
      <w:r w:rsidRPr="00C46F8A">
        <w:rPr>
          <w:rFonts w:ascii="Arial" w:eastAsia="Times New Roman" w:hAnsi="Arial" w:cs="Arial"/>
          <w:kern w:val="0"/>
          <w:lang w:eastAsia="en-GB"/>
          <w14:ligatures w14:val="none"/>
        </w:rPr>
        <w:t>it works best in India</w:t>
      </w:r>
      <w:r>
        <w:rPr>
          <w:rFonts w:ascii="Arial" w:eastAsia="Times New Roman" w:hAnsi="Arial" w:cs="Arial"/>
          <w:kern w:val="0"/>
          <w:lang w:eastAsia="en-GB"/>
          <w14:ligatures w14:val="none"/>
        </w:rPr>
        <w:t xml:space="preserve"> w</w:t>
      </w:r>
      <w:r w:rsidRPr="00C46F8A">
        <w:rPr>
          <w:rFonts w:ascii="Arial" w:eastAsia="Times New Roman" w:hAnsi="Arial" w:cs="Arial"/>
          <w:kern w:val="0"/>
          <w:lang w:eastAsia="en-GB"/>
          <w14:ligatures w14:val="none"/>
        </w:rPr>
        <w:t>hen digital sustainability is connected to social progress,</w:t>
      </w:r>
      <w:r>
        <w:rPr>
          <w:rFonts w:ascii="Arial" w:eastAsia="Times New Roman" w:hAnsi="Arial" w:cs="Arial"/>
          <w:kern w:val="0"/>
          <w:lang w:eastAsia="en-GB"/>
          <w14:ligatures w14:val="none"/>
        </w:rPr>
        <w:t xml:space="preserve"> </w:t>
      </w:r>
      <w:r w:rsidRPr="00C46F8A">
        <w:rPr>
          <w:rFonts w:ascii="Arial" w:eastAsia="Times New Roman" w:hAnsi="Arial" w:cs="Arial"/>
          <w:kern w:val="0"/>
          <w:lang w:eastAsia="en-GB"/>
          <w14:ligatures w14:val="none"/>
        </w:rPr>
        <w:t>when a person buys a Unilever product that helps people in their local community, he feels that he is contributing to his country’s development story. This realization makes the story about digital sustainability a reality, giving it market growth momentum especially in semi-urban India.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1"/>
        <w:gridCol w:w="2216"/>
        <w:gridCol w:w="2601"/>
        <w:gridCol w:w="2732"/>
      </w:tblGrid>
      <w:tr w:rsidR="00C84D32" w:rsidRPr="00C55E2A" w14:paraId="2AA6FF38" w14:textId="77777777" w:rsidTr="00425EEF">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20424B2"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Market</w:t>
            </w:r>
          </w:p>
        </w:tc>
        <w:tc>
          <w:tcPr>
            <w:tcW w:w="0" w:type="auto"/>
            <w:tcBorders>
              <w:top w:val="single" w:sz="6" w:space="0" w:color="auto"/>
              <w:left w:val="single" w:sz="6" w:space="0" w:color="auto"/>
              <w:bottom w:val="single" w:sz="6" w:space="0" w:color="auto"/>
              <w:right w:val="single" w:sz="6" w:space="0" w:color="auto"/>
            </w:tcBorders>
            <w:vAlign w:val="center"/>
            <w:hideMark/>
          </w:tcPr>
          <w:p w14:paraId="34009D20"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Core Sustainability Theme</w:t>
            </w:r>
          </w:p>
        </w:tc>
        <w:tc>
          <w:tcPr>
            <w:tcW w:w="0" w:type="auto"/>
            <w:tcBorders>
              <w:top w:val="single" w:sz="6" w:space="0" w:color="auto"/>
              <w:left w:val="single" w:sz="6" w:space="0" w:color="auto"/>
              <w:bottom w:val="single" w:sz="6" w:space="0" w:color="auto"/>
              <w:right w:val="single" w:sz="6" w:space="0" w:color="auto"/>
            </w:tcBorders>
            <w:vAlign w:val="center"/>
            <w:hideMark/>
          </w:tcPr>
          <w:p w14:paraId="1698B403"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 xml:space="preserve">"Green Code" </w:t>
            </w:r>
            <w:proofErr w:type="spellStart"/>
            <w:r w:rsidRPr="00C55E2A">
              <w:rPr>
                <w:rFonts w:ascii="Arial" w:eastAsia="Times New Roman" w:hAnsi="Arial" w:cs="Arial"/>
                <w:b/>
                <w:bCs/>
                <w:kern w:val="0"/>
                <w:lang w:eastAsia="en-GB"/>
                <w14:ligatures w14:val="none"/>
              </w:rPr>
              <w:t>Analyzed</w:t>
            </w:r>
            <w:proofErr w:type="spellEnd"/>
          </w:p>
        </w:tc>
        <w:tc>
          <w:tcPr>
            <w:tcW w:w="0" w:type="auto"/>
            <w:tcBorders>
              <w:top w:val="single" w:sz="6" w:space="0" w:color="auto"/>
              <w:left w:val="single" w:sz="6" w:space="0" w:color="auto"/>
              <w:bottom w:val="single" w:sz="6" w:space="0" w:color="auto"/>
              <w:right w:val="single" w:sz="6" w:space="0" w:color="auto"/>
            </w:tcBorders>
            <w:vAlign w:val="center"/>
            <w:hideMark/>
          </w:tcPr>
          <w:p w14:paraId="7B3E9354"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Primary Emotional Driver</w:t>
            </w:r>
          </w:p>
        </w:tc>
      </w:tr>
      <w:tr w:rsidR="00C84D32" w:rsidRPr="00C55E2A" w14:paraId="55F609D8" w14:textId="77777777" w:rsidTr="00425EE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399CB01"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United Kingdom</w:t>
            </w:r>
          </w:p>
        </w:tc>
        <w:tc>
          <w:tcPr>
            <w:tcW w:w="0" w:type="auto"/>
            <w:tcBorders>
              <w:top w:val="single" w:sz="6" w:space="0" w:color="auto"/>
              <w:left w:val="single" w:sz="6" w:space="0" w:color="auto"/>
              <w:bottom w:val="single" w:sz="6" w:space="0" w:color="auto"/>
              <w:right w:val="single" w:sz="6" w:space="0" w:color="auto"/>
            </w:tcBorders>
            <w:vAlign w:val="center"/>
            <w:hideMark/>
          </w:tcPr>
          <w:p w14:paraId="1E0DC007"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Systemic Accountability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108C9E25"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"Superior Science" / Carbon Literacy</w:t>
            </w:r>
          </w:p>
        </w:tc>
        <w:tc>
          <w:tcPr>
            <w:tcW w:w="0" w:type="auto"/>
            <w:tcBorders>
              <w:top w:val="single" w:sz="6" w:space="0" w:color="auto"/>
              <w:left w:val="single" w:sz="6" w:space="0" w:color="auto"/>
              <w:bottom w:val="single" w:sz="6" w:space="0" w:color="auto"/>
              <w:right w:val="single" w:sz="6" w:space="0" w:color="auto"/>
            </w:tcBorders>
            <w:vAlign w:val="center"/>
            <w:hideMark/>
          </w:tcPr>
          <w:p w14:paraId="7D9B9D7F"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Eco-anxiety, Demand for Empirical Proof</w:t>
            </w:r>
          </w:p>
        </w:tc>
      </w:tr>
      <w:tr w:rsidR="00C84D32" w:rsidRPr="00C55E2A" w14:paraId="45B69B46" w14:textId="77777777" w:rsidTr="00425EE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AE49549"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India</w:t>
            </w:r>
          </w:p>
        </w:tc>
        <w:tc>
          <w:tcPr>
            <w:tcW w:w="0" w:type="auto"/>
            <w:tcBorders>
              <w:top w:val="single" w:sz="6" w:space="0" w:color="auto"/>
              <w:left w:val="single" w:sz="6" w:space="0" w:color="auto"/>
              <w:bottom w:val="single" w:sz="6" w:space="0" w:color="auto"/>
              <w:right w:val="single" w:sz="6" w:space="0" w:color="auto"/>
            </w:tcBorders>
            <w:vAlign w:val="center"/>
            <w:hideMark/>
          </w:tcPr>
          <w:p w14:paraId="0E3FE7FD"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Social Equality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44B39FEA"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"Grassroots Empowerment"</w:t>
            </w:r>
          </w:p>
        </w:tc>
        <w:tc>
          <w:tcPr>
            <w:tcW w:w="0" w:type="auto"/>
            <w:tcBorders>
              <w:top w:val="single" w:sz="6" w:space="0" w:color="auto"/>
              <w:left w:val="single" w:sz="6" w:space="0" w:color="auto"/>
              <w:bottom w:val="single" w:sz="6" w:space="0" w:color="auto"/>
              <w:right w:val="single" w:sz="6" w:space="0" w:color="auto"/>
            </w:tcBorders>
            <w:vAlign w:val="center"/>
            <w:hideMark/>
          </w:tcPr>
          <w:p w14:paraId="3A0AA707" w14:textId="77777777" w:rsidR="00C84D32" w:rsidRPr="00C55E2A" w:rsidRDefault="00C84D32" w:rsidP="00425EEF">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Social Mobility, Gender Equality, Public Health</w:t>
            </w:r>
          </w:p>
        </w:tc>
      </w:tr>
    </w:tbl>
    <w:p w14:paraId="096F9D35" w14:textId="77777777" w:rsidR="00C84D32" w:rsidRPr="00C55E2A" w:rsidRDefault="00C84D32" w:rsidP="00C84D32">
      <w:pPr>
        <w:spacing w:after="100" w:afterAutospacing="1" w:line="276" w:lineRule="auto"/>
        <w:jc w:val="center"/>
        <w:rPr>
          <w:rFonts w:ascii="Arial" w:eastAsia="Times New Roman" w:hAnsi="Arial" w:cs="Arial"/>
          <w:b/>
          <w:bCs/>
          <w:kern w:val="0"/>
          <w:lang w:eastAsia="en-GB"/>
          <w14:ligatures w14:val="none"/>
        </w:rPr>
      </w:pPr>
    </w:p>
    <w:p w14:paraId="19EEA664" w14:textId="77777777" w:rsidR="00C84D32" w:rsidRPr="00C55E2A" w:rsidRDefault="00C84D32" w:rsidP="00C84D32">
      <w:pPr>
        <w:spacing w:after="100" w:afterAutospacing="1" w:line="276" w:lineRule="auto"/>
        <w:jc w:val="center"/>
        <w:rPr>
          <w:rFonts w:ascii="Arial" w:eastAsia="Times New Roman" w:hAnsi="Arial" w:cs="Arial"/>
          <w:b/>
          <w:bCs/>
          <w:kern w:val="0"/>
          <w:lang w:eastAsia="en-GB"/>
          <w14:ligatures w14:val="none"/>
        </w:rPr>
      </w:pPr>
      <w:r w:rsidRPr="00C55E2A">
        <w:rPr>
          <w:rFonts w:ascii="Arial" w:eastAsia="Times New Roman" w:hAnsi="Arial" w:cs="Arial"/>
          <w:b/>
          <w:bCs/>
          <w:kern w:val="0"/>
          <w:lang w:eastAsia="en-GB"/>
          <w14:ligatures w14:val="none"/>
        </w:rPr>
        <w:t>Table 1: Comparative Mapping of Thematic 'Green Codes' and Emotional Drivers in the UK and Indian Markets</w:t>
      </w:r>
    </w:p>
    <w:p w14:paraId="7371FD47" w14:textId="77777777" w:rsidR="00C84D32" w:rsidRPr="0078498F" w:rsidRDefault="00C84D32" w:rsidP="0078498F">
      <w:pPr>
        <w:pStyle w:val="Heading2"/>
      </w:pPr>
      <w:bookmarkStart w:id="77" w:name="_Toc231740343"/>
      <w:r w:rsidRPr="0078498F">
        <w:t>4.5 Comparative Narrative Analysis: The Dove Case Study</w:t>
      </w:r>
      <w:bookmarkEnd w:id="77"/>
    </w:p>
    <w:p w14:paraId="770E7A69"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The marketing strategy of Dove is an example for many other brands. </w:t>
      </w:r>
      <w:r w:rsidRPr="00590681">
        <w:rPr>
          <w:rFonts w:ascii="Arial" w:eastAsia="Times New Roman" w:hAnsi="Arial" w:cs="Arial"/>
          <w:kern w:val="0"/>
          <w:lang w:eastAsia="en-GB"/>
          <w14:ligatures w14:val="none"/>
        </w:rPr>
        <w:t>Unilever is a prime example of how different the UK and Indian marketplaces are for beauty products. These two marketplaces perform very differently at the most basic level of marketing.</w:t>
      </w:r>
      <w:r>
        <w:rPr>
          <w:rFonts w:ascii="Arial" w:eastAsia="Times New Roman" w:hAnsi="Arial" w:cs="Arial"/>
          <w:kern w:val="0"/>
          <w:lang w:eastAsia="en-GB"/>
          <w14:ligatures w14:val="none"/>
        </w:rPr>
        <w:t xml:space="preserve"> </w:t>
      </w:r>
      <w:r w:rsidRPr="00554CD0">
        <w:rPr>
          <w:rFonts w:ascii="Arial" w:eastAsia="Times New Roman" w:hAnsi="Arial" w:cs="Arial"/>
          <w:kern w:val="0"/>
          <w:lang w:eastAsia="en-GB"/>
          <w14:ligatures w14:val="none"/>
        </w:rPr>
        <w:t>Example of digital well-being is Dove`s UK digital platform. The campaign focuses on self-acceptance and how people often face mental health issues due to the images created by social media. Dove's communities and its campaign are different because on it there is a lot of meaningful and positive content created by the community. In the UK cultural circuit, a digital message must create sentimental and emotional sustainability</w:t>
      </w:r>
      <w:r w:rsidRPr="00C55E2A">
        <w:rPr>
          <w:rFonts w:ascii="Arial" w:eastAsia="Times New Roman" w:hAnsi="Arial" w:cs="Arial"/>
          <w:kern w:val="0"/>
          <w:lang w:eastAsia="en-GB"/>
          <w14:ligatures w14:val="none"/>
        </w:rPr>
        <w:t>.</w:t>
      </w:r>
    </w:p>
    <w:p w14:paraId="017B0476" w14:textId="77777777" w:rsidR="00C84D32" w:rsidRPr="00C55E2A" w:rsidRDefault="00C84D32" w:rsidP="00C84D32">
      <w:pPr>
        <w:spacing w:after="100" w:afterAutospacing="1" w:line="276" w:lineRule="auto"/>
        <w:jc w:val="center"/>
        <w:rPr>
          <w:rFonts w:ascii="Arial" w:eastAsia="Times New Roman" w:hAnsi="Arial" w:cs="Arial"/>
          <w:kern w:val="0"/>
          <w:lang w:eastAsia="en-GB"/>
          <w14:ligatures w14:val="none"/>
        </w:rPr>
      </w:pPr>
      <w:r w:rsidRPr="00C55E2A">
        <w:rPr>
          <w:rFonts w:ascii="Arial" w:eastAsia="Times New Roman" w:hAnsi="Arial" w:cs="Arial"/>
          <w:noProof/>
          <w:kern w:val="0"/>
          <w:lang w:eastAsia="en-GB"/>
        </w:rPr>
        <w:drawing>
          <wp:inline distT="0" distB="0" distL="0" distR="0" wp14:anchorId="72552D77" wp14:editId="48BE25BE">
            <wp:extent cx="3810880" cy="2633591"/>
            <wp:effectExtent l="0" t="0" r="0" b="0"/>
            <wp:docPr id="10358530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53028" name="Picture 103585302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40584" cy="2654119"/>
                    </a:xfrm>
                    <a:prstGeom prst="rect">
                      <a:avLst/>
                    </a:prstGeom>
                  </pic:spPr>
                </pic:pic>
              </a:graphicData>
            </a:graphic>
          </wp:inline>
        </w:drawing>
      </w:r>
    </w:p>
    <w:p w14:paraId="6766CF26" w14:textId="77777777" w:rsidR="00C84D32" w:rsidRPr="00C55E2A" w:rsidRDefault="00C84D32" w:rsidP="00C84D32">
      <w:pPr>
        <w:spacing w:after="100" w:afterAutospacing="1" w:line="276" w:lineRule="auto"/>
        <w:jc w:val="center"/>
        <w:rPr>
          <w:rFonts w:ascii="Arial" w:eastAsia="Times New Roman" w:hAnsi="Arial" w:cs="Arial"/>
          <w:kern w:val="0"/>
          <w:sz w:val="22"/>
          <w:szCs w:val="22"/>
          <w:lang w:eastAsia="en-GB"/>
          <w14:ligatures w14:val="none"/>
        </w:rPr>
      </w:pPr>
      <w:r w:rsidRPr="00C55E2A">
        <w:rPr>
          <w:rFonts w:ascii="Arial" w:eastAsia="Times New Roman" w:hAnsi="Arial" w:cs="Arial"/>
          <w:kern w:val="0"/>
          <w:sz w:val="22"/>
          <w:szCs w:val="22"/>
          <w:lang w:eastAsia="en-GB"/>
          <w14:ligatures w14:val="none"/>
        </w:rPr>
        <w:t>Figure 3: Dove UK campaign framing digital manipulation as a public health crisis.</w:t>
      </w:r>
      <w:r w:rsidRPr="00C55E2A">
        <w:rPr>
          <w:rFonts w:ascii="Arial" w:hAnsi="Arial" w:cs="Arial"/>
        </w:rPr>
        <w:t xml:space="preserve"> </w:t>
      </w:r>
      <w:r w:rsidRPr="00C55E2A">
        <w:rPr>
          <w:rFonts w:ascii="Arial" w:eastAsia="Times New Roman" w:hAnsi="Arial" w:cs="Arial"/>
          <w:kern w:val="0"/>
          <w:sz w:val="22"/>
          <w:szCs w:val="22"/>
          <w:lang w:eastAsia="en-GB"/>
          <w14:ligatures w14:val="none"/>
        </w:rPr>
        <w:t>(Source: Screenshot from Dove UK 'Reverse Selfie' digital campaign, 2021).</w:t>
      </w:r>
    </w:p>
    <w:p w14:paraId="6E25CC0E" w14:textId="77777777" w:rsidR="00C84D32" w:rsidRDefault="00C84D32" w:rsidP="00D20669">
      <w:pPr>
        <w:spacing w:after="100" w:afterAutospacing="1" w:line="276" w:lineRule="auto"/>
        <w:rPr>
          <w:rFonts w:ascii="Arial" w:eastAsia="Times New Roman" w:hAnsi="Arial" w:cs="Arial"/>
          <w:kern w:val="0"/>
          <w:lang w:eastAsia="en-GB"/>
          <w14:ligatures w14:val="none"/>
        </w:rPr>
      </w:pPr>
      <w:r w:rsidRPr="00F30297">
        <w:rPr>
          <w:rFonts w:ascii="Arial" w:eastAsia="Times New Roman" w:hAnsi="Arial" w:cs="Arial"/>
          <w:kern w:val="0"/>
          <w:lang w:eastAsia="en-GB"/>
          <w14:ligatures w14:val="none"/>
        </w:rPr>
        <w:t>In India, Dove benefits from India’s specific socio-cultural situations by adapting its Brand Story as Social Equality when its real beauty theme is a common one. The brand focuses on equal treatment of male and female hence not supporting sexism. Dove aims for broad emotional impact, using women who break stereotypes in their campaigns and cleverly including local culture. There are more and more Non-Governmental Organisation with campaign on the grass-root level which is working for Women’s Right and social equality while following Indian culture.</w:t>
      </w:r>
    </w:p>
    <w:p w14:paraId="3B1225EE" w14:textId="77777777" w:rsidR="00C84D32" w:rsidRDefault="00C84D32" w:rsidP="00C84D32">
      <w:pPr>
        <w:spacing w:after="100" w:afterAutospacing="1" w:line="276" w:lineRule="auto"/>
        <w:jc w:val="center"/>
        <w:rPr>
          <w:rFonts w:ascii="Arial" w:eastAsia="Times New Roman" w:hAnsi="Arial" w:cs="Arial"/>
          <w:kern w:val="0"/>
          <w:lang w:eastAsia="en-GB"/>
          <w14:ligatures w14:val="none"/>
        </w:rPr>
      </w:pPr>
    </w:p>
    <w:p w14:paraId="4245E437" w14:textId="77777777" w:rsidR="00C84D32" w:rsidRPr="00C55E2A" w:rsidRDefault="00C84D32" w:rsidP="00C84D32">
      <w:pPr>
        <w:spacing w:after="100" w:afterAutospacing="1" w:line="276" w:lineRule="auto"/>
        <w:jc w:val="center"/>
        <w:rPr>
          <w:rFonts w:ascii="Arial" w:eastAsia="Times New Roman" w:hAnsi="Arial" w:cs="Arial"/>
          <w:kern w:val="0"/>
          <w:lang w:eastAsia="en-GB"/>
          <w14:ligatures w14:val="none"/>
        </w:rPr>
      </w:pPr>
      <w:r w:rsidRPr="00C55E2A">
        <w:rPr>
          <w:rFonts w:ascii="Arial" w:eastAsia="Times New Roman" w:hAnsi="Arial" w:cs="Arial"/>
          <w:noProof/>
          <w:kern w:val="0"/>
          <w:lang w:eastAsia="en-GB"/>
        </w:rPr>
        <w:drawing>
          <wp:inline distT="0" distB="0" distL="0" distR="0" wp14:anchorId="41BAB913" wp14:editId="335AD995">
            <wp:extent cx="3321926" cy="2267893"/>
            <wp:effectExtent l="0" t="0" r="0" b="0"/>
            <wp:docPr id="12686348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34868" name="Picture 126863486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46539" cy="2284696"/>
                    </a:xfrm>
                    <a:prstGeom prst="rect">
                      <a:avLst/>
                    </a:prstGeom>
                  </pic:spPr>
                </pic:pic>
              </a:graphicData>
            </a:graphic>
          </wp:inline>
        </w:drawing>
      </w:r>
    </w:p>
    <w:p w14:paraId="0E50FA22" w14:textId="77777777" w:rsidR="00C84D32" w:rsidRPr="00C55E2A" w:rsidRDefault="00C84D32" w:rsidP="00C84D32">
      <w:pPr>
        <w:spacing w:after="100" w:afterAutospacing="1" w:line="276" w:lineRule="auto"/>
        <w:jc w:val="center"/>
        <w:rPr>
          <w:rFonts w:ascii="Arial" w:eastAsia="Times New Roman" w:hAnsi="Arial" w:cs="Arial"/>
          <w:b/>
          <w:bCs/>
          <w:kern w:val="0"/>
          <w:sz w:val="22"/>
          <w:szCs w:val="22"/>
          <w:lang w:eastAsia="en-GB"/>
          <w14:ligatures w14:val="none"/>
        </w:rPr>
      </w:pPr>
      <w:r w:rsidRPr="00C55E2A">
        <w:rPr>
          <w:rFonts w:ascii="Arial" w:hAnsi="Arial" w:cs="Arial"/>
          <w:sz w:val="22"/>
          <w:szCs w:val="22"/>
        </w:rPr>
        <w:t>Figure 4: Dove India localizing its purpose by addressing systemic socio-cultural prejudices. (Source: Screenshot from Dove India '#StopTheBeautyTest' digital campaign, 2021).</w:t>
      </w:r>
    </w:p>
    <w:p w14:paraId="5398B042"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 xml:space="preserve">Critical Discussion: </w:t>
      </w:r>
      <w:r w:rsidRPr="004265F2">
        <w:rPr>
          <w:rFonts w:ascii="Arial" w:eastAsia="Times New Roman" w:hAnsi="Arial" w:cs="Arial"/>
          <w:kern w:val="0"/>
          <w:lang w:eastAsia="en-GB"/>
          <w14:ligatures w14:val="none"/>
        </w:rPr>
        <w:t>Dove’s campaigns show how the brand story must adjust to each country. In the UK’s fast-moving digital world, personal mental well-being is key. In India, large-scale social problems are important. As a result, Dove’s UK campaign around ‘Digital Wellbeing’ will not work at all in rural India where people are living physical and social inequalities – it will come across very out of touch. Having a purpose means nothing, if that purpose doesn’t grow. Our research shows that global brands must take steps to localize their messaging to grow their purpose or risk greenwashing. Could Dove Well-being change the traffic and conversion? Moreover, will Dove’s UK Digital Well-being be a success as you place it next to cheaper rival?</w:t>
      </w:r>
      <w:r w:rsidRPr="00C55E2A">
        <w:rPr>
          <w:rFonts w:ascii="Arial" w:eastAsia="Times New Roman" w:hAnsi="Arial" w:cs="Arial"/>
          <w:kern w:val="0"/>
          <w:lang w:eastAsia="en-GB"/>
          <w14:ligatures w14:val="none"/>
        </w:rPr>
        <w:t xml:space="preserve"> </w:t>
      </w:r>
    </w:p>
    <w:p w14:paraId="23AEBFE0"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3A40FD">
        <w:rPr>
          <w:rFonts w:ascii="Arial" w:eastAsia="Times New Roman" w:hAnsi="Arial" w:cs="Arial"/>
          <w:kern w:val="0"/>
          <w:lang w:eastAsia="en-GB"/>
          <w14:ligatures w14:val="none"/>
        </w:rPr>
        <w:t>In the long term, supporters often become unpaid promoters if the founder’s vision is strong and mission is real. But how strong and consistent these values must be for people to get involved? That is an open question. It is also unclear how long that engagement will last. For example, I looked at the story connecting Dove body soap and Dove Self-Esteem Project. Dove’s message works more as a long-term brand-equity strategy, not something that delivers quick sales.</w:t>
      </w:r>
    </w:p>
    <w:p w14:paraId="0203BD6F" w14:textId="77777777" w:rsidR="00C84D32" w:rsidRPr="0078498F" w:rsidRDefault="00C84D32" w:rsidP="0078498F">
      <w:pPr>
        <w:pStyle w:val="Heading2"/>
      </w:pPr>
      <w:bookmarkStart w:id="78" w:name="_Toc231740344"/>
      <w:r w:rsidRPr="0078498F">
        <w:t>4.6 Competitor Analysis: Unilever vs. Procter &amp; Gamble (P&amp;G)</w:t>
      </w:r>
      <w:bookmarkEnd w:id="78"/>
    </w:p>
    <w:p w14:paraId="6487029F" w14:textId="77777777" w:rsidR="00C84D32" w:rsidRDefault="00C84D32" w:rsidP="00C84D32">
      <w:pPr>
        <w:spacing w:after="100" w:afterAutospacing="1" w:line="276" w:lineRule="auto"/>
        <w:rPr>
          <w:rFonts w:ascii="Arial" w:eastAsia="Times New Roman" w:hAnsi="Arial" w:cs="Arial"/>
          <w:kern w:val="0"/>
          <w:lang w:eastAsia="en-GB"/>
          <w14:ligatures w14:val="none"/>
        </w:rPr>
      </w:pPr>
      <w:r w:rsidRPr="00086D8F">
        <w:rPr>
          <w:rFonts w:ascii="Arial" w:eastAsia="Times New Roman" w:hAnsi="Arial" w:cs="Arial"/>
          <w:kern w:val="0"/>
          <w:lang w:eastAsia="en-GB"/>
          <w14:ligatures w14:val="none"/>
        </w:rPr>
        <w:t xml:space="preserve">Before </w:t>
      </w:r>
      <w:proofErr w:type="spellStart"/>
      <w:r w:rsidRPr="00086D8F">
        <w:rPr>
          <w:rFonts w:ascii="Arial" w:eastAsia="Times New Roman" w:hAnsi="Arial" w:cs="Arial"/>
          <w:kern w:val="0"/>
          <w:lang w:eastAsia="en-GB"/>
          <w14:ligatures w14:val="none"/>
        </w:rPr>
        <w:t>analyzing</w:t>
      </w:r>
      <w:proofErr w:type="spellEnd"/>
      <w:r w:rsidRPr="00086D8F">
        <w:rPr>
          <w:rFonts w:ascii="Arial" w:eastAsia="Times New Roman" w:hAnsi="Arial" w:cs="Arial"/>
          <w:kern w:val="0"/>
          <w:lang w:eastAsia="en-GB"/>
          <w14:ligatures w14:val="none"/>
        </w:rPr>
        <w:t xml:space="preserve"> the digital sustainability move of Unilever and how it has been successful, we will first take a look at the wider FMCG industry context. Then, we will be comparing Unilever with another leading global giant, P&amp;G. </w:t>
      </w:r>
    </w:p>
    <w:p w14:paraId="2A7C698E"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8D0520">
        <w:rPr>
          <w:rFonts w:ascii="Arial" w:eastAsia="Times New Roman" w:hAnsi="Arial" w:cs="Arial"/>
          <w:kern w:val="0"/>
          <w:lang w:eastAsia="en-GB"/>
          <w14:ligatures w14:val="none"/>
        </w:rPr>
        <w:t>P&amp;G has generally not changed the global “Thank You, Mom” Olympic campaign to reuse it almost everywhere. P&amp;G typically launches huge, emotional digital campaigns that are very universal. Although P&amp;Gs aims 2030 includes large environmental goals, the campaigns are mainly consumer focused. P&amp;G speaks of sustainability mainly at the corporate level rather than focusing on brand-specific stories customized to local cultures. As the sustainability message is not as fragmented and over-localised as that of Unilever</w:t>
      </w:r>
      <w:r w:rsidRPr="00C55E2A">
        <w:rPr>
          <w:rFonts w:ascii="Arial" w:eastAsia="Times New Roman" w:hAnsi="Arial" w:cs="Arial"/>
          <w:kern w:val="0"/>
          <w:lang w:eastAsia="en-GB"/>
          <w14:ligatures w14:val="none"/>
        </w:rPr>
        <w:t>.</w:t>
      </w:r>
    </w:p>
    <w:p w14:paraId="01EA2443" w14:textId="77777777" w:rsidR="00C84D32" w:rsidRPr="00A945E2" w:rsidRDefault="00C84D32" w:rsidP="00C84D32">
      <w:pPr>
        <w:spacing w:after="100" w:afterAutospacing="1" w:line="276" w:lineRule="auto"/>
        <w:rPr>
          <w:rFonts w:ascii="Arial" w:eastAsia="Times New Roman" w:hAnsi="Arial" w:cs="Arial"/>
          <w:kern w:val="0"/>
          <w:lang w:val="en-IN" w:eastAsia="en-GB"/>
          <w14:ligatures w14:val="none"/>
        </w:rPr>
      </w:pPr>
      <w:r w:rsidRPr="00C55E2A">
        <w:rPr>
          <w:rFonts w:ascii="Arial" w:eastAsia="Times New Roman" w:hAnsi="Arial" w:cs="Arial"/>
          <w:b/>
          <w:bCs/>
          <w:kern w:val="0"/>
          <w:lang w:eastAsia="en-GB"/>
          <w14:ligatures w14:val="none"/>
        </w:rPr>
        <w:t xml:space="preserve">Competitive Evaluation: </w:t>
      </w:r>
      <w:r w:rsidRPr="005B7128">
        <w:rPr>
          <w:rFonts w:ascii="Arial" w:eastAsia="Times New Roman" w:hAnsi="Arial" w:cs="Arial"/>
          <w:kern w:val="0"/>
          <w:lang w:val="en-IN" w:eastAsia="en-GB"/>
          <w14:ligatures w14:val="none"/>
        </w:rPr>
        <w:t>P&amp;G’s global campaigns look cool and can be seen everywhere but these campaigns are mostly empty and usually generic or performative. Even though there may be strong local concerns, a generalized reassuring certification is quite likely. Cheap or silly generic signals are green washing digitally. When something is more controlled, it is easier to</w:t>
      </w:r>
      <w:r>
        <w:rPr>
          <w:rFonts w:ascii="Arial" w:eastAsia="Times New Roman" w:hAnsi="Arial" w:cs="Arial"/>
          <w:kern w:val="0"/>
          <w:lang w:val="en-IN" w:eastAsia="en-GB"/>
          <w14:ligatures w14:val="none"/>
        </w:rPr>
        <w:t xml:space="preserve"> </w:t>
      </w:r>
      <w:r w:rsidRPr="002F5C8B">
        <w:rPr>
          <w:rFonts w:ascii="Arial" w:eastAsia="Times New Roman" w:hAnsi="Arial" w:cs="Arial"/>
          <w:kern w:val="0"/>
          <w:lang w:eastAsia="en-GB"/>
          <w14:ligatures w14:val="none"/>
        </w:rPr>
        <w:t>make people stop trusting it</w:t>
      </w:r>
      <w:r>
        <w:rPr>
          <w:rFonts w:ascii="Arial" w:eastAsia="Times New Roman" w:hAnsi="Arial" w:cs="Arial"/>
          <w:kern w:val="0"/>
          <w:lang w:eastAsia="en-GB"/>
          <w14:ligatures w14:val="none"/>
        </w:rPr>
        <w:t>.</w:t>
      </w:r>
      <w:r>
        <w:rPr>
          <w:rFonts w:ascii="Arial" w:eastAsia="Times New Roman" w:hAnsi="Arial" w:cs="Arial"/>
          <w:kern w:val="0"/>
          <w:lang w:val="en-IN" w:eastAsia="en-GB"/>
          <w14:ligatures w14:val="none"/>
        </w:rPr>
        <w:t xml:space="preserve"> </w:t>
      </w:r>
      <w:r w:rsidRPr="000C4351">
        <w:rPr>
          <w:rFonts w:ascii="Arial" w:eastAsia="Times New Roman" w:hAnsi="Arial" w:cs="Arial"/>
          <w:kern w:val="0"/>
          <w:lang w:eastAsia="en-GB"/>
          <w14:ligatures w14:val="none"/>
        </w:rPr>
        <w:t>The green codes of Unilever require greater investment and operational management than they did earlier. Unilever's decentralized system is more trustworthy</w:t>
      </w:r>
      <w:r w:rsidRPr="00C55E2A">
        <w:rPr>
          <w:rFonts w:ascii="Arial" w:eastAsia="Times New Roman" w:hAnsi="Arial" w:cs="Arial"/>
          <w:kern w:val="0"/>
          <w:lang w:eastAsia="en-GB"/>
          <w14:ligatures w14:val="none"/>
        </w:rPr>
        <w:t xml:space="preserve">. </w:t>
      </w:r>
      <w:r w:rsidRPr="00A74BAE">
        <w:rPr>
          <w:rFonts w:ascii="Arial" w:eastAsia="Times New Roman" w:hAnsi="Arial" w:cs="Arial"/>
          <w:kern w:val="0"/>
          <w:lang w:eastAsia="en-GB"/>
          <w14:ligatures w14:val="none"/>
        </w:rPr>
        <w:t>according to</w:t>
      </w:r>
      <w:r>
        <w:rPr>
          <w:rFonts w:ascii="Arial" w:eastAsia="Times New Roman" w:hAnsi="Arial" w:cs="Arial"/>
          <w:kern w:val="0"/>
          <w:lang w:eastAsia="en-GB"/>
          <w14:ligatures w14:val="none"/>
        </w:rPr>
        <w:t xml:space="preserve"> me</w:t>
      </w:r>
      <w:r w:rsidRPr="00A74BAE">
        <w:rPr>
          <w:rFonts w:ascii="Arial" w:eastAsia="Times New Roman" w:hAnsi="Arial" w:cs="Arial"/>
          <w:kern w:val="0"/>
          <w:lang w:eastAsia="en-GB"/>
          <w14:ligatures w14:val="none"/>
        </w:rPr>
        <w:t xml:space="preserve"> the qualitative data analysis of localization in Unilever, Unilever’s decentralization is a much stronger and </w:t>
      </w:r>
      <w:r>
        <w:rPr>
          <w:rFonts w:ascii="Arial" w:eastAsia="Times New Roman" w:hAnsi="Arial" w:cs="Arial"/>
          <w:kern w:val="0"/>
          <w:lang w:eastAsia="en-GB"/>
          <w14:ligatures w14:val="none"/>
        </w:rPr>
        <w:t>important</w:t>
      </w:r>
      <w:r w:rsidRPr="00A74BAE">
        <w:rPr>
          <w:rFonts w:ascii="Arial" w:eastAsia="Times New Roman" w:hAnsi="Arial" w:cs="Arial"/>
          <w:kern w:val="0"/>
          <w:lang w:eastAsia="en-GB"/>
          <w14:ligatures w14:val="none"/>
        </w:rPr>
        <w:t xml:space="preserve"> obstacle to the Trust-Digital Paradox. Unilever directly mentions carbon literacy in London, and social equality in Mumbai which is both highly relevant to local consumers and somewhat difficult to deny</w:t>
      </w:r>
      <w:r w:rsidRPr="00C55E2A">
        <w:rPr>
          <w:rFonts w:ascii="Arial" w:eastAsia="Times New Roman" w:hAnsi="Arial" w:cs="Arial"/>
          <w:kern w:val="0"/>
          <w:lang w:eastAsia="en-GB"/>
          <w14:ligatures w14:val="none"/>
        </w:rPr>
        <w:t>.</w:t>
      </w:r>
    </w:p>
    <w:p w14:paraId="0E7DD03F" w14:textId="77777777" w:rsidR="00C84D32" w:rsidRPr="0078498F" w:rsidRDefault="00C84D32" w:rsidP="0078498F">
      <w:pPr>
        <w:pStyle w:val="Heading2"/>
      </w:pPr>
      <w:bookmarkStart w:id="79" w:name="_Toc231740345"/>
      <w:r w:rsidRPr="0078498F">
        <w:t>4.6 Expanding the Narrative: Secondary Comparative Case Studies</w:t>
      </w:r>
      <w:bookmarkEnd w:id="79"/>
    </w:p>
    <w:p w14:paraId="0BAAB352" w14:textId="77777777" w:rsidR="00C84D32" w:rsidRPr="00D20669" w:rsidRDefault="00C84D32" w:rsidP="00D20669">
      <w:pPr>
        <w:rPr>
          <w:rFonts w:ascii="Arial" w:hAnsi="Arial" w:cs="Arial"/>
          <w:lang w:eastAsia="en-GB"/>
        </w:rPr>
      </w:pPr>
      <w:r w:rsidRPr="00D20669">
        <w:rPr>
          <w:rFonts w:ascii="Arial" w:hAnsi="Arial" w:cs="Arial"/>
          <w:lang w:eastAsia="en-GB"/>
        </w:rPr>
        <w:t xml:space="preserve">To </w:t>
      </w:r>
      <w:proofErr w:type="spellStart"/>
      <w:r w:rsidRPr="00D20669">
        <w:rPr>
          <w:rFonts w:ascii="Arial" w:hAnsi="Arial" w:cs="Arial"/>
          <w:lang w:eastAsia="en-GB"/>
        </w:rPr>
        <w:t>analyze</w:t>
      </w:r>
      <w:proofErr w:type="spellEnd"/>
      <w:r w:rsidRPr="00D20669">
        <w:rPr>
          <w:rFonts w:ascii="Arial" w:hAnsi="Arial" w:cs="Arial"/>
          <w:lang w:eastAsia="en-GB"/>
        </w:rPr>
        <w:t xml:space="preserve"> the full portfolio, this Dove case analysis can certainly be a good starting point. But how can we be sure that will not be the case for others? The Green Codes may be more broadly applied than those created specifically for Dove. So, we cannot assume that they are representative of Unilever’s overall strategy. So let us now look at two other brands from the portfolio: Hellmann’s (UK), and Surf Excel (India).</w:t>
      </w:r>
    </w:p>
    <w:p w14:paraId="2EADFE46" w14:textId="2D856A9B" w:rsidR="00C84D32" w:rsidRPr="0078498F" w:rsidRDefault="00C84D32" w:rsidP="0078498F">
      <w:pPr>
        <w:pStyle w:val="Heading3"/>
      </w:pPr>
      <w:bookmarkStart w:id="80" w:name="_Toc231740346"/>
      <w:r w:rsidRPr="0078498F">
        <w:t>4.6.1 Hellmann’s UK: Algorithmic Interventions in Food Waste</w:t>
      </w:r>
      <w:bookmarkEnd w:id="80"/>
    </w:p>
    <w:p w14:paraId="640080B8"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8C3A2F">
        <w:rPr>
          <w:rFonts w:ascii="Arial" w:eastAsia="Times New Roman" w:hAnsi="Arial" w:cs="Arial"/>
          <w:kern w:val="0"/>
          <w:lang w:eastAsia="en-GB"/>
          <w14:ligatures w14:val="none"/>
        </w:rPr>
        <w:t>In the UK, the food and drink sector has to deal with many sustainability issues. People, for example, use a lot of energy and produce a lot of carbon to make food. Therefore, it creates waste. One of Unilever’s brands is called Hellmann’s. It’s mayo, and it runs a pretty significant campaign, ‘Make Taste, Not Waste’. Digital ways and real evidence that back the claims of the UK’s one is quite obvious. It aligns to the idea of the Green Code.</w:t>
      </w:r>
      <w:r w:rsidRPr="00C55E2A">
        <w:rPr>
          <w:rFonts w:ascii="Arial" w:eastAsia="Times New Roman" w:hAnsi="Arial" w:cs="Arial"/>
          <w:kern w:val="0"/>
          <w:lang w:eastAsia="en-GB"/>
          <w14:ligatures w14:val="none"/>
        </w:rPr>
        <w:t xml:space="preserve"> </w:t>
      </w:r>
    </w:p>
    <w:p w14:paraId="02570304" w14:textId="77777777" w:rsidR="00C84D32" w:rsidRDefault="00C84D32" w:rsidP="00C84D32">
      <w:pPr>
        <w:spacing w:after="100" w:afterAutospacing="1" w:line="276" w:lineRule="auto"/>
        <w:rPr>
          <w:rFonts w:ascii="Arial" w:eastAsia="Times New Roman" w:hAnsi="Arial" w:cs="Arial"/>
          <w:kern w:val="0"/>
          <w:lang w:eastAsia="en-GB"/>
          <w14:ligatures w14:val="none"/>
        </w:rPr>
      </w:pPr>
      <w:r w:rsidRPr="0068366B">
        <w:rPr>
          <w:rFonts w:ascii="Arial" w:eastAsia="Times New Roman" w:hAnsi="Arial" w:cs="Arial"/>
          <w:kern w:val="0"/>
          <w:lang w:eastAsia="en-GB"/>
          <w14:ligatures w14:val="none"/>
        </w:rPr>
        <w:t xml:space="preserve">Hellmann’s in the UK uses an AI recipe generator that helps change how people use food in their homes. Instead of purely being focused with creating expressions of concern about food waste, they utilize actual digital tools that help consumers in the moment specifically, the moment they are deciding what to cook. In the UK, people can now </w:t>
      </w:r>
      <w:r>
        <w:rPr>
          <w:rFonts w:ascii="Arial" w:eastAsia="Times New Roman" w:hAnsi="Arial" w:cs="Arial"/>
          <w:kern w:val="0"/>
          <w:lang w:eastAsia="en-GB"/>
          <w14:ligatures w14:val="none"/>
        </w:rPr>
        <w:t xml:space="preserve">use </w:t>
      </w:r>
      <w:r w:rsidRPr="0068366B">
        <w:rPr>
          <w:rFonts w:ascii="Arial" w:eastAsia="Times New Roman" w:hAnsi="Arial" w:cs="Arial"/>
          <w:kern w:val="0"/>
          <w:lang w:eastAsia="en-GB"/>
          <w14:ligatures w14:val="none"/>
        </w:rPr>
        <w:t xml:space="preserve">any leftover food they have in the fridge. The AI will then </w:t>
      </w:r>
      <w:r>
        <w:rPr>
          <w:rFonts w:ascii="Arial" w:eastAsia="Times New Roman" w:hAnsi="Arial" w:cs="Arial"/>
          <w:kern w:val="0"/>
          <w:lang w:eastAsia="en-GB"/>
          <w14:ligatures w14:val="none"/>
        </w:rPr>
        <w:t>give</w:t>
      </w:r>
      <w:r w:rsidRPr="0068366B">
        <w:rPr>
          <w:rFonts w:ascii="Arial" w:eastAsia="Times New Roman" w:hAnsi="Arial" w:cs="Arial"/>
          <w:kern w:val="0"/>
          <w:lang w:eastAsia="en-GB"/>
          <w14:ligatures w14:val="none"/>
        </w:rPr>
        <w:t xml:space="preserve"> them a zero-waste recipe using Hellmann’s mayonnaise in no time. Hellmann’s, in some of their recent campaigns added also some fun and digital ideas like the “Smart Jar” and a WhatsApp bot.</w:t>
      </w:r>
    </w:p>
    <w:p w14:paraId="5F1B60B5"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7E69C1">
        <w:rPr>
          <w:rFonts w:ascii="Arial" w:eastAsia="Times New Roman" w:hAnsi="Arial" w:cs="Arial"/>
          <w:kern w:val="0"/>
          <w:lang w:eastAsia="en-GB"/>
          <w14:ligatures w14:val="none"/>
        </w:rPr>
        <w:t>If you take a closer look, you’ll see a huge improvement on how digital sustainability marketing works. Basically, Unilever’s mayonnaise is now not just a simple product but also a tech-savvy device. As a result, Unilever may be able to successfully solve the trust-digital issue by providing real value, rather than just talking about it.</w:t>
      </w:r>
    </w:p>
    <w:p w14:paraId="3859D8B2" w14:textId="77777777" w:rsidR="00C84D32" w:rsidRPr="00C55E2A" w:rsidRDefault="00C84D32" w:rsidP="00C84D32">
      <w:pPr>
        <w:spacing w:after="100" w:afterAutospacing="1" w:line="276" w:lineRule="auto"/>
        <w:jc w:val="center"/>
        <w:rPr>
          <w:rFonts w:ascii="Arial" w:eastAsia="Times New Roman" w:hAnsi="Arial" w:cs="Arial"/>
          <w:kern w:val="0"/>
          <w:lang w:eastAsia="en-GB"/>
          <w14:ligatures w14:val="none"/>
        </w:rPr>
      </w:pPr>
      <w:r w:rsidRPr="00C55E2A">
        <w:rPr>
          <w:rFonts w:ascii="Arial" w:eastAsia="Times New Roman" w:hAnsi="Arial" w:cs="Arial"/>
          <w:noProof/>
          <w:kern w:val="0"/>
          <w:lang w:eastAsia="en-GB"/>
        </w:rPr>
        <w:drawing>
          <wp:inline distT="0" distB="0" distL="0" distR="0" wp14:anchorId="3F59EE23" wp14:editId="781199B7">
            <wp:extent cx="3838669" cy="2244725"/>
            <wp:effectExtent l="0" t="0" r="9525" b="3175"/>
            <wp:docPr id="11740902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90278" name="Picture 117409027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60403" cy="2257434"/>
                    </a:xfrm>
                    <a:prstGeom prst="rect">
                      <a:avLst/>
                    </a:prstGeom>
                  </pic:spPr>
                </pic:pic>
              </a:graphicData>
            </a:graphic>
          </wp:inline>
        </w:drawing>
      </w:r>
    </w:p>
    <w:p w14:paraId="69DB0671" w14:textId="77777777" w:rsidR="00C84D32" w:rsidRPr="00C55E2A" w:rsidRDefault="00C84D32" w:rsidP="00CA5530">
      <w:pPr>
        <w:jc w:val="center"/>
        <w:rPr>
          <w:lang w:eastAsia="en-GB"/>
        </w:rPr>
      </w:pPr>
      <w:r w:rsidRPr="00C55E2A">
        <w:rPr>
          <w:lang w:eastAsia="en-GB"/>
        </w:rPr>
        <w:t>Figure 5: Hellmann’s UK utilizing digital intervention interfaces to solve household food waste.</w:t>
      </w:r>
      <w:r w:rsidRPr="00C55E2A">
        <w:t xml:space="preserve"> </w:t>
      </w:r>
      <w:r w:rsidRPr="00C55E2A">
        <w:rPr>
          <w:lang w:eastAsia="en-GB"/>
        </w:rPr>
        <w:t>(Source: Screenshot from Hellmann's UK 'Make Taste, Not Waste' campaign).</w:t>
      </w:r>
    </w:p>
    <w:p w14:paraId="12931ED4" w14:textId="77777777" w:rsidR="00C84D32" w:rsidRPr="00D20669" w:rsidRDefault="00C84D32" w:rsidP="00D20669">
      <w:pPr>
        <w:rPr>
          <w:rFonts w:ascii="Arial" w:hAnsi="Arial" w:cs="Arial"/>
          <w:lang w:eastAsia="en-GB"/>
        </w:rPr>
      </w:pPr>
      <w:r w:rsidRPr="00D20669">
        <w:rPr>
          <w:rFonts w:ascii="Arial" w:hAnsi="Arial" w:cs="Arial"/>
          <w:lang w:eastAsia="en-GB"/>
        </w:rPr>
        <w:t>People are losing trust on big company advertising and AI, because they are becoming more and more doubtful. However, according to Johansson and Smith, use of the technology is increasing popularity among the brands too. When an FMCG brand uses AI to solve a real-world problem, it becomes more relatable. For instance, once brands use it to stop food from rotting in the fridge, people will start trusting the brand. When AI is truly helpful in your home rather than just a corporate slogan, anxiety and doubt regarding AI reduces.</w:t>
      </w:r>
      <w:r w:rsidRPr="00D20669">
        <w:rPr>
          <w:rFonts w:ascii="Arial" w:hAnsi="Arial" w:cs="Arial"/>
          <w:color w:val="0F172A"/>
          <w:spacing w:val="-2"/>
          <w:sz w:val="22"/>
          <w:szCs w:val="22"/>
          <w:bdr w:val="single" w:sz="2" w:space="0" w:color="E2E8F0" w:frame="1"/>
          <w:shd w:val="clear" w:color="auto" w:fill="FFFFFF"/>
        </w:rPr>
        <w:t xml:space="preserve"> </w:t>
      </w:r>
      <w:r w:rsidRPr="00D20669">
        <w:rPr>
          <w:rFonts w:ascii="Arial" w:hAnsi="Arial" w:cs="Arial"/>
          <w:lang w:eastAsia="en-GB"/>
        </w:rPr>
        <w:t>As of now, NatureWorks has become a pretty much well-known concept. For example, in the UK, it’s a digital prompt that guides people toward better carbon awareness.</w:t>
      </w:r>
    </w:p>
    <w:p w14:paraId="31127592" w14:textId="77777777" w:rsidR="00C84D32" w:rsidRPr="0078498F" w:rsidRDefault="00C84D32" w:rsidP="0078498F">
      <w:pPr>
        <w:pStyle w:val="Heading3"/>
      </w:pPr>
      <w:bookmarkStart w:id="81" w:name="_Toc231740347"/>
      <w:r w:rsidRPr="0078498F">
        <w:t>4.6.2 Surf Excel India: Recontextualizing Sustainability as Social Harmony</w:t>
      </w:r>
      <w:bookmarkEnd w:id="81"/>
    </w:p>
    <w:p w14:paraId="2C35319D" w14:textId="77777777" w:rsidR="00C84D32" w:rsidRPr="00D20669" w:rsidRDefault="00C84D32" w:rsidP="00D20669">
      <w:pPr>
        <w:rPr>
          <w:rFonts w:ascii="Arial" w:hAnsi="Arial" w:cs="Arial"/>
          <w:lang w:eastAsia="en-GB"/>
        </w:rPr>
      </w:pPr>
      <w:r w:rsidRPr="00D20669">
        <w:rPr>
          <w:rFonts w:ascii="Arial" w:hAnsi="Arial" w:cs="Arial"/>
          <w:lang w:eastAsia="en-GB"/>
        </w:rPr>
        <w:t>In the UK the carbon storyline’s best. In India that credit goes to Surf Excel’s laundry brand of Unilever with something completely different under the iconic “</w:t>
      </w:r>
      <w:proofErr w:type="spellStart"/>
      <w:r w:rsidRPr="00D20669">
        <w:rPr>
          <w:rFonts w:ascii="Arial" w:hAnsi="Arial" w:cs="Arial"/>
          <w:lang w:eastAsia="en-GB"/>
        </w:rPr>
        <w:t>Daag</w:t>
      </w:r>
      <w:proofErr w:type="spellEnd"/>
      <w:r w:rsidRPr="00D20669">
        <w:rPr>
          <w:rFonts w:ascii="Arial" w:hAnsi="Arial" w:cs="Arial"/>
          <w:lang w:eastAsia="en-GB"/>
        </w:rPr>
        <w:t xml:space="preserve"> </w:t>
      </w:r>
      <w:proofErr w:type="spellStart"/>
      <w:r w:rsidRPr="00D20669">
        <w:rPr>
          <w:rFonts w:ascii="Arial" w:hAnsi="Arial" w:cs="Arial"/>
          <w:lang w:eastAsia="en-GB"/>
        </w:rPr>
        <w:t>Acche</w:t>
      </w:r>
      <w:proofErr w:type="spellEnd"/>
      <w:r w:rsidRPr="00D20669">
        <w:rPr>
          <w:rFonts w:ascii="Arial" w:hAnsi="Arial" w:cs="Arial"/>
          <w:lang w:eastAsia="en-GB"/>
        </w:rPr>
        <w:t xml:space="preserve"> </w:t>
      </w:r>
      <w:proofErr w:type="spellStart"/>
      <w:r w:rsidRPr="00D20669">
        <w:rPr>
          <w:rFonts w:ascii="Arial" w:hAnsi="Arial" w:cs="Arial"/>
          <w:lang w:eastAsia="en-GB"/>
        </w:rPr>
        <w:t>Hain</w:t>
      </w:r>
      <w:proofErr w:type="spellEnd"/>
      <w:r w:rsidRPr="00D20669">
        <w:rPr>
          <w:rFonts w:ascii="Arial" w:hAnsi="Arial" w:cs="Arial"/>
          <w:lang w:eastAsia="en-GB"/>
        </w:rPr>
        <w:t>” narrative. Any story on environmental sustainability and when it’s on water sustainability in India is fine already.</w:t>
      </w:r>
    </w:p>
    <w:p w14:paraId="0FBD2A22" w14:textId="77777777" w:rsidR="00C84D32" w:rsidRPr="00D20669" w:rsidRDefault="00C84D32" w:rsidP="00D20669">
      <w:pPr>
        <w:rPr>
          <w:rFonts w:ascii="Arial" w:hAnsi="Arial" w:cs="Arial"/>
          <w:lang w:eastAsia="en-GB"/>
        </w:rPr>
      </w:pPr>
      <w:r w:rsidRPr="00D20669">
        <w:rPr>
          <w:rFonts w:ascii="Arial" w:hAnsi="Arial" w:cs="Arial"/>
          <w:lang w:eastAsia="en-GB"/>
        </w:rPr>
        <w:t>When we took a close look at Surf Excel’s digital campaigns – including the ones they run during big Hindu festivals like Holi and Muslim festivals like Ramadan, and what we saw is they don’t usually start with numbers and data about the environment. According to Eckhardt and Mahi (2004), the Surf Excel ad communicates ideas about social unity and grassroots empowerment crucial to society. A lot of their digital ads have kids going outside; getting dirty and showing age-appropriate and socially suitable actions.</w:t>
      </w:r>
      <w:r w:rsidRPr="00D20669">
        <w:rPr>
          <w:rFonts w:ascii="Arial" w:hAnsi="Arial" w:cs="Arial"/>
          <w:color w:val="0F172A"/>
          <w:spacing w:val="-2"/>
          <w:sz w:val="22"/>
          <w:szCs w:val="22"/>
          <w:bdr w:val="single" w:sz="2" w:space="0" w:color="E2E8F0" w:frame="1"/>
          <w:shd w:val="clear" w:color="auto" w:fill="FFFFFF"/>
        </w:rPr>
        <w:t xml:space="preserve"> </w:t>
      </w:r>
      <w:r w:rsidRPr="00D20669">
        <w:rPr>
          <w:rFonts w:ascii="Arial" w:hAnsi="Arial" w:cs="Arial"/>
          <w:lang w:eastAsia="en-GB"/>
        </w:rPr>
        <w:t>It is important for kids to get dirty as they play together, as it is fine. It is a beautiful thing when children come home from play with dirty clothes. Kids get dirty since these values get built up naturally. This justification is used by Surf Excel to tell a good story.</w:t>
      </w:r>
    </w:p>
    <w:p w14:paraId="67060283" w14:textId="77777777" w:rsidR="00C84D32" w:rsidRPr="00C55E2A" w:rsidRDefault="00C84D32" w:rsidP="00D20669">
      <w:pPr>
        <w:jc w:val="center"/>
        <w:rPr>
          <w:lang w:eastAsia="en-GB"/>
          <w14:ligatures w14:val="none"/>
        </w:rPr>
      </w:pPr>
      <w:r w:rsidRPr="00C55E2A">
        <w:rPr>
          <w:noProof/>
          <w:lang w:eastAsia="en-GB"/>
        </w:rPr>
        <w:drawing>
          <wp:inline distT="0" distB="0" distL="0" distR="0" wp14:anchorId="5642FBFD" wp14:editId="62C9F226">
            <wp:extent cx="3792855" cy="2209046"/>
            <wp:effectExtent l="0" t="0" r="0" b="1270"/>
            <wp:docPr id="6729618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961843" name="Picture 67296184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09658" cy="2218832"/>
                    </a:xfrm>
                    <a:prstGeom prst="rect">
                      <a:avLst/>
                    </a:prstGeom>
                  </pic:spPr>
                </pic:pic>
              </a:graphicData>
            </a:graphic>
          </wp:inline>
        </w:drawing>
      </w:r>
    </w:p>
    <w:p w14:paraId="6C9B4337" w14:textId="77777777" w:rsidR="00C84D32" w:rsidRPr="00C55E2A" w:rsidRDefault="00C84D32" w:rsidP="00D20669">
      <w:pPr>
        <w:jc w:val="center"/>
        <w:rPr>
          <w:lang w:eastAsia="en-GB"/>
        </w:rPr>
      </w:pPr>
      <w:r w:rsidRPr="00C55E2A">
        <w:rPr>
          <w:lang w:eastAsia="en-GB"/>
        </w:rPr>
        <w:t>Figure 6: Surf Excel framing product usage as an enabler of communal harmony and social mobility.</w:t>
      </w:r>
      <w:r w:rsidRPr="00C55E2A">
        <w:t xml:space="preserve"> </w:t>
      </w:r>
      <w:r w:rsidRPr="00C55E2A">
        <w:rPr>
          <w:lang w:eastAsia="en-GB"/>
        </w:rPr>
        <w:t>(Source: Screenshot from Surf Excel India '</w:t>
      </w:r>
      <w:proofErr w:type="spellStart"/>
      <w:r w:rsidRPr="00C55E2A">
        <w:rPr>
          <w:lang w:eastAsia="en-GB"/>
        </w:rPr>
        <w:t>Daag</w:t>
      </w:r>
      <w:proofErr w:type="spellEnd"/>
      <w:r w:rsidRPr="00C55E2A">
        <w:rPr>
          <w:lang w:eastAsia="en-GB"/>
        </w:rPr>
        <w:t xml:space="preserve"> </w:t>
      </w:r>
      <w:proofErr w:type="spellStart"/>
      <w:r w:rsidRPr="00C55E2A">
        <w:rPr>
          <w:lang w:eastAsia="en-GB"/>
        </w:rPr>
        <w:t>Acche</w:t>
      </w:r>
      <w:proofErr w:type="spellEnd"/>
      <w:r w:rsidRPr="00C55E2A">
        <w:rPr>
          <w:lang w:eastAsia="en-GB"/>
        </w:rPr>
        <w:t xml:space="preserve"> </w:t>
      </w:r>
      <w:proofErr w:type="spellStart"/>
      <w:r w:rsidRPr="00C55E2A">
        <w:rPr>
          <w:lang w:eastAsia="en-GB"/>
        </w:rPr>
        <w:t>Hain</w:t>
      </w:r>
      <w:proofErr w:type="spellEnd"/>
      <w:r w:rsidRPr="00C55E2A">
        <w:rPr>
          <w:lang w:eastAsia="en-GB"/>
        </w:rPr>
        <w:t>' campaign).</w:t>
      </w:r>
    </w:p>
    <w:p w14:paraId="1B6E76D7" w14:textId="77777777" w:rsidR="00C84D32" w:rsidRPr="00D20669" w:rsidRDefault="00C84D32" w:rsidP="00D20669">
      <w:pPr>
        <w:rPr>
          <w:rFonts w:ascii="Arial" w:hAnsi="Arial" w:cs="Arial"/>
          <w:lang w:eastAsia="en-GB"/>
        </w:rPr>
      </w:pPr>
      <w:r w:rsidRPr="00D20669">
        <w:rPr>
          <w:rFonts w:ascii="Arial" w:hAnsi="Arial" w:cs="Arial"/>
          <w:lang w:eastAsia="en-GB"/>
        </w:rPr>
        <w:t>If we have to be honest and look at this carefully, then we also must consider the environmental impact for Surf Excel. In India, Surf Excel produces products that require less water to wash away, which is a hefty and pricey change for the brand. It does not look just marketing this is an operational change which they cannot control.</w:t>
      </w:r>
      <w:r w:rsidRPr="00D20669">
        <w:rPr>
          <w:rFonts w:ascii="Arial" w:hAnsi="Arial" w:cs="Arial"/>
          <w:color w:val="7E22CE"/>
          <w:spacing w:val="-2"/>
          <w:sz w:val="22"/>
          <w:szCs w:val="22"/>
          <w:bdr w:val="single" w:sz="2" w:space="0" w:color="E2E8F0" w:frame="1"/>
        </w:rPr>
        <w:t xml:space="preserve"> </w:t>
      </w:r>
      <w:r w:rsidRPr="00D20669">
        <w:rPr>
          <w:rFonts w:ascii="Arial" w:hAnsi="Arial" w:cs="Arial"/>
          <w:lang w:eastAsia="en-GB"/>
        </w:rPr>
        <w:t>Sometimes marketing can create social tension as well. However, a product that actually saves water can be very useful. This is clear from the main thesis of the dissertation. In developing countries, the rise of water savings as an environmental result only triggers strong engagement and commercial success with a positive social storyline (Mathur, 2010).</w:t>
      </w:r>
    </w:p>
    <w:p w14:paraId="77D1D245" w14:textId="77777777" w:rsidR="00C84D32" w:rsidRPr="00C55E2A" w:rsidRDefault="00C84D32" w:rsidP="0078498F">
      <w:pPr>
        <w:pStyle w:val="Heading3"/>
        <w:rPr>
          <w:rFonts w:eastAsia="Times New Roman"/>
          <w:lang w:eastAsia="en-GB"/>
        </w:rPr>
      </w:pPr>
      <w:bookmarkStart w:id="82" w:name="_Toc231740348"/>
      <w:r w:rsidRPr="00C55E2A">
        <w:rPr>
          <w:rFonts w:eastAsia="Times New Roman"/>
          <w:lang w:eastAsia="en-GB"/>
        </w:rPr>
        <w:t>4.6.3 Synthesis of Portfolio-Wide "Green Codes"</w:t>
      </w:r>
      <w:bookmarkEnd w:id="82"/>
    </w:p>
    <w:p w14:paraId="477C9BCD" w14:textId="77777777" w:rsidR="00C84D32" w:rsidRDefault="00C84D32" w:rsidP="00C84D32">
      <w:pPr>
        <w:spacing w:after="100" w:afterAutospacing="1" w:line="276" w:lineRule="auto"/>
        <w:rPr>
          <w:rFonts w:ascii="Arial" w:eastAsia="Times New Roman" w:hAnsi="Arial" w:cs="Arial"/>
          <w:kern w:val="0"/>
          <w:lang w:eastAsia="en-GB"/>
          <w14:ligatures w14:val="none"/>
        </w:rPr>
      </w:pPr>
      <w:r w:rsidRPr="00F11FC0">
        <w:rPr>
          <w:rFonts w:ascii="Arial" w:eastAsia="Times New Roman" w:hAnsi="Arial" w:cs="Arial"/>
          <w:kern w:val="0"/>
          <w:lang w:eastAsia="en-GB"/>
          <w14:ligatures w14:val="none"/>
        </w:rPr>
        <w:t>The example of Hellmann’s and Surf Excel shows this is not a single Unilever segment pattern but visible across the entire portfolio.</w:t>
      </w:r>
      <w:r w:rsidRPr="00A452EC">
        <w:t xml:space="preserve"> </w:t>
      </w:r>
      <w:r w:rsidRPr="00A452EC">
        <w:rPr>
          <w:rFonts w:ascii="Arial" w:eastAsia="Times New Roman" w:hAnsi="Arial" w:cs="Arial"/>
          <w:kern w:val="0"/>
          <w:lang w:eastAsia="en-GB"/>
          <w14:ligatures w14:val="none"/>
        </w:rPr>
        <w:t>In the UK, the digital strategies are based on broad data, mental/physical wellbeing, and technology strategies to reduce systemic waste, whether it’s soap (Dove) or mayonnaise (Hellmann’s). In India, consumer goods companies like Hindustan Unilever utilize digital strategies to increase brand appeal through social equality, community health, and the breaking of socio-cultural taboos (Holt, 2016)</w:t>
      </w:r>
      <w:r>
        <w:rPr>
          <w:rFonts w:ascii="Arial" w:eastAsia="Times New Roman" w:hAnsi="Arial" w:cs="Arial"/>
          <w:kern w:val="0"/>
          <w:lang w:eastAsia="en-GB"/>
          <w14:ligatures w14:val="none"/>
        </w:rPr>
        <w:t>.</w:t>
      </w:r>
    </w:p>
    <w:p w14:paraId="1271CF55"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9C2BD0">
        <w:rPr>
          <w:rFonts w:ascii="Arial" w:eastAsia="Times New Roman" w:hAnsi="Arial" w:cs="Arial"/>
          <w:kern w:val="0"/>
          <w:lang w:eastAsia="en-GB"/>
          <w14:ligatures w14:val="none"/>
        </w:rPr>
        <w:t>The first analysis I have done shows that Unilever’s brand is staying as strong as ever because it is using all, as green codes. Actually, not only the big corporates office has the power to make decisions. Local brand managers work to handle actual worries that people have about the social and cultural changes</w:t>
      </w:r>
      <w:r w:rsidRPr="00C55E2A">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EA1F29">
        <w:rPr>
          <w:rFonts w:ascii="Arial" w:eastAsia="Times New Roman" w:hAnsi="Arial" w:cs="Arial"/>
          <w:kern w:val="0"/>
          <w:lang w:eastAsia="en-GB"/>
          <w14:ligatures w14:val="none"/>
        </w:rPr>
        <w:t>Unilever is a good example of truly genuine sustainability marketing, let us take a look. The firm owns a sustainable living plan that features top brands. These brands add value to the organization’s environmental sustainability projects.</w:t>
      </w:r>
    </w:p>
    <w:p w14:paraId="332BAAC6" w14:textId="77777777" w:rsidR="00C84D32" w:rsidRPr="0078498F" w:rsidRDefault="00C84D32" w:rsidP="0078498F">
      <w:pPr>
        <w:pStyle w:val="Heading2"/>
      </w:pPr>
      <w:bookmarkStart w:id="83" w:name="_Toc231740349"/>
      <w:r w:rsidRPr="0078498F">
        <w:t>4.7 Role of Technological Hubs for Real-Time Validation</w:t>
      </w:r>
      <w:bookmarkEnd w:id="83"/>
    </w:p>
    <w:p w14:paraId="2D433EEE" w14:textId="77777777" w:rsidR="00C84D32" w:rsidRDefault="00C84D32" w:rsidP="00C84D32">
      <w:pPr>
        <w:spacing w:after="100" w:afterAutospacing="1" w:line="276" w:lineRule="auto"/>
        <w:rPr>
          <w:rFonts w:ascii="Arial" w:eastAsia="Times New Roman" w:hAnsi="Arial" w:cs="Arial"/>
          <w:kern w:val="0"/>
          <w:lang w:eastAsia="en-GB"/>
          <w14:ligatures w14:val="none"/>
        </w:rPr>
      </w:pPr>
      <w:r w:rsidRPr="006A1CC7">
        <w:rPr>
          <w:rFonts w:ascii="Arial" w:eastAsia="Times New Roman" w:hAnsi="Arial" w:cs="Arial"/>
          <w:kern w:val="0"/>
          <w:lang w:eastAsia="en-GB"/>
          <w14:ligatures w14:val="none"/>
        </w:rPr>
        <w:t>Unilever’s usual high claim is out of this world. For instance, they entered the consumer goods market like never before in this region</w:t>
      </w:r>
      <w:r w:rsidRPr="00C55E2A">
        <w:rPr>
          <w:rFonts w:ascii="Arial" w:eastAsia="Times New Roman" w:hAnsi="Arial" w:cs="Arial"/>
          <w:kern w:val="0"/>
          <w:lang w:eastAsia="en-GB"/>
          <w14:ligatures w14:val="none"/>
        </w:rPr>
        <w:t xml:space="preserve">. </w:t>
      </w:r>
      <w:r w:rsidRPr="00797FF2">
        <w:rPr>
          <w:rFonts w:ascii="Arial" w:eastAsia="Times New Roman" w:hAnsi="Arial" w:cs="Arial"/>
          <w:kern w:val="0"/>
          <w:lang w:eastAsia="en-GB"/>
          <w14:ligatures w14:val="none"/>
        </w:rPr>
        <w:t xml:space="preserve">Unilever says if they try to mislead people through small print, consumers will lose trust. And that is something they just don’t do. They carefully verify everything, including others’ opinions about them. Most importantly, they implement strong steps to ensure that any claim they make can be proven. A company that runs on a flexible setup which runs without any problems, is able to quickly respond to changes in the market as well as customer needs and demands. A company like Unilever </w:t>
      </w:r>
      <w:r>
        <w:rPr>
          <w:rFonts w:ascii="Arial" w:eastAsia="Times New Roman" w:hAnsi="Arial" w:cs="Arial"/>
          <w:kern w:val="0"/>
          <w:lang w:eastAsia="en-GB"/>
          <w14:ligatures w14:val="none"/>
        </w:rPr>
        <w:t xml:space="preserve">is </w:t>
      </w:r>
      <w:r w:rsidRPr="00797FF2">
        <w:rPr>
          <w:rFonts w:ascii="Arial" w:eastAsia="Times New Roman" w:hAnsi="Arial" w:cs="Arial"/>
          <w:kern w:val="0"/>
          <w:lang w:eastAsia="en-GB"/>
          <w14:ligatures w14:val="none"/>
        </w:rPr>
        <w:t xml:space="preserve">just </w:t>
      </w:r>
      <w:r>
        <w:rPr>
          <w:rFonts w:ascii="Arial" w:eastAsia="Times New Roman" w:hAnsi="Arial" w:cs="Arial"/>
          <w:kern w:val="0"/>
          <w:lang w:eastAsia="en-GB"/>
          <w14:ligatures w14:val="none"/>
        </w:rPr>
        <w:t xml:space="preserve">doing </w:t>
      </w:r>
      <w:r w:rsidRPr="00797FF2">
        <w:rPr>
          <w:rFonts w:ascii="Arial" w:eastAsia="Times New Roman" w:hAnsi="Arial" w:cs="Arial"/>
          <w:kern w:val="0"/>
          <w:lang w:eastAsia="en-GB"/>
          <w14:ligatures w14:val="none"/>
        </w:rPr>
        <w:t>that.</w:t>
      </w:r>
    </w:p>
    <w:p w14:paraId="07D1F181" w14:textId="1512735E" w:rsidR="00C84D32" w:rsidRDefault="00C84D32" w:rsidP="00C84D32">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b/>
          <w:bCs/>
          <w:kern w:val="0"/>
          <w:lang w:eastAsia="en-GB"/>
          <w14:ligatures w14:val="none"/>
        </w:rPr>
        <w:t>Conclusion on Technological Efficacy:</w:t>
      </w:r>
      <w:r w:rsidRPr="00C55E2A">
        <w:rPr>
          <w:rFonts w:ascii="Arial" w:eastAsia="Times New Roman" w:hAnsi="Arial" w:cs="Arial"/>
          <w:kern w:val="0"/>
          <w:lang w:eastAsia="en-GB"/>
          <w14:ligatures w14:val="none"/>
        </w:rPr>
        <w:t xml:space="preserve"> </w:t>
      </w:r>
      <w:r w:rsidRPr="001D1881">
        <w:rPr>
          <w:rFonts w:ascii="Arial" w:eastAsia="Times New Roman" w:hAnsi="Arial" w:cs="Arial"/>
          <w:kern w:val="0"/>
          <w:lang w:eastAsia="en-GB"/>
          <w14:ligatures w14:val="none"/>
        </w:rPr>
        <w:t>By providing sustainability information that attracts the customer, the brand can be linked to real values</w:t>
      </w:r>
      <w:r>
        <w:rPr>
          <w:rFonts w:ascii="Arial" w:eastAsia="Times New Roman" w:hAnsi="Arial" w:cs="Arial"/>
          <w:kern w:val="0"/>
          <w:lang w:eastAsia="en-GB"/>
          <w14:ligatures w14:val="none"/>
        </w:rPr>
        <w:t xml:space="preserve"> which people can test</w:t>
      </w:r>
      <w:r w:rsidRPr="001D1881">
        <w:rPr>
          <w:rFonts w:ascii="Arial" w:eastAsia="Times New Roman" w:hAnsi="Arial" w:cs="Arial"/>
          <w:kern w:val="0"/>
          <w:lang w:eastAsia="en-GB"/>
          <w14:ligatures w14:val="none"/>
        </w:rPr>
        <w:t xml:space="preserve">. In this way, Unilever will be protected from the trust-digital paradox. Unilever and technology are a strong match. You must take a strong stand, say something clear, and make it easy to prove. </w:t>
      </w:r>
      <w:r>
        <w:rPr>
          <w:rFonts w:ascii="Arial" w:eastAsia="Times New Roman" w:hAnsi="Arial" w:cs="Arial"/>
          <w:kern w:val="0"/>
          <w:lang w:eastAsia="en-GB"/>
          <w14:ligatures w14:val="none"/>
        </w:rPr>
        <w:t>And they are just doing it.</w:t>
      </w:r>
    </w:p>
    <w:p w14:paraId="0B4FF263" w14:textId="689433B4" w:rsidR="00C84D32" w:rsidRDefault="00C84D32" w:rsidP="00C84D32">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1C2A8874" w14:textId="77777777" w:rsidR="00C84D32" w:rsidRPr="00C55E2A" w:rsidRDefault="00C84D32" w:rsidP="0078498F">
      <w:pPr>
        <w:pStyle w:val="Heading1"/>
      </w:pPr>
      <w:bookmarkStart w:id="84" w:name="_Toc231740350"/>
      <w:r w:rsidRPr="00C55E2A">
        <w:t>Chapter 5: Discussion</w:t>
      </w:r>
      <w:bookmarkEnd w:id="84"/>
    </w:p>
    <w:p w14:paraId="26C19286" w14:textId="77777777" w:rsidR="00C84D32" w:rsidRPr="0078498F" w:rsidRDefault="00C84D32" w:rsidP="0078498F">
      <w:pPr>
        <w:pStyle w:val="Heading2"/>
      </w:pPr>
      <w:bookmarkStart w:id="85" w:name="_Toc231740351"/>
      <w:r w:rsidRPr="0078498F">
        <w:t>5.1 Introduction to the Discussion</w:t>
      </w:r>
      <w:bookmarkEnd w:id="85"/>
    </w:p>
    <w:p w14:paraId="6B1EE3FC" w14:textId="77777777" w:rsidR="00C84D32" w:rsidRDefault="00C84D32" w:rsidP="00C84D32">
      <w:pPr>
        <w:spacing w:after="100" w:afterAutospacing="1" w:line="276" w:lineRule="auto"/>
        <w:rPr>
          <w:rFonts w:ascii="Arial" w:hAnsi="Arial" w:cs="Arial"/>
        </w:rPr>
      </w:pPr>
      <w:r w:rsidRPr="00901B01">
        <w:rPr>
          <w:rFonts w:ascii="Arial" w:hAnsi="Arial" w:cs="Arial"/>
        </w:rPr>
        <w:t xml:space="preserve">According to Unilever, Britain is nothing like India, which is the main focus of this dissertation. Unilever's shift from traditional mass-marketing to sustainable digital marketing was analysed in two very different cultures. In the UK, Unilever uses the double strategy of teaching people about their Carbon Literacy and demonstrating Systemic Accountability through its digital ecosystem discussed in chapter four. Transforming India through social equity and enabling growth at the grassroots level. They satisfy social and cultural needs for bottom-up empowerment. </w:t>
      </w:r>
    </w:p>
    <w:p w14:paraId="1B1D3B6D" w14:textId="77777777" w:rsidR="00C84D32" w:rsidRPr="00D20669" w:rsidRDefault="00C84D32" w:rsidP="00D20669">
      <w:pPr>
        <w:rPr>
          <w:rFonts w:ascii="Arial" w:hAnsi="Arial" w:cs="Arial"/>
        </w:rPr>
      </w:pPr>
      <w:r w:rsidRPr="00D20669">
        <w:rPr>
          <w:rFonts w:ascii="Arial" w:hAnsi="Arial" w:cs="Arial"/>
        </w:rPr>
        <w:t>The qualitative research started with identifying the secondary ‘Green Codes’ and once being able to find those results then this chapter tries to mix and analyse these codes. This discussion provides a different angle on how digital engagement could boost a brand’s market share through the use of real-life examples that are compared against theory, specifically the SASSY framework, Signalling Theory and the Trust</w:t>
      </w:r>
      <w:r w:rsidRPr="00D20669">
        <w:rPr>
          <w:rFonts w:ascii="Arial" w:hAnsi="Arial" w:cs="Arial"/>
        </w:rPr>
        <w:noBreakHyphen/>
        <w:t>Digital Paradox in the Literature Review. It also shows how Unilever’s strategy makes it difficult for P&amp;G to compete. Furthermore, it also explores the economic impacts these digital marketing changes could have on the FMCG industry.</w:t>
      </w:r>
    </w:p>
    <w:p w14:paraId="4B7D8842" w14:textId="77777777" w:rsidR="00C84D32" w:rsidRPr="0078498F" w:rsidRDefault="00C84D32" w:rsidP="0078498F">
      <w:pPr>
        <w:pStyle w:val="Heading2"/>
      </w:pPr>
      <w:bookmarkStart w:id="86" w:name="_Toc231740352"/>
      <w:r w:rsidRPr="0078498F">
        <w:t>5.2 Resolving the Trust-Digital Paradox via Real-Time Authenticity</w:t>
      </w:r>
      <w:bookmarkEnd w:id="86"/>
    </w:p>
    <w:p w14:paraId="29E126A4" w14:textId="77777777" w:rsidR="00C84D32" w:rsidRPr="00C55E2A" w:rsidRDefault="00C84D32" w:rsidP="00C84D32">
      <w:pPr>
        <w:spacing w:after="100" w:afterAutospacing="1" w:line="276" w:lineRule="auto"/>
        <w:rPr>
          <w:rFonts w:ascii="Arial" w:hAnsi="Arial" w:cs="Arial"/>
        </w:rPr>
      </w:pPr>
      <w:r w:rsidRPr="00C55E2A">
        <w:rPr>
          <w:rFonts w:ascii="Arial" w:hAnsi="Arial" w:cs="Arial"/>
        </w:rPr>
        <w:t xml:space="preserve">According to experts, </w:t>
      </w:r>
      <w:r w:rsidRPr="007558F4">
        <w:rPr>
          <w:rFonts w:ascii="Arial" w:hAnsi="Arial" w:cs="Arial"/>
        </w:rPr>
        <w:t>the Trust-Digital Paradox is a theoretical puzzle that is especially difficult to solve. The researchers stated this finding in their study</w:t>
      </w:r>
      <w:r>
        <w:rPr>
          <w:rFonts w:ascii="Arial" w:hAnsi="Arial" w:cs="Arial"/>
        </w:rPr>
        <w:t xml:space="preserve"> and</w:t>
      </w:r>
      <w:r w:rsidRPr="007558F4">
        <w:rPr>
          <w:rFonts w:ascii="Arial" w:hAnsi="Arial" w:cs="Arial"/>
        </w:rPr>
        <w:t xml:space="preserve"> According to th</w:t>
      </w:r>
      <w:r>
        <w:rPr>
          <w:rFonts w:ascii="Arial" w:hAnsi="Arial" w:cs="Arial"/>
        </w:rPr>
        <w:t>ose</w:t>
      </w:r>
      <w:r w:rsidRPr="007558F4">
        <w:rPr>
          <w:rFonts w:ascii="Arial" w:hAnsi="Arial" w:cs="Arial"/>
        </w:rPr>
        <w:t xml:space="preserve"> findings’ high-tech tools like big data &amp; AI can bring better clear marketing messages to consumers. On the contrary, these very tools damage millennials’ trust in the genuineness of corporates. A customer sees an advertisement about hyper-target sustainability. The algorithm’s accuracy</w:t>
      </w:r>
      <w:r>
        <w:rPr>
          <w:rFonts w:ascii="Arial" w:hAnsi="Arial" w:cs="Arial"/>
        </w:rPr>
        <w:t xml:space="preserve"> </w:t>
      </w:r>
      <w:r w:rsidRPr="007558F4">
        <w:rPr>
          <w:rFonts w:ascii="Arial" w:hAnsi="Arial" w:cs="Arial"/>
        </w:rPr>
        <w:t>f</w:t>
      </w:r>
      <w:r>
        <w:rPr>
          <w:rFonts w:ascii="Arial" w:hAnsi="Arial" w:cs="Arial"/>
        </w:rPr>
        <w:t>eels like there is</w:t>
      </w:r>
      <w:r w:rsidRPr="007558F4">
        <w:rPr>
          <w:rFonts w:ascii="Arial" w:hAnsi="Arial" w:cs="Arial"/>
        </w:rPr>
        <w:t xml:space="preserve"> digital greenwashing </w:t>
      </w:r>
      <w:r>
        <w:rPr>
          <w:rFonts w:ascii="Arial" w:hAnsi="Arial" w:cs="Arial"/>
        </w:rPr>
        <w:t>it isn’t</w:t>
      </w:r>
      <w:r w:rsidRPr="007558F4">
        <w:rPr>
          <w:rFonts w:ascii="Arial" w:hAnsi="Arial" w:cs="Arial"/>
        </w:rPr>
        <w:t xml:space="preserve"> trust.</w:t>
      </w:r>
      <w:r w:rsidRPr="00C55E2A">
        <w:rPr>
          <w:rFonts w:ascii="Arial" w:hAnsi="Arial" w:cs="Arial"/>
        </w:rPr>
        <w:t xml:space="preserve"> </w:t>
      </w:r>
    </w:p>
    <w:p w14:paraId="3D94332D" w14:textId="77777777" w:rsidR="00C84D32" w:rsidRPr="00C55E2A" w:rsidRDefault="00C84D32" w:rsidP="00C84D32">
      <w:pPr>
        <w:spacing w:after="100" w:afterAutospacing="1" w:line="276" w:lineRule="auto"/>
        <w:rPr>
          <w:rFonts w:ascii="Arial" w:hAnsi="Arial" w:cs="Arial"/>
        </w:rPr>
      </w:pPr>
      <w:r w:rsidRPr="00457171">
        <w:rPr>
          <w:rFonts w:ascii="Arial" w:hAnsi="Arial" w:cs="Arial"/>
        </w:rPr>
        <w:t xml:space="preserve">According to research, neither a cleverly targeted ad nor a feel-good ad will solve the trust-digital </w:t>
      </w:r>
      <w:r>
        <w:rPr>
          <w:rFonts w:ascii="Arial" w:hAnsi="Arial" w:cs="Arial"/>
        </w:rPr>
        <w:t>problems</w:t>
      </w:r>
      <w:r w:rsidRPr="00457171">
        <w:rPr>
          <w:rFonts w:ascii="Arial" w:hAnsi="Arial" w:cs="Arial"/>
        </w:rPr>
        <w:t xml:space="preserve">. Instead, audience segmentation through the help of AI-powered tools followed by feeding them a </w:t>
      </w:r>
      <w:r>
        <w:rPr>
          <w:rFonts w:ascii="Arial" w:hAnsi="Arial" w:cs="Arial"/>
        </w:rPr>
        <w:t>lot</w:t>
      </w:r>
      <w:r w:rsidRPr="00457171">
        <w:rPr>
          <w:rFonts w:ascii="Arial" w:hAnsi="Arial" w:cs="Arial"/>
        </w:rPr>
        <w:t xml:space="preserve"> of cheap outdated ‘green’ signals. According to the Dove case study, Unilever successfully aligned its corporate strategies through the use of its digital platforms.</w:t>
      </w:r>
      <w:r w:rsidRPr="00C55E2A">
        <w:rPr>
          <w:rFonts w:ascii="Arial" w:hAnsi="Arial" w:cs="Arial"/>
        </w:rPr>
        <w:t xml:space="preserve"> </w:t>
      </w:r>
    </w:p>
    <w:p w14:paraId="797C17C4" w14:textId="77777777" w:rsidR="00C84D32" w:rsidRPr="00CF36FA" w:rsidRDefault="00C84D32" w:rsidP="00C84D32">
      <w:pPr>
        <w:spacing w:after="100" w:afterAutospacing="1" w:line="276" w:lineRule="auto"/>
        <w:rPr>
          <w:rFonts w:ascii="Arial" w:hAnsi="Arial" w:cs="Arial"/>
          <w:lang w:val="en-IN"/>
        </w:rPr>
      </w:pPr>
      <w:r w:rsidRPr="00CF36FA">
        <w:rPr>
          <w:rFonts w:ascii="Arial" w:hAnsi="Arial" w:cs="Arial"/>
          <w:lang w:val="en-IN"/>
        </w:rPr>
        <w:t>Unilever is using new technology to access the full journey of a product and therefore will have real-time proof and testing. Customers can now use this technology to see where the ingredients in a product came from, like its carbon footprint.</w:t>
      </w:r>
      <w:r w:rsidRPr="002A1B44">
        <w:rPr>
          <w:rFonts w:ascii="Arial" w:hAnsi="Arial" w:cs="Arial"/>
          <w:color w:val="0F172A"/>
          <w:spacing w:val="-2"/>
          <w:sz w:val="22"/>
          <w:szCs w:val="22"/>
          <w:bdr w:val="single" w:sz="2" w:space="0" w:color="E2E8F0" w:frame="1"/>
          <w:shd w:val="clear" w:color="auto" w:fill="FFFFFF"/>
        </w:rPr>
        <w:t xml:space="preserve"> </w:t>
      </w:r>
      <w:r w:rsidRPr="002A1B44">
        <w:rPr>
          <w:rFonts w:ascii="Arial" w:hAnsi="Arial" w:cs="Arial"/>
        </w:rPr>
        <w:t>As a result, previously top-down digital marketing is becoming more decentralized, as customers themselves can verify claims. You’ll also see this trend become more decentralised, so that (top-down) digital marketing becomes a lot more decentral.</w:t>
      </w:r>
    </w:p>
    <w:p w14:paraId="28A8B2EA" w14:textId="77777777" w:rsidR="00C84D32" w:rsidRDefault="00C84D32" w:rsidP="00C84D32">
      <w:pPr>
        <w:spacing w:after="100" w:afterAutospacing="1" w:line="276" w:lineRule="auto"/>
        <w:rPr>
          <w:rFonts w:ascii="Arial" w:hAnsi="Arial" w:cs="Arial"/>
        </w:rPr>
      </w:pPr>
      <w:r w:rsidRPr="006E28E0">
        <w:rPr>
          <w:rFonts w:ascii="Arial" w:hAnsi="Arial" w:cs="Arial"/>
        </w:rPr>
        <w:t xml:space="preserve">This study is based on Signalling Theory; the Process of verification is no longer a brand’s strength and created by ad agencies with the research digital age. </w:t>
      </w:r>
      <w:r w:rsidRPr="003016C7">
        <w:rPr>
          <w:rFonts w:ascii="Arial" w:hAnsi="Arial" w:cs="Arial"/>
        </w:rPr>
        <w:t>The actions that can be counted are the ones where the credibility depends not on what you claim. All in all, this means it is actual operational result</w:t>
      </w:r>
      <w:r w:rsidRPr="006E28E0">
        <w:rPr>
          <w:rFonts w:ascii="Arial" w:hAnsi="Arial" w:cs="Arial"/>
        </w:rPr>
        <w:t xml:space="preserve">. In order to solve the paradox, Unilever is </w:t>
      </w:r>
      <w:r>
        <w:rPr>
          <w:rFonts w:ascii="Arial" w:hAnsi="Arial" w:cs="Arial"/>
        </w:rPr>
        <w:t>making sure</w:t>
      </w:r>
      <w:r w:rsidRPr="006E28E0">
        <w:rPr>
          <w:rFonts w:ascii="Arial" w:hAnsi="Arial" w:cs="Arial"/>
        </w:rPr>
        <w:t xml:space="preserve"> that its digital marketing functions as a glass magnifying lens for its supply chain. It’s growing costly to understand the operations that multinationals perform.</w:t>
      </w:r>
    </w:p>
    <w:p w14:paraId="6AE48675" w14:textId="77777777" w:rsidR="00C84D32" w:rsidRDefault="00C84D32" w:rsidP="00C84D32">
      <w:pPr>
        <w:spacing w:after="100" w:afterAutospacing="1" w:line="276" w:lineRule="auto"/>
        <w:rPr>
          <w:rFonts w:ascii="Arial" w:hAnsi="Arial" w:cs="Arial"/>
        </w:rPr>
      </w:pPr>
    </w:p>
    <w:p w14:paraId="5C073355" w14:textId="77777777" w:rsidR="00C84D32" w:rsidRPr="00CA5530" w:rsidRDefault="00C84D32" w:rsidP="00CA5530">
      <w:pPr>
        <w:jc w:val="center"/>
        <w:rPr>
          <w:rFonts w:ascii="Arial" w:hAnsi="Arial" w:cs="Arial"/>
        </w:rPr>
      </w:pPr>
      <w:r w:rsidRPr="00CA5530">
        <w:rPr>
          <w:rFonts w:ascii="Arial" w:hAnsi="Arial" w:cs="Arial"/>
          <w:noProof/>
        </w:rPr>
        <w:drawing>
          <wp:inline distT="0" distB="0" distL="0" distR="0" wp14:anchorId="785B8274" wp14:editId="69A8967F">
            <wp:extent cx="5486400" cy="3200400"/>
            <wp:effectExtent l="0" t="19050" r="0" b="0"/>
            <wp:docPr id="144424114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B493566" w14:textId="7A7DB2A6" w:rsidR="00C84D32" w:rsidRPr="00CA5530" w:rsidRDefault="00AA7DA6" w:rsidP="00CA5530">
      <w:pPr>
        <w:jc w:val="center"/>
        <w:rPr>
          <w:rFonts w:ascii="Arial" w:hAnsi="Arial" w:cs="Arial"/>
          <w:b/>
          <w:bCs/>
          <w:sz w:val="20"/>
          <w:szCs w:val="20"/>
        </w:rPr>
      </w:pPr>
      <w:r>
        <w:rPr>
          <w:rFonts w:ascii="Arial" w:hAnsi="Arial" w:cs="Arial"/>
          <w:sz w:val="20"/>
          <w:szCs w:val="20"/>
        </w:rPr>
        <w:t>Figure 7</w:t>
      </w:r>
      <w:r w:rsidR="00C84D32" w:rsidRPr="00CA5530">
        <w:rPr>
          <w:rFonts w:ascii="Arial" w:hAnsi="Arial" w:cs="Arial"/>
          <w:sz w:val="20"/>
          <w:szCs w:val="20"/>
        </w:rPr>
        <w:t>: Conceptual mapping of the Trust-Digital Paradox and its resolution in FMCG markets.</w:t>
      </w:r>
    </w:p>
    <w:p w14:paraId="629244A6" w14:textId="77777777" w:rsidR="00C84D32" w:rsidRPr="0078498F" w:rsidRDefault="00C84D32" w:rsidP="0078498F">
      <w:pPr>
        <w:pStyle w:val="Heading2"/>
      </w:pPr>
      <w:bookmarkStart w:id="87" w:name="_Toc231740353"/>
      <w:r w:rsidRPr="0078498F">
        <w:t>5.3 The Hyper-Localization Imperative: Deconstructing the "Global" Myth</w:t>
      </w:r>
      <w:bookmarkEnd w:id="87"/>
    </w:p>
    <w:p w14:paraId="20606FCB" w14:textId="6ED3FAA3" w:rsidR="00C84D32" w:rsidRPr="00C55E2A" w:rsidRDefault="00C84D32" w:rsidP="00C84D32">
      <w:pPr>
        <w:spacing w:after="100" w:afterAutospacing="1" w:line="276" w:lineRule="auto"/>
        <w:rPr>
          <w:rFonts w:ascii="Arial" w:hAnsi="Arial" w:cs="Arial"/>
        </w:rPr>
      </w:pPr>
      <w:r w:rsidRPr="009B0472">
        <w:rPr>
          <w:rFonts w:ascii="Arial" w:hAnsi="Arial" w:cs="Arial"/>
        </w:rPr>
        <w:t>The findings show that a “global” sustainability marketing is completely misleading. The UK and Indian examples demonstrate this well: As per country, the cultural orientation will change. True success is when you implant the sustainability message in the people’s values. You cannot do so with the same “global” message in every country.</w:t>
      </w:r>
      <w:r w:rsidRPr="00C55E2A">
        <w:rPr>
          <w:rFonts w:ascii="Arial" w:hAnsi="Arial" w:cs="Arial"/>
        </w:rPr>
        <w:t xml:space="preserve"> </w:t>
      </w:r>
      <w:r w:rsidRPr="001F313B">
        <w:rPr>
          <w:rFonts w:ascii="Arial" w:hAnsi="Arial" w:cs="Arial"/>
        </w:rPr>
        <w:t>Unilever’s SASSY personalization framework is based on superior science, speed, sustainability and Younique, that helped it go global. One of the major strategic learning from the Third World Conference on Disaster Risk Reduction was India’s priority on social justice. Experts on development have claimed that it would be risky to impose the environmental priorities of the West on emerging markets if such a move does not lessen social and economic concerns.</w:t>
      </w:r>
    </w:p>
    <w:p w14:paraId="2EAD9045" w14:textId="77777777" w:rsidR="00C84D32" w:rsidRPr="00D20669" w:rsidRDefault="00C84D32" w:rsidP="00D20669">
      <w:pPr>
        <w:rPr>
          <w:rFonts w:ascii="Arial" w:hAnsi="Arial" w:cs="Arial"/>
        </w:rPr>
      </w:pPr>
      <w:r w:rsidRPr="00D20669">
        <w:rPr>
          <w:rFonts w:ascii="Arial" w:hAnsi="Arial" w:cs="Arial"/>
        </w:rPr>
        <w:t>The UK considers it a mutual ethical responsibility to be sustainable and have linked this idea to digital wellbeing and carbon use. But in India, a strong green message can turn customers off as they focus more on daily survival, gender fairness and health issues. Unilever’s Strategy Stating That Digital Green Marketing Should Acknowledge the Specific Local Fear In Every Market and Address It Directly. By giving them more power locally, they will be able to create “Green Codes” that draw from the local cultural and social realities.</w:t>
      </w:r>
    </w:p>
    <w:p w14:paraId="53847285" w14:textId="77777777" w:rsidR="00C84D32" w:rsidRPr="0078498F" w:rsidRDefault="00C84D32" w:rsidP="0078498F">
      <w:pPr>
        <w:pStyle w:val="Heading2"/>
      </w:pPr>
      <w:bookmarkStart w:id="88" w:name="_Toc231740354"/>
      <w:r w:rsidRPr="0078498F">
        <w:t>5.4 Translating Digital Engagement into Market Share and Purchasing Behaviour</w:t>
      </w:r>
      <w:bookmarkEnd w:id="88"/>
    </w:p>
    <w:p w14:paraId="1B2A2EC9" w14:textId="77777777" w:rsidR="00C84D32" w:rsidRPr="00C55E2A" w:rsidRDefault="00C84D32" w:rsidP="00C84D32">
      <w:pPr>
        <w:spacing w:after="100" w:afterAutospacing="1" w:line="276" w:lineRule="auto"/>
        <w:rPr>
          <w:rFonts w:ascii="Arial" w:hAnsi="Arial" w:cs="Arial"/>
        </w:rPr>
      </w:pPr>
      <w:r w:rsidRPr="00C55E2A">
        <w:rPr>
          <w:rFonts w:ascii="Arial" w:hAnsi="Arial" w:cs="Arial"/>
        </w:rPr>
        <w:t xml:space="preserve">Unilever has created some amazing digital campaigns. The content on the web performs extremely well due to consumer interaction. But does it help them purchase the actual product? That's million-dollar question. </w:t>
      </w:r>
      <w:r w:rsidRPr="00C44B81">
        <w:rPr>
          <w:rFonts w:ascii="Arial" w:hAnsi="Arial" w:cs="Arial"/>
        </w:rPr>
        <w:t>As per my assessment, digital sustainability marketing can positively influence consumer behaviour when it is adapted to suit the local culture and is backed by concrete actions of high cost, which consumers can verify. Along with other factors, its impact will make the consumer willing to pay a higher price and buy more often.</w:t>
      </w:r>
      <w:r>
        <w:rPr>
          <w:rFonts w:ascii="Arial" w:hAnsi="Arial" w:cs="Arial"/>
        </w:rPr>
        <w:t xml:space="preserve"> </w:t>
      </w:r>
      <w:r w:rsidRPr="004F37DF">
        <w:rPr>
          <w:rFonts w:ascii="Arial" w:hAnsi="Arial" w:cs="Arial"/>
        </w:rPr>
        <w:t>This means that just because a consumer taps that digital “like” button, that doesn’t mean it results into a real purchase. Moreover, even when this does happen, the probability between the UK and India is very different.</w:t>
      </w:r>
      <w:r w:rsidRPr="00C55E2A">
        <w:rPr>
          <w:rFonts w:ascii="Arial" w:hAnsi="Arial" w:cs="Arial"/>
        </w:rPr>
        <w:t xml:space="preserve"> </w:t>
      </w:r>
    </w:p>
    <w:p w14:paraId="3C51A006" w14:textId="18075941" w:rsidR="00C84D32" w:rsidRPr="00C55E2A" w:rsidRDefault="00D20669" w:rsidP="00C84D32">
      <w:pPr>
        <w:spacing w:after="100" w:afterAutospacing="1" w:line="276" w:lineRule="auto"/>
        <w:rPr>
          <w:rFonts w:ascii="Arial" w:hAnsi="Arial" w:cs="Arial"/>
        </w:rPr>
      </w:pPr>
      <w:r>
        <w:rPr>
          <w:rFonts w:ascii="Arial" w:hAnsi="Arial" w:cs="Arial"/>
        </w:rPr>
        <w:t>M</w:t>
      </w:r>
      <w:r w:rsidR="00C84D32" w:rsidRPr="00B54CA6">
        <w:rPr>
          <w:rFonts w:ascii="Arial" w:hAnsi="Arial" w:cs="Arial"/>
        </w:rPr>
        <w:t>ost of buyers look up reviews online before making brand purchases these days. Also, the behaviour is even more so in the UK. UK customers will quickly move on if the online evidence does not support a greener claim. Survey results show that customers are buying actual and physical evidence for the biggest single reason. Another important factor that turned interest into an immediate purchase was a lack of uncertainty.</w:t>
      </w:r>
      <w:r w:rsidR="00C84D32" w:rsidRPr="00C55E2A">
        <w:rPr>
          <w:rFonts w:ascii="Arial" w:hAnsi="Arial" w:cs="Arial"/>
        </w:rPr>
        <w:t xml:space="preserve"> </w:t>
      </w:r>
    </w:p>
    <w:p w14:paraId="2274D934" w14:textId="77777777" w:rsidR="00C84D32" w:rsidRPr="00C55E2A" w:rsidRDefault="00C84D32" w:rsidP="00C84D32">
      <w:pPr>
        <w:spacing w:after="100" w:afterAutospacing="1" w:line="276" w:lineRule="auto"/>
        <w:rPr>
          <w:rFonts w:ascii="Arial" w:hAnsi="Arial" w:cs="Arial"/>
        </w:rPr>
      </w:pPr>
      <w:r w:rsidRPr="00982823">
        <w:rPr>
          <w:rFonts w:ascii="Arial" w:hAnsi="Arial" w:cs="Arial"/>
        </w:rPr>
        <w:t>People in India show strong emotional loyalty to a brand that is genuinely taking steps to improve public health, social justice, and women empowerment like in Project Shakti. We refer to this as the premium for participation. People feel the brand is concerned about them, and such feeling triggers more buying</w:t>
      </w:r>
      <w:r w:rsidRPr="00C55E2A">
        <w:rPr>
          <w:rFonts w:ascii="Arial" w:hAnsi="Arial" w:cs="Arial"/>
        </w:rPr>
        <w:t xml:space="preserve">. </w:t>
      </w:r>
      <w:r w:rsidRPr="00CA6DF1">
        <w:rPr>
          <w:rFonts w:ascii="Arial" w:hAnsi="Arial" w:cs="Arial"/>
        </w:rPr>
        <w:t>Unilever links buying its products to a bigger story about helping build the country’s basic systems, and this has helped the company obtain a huge portion in fast-gaining semi-urban and rural areas. In an emerging market, people are more likely to buy products that have real social benefits. Hence, it can be used as the reason behind sustainable buying behaviour.</w:t>
      </w:r>
    </w:p>
    <w:p w14:paraId="77BD5D41" w14:textId="77777777" w:rsidR="00C84D32" w:rsidRPr="0078498F" w:rsidRDefault="00C84D32" w:rsidP="0078498F">
      <w:pPr>
        <w:pStyle w:val="Heading2"/>
      </w:pPr>
      <w:bookmarkStart w:id="89" w:name="_Toc231740355"/>
      <w:r w:rsidRPr="0078498F">
        <w:t>5.5 Constructing a Comparative Moat: Unilever vs. Procter &amp; Gamble (P&amp;G)</w:t>
      </w:r>
      <w:bookmarkEnd w:id="89"/>
    </w:p>
    <w:p w14:paraId="36AF7DC0" w14:textId="77777777" w:rsidR="00C84D32" w:rsidRPr="00EA717D" w:rsidRDefault="00C84D32" w:rsidP="00C84D32">
      <w:pPr>
        <w:spacing w:after="100" w:afterAutospacing="1" w:line="276" w:lineRule="auto"/>
        <w:rPr>
          <w:rFonts w:ascii="Arial" w:hAnsi="Arial" w:cs="Arial"/>
          <w:lang w:val="en-IN"/>
        </w:rPr>
      </w:pPr>
      <w:r w:rsidRPr="003D09F8">
        <w:rPr>
          <w:rFonts w:ascii="Arial" w:hAnsi="Arial" w:cs="Arial"/>
        </w:rPr>
        <w:t>This analysis will continue further by seeing how Unilever’s local approach can perform over its main competitor P&amp;G. P&amp;G aims to tell big emotional stories that work the same everywhere and sets bold plans for the environment through its “Ambition 2030” program.</w:t>
      </w:r>
      <w:r>
        <w:rPr>
          <w:rFonts w:ascii="Arial" w:hAnsi="Arial" w:cs="Arial"/>
        </w:rPr>
        <w:t xml:space="preserve"> </w:t>
      </w:r>
      <w:r w:rsidRPr="00C55E2A">
        <w:rPr>
          <w:rFonts w:ascii="Arial" w:hAnsi="Arial" w:cs="Arial"/>
        </w:rPr>
        <w:t xml:space="preserve">However, </w:t>
      </w:r>
      <w:r w:rsidRPr="000C4171">
        <w:rPr>
          <w:rFonts w:ascii="Arial" w:hAnsi="Arial" w:cs="Arial"/>
          <w:lang w:val="en-IN"/>
        </w:rPr>
        <w:t xml:space="preserve">even though local marketing is so useful </w:t>
      </w:r>
      <w:r>
        <w:rPr>
          <w:rFonts w:ascii="Arial" w:hAnsi="Arial" w:cs="Arial"/>
          <w:lang w:val="en-IN"/>
        </w:rPr>
        <w:t xml:space="preserve">for </w:t>
      </w:r>
      <w:r w:rsidRPr="000C4171">
        <w:rPr>
          <w:rFonts w:ascii="Arial" w:hAnsi="Arial" w:cs="Arial"/>
          <w:lang w:val="en-IN"/>
        </w:rPr>
        <w:t>P</w:t>
      </w:r>
      <w:r>
        <w:rPr>
          <w:rFonts w:ascii="Arial" w:hAnsi="Arial" w:cs="Arial"/>
          <w:lang w:val="en-IN"/>
        </w:rPr>
        <w:t>&amp;</w:t>
      </w:r>
      <w:r w:rsidRPr="000C4171">
        <w:rPr>
          <w:rFonts w:ascii="Arial" w:hAnsi="Arial" w:cs="Arial"/>
          <w:lang w:val="en-IN"/>
        </w:rPr>
        <w:t xml:space="preserve">G </w:t>
      </w:r>
      <w:r>
        <w:rPr>
          <w:rFonts w:ascii="Arial" w:hAnsi="Arial" w:cs="Arial"/>
          <w:lang w:val="en-IN"/>
        </w:rPr>
        <w:t xml:space="preserve">they </w:t>
      </w:r>
      <w:r w:rsidRPr="000C4171">
        <w:rPr>
          <w:rFonts w:ascii="Arial" w:hAnsi="Arial" w:cs="Arial"/>
          <w:lang w:val="en-IN"/>
        </w:rPr>
        <w:t>use one big emotional marketing message, which essentially tries to work the same everywhere.</w:t>
      </w:r>
      <w:r>
        <w:rPr>
          <w:rFonts w:ascii="Arial" w:hAnsi="Arial" w:cs="Arial"/>
          <w:lang w:val="en-IN"/>
        </w:rPr>
        <w:t xml:space="preserve"> </w:t>
      </w:r>
      <w:r w:rsidRPr="0043740C">
        <w:rPr>
          <w:rFonts w:ascii="Arial" w:hAnsi="Arial" w:cs="Arial"/>
        </w:rPr>
        <w:t>For many companies, sustainability means one big global concept – which it is! Still, this is not a strong enough strategy to create the kind of local, meaningful brand stories that communities actually connect with.</w:t>
      </w:r>
      <w:r w:rsidRPr="00C55E2A">
        <w:rPr>
          <w:rFonts w:ascii="Arial" w:hAnsi="Arial" w:cs="Arial"/>
        </w:rPr>
        <w:t xml:space="preserve"> </w:t>
      </w:r>
      <w:r w:rsidRPr="00131D5E">
        <w:rPr>
          <w:rFonts w:ascii="Arial" w:hAnsi="Arial" w:cs="Arial"/>
        </w:rPr>
        <w:t>Due to Trust</w:t>
      </w:r>
      <w:r w:rsidRPr="00131D5E">
        <w:rPr>
          <w:rFonts w:ascii="Arial" w:hAnsi="Arial" w:cs="Arial"/>
        </w:rPr>
        <w:noBreakHyphen/>
        <w:t>Digital Paradox today and the way people want to look through everything online, most of the digital communication feels shallow and fake. Another damaging effect of a unified messaging on sustainability shows that more consumers will lose trust. The main reason for this is that digital greenwashing often uses cost-effective and generic signals that do not prove much</w:t>
      </w:r>
      <w:r w:rsidRPr="00C55E2A">
        <w:rPr>
          <w:rFonts w:ascii="Arial" w:hAnsi="Arial" w:cs="Arial"/>
        </w:rPr>
        <w:t xml:space="preserve">. </w:t>
      </w:r>
    </w:p>
    <w:p w14:paraId="05780166" w14:textId="77777777" w:rsidR="00C84D32" w:rsidRPr="00C55E2A" w:rsidRDefault="00C84D32" w:rsidP="00C84D32">
      <w:pPr>
        <w:spacing w:after="100" w:afterAutospacing="1" w:line="276" w:lineRule="auto"/>
        <w:rPr>
          <w:rFonts w:ascii="Arial" w:hAnsi="Arial" w:cs="Arial"/>
        </w:rPr>
      </w:pPr>
      <w:r w:rsidRPr="003E4F41">
        <w:rPr>
          <w:rFonts w:ascii="Arial" w:hAnsi="Arial" w:cs="Arial"/>
        </w:rPr>
        <w:t>According to me, although the Unilever strategy has become more complicated to run and costs much more, it is giving the company powerful competitive advantage.</w:t>
      </w:r>
      <w:r w:rsidRPr="00B840E1">
        <w:rPr>
          <w:rFonts w:ascii="Arial" w:hAnsi="Arial" w:cs="Arial"/>
          <w:color w:val="0F172A"/>
          <w:spacing w:val="-2"/>
          <w:sz w:val="22"/>
          <w:szCs w:val="22"/>
          <w:bdr w:val="single" w:sz="2" w:space="0" w:color="E2E8F0" w:frame="1"/>
          <w:shd w:val="clear" w:color="auto" w:fill="FFFFFF"/>
        </w:rPr>
        <w:t xml:space="preserve"> </w:t>
      </w:r>
      <w:r w:rsidRPr="00B840E1">
        <w:rPr>
          <w:rFonts w:ascii="Arial" w:hAnsi="Arial" w:cs="Arial"/>
        </w:rPr>
        <w:t xml:space="preserve">Unilever can reinforce the local relevance of its corporate image through diverse and more human brand stories, “Green Codes” (social equality in Mumbai), and carbon literacy teaching in London. The 2016 report published by PricewaterhouseCoopers on greenwashing at a global scale revealed that most claims and marketing on sustainability came </w:t>
      </w:r>
      <w:r>
        <w:rPr>
          <w:rFonts w:ascii="Arial" w:hAnsi="Arial" w:cs="Arial"/>
        </w:rPr>
        <w:t xml:space="preserve">from </w:t>
      </w:r>
      <w:r w:rsidRPr="00B840E1">
        <w:rPr>
          <w:rFonts w:ascii="Arial" w:hAnsi="Arial" w:cs="Arial"/>
        </w:rPr>
        <w:t>global corporations.</w:t>
      </w:r>
    </w:p>
    <w:p w14:paraId="67DA66F1" w14:textId="77777777" w:rsidR="00C84D32" w:rsidRPr="0078498F" w:rsidRDefault="00C84D32" w:rsidP="0078498F">
      <w:pPr>
        <w:pStyle w:val="Heading2"/>
      </w:pPr>
      <w:bookmarkStart w:id="90" w:name="_Toc231740356"/>
      <w:r w:rsidRPr="0078498F">
        <w:t>5.6 Financial Implications and Corporate Reality</w:t>
      </w:r>
      <w:bookmarkEnd w:id="90"/>
    </w:p>
    <w:p w14:paraId="40AC10EE" w14:textId="77777777" w:rsidR="00C84D32" w:rsidRDefault="00C84D32" w:rsidP="00C84D32">
      <w:pPr>
        <w:spacing w:after="100" w:afterAutospacing="1" w:line="276" w:lineRule="auto"/>
        <w:rPr>
          <w:rFonts w:ascii="Arial" w:hAnsi="Arial" w:cs="Arial"/>
        </w:rPr>
      </w:pPr>
      <w:r w:rsidRPr="009445DE">
        <w:rPr>
          <w:rFonts w:ascii="Arial" w:hAnsi="Arial" w:cs="Arial"/>
        </w:rPr>
        <w:t>When you closely look at the Unilever Framework and Annual Reports you get to see the finances behind the messaging.</w:t>
      </w:r>
      <w:r w:rsidRPr="00EE1DFB">
        <w:rPr>
          <w:rFonts w:ascii="Arial" w:hAnsi="Arial" w:cs="Arial"/>
          <w:color w:val="9333EA"/>
          <w:spacing w:val="-2"/>
          <w:sz w:val="22"/>
          <w:szCs w:val="22"/>
          <w:bdr w:val="single" w:sz="2" w:space="0" w:color="E2E8F0" w:frame="1"/>
          <w:shd w:val="clear" w:color="auto" w:fill="FFFFFF"/>
        </w:rPr>
        <w:t xml:space="preserve"> </w:t>
      </w:r>
      <w:r w:rsidRPr="00EE1DFB">
        <w:rPr>
          <w:rFonts w:ascii="Arial" w:hAnsi="Arial" w:cs="Arial"/>
        </w:rPr>
        <w:t>According to Unilever, companies that are climate</w:t>
      </w:r>
      <w:r w:rsidRPr="00EE1DFB">
        <w:rPr>
          <w:rFonts w:ascii="Arial" w:hAnsi="Arial" w:cs="Arial"/>
        </w:rPr>
        <w:noBreakHyphen/>
        <w:t>focused, digitally enabled and most of all purpose-led are growing faster than the average company and some are growing two or three times faster.</w:t>
      </w:r>
      <w:r w:rsidRPr="00184795">
        <w:rPr>
          <w:rFonts w:ascii="Arial" w:hAnsi="Arial" w:cs="Arial"/>
          <w:color w:val="9333EA"/>
          <w:spacing w:val="-2"/>
          <w:sz w:val="22"/>
          <w:szCs w:val="22"/>
          <w:bdr w:val="single" w:sz="2" w:space="0" w:color="E2E8F0" w:frame="1"/>
          <w:shd w:val="clear" w:color="auto" w:fill="FFFFFF"/>
        </w:rPr>
        <w:t xml:space="preserve"> </w:t>
      </w:r>
      <w:r w:rsidRPr="00184795">
        <w:rPr>
          <w:rFonts w:ascii="Arial" w:hAnsi="Arial" w:cs="Arial"/>
        </w:rPr>
        <w:t>Businesses should invest a whole lot of money into “high-cost signals” (like reorganizing supply chains to make them carbon-neutral, using recycled materials, and community initiatives) to make them financially better off. However, achieving this growth requires instant sacrifice.</w:t>
      </w:r>
      <w:r w:rsidRPr="0027457D">
        <w:rPr>
          <w:rFonts w:ascii="Arial" w:hAnsi="Arial" w:cs="Arial"/>
          <w:color w:val="0F172A"/>
          <w:spacing w:val="-2"/>
          <w:sz w:val="22"/>
          <w:szCs w:val="22"/>
          <w:shd w:val="clear" w:color="auto" w:fill="FFFFFF"/>
        </w:rPr>
        <w:t xml:space="preserve"> </w:t>
      </w:r>
      <w:r w:rsidRPr="0027457D">
        <w:rPr>
          <w:rFonts w:ascii="Arial" w:hAnsi="Arial" w:cs="Arial"/>
        </w:rPr>
        <w:t>Unilever's digital sustainability plan shows the company is a long-term defensive precaution against future climate-related risks.</w:t>
      </w:r>
    </w:p>
    <w:p w14:paraId="24124B16" w14:textId="77777777" w:rsidR="00C84D32" w:rsidRPr="00C55E2A" w:rsidRDefault="00C84D32" w:rsidP="00C84D32">
      <w:pPr>
        <w:spacing w:after="100" w:afterAutospacing="1" w:line="276" w:lineRule="auto"/>
        <w:rPr>
          <w:rFonts w:ascii="Arial" w:hAnsi="Arial" w:cs="Arial"/>
        </w:rPr>
      </w:pPr>
      <w:r w:rsidRPr="003B3165">
        <w:rPr>
          <w:rFonts w:ascii="Arial" w:hAnsi="Arial" w:cs="Arial"/>
        </w:rPr>
        <w:t>For customers to trust upon the “Green Codes” on its website, Unilever is ready to spend out more and trade-off lesser profits. A world marked by strong regulatory regimes such as the DMCC Act and high online consumer scepticism simultaneously will offer power to local brands that are equipped with purpose verification, believes the company. According to the results, as there is a decline in profits initially, but it is compensated for later as the customers remain loyal and increase purchases.</w:t>
      </w:r>
    </w:p>
    <w:p w14:paraId="6CD74F8D" w14:textId="77777777" w:rsidR="00C84D32" w:rsidRDefault="00C84D32" w:rsidP="00C84D32">
      <w:pPr>
        <w:spacing w:after="100" w:afterAutospacing="1" w:line="276" w:lineRule="auto"/>
        <w:rPr>
          <w:rFonts w:ascii="Arial" w:hAnsi="Arial" w:cs="Arial"/>
        </w:rPr>
      </w:pPr>
      <w:r w:rsidRPr="00C55E2A">
        <w:rPr>
          <w:rFonts w:ascii="Arial" w:hAnsi="Arial" w:cs="Arial"/>
        </w:rPr>
        <w:t xml:space="preserve">To suggest that Unilever does not care about the environment or </w:t>
      </w:r>
      <w:r w:rsidRPr="00845AEA">
        <w:rPr>
          <w:rFonts w:ascii="Arial" w:hAnsi="Arial" w:cs="Arial"/>
        </w:rPr>
        <w:t>just goes through the motions about the environment</w:t>
      </w:r>
      <w:r w:rsidRPr="00C55E2A">
        <w:rPr>
          <w:rFonts w:ascii="Arial" w:hAnsi="Arial" w:cs="Arial"/>
        </w:rPr>
        <w:t xml:space="preserve">. </w:t>
      </w:r>
      <w:r w:rsidRPr="00462A5F">
        <w:rPr>
          <w:rFonts w:ascii="Arial" w:hAnsi="Arial" w:cs="Arial"/>
        </w:rPr>
        <w:t>The corporate strategy to save themselves is a aggressive form of digital sustainability</w:t>
      </w:r>
      <w:r w:rsidRPr="00C55E2A">
        <w:rPr>
          <w:rFonts w:ascii="Arial" w:hAnsi="Arial" w:cs="Arial"/>
        </w:rPr>
        <w:t xml:space="preserve">. </w:t>
      </w:r>
      <w:r w:rsidRPr="00BA27E9">
        <w:rPr>
          <w:rFonts w:ascii="Arial" w:hAnsi="Arial" w:cs="Arial"/>
        </w:rPr>
        <w:t xml:space="preserve">I believe the UK is heading for a legally enforceable ‘Carbon Literacy’ because of DMCC as well as new environmental act </w:t>
      </w:r>
      <w:r>
        <w:rPr>
          <w:rFonts w:ascii="Arial" w:hAnsi="Arial" w:cs="Arial"/>
        </w:rPr>
        <w:t xml:space="preserve">are </w:t>
      </w:r>
      <w:r w:rsidRPr="00BA27E9">
        <w:rPr>
          <w:rFonts w:ascii="Arial" w:hAnsi="Arial" w:cs="Arial"/>
        </w:rPr>
        <w:t>on the way</w:t>
      </w:r>
      <w:r w:rsidRPr="00C55E2A">
        <w:rPr>
          <w:rFonts w:ascii="Arial" w:hAnsi="Arial" w:cs="Arial"/>
        </w:rPr>
        <w:t xml:space="preserve">. Unilever is not just trying to save the planet The company with a valuation of over a billion dollars is making its business model future-ready against fines from regulators and changing instructions from customers. While the environmental benefits on an operational basis are very real and very large the scale, </w:t>
      </w:r>
      <w:r w:rsidRPr="005F2A95">
        <w:rPr>
          <w:rFonts w:ascii="Arial" w:hAnsi="Arial" w:cs="Arial"/>
        </w:rPr>
        <w:t>maybe they’re second-tier because the main reason for doing this is that it guarantees long-term unquestioned dominance in the global economy.</w:t>
      </w:r>
    </w:p>
    <w:p w14:paraId="1B13B5C8" w14:textId="77777777" w:rsidR="00C84D32" w:rsidRPr="00C55E2A" w:rsidRDefault="00C84D32" w:rsidP="0078498F">
      <w:pPr>
        <w:pStyle w:val="Heading2"/>
      </w:pPr>
      <w:bookmarkStart w:id="91" w:name="_Toc231740357"/>
      <w:r w:rsidRPr="00C55E2A">
        <w:t>5.7 Macroeconomic Pressures and the Erosion of the "Green Premium"</w:t>
      </w:r>
      <w:bookmarkEnd w:id="91"/>
    </w:p>
    <w:p w14:paraId="5E318050" w14:textId="77777777" w:rsidR="00C84D32" w:rsidRPr="00C55E2A" w:rsidRDefault="00C84D32" w:rsidP="00C84D32">
      <w:pPr>
        <w:spacing w:after="100" w:afterAutospacing="1" w:line="276" w:lineRule="auto"/>
        <w:rPr>
          <w:rFonts w:ascii="Arial" w:hAnsi="Arial" w:cs="Arial"/>
        </w:rPr>
      </w:pPr>
      <w:r w:rsidRPr="007D7ED9">
        <w:rPr>
          <w:rFonts w:ascii="Arial" w:hAnsi="Arial" w:cs="Arial"/>
        </w:rPr>
        <w:t>Using digital strategies, Unilever is able to build strong media and distribution networks. The hyper-local approach makes them work in each place and community</w:t>
      </w:r>
      <w:r w:rsidRPr="00C55E2A">
        <w:rPr>
          <w:rFonts w:ascii="Arial" w:hAnsi="Arial" w:cs="Arial"/>
        </w:rPr>
        <w:t xml:space="preserve">. </w:t>
      </w:r>
      <w:r w:rsidRPr="00E7325A">
        <w:rPr>
          <w:rFonts w:ascii="Arial" w:hAnsi="Arial" w:cs="Arial"/>
        </w:rPr>
        <w:t>Due to the nature of the global economy, we still need a important discussion of these strategies as we speak. This explain why current situation calls for nothing but this to happen “The Writing Studio” is nothing but the initial source of this post. This report reviews Unilever’s digital strategies and their hyper-local approach</w:t>
      </w:r>
      <w:r w:rsidRPr="00C55E2A">
        <w:rPr>
          <w:rFonts w:ascii="Arial" w:hAnsi="Arial" w:cs="Arial"/>
        </w:rPr>
        <w:t xml:space="preserve">.  </w:t>
      </w:r>
      <w:r w:rsidRPr="00E452F4">
        <w:rPr>
          <w:rFonts w:ascii="Arial" w:hAnsi="Arial" w:cs="Arial"/>
        </w:rPr>
        <w:t xml:space="preserve">FMCG sector globally is facing huge difficulty as people are going through a </w:t>
      </w:r>
      <w:r w:rsidRPr="006C7FC1">
        <w:rPr>
          <w:rFonts w:ascii="Arial" w:hAnsi="Arial" w:cs="Arial"/>
        </w:rPr>
        <w:t>long-lasting</w:t>
      </w:r>
      <w:r w:rsidRPr="00E452F4">
        <w:rPr>
          <w:rFonts w:ascii="Arial" w:hAnsi="Arial" w:cs="Arial"/>
        </w:rPr>
        <w:t xml:space="preserve"> cost of living crisis and strong inflation.</w:t>
      </w:r>
      <w:r w:rsidRPr="00C55E2A">
        <w:rPr>
          <w:rFonts w:ascii="Arial" w:hAnsi="Arial" w:cs="Arial"/>
        </w:rPr>
        <w:t xml:space="preserve"> </w:t>
      </w:r>
      <w:r w:rsidRPr="00D35FB5">
        <w:rPr>
          <w:rFonts w:ascii="Arial" w:hAnsi="Arial" w:cs="Arial"/>
        </w:rPr>
        <w:t>The academic research suggests that there is a growing attitude behaviour gap in this tough economy. People care for sustainability does not reflect on making that choice when purchasing products.</w:t>
      </w:r>
      <w:r w:rsidRPr="00C55E2A">
        <w:rPr>
          <w:rFonts w:ascii="Arial" w:hAnsi="Arial" w:cs="Arial"/>
        </w:rPr>
        <w:t xml:space="preserve"> </w:t>
      </w:r>
      <w:r w:rsidRPr="00F75DB5">
        <w:rPr>
          <w:rFonts w:ascii="Arial" w:hAnsi="Arial" w:cs="Arial"/>
        </w:rPr>
        <w:t>Consumers engage often with the digital sustainability messages of companies. Many consumers either opt not to or cannot afford the extra “green premium” while making their purchases. (</w:t>
      </w:r>
      <w:proofErr w:type="spellStart"/>
      <w:r w:rsidRPr="00F75DB5">
        <w:rPr>
          <w:rFonts w:ascii="Arial" w:hAnsi="Arial" w:cs="Arial"/>
        </w:rPr>
        <w:t>Kollmuss</w:t>
      </w:r>
      <w:proofErr w:type="spellEnd"/>
      <w:r w:rsidRPr="00F75DB5">
        <w:rPr>
          <w:rFonts w:ascii="Arial" w:hAnsi="Arial" w:cs="Arial"/>
        </w:rPr>
        <w:t xml:space="preserve"> and Agyeman, 2002).</w:t>
      </w:r>
      <w:r>
        <w:rPr>
          <w:rFonts w:ascii="Arial" w:hAnsi="Arial" w:cs="Arial"/>
        </w:rPr>
        <w:t xml:space="preserve"> </w:t>
      </w:r>
      <w:r w:rsidRPr="00BD4243">
        <w:rPr>
          <w:rFonts w:ascii="Arial" w:hAnsi="Arial" w:cs="Arial"/>
        </w:rPr>
        <w:t>The evidence provided shows how Unilever adjusts the positioning of its sustainability message in response to challenging economies in the UK and India. This allows the company to stay steady within the nations at the same stage, even during tight money conditions and price concern.</w:t>
      </w:r>
    </w:p>
    <w:p w14:paraId="2C1461EB" w14:textId="77777777" w:rsidR="00C84D32" w:rsidRPr="0078498F" w:rsidRDefault="00C84D32" w:rsidP="0078498F">
      <w:pPr>
        <w:pStyle w:val="Heading3"/>
      </w:pPr>
      <w:bookmarkStart w:id="92" w:name="_Toc231740358"/>
      <w:r w:rsidRPr="0078498F">
        <w:t>5.7.1 The UK Market: From "Eco-Premium" to "Eco-Efficiency"</w:t>
      </w:r>
      <w:bookmarkEnd w:id="92"/>
    </w:p>
    <w:p w14:paraId="24FD3A95" w14:textId="77777777" w:rsidR="00C84D32" w:rsidRDefault="00C84D32" w:rsidP="00C84D32">
      <w:pPr>
        <w:spacing w:after="100" w:afterAutospacing="1" w:line="276" w:lineRule="auto"/>
        <w:rPr>
          <w:rFonts w:ascii="Arial" w:hAnsi="Arial" w:cs="Arial"/>
        </w:rPr>
      </w:pPr>
      <w:r w:rsidRPr="00860AE6">
        <w:rPr>
          <w:rFonts w:ascii="Arial" w:hAnsi="Arial" w:cs="Arial"/>
        </w:rPr>
        <w:t xml:space="preserve">In the UK, </w:t>
      </w:r>
      <w:r w:rsidRPr="006A66E3">
        <w:rPr>
          <w:rFonts w:ascii="Arial" w:hAnsi="Arial" w:cs="Arial"/>
        </w:rPr>
        <w:t>promotion teams</w:t>
      </w:r>
      <w:r>
        <w:rPr>
          <w:rFonts w:ascii="Arial" w:hAnsi="Arial" w:cs="Arial"/>
        </w:rPr>
        <w:t xml:space="preserve"> </w:t>
      </w:r>
      <w:r w:rsidRPr="00860AE6">
        <w:rPr>
          <w:rFonts w:ascii="Arial" w:hAnsi="Arial" w:cs="Arial"/>
        </w:rPr>
        <w:t>can never say buy sustainability because it is the right thing. Due to inflation, families are feeling the pressure. Having to give up other options, customers will now say, don’t make me buy your version of sustainability.</w:t>
      </w:r>
      <w:r>
        <w:rPr>
          <w:rFonts w:ascii="Arial" w:hAnsi="Arial" w:cs="Arial"/>
        </w:rPr>
        <w:t xml:space="preserve"> </w:t>
      </w:r>
      <w:r w:rsidRPr="001824CB">
        <w:rPr>
          <w:rFonts w:ascii="Arial" w:hAnsi="Arial" w:cs="Arial"/>
        </w:rPr>
        <w:t xml:space="preserve">According to </w:t>
      </w:r>
      <w:proofErr w:type="spellStart"/>
      <w:r w:rsidRPr="001824CB">
        <w:rPr>
          <w:rFonts w:ascii="Arial" w:hAnsi="Arial" w:cs="Arial"/>
        </w:rPr>
        <w:t>Kollmuss</w:t>
      </w:r>
      <w:proofErr w:type="spellEnd"/>
      <w:r w:rsidRPr="001824CB">
        <w:rPr>
          <w:rFonts w:ascii="Arial" w:hAnsi="Arial" w:cs="Arial"/>
        </w:rPr>
        <w:t xml:space="preserve"> and Agyeman (2002), this situation happens very often</w:t>
      </w:r>
      <w:r>
        <w:rPr>
          <w:rFonts w:ascii="Arial" w:hAnsi="Arial" w:cs="Arial"/>
        </w:rPr>
        <w:t>,</w:t>
      </w:r>
      <w:r w:rsidRPr="00F66CD2">
        <w:rPr>
          <w:rFonts w:ascii="Arial" w:hAnsi="Arial" w:cs="Arial"/>
          <w:color w:val="0F172A"/>
          <w:spacing w:val="-2"/>
          <w:sz w:val="22"/>
          <w:szCs w:val="22"/>
          <w:bdr w:val="single" w:sz="2" w:space="0" w:color="E2E8F0" w:frame="1"/>
          <w:shd w:val="clear" w:color="auto" w:fill="FFFFFF"/>
        </w:rPr>
        <w:t xml:space="preserve"> </w:t>
      </w:r>
      <w:r w:rsidRPr="00F66CD2">
        <w:rPr>
          <w:rFonts w:ascii="Arial" w:hAnsi="Arial" w:cs="Arial"/>
        </w:rPr>
        <w:t>Like a lot of U.K. consumers</w:t>
      </w:r>
      <w:r w:rsidRPr="001824CB">
        <w:rPr>
          <w:rFonts w:ascii="Arial" w:hAnsi="Arial" w:cs="Arial"/>
        </w:rPr>
        <w:t>, I am fed up with it. Brands keep asking me to pay more for sustainable packaging, that’s why.</w:t>
      </w:r>
    </w:p>
    <w:p w14:paraId="21BD212D" w14:textId="77777777" w:rsidR="00C84D32" w:rsidRDefault="00C84D32" w:rsidP="00C84D32">
      <w:pPr>
        <w:spacing w:after="100" w:afterAutospacing="1" w:line="276" w:lineRule="auto"/>
        <w:rPr>
          <w:rFonts w:ascii="Arial" w:hAnsi="Arial" w:cs="Arial"/>
        </w:rPr>
      </w:pPr>
      <w:r w:rsidRPr="00BC06DE">
        <w:rPr>
          <w:rFonts w:ascii="Arial" w:hAnsi="Arial" w:cs="Arial"/>
          <w:lang w:val="en-IN"/>
        </w:rPr>
        <w:t>Unilever has changed the plan of Hellmann's to not charge extra for eco-friendly products. They have switched to focus on 'eco-efficiency. Hence, Unilever solved the economic problem in this way</w:t>
      </w:r>
      <w:r w:rsidRPr="00C55E2A">
        <w:rPr>
          <w:rFonts w:ascii="Arial" w:hAnsi="Arial" w:cs="Arial"/>
        </w:rPr>
        <w:t>.</w:t>
      </w:r>
      <w:r>
        <w:rPr>
          <w:rFonts w:ascii="Arial" w:hAnsi="Arial" w:cs="Arial"/>
        </w:rPr>
        <w:t xml:space="preserve"> </w:t>
      </w:r>
      <w:r w:rsidRPr="00C22C4A">
        <w:rPr>
          <w:rFonts w:ascii="Arial" w:hAnsi="Arial" w:cs="Arial"/>
        </w:rPr>
        <w:t>their first level of algorithm tools guide small digital changes.</w:t>
      </w:r>
      <w:r w:rsidRPr="00C55E2A">
        <w:rPr>
          <w:rFonts w:ascii="Arial" w:hAnsi="Arial" w:cs="Arial"/>
        </w:rPr>
        <w:t xml:space="preserve"> </w:t>
      </w:r>
      <w:r w:rsidRPr="00F45F42">
        <w:rPr>
          <w:rFonts w:ascii="Arial" w:hAnsi="Arial" w:cs="Arial"/>
        </w:rPr>
        <w:t>When families use Hellmann’s digital AI tools, they waste less food at home and save more money at their weekly spending. So basically, these tools help people use up whatever they have at home without them just throwing it away.</w:t>
      </w:r>
    </w:p>
    <w:p w14:paraId="6FAE73EA" w14:textId="77777777" w:rsidR="00C84D32" w:rsidRPr="00C55E2A" w:rsidRDefault="00C84D32" w:rsidP="00C84D32">
      <w:pPr>
        <w:spacing w:after="100" w:afterAutospacing="1" w:line="276" w:lineRule="auto"/>
        <w:rPr>
          <w:rFonts w:ascii="Arial" w:hAnsi="Arial" w:cs="Arial"/>
        </w:rPr>
      </w:pPr>
      <w:r w:rsidRPr="006F736B">
        <w:rPr>
          <w:rFonts w:ascii="Arial" w:hAnsi="Arial" w:cs="Arial"/>
        </w:rPr>
        <w:t xml:space="preserve">In my view, more developed markets, digital sustainability marketing often becomes a subtle way of reducing the price of people’s </w:t>
      </w:r>
      <w:r>
        <w:rPr>
          <w:rFonts w:ascii="Arial" w:hAnsi="Arial" w:cs="Arial"/>
        </w:rPr>
        <w:t xml:space="preserve">daily need things, </w:t>
      </w:r>
      <w:r w:rsidRPr="006F736B">
        <w:rPr>
          <w:rFonts w:ascii="Arial" w:hAnsi="Arial" w:cs="Arial"/>
        </w:rPr>
        <w:t>as companies try to make green choices less expensive</w:t>
      </w:r>
      <w:r>
        <w:rPr>
          <w:rFonts w:ascii="Arial" w:hAnsi="Arial" w:cs="Arial"/>
        </w:rPr>
        <w:t xml:space="preserve"> so that people can easily but it</w:t>
      </w:r>
      <w:r w:rsidRPr="006F736B">
        <w:rPr>
          <w:rFonts w:ascii="Arial" w:hAnsi="Arial" w:cs="Arial"/>
        </w:rPr>
        <w:t xml:space="preserve">. This way, consumers </w:t>
      </w:r>
      <w:r>
        <w:rPr>
          <w:rFonts w:ascii="Arial" w:hAnsi="Arial" w:cs="Arial"/>
        </w:rPr>
        <w:t>who wants to save some money while purchasing do not have to more worry about sustainability as they mainly focus on saving some money without any guilt.</w:t>
      </w:r>
    </w:p>
    <w:p w14:paraId="12A1DD88" w14:textId="77777777" w:rsidR="00C84D32" w:rsidRPr="0078498F" w:rsidRDefault="00C84D32" w:rsidP="0078498F">
      <w:pPr>
        <w:pStyle w:val="Heading3"/>
      </w:pPr>
      <w:bookmarkStart w:id="93" w:name="_Toc231740359"/>
      <w:r w:rsidRPr="0078498F">
        <w:t>5.7.2 The Indian Market: Value-Based Pricing and the Sachet Economy</w:t>
      </w:r>
      <w:bookmarkEnd w:id="93"/>
    </w:p>
    <w:p w14:paraId="66BC7841" w14:textId="77777777" w:rsidR="00C84D32" w:rsidRPr="00C55E2A" w:rsidRDefault="00C84D32" w:rsidP="00C84D32">
      <w:pPr>
        <w:spacing w:after="100" w:afterAutospacing="1" w:line="276" w:lineRule="auto"/>
        <w:rPr>
          <w:rFonts w:ascii="Arial" w:hAnsi="Arial" w:cs="Arial"/>
        </w:rPr>
      </w:pPr>
      <w:r w:rsidRPr="0038205A">
        <w:rPr>
          <w:rFonts w:ascii="Arial" w:hAnsi="Arial" w:cs="Arial"/>
        </w:rPr>
        <w:t>The issue of eco-friendly premium in India cannot be separated from the way the FMCG market operates – many people buy products in small single-use packs. The “single serving” structure influences customer behaviour and makes it harder for brands to charge a extra cost for green options.</w:t>
      </w:r>
      <w:r>
        <w:rPr>
          <w:rFonts w:ascii="Arial" w:hAnsi="Arial" w:cs="Arial"/>
        </w:rPr>
        <w:t xml:space="preserve"> </w:t>
      </w:r>
      <w:r w:rsidRPr="00194ACC">
        <w:rPr>
          <w:rFonts w:ascii="Arial" w:hAnsi="Arial" w:cs="Arial"/>
        </w:rPr>
        <w:t xml:space="preserve">Showed Viswanathan, Sridharan and Ritchie (2010) </w:t>
      </w:r>
      <w:r>
        <w:rPr>
          <w:rFonts w:ascii="Arial" w:hAnsi="Arial" w:cs="Arial"/>
        </w:rPr>
        <w:t xml:space="preserve">said </w:t>
      </w:r>
      <w:r w:rsidRPr="00194ACC">
        <w:rPr>
          <w:rFonts w:ascii="Arial" w:hAnsi="Arial" w:cs="Arial"/>
        </w:rPr>
        <w:t>that the only thing people in India who have little or no money can afford are the little single</w:t>
      </w:r>
      <w:r w:rsidRPr="00194ACC">
        <w:rPr>
          <w:rFonts w:ascii="Cambria Math" w:hAnsi="Cambria Math" w:cs="Cambria Math"/>
        </w:rPr>
        <w:t>‐</w:t>
      </w:r>
      <w:r w:rsidRPr="00194ACC">
        <w:rPr>
          <w:rFonts w:ascii="Arial" w:hAnsi="Arial" w:cs="Arial"/>
        </w:rPr>
        <w:t>use packs.</w:t>
      </w:r>
      <w:r>
        <w:rPr>
          <w:rFonts w:ascii="Arial" w:hAnsi="Arial" w:cs="Arial"/>
        </w:rPr>
        <w:t xml:space="preserve"> </w:t>
      </w:r>
      <w:r w:rsidRPr="00E92650">
        <w:rPr>
          <w:rFonts w:ascii="Arial" w:hAnsi="Arial" w:cs="Arial"/>
        </w:rPr>
        <w:t>According to Unilever India, they are not going to face the issue of price since their sustainability work has nothing to do with ‘good’ and ‘bad’. It involves constructing social infrastructure that can benefit everyone.</w:t>
      </w:r>
      <w:r>
        <w:rPr>
          <w:rFonts w:ascii="Arial" w:hAnsi="Arial" w:cs="Arial"/>
        </w:rPr>
        <w:t xml:space="preserve"> </w:t>
      </w:r>
      <w:r w:rsidRPr="00A012F1">
        <w:rPr>
          <w:rFonts w:ascii="Arial" w:hAnsi="Arial" w:cs="Arial"/>
        </w:rPr>
        <w:t>The brand is not like Lifebuoy or Project Shakti and does not sell sustainability by charging consumers a premium for “green” ingredients. Instead, it pulls people into a larger narrative about public health and women’s empowerment to generate higher payment.</w:t>
      </w:r>
      <w:r>
        <w:rPr>
          <w:rFonts w:ascii="Arial" w:hAnsi="Arial" w:cs="Arial"/>
        </w:rPr>
        <w:t xml:space="preserve"> </w:t>
      </w:r>
      <w:r w:rsidRPr="00A26D77">
        <w:rPr>
          <w:rFonts w:ascii="Arial" w:hAnsi="Arial" w:cs="Arial"/>
        </w:rPr>
        <w:t>Unilever's message to consumers is going from ‘eco’ to ‘social good’. We are</w:t>
      </w:r>
      <w:r>
        <w:rPr>
          <w:rFonts w:ascii="Arial" w:hAnsi="Arial" w:cs="Arial"/>
        </w:rPr>
        <w:t xml:space="preserve"> </w:t>
      </w:r>
      <w:r w:rsidRPr="00A26D77">
        <w:rPr>
          <w:rFonts w:ascii="Arial" w:hAnsi="Arial" w:cs="Arial"/>
        </w:rPr>
        <w:t xml:space="preserve">seeing more and more </w:t>
      </w:r>
      <w:r>
        <w:rPr>
          <w:rFonts w:ascii="Arial" w:hAnsi="Arial" w:cs="Arial"/>
        </w:rPr>
        <w:t xml:space="preserve">that </w:t>
      </w:r>
      <w:r w:rsidRPr="00A26D77">
        <w:rPr>
          <w:rFonts w:ascii="Arial" w:hAnsi="Arial" w:cs="Arial"/>
        </w:rPr>
        <w:t>it translates to very local online messaging for everyday helpful actions.</w:t>
      </w:r>
      <w:r w:rsidRPr="00C55E2A">
        <w:rPr>
          <w:rFonts w:ascii="Arial" w:hAnsi="Arial" w:cs="Arial"/>
        </w:rPr>
        <w:t xml:space="preserve"> </w:t>
      </w:r>
    </w:p>
    <w:p w14:paraId="675E4B40" w14:textId="77777777" w:rsidR="00C84D32" w:rsidRPr="00C55E2A" w:rsidRDefault="00C84D32" w:rsidP="00C84D32">
      <w:pPr>
        <w:spacing w:after="100" w:afterAutospacing="1" w:line="276" w:lineRule="auto"/>
        <w:rPr>
          <w:rFonts w:ascii="Arial" w:hAnsi="Arial" w:cs="Arial"/>
        </w:rPr>
      </w:pPr>
      <w:r w:rsidRPr="00B33572">
        <w:rPr>
          <w:rFonts w:ascii="Arial" w:hAnsi="Arial" w:cs="Arial"/>
        </w:rPr>
        <w:t xml:space="preserve">The additional charge is not a "green" cost, but rather effectively a local social fairness </w:t>
      </w:r>
      <w:r>
        <w:rPr>
          <w:rFonts w:ascii="Arial" w:hAnsi="Arial" w:cs="Arial"/>
        </w:rPr>
        <w:t>fee</w:t>
      </w:r>
      <w:r w:rsidRPr="00C55E2A">
        <w:rPr>
          <w:rFonts w:ascii="Arial" w:hAnsi="Arial" w:cs="Arial"/>
        </w:rPr>
        <w:t>.</w:t>
      </w:r>
      <w:r>
        <w:rPr>
          <w:rFonts w:ascii="Arial" w:hAnsi="Arial" w:cs="Arial"/>
        </w:rPr>
        <w:t xml:space="preserve"> </w:t>
      </w:r>
      <w:r w:rsidRPr="0001376B">
        <w:rPr>
          <w:rFonts w:ascii="Arial" w:hAnsi="Arial" w:cs="Arial"/>
        </w:rPr>
        <w:t xml:space="preserve">According to Burgess and Steenkamp (2006), social advantage is the most valued quality of customers in developing countries. </w:t>
      </w:r>
      <w:r>
        <w:rPr>
          <w:rFonts w:ascii="Arial" w:hAnsi="Arial" w:cs="Arial"/>
        </w:rPr>
        <w:t xml:space="preserve">It </w:t>
      </w:r>
      <w:r w:rsidRPr="0001376B">
        <w:rPr>
          <w:rFonts w:ascii="Arial" w:hAnsi="Arial" w:cs="Arial"/>
        </w:rPr>
        <w:t>protects brands from being forced to change prices.</w:t>
      </w:r>
    </w:p>
    <w:p w14:paraId="2779B6D6" w14:textId="77777777" w:rsidR="00C84D32" w:rsidRPr="0078498F" w:rsidRDefault="00C84D32" w:rsidP="0078498F">
      <w:pPr>
        <w:pStyle w:val="Heading2"/>
      </w:pPr>
      <w:bookmarkStart w:id="94" w:name="_Toc231740360"/>
      <w:r w:rsidRPr="0078498F">
        <w:t>5.8 The Weaponization of Digital Transparency as a Barrier to Entry</w:t>
      </w:r>
      <w:bookmarkEnd w:id="94"/>
    </w:p>
    <w:p w14:paraId="0367E864" w14:textId="77777777" w:rsidR="00C84D32" w:rsidRDefault="00C84D32" w:rsidP="00C84D32">
      <w:pPr>
        <w:spacing w:after="100" w:afterAutospacing="1" w:line="276" w:lineRule="auto"/>
        <w:rPr>
          <w:rFonts w:ascii="Arial" w:hAnsi="Arial" w:cs="Arial"/>
        </w:rPr>
      </w:pPr>
      <w:r w:rsidRPr="000F2C89">
        <w:rPr>
          <w:rFonts w:ascii="Arial" w:hAnsi="Arial" w:cs="Arial"/>
        </w:rPr>
        <w:t>This paper through Signalling Theory introduces a new idea of exploitation of transparency. Modern-day international companies have started adopting transparency and openness to an extreme degree.</w:t>
      </w:r>
      <w:r>
        <w:rPr>
          <w:rFonts w:ascii="Arial" w:hAnsi="Arial" w:cs="Arial"/>
        </w:rPr>
        <w:t xml:space="preserve"> </w:t>
      </w:r>
      <w:r w:rsidRPr="004264EE">
        <w:rPr>
          <w:rFonts w:ascii="Arial" w:hAnsi="Arial" w:cs="Arial"/>
        </w:rPr>
        <w:t xml:space="preserve">Unilever </w:t>
      </w:r>
      <w:r>
        <w:rPr>
          <w:rFonts w:ascii="Arial" w:hAnsi="Arial" w:cs="Arial"/>
        </w:rPr>
        <w:t>shows</w:t>
      </w:r>
      <w:r w:rsidRPr="004264EE">
        <w:rPr>
          <w:rFonts w:ascii="Arial" w:hAnsi="Arial" w:cs="Arial"/>
        </w:rPr>
        <w:t xml:space="preserve"> a big show by spending on costly digital tools</w:t>
      </w:r>
      <w:r>
        <w:rPr>
          <w:rFonts w:ascii="Arial" w:hAnsi="Arial" w:cs="Arial"/>
        </w:rPr>
        <w:t xml:space="preserve"> like, </w:t>
      </w:r>
      <w:r w:rsidRPr="004264EE">
        <w:rPr>
          <w:rFonts w:ascii="Arial" w:hAnsi="Arial" w:cs="Arial"/>
        </w:rPr>
        <w:t>advanced tracking hubs, blockchain checks, real</w:t>
      </w:r>
      <w:r w:rsidRPr="004264EE">
        <w:rPr>
          <w:rFonts w:ascii="Arial" w:hAnsi="Arial" w:cs="Arial"/>
        </w:rPr>
        <w:noBreakHyphen/>
        <w:t>time carbon data</w:t>
      </w:r>
      <w:r>
        <w:rPr>
          <w:rFonts w:ascii="Arial" w:hAnsi="Arial" w:cs="Arial"/>
        </w:rPr>
        <w:t xml:space="preserve">, </w:t>
      </w:r>
      <w:r w:rsidRPr="004264EE">
        <w:rPr>
          <w:rFonts w:ascii="Arial" w:hAnsi="Arial" w:cs="Arial"/>
        </w:rPr>
        <w:t xml:space="preserve">to signal strong ethics to </w:t>
      </w:r>
      <w:r>
        <w:rPr>
          <w:rFonts w:ascii="Arial" w:hAnsi="Arial" w:cs="Arial"/>
        </w:rPr>
        <w:t>everyone</w:t>
      </w:r>
      <w:r w:rsidRPr="00BC48B0">
        <w:rPr>
          <w:rFonts w:ascii="Arial" w:hAnsi="Arial" w:cs="Arial"/>
          <w:color w:val="0F172A"/>
          <w:spacing w:val="-2"/>
          <w:sz w:val="22"/>
          <w:szCs w:val="22"/>
          <w:shd w:val="clear" w:color="auto" w:fill="FFFFFF"/>
        </w:rPr>
        <w:t xml:space="preserve"> </w:t>
      </w:r>
      <w:r w:rsidRPr="00BC48B0">
        <w:rPr>
          <w:rFonts w:ascii="Arial" w:hAnsi="Arial" w:cs="Arial"/>
        </w:rPr>
        <w:t>But they also pose a pretty big business challenge, this is because building such a large system of digital transparency requires a lot of money and small local FMCG companies cannot afford it, as per Marquis and Toffel (2012)</w:t>
      </w:r>
      <w:r w:rsidRPr="004264EE">
        <w:rPr>
          <w:rFonts w:ascii="Arial" w:hAnsi="Arial" w:cs="Arial"/>
        </w:rPr>
        <w:t>.</w:t>
      </w:r>
    </w:p>
    <w:p w14:paraId="444B0418" w14:textId="77777777" w:rsidR="00C84D32" w:rsidRPr="00C4341F" w:rsidRDefault="00C84D32" w:rsidP="00C84D32">
      <w:pPr>
        <w:spacing w:after="100" w:afterAutospacing="1" w:line="276" w:lineRule="auto"/>
        <w:rPr>
          <w:rFonts w:ascii="Arial" w:hAnsi="Arial" w:cs="Arial"/>
          <w:lang w:val="en-IN"/>
        </w:rPr>
      </w:pPr>
      <w:r w:rsidRPr="003D0F60">
        <w:rPr>
          <w:rFonts w:ascii="Arial" w:hAnsi="Arial" w:cs="Arial"/>
          <w:lang w:val="en-IN"/>
        </w:rPr>
        <w:t>Unilever is creating a new benchmark in the UK where customers will expect to scan the QR code and immediately view the full and verified carbon story of a product</w:t>
      </w:r>
      <w:r w:rsidRPr="00C55E2A">
        <w:rPr>
          <w:rFonts w:ascii="Arial" w:hAnsi="Arial" w:cs="Arial"/>
        </w:rPr>
        <w:t>.</w:t>
      </w:r>
      <w:r>
        <w:rPr>
          <w:rFonts w:ascii="Arial" w:hAnsi="Arial" w:cs="Arial"/>
        </w:rPr>
        <w:t xml:space="preserve"> </w:t>
      </w:r>
      <w:r w:rsidRPr="007423D6">
        <w:rPr>
          <w:rFonts w:ascii="Arial" w:hAnsi="Arial" w:cs="Arial"/>
        </w:rPr>
        <w:t>It mainly isn't about educating consumers.</w:t>
      </w:r>
      <w:r w:rsidRPr="006E23A0">
        <w:rPr>
          <w:rFonts w:ascii="Arial" w:hAnsi="Arial" w:cs="Arial"/>
          <w:color w:val="9333EA"/>
          <w:spacing w:val="-2"/>
          <w:sz w:val="22"/>
          <w:szCs w:val="22"/>
          <w:bdr w:val="single" w:sz="2" w:space="0" w:color="E2E8F0" w:frame="1"/>
          <w:shd w:val="clear" w:color="auto" w:fill="FFFFFF"/>
        </w:rPr>
        <w:t xml:space="preserve"> </w:t>
      </w:r>
      <w:r w:rsidRPr="006E23A0">
        <w:rPr>
          <w:rFonts w:ascii="Arial" w:hAnsi="Arial" w:cs="Arial"/>
        </w:rPr>
        <w:t>Digital sustainability means keeping a check or an eye on one’s digital activities</w:t>
      </w:r>
      <w:r>
        <w:rPr>
          <w:rFonts w:ascii="Arial" w:hAnsi="Arial" w:cs="Arial"/>
        </w:rPr>
        <w:t xml:space="preserve">. </w:t>
      </w:r>
      <w:r w:rsidRPr="00C62ED8">
        <w:rPr>
          <w:rFonts w:ascii="Arial" w:hAnsi="Arial" w:cs="Arial"/>
        </w:rPr>
        <w:t>In my opinion, how do you know when an FMCG global major is in the room? Gallagher and Fisher (2024) say times are tough in the FMCG.</w:t>
      </w:r>
      <w:r w:rsidRPr="009722D7">
        <w:rPr>
          <w:rFonts w:ascii="Arial" w:hAnsi="Arial" w:cs="Arial"/>
          <w:color w:val="9333EA"/>
          <w:spacing w:val="-2"/>
          <w:sz w:val="22"/>
          <w:szCs w:val="22"/>
          <w:bdr w:val="single" w:sz="2" w:space="0" w:color="E2E8F0" w:frame="1"/>
          <w:shd w:val="clear" w:color="auto" w:fill="FFFFFF"/>
        </w:rPr>
        <w:t xml:space="preserve"> </w:t>
      </w:r>
      <w:r w:rsidRPr="009722D7">
        <w:rPr>
          <w:rFonts w:ascii="Arial" w:hAnsi="Arial" w:cs="Arial"/>
        </w:rPr>
        <w:t>According to Marquis and Toffel (2012), with tighter ESG regulation such as the DMCC Act in the UK or the BRSR in India made compulsory, no corporation can down-grade its digital transparency or be locked-out of the “ethical” market. Unilever's complete digital clarity surpasses</w:t>
      </w:r>
      <w:r>
        <w:rPr>
          <w:rFonts w:ascii="Arial" w:hAnsi="Arial" w:cs="Arial"/>
        </w:rPr>
        <w:t xml:space="preserve"> </w:t>
      </w:r>
      <w:r w:rsidRPr="009722D7">
        <w:rPr>
          <w:rFonts w:ascii="Arial" w:hAnsi="Arial" w:cs="Arial"/>
        </w:rPr>
        <w:t>its smaller competitors.</w:t>
      </w:r>
    </w:p>
    <w:p w14:paraId="6D5D56B8" w14:textId="30D4CDD3" w:rsidR="00C84D32" w:rsidRPr="00C55E2A" w:rsidRDefault="00C84D32" w:rsidP="00C84D32">
      <w:pPr>
        <w:rPr>
          <w:rFonts w:ascii="Arial" w:hAnsi="Arial" w:cs="Arial"/>
        </w:rPr>
      </w:pPr>
      <w:r>
        <w:rPr>
          <w:rFonts w:ascii="Arial" w:hAnsi="Arial" w:cs="Arial"/>
        </w:rPr>
        <w:br w:type="page"/>
      </w:r>
    </w:p>
    <w:p w14:paraId="5B7209AF" w14:textId="77777777" w:rsidR="00C84D32" w:rsidRPr="0078498F" w:rsidRDefault="00C84D32" w:rsidP="0078498F">
      <w:pPr>
        <w:pStyle w:val="Heading1"/>
      </w:pPr>
      <w:bookmarkStart w:id="95" w:name="_Toc231740361"/>
      <w:r w:rsidRPr="0078498F">
        <w:t>Chapter 6: Conclusion and Recommendations</w:t>
      </w:r>
      <w:bookmarkEnd w:id="95"/>
    </w:p>
    <w:p w14:paraId="40EA63E1" w14:textId="77777777" w:rsidR="00C84D32" w:rsidRPr="0078498F" w:rsidRDefault="00C84D32" w:rsidP="0078498F">
      <w:pPr>
        <w:pStyle w:val="Heading2"/>
      </w:pPr>
      <w:bookmarkStart w:id="96" w:name="_Toc231740362"/>
      <w:r w:rsidRPr="0078498F">
        <w:t>6.1 Introduction to the Conclusion</w:t>
      </w:r>
      <w:bookmarkEnd w:id="96"/>
    </w:p>
    <w:p w14:paraId="7B067864"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EE6C2C">
        <w:rPr>
          <w:rFonts w:ascii="Arial" w:eastAsia="Times New Roman" w:hAnsi="Arial" w:cs="Arial"/>
          <w:kern w:val="0"/>
          <w:lang w:eastAsia="en-GB"/>
          <w14:ligatures w14:val="none"/>
        </w:rPr>
        <w:t xml:space="preserve">FMCG sector is going through what can be called a “Dual Transformation.” This means companies have to </w:t>
      </w:r>
      <w:r>
        <w:rPr>
          <w:rFonts w:ascii="Arial" w:eastAsia="Times New Roman" w:hAnsi="Arial" w:cs="Arial"/>
          <w:kern w:val="0"/>
          <w:lang w:eastAsia="en-GB"/>
          <w14:ligatures w14:val="none"/>
        </w:rPr>
        <w:t>add</w:t>
      </w:r>
      <w:r w:rsidRPr="00EE6C2C">
        <w:rPr>
          <w:rFonts w:ascii="Arial" w:eastAsia="Times New Roman" w:hAnsi="Arial" w:cs="Arial"/>
          <w:kern w:val="0"/>
          <w:lang w:eastAsia="en-GB"/>
          <w14:ligatures w14:val="none"/>
        </w:rPr>
        <w:t xml:space="preserve"> advanced digital tools in each part of the business while </w:t>
      </w:r>
      <w:r>
        <w:rPr>
          <w:rFonts w:ascii="Arial" w:eastAsia="Times New Roman" w:hAnsi="Arial" w:cs="Arial"/>
          <w:kern w:val="0"/>
          <w:lang w:eastAsia="en-GB"/>
          <w14:ligatures w14:val="none"/>
        </w:rPr>
        <w:t>fit in</w:t>
      </w:r>
      <w:r w:rsidRPr="00EE6C2C">
        <w:rPr>
          <w:rFonts w:ascii="Arial" w:eastAsia="Times New Roman" w:hAnsi="Arial" w:cs="Arial"/>
          <w:kern w:val="0"/>
          <w:lang w:eastAsia="en-GB"/>
          <w14:ligatures w14:val="none"/>
        </w:rPr>
        <w:t xml:space="preserve"> strong green ideas across the organisation at the same time.</w:t>
      </w:r>
      <w:r w:rsidRPr="00C55E2A">
        <w:rPr>
          <w:rFonts w:ascii="Arial" w:eastAsia="Times New Roman" w:hAnsi="Arial" w:cs="Arial"/>
          <w:kern w:val="0"/>
          <w:lang w:eastAsia="en-GB"/>
          <w14:ligatures w14:val="none"/>
        </w:rPr>
        <w:t xml:space="preserve"> </w:t>
      </w:r>
      <w:r w:rsidRPr="00880454">
        <w:rPr>
          <w:rFonts w:ascii="Arial" w:eastAsia="Times New Roman" w:hAnsi="Arial" w:cs="Arial"/>
          <w:kern w:val="0"/>
          <w:lang w:eastAsia="en-GB"/>
          <w14:ligatures w14:val="none"/>
        </w:rPr>
        <w:t>Put another way, a modern-day business would need to be able to carry out everything on computer systems while taking the environment into consideration, not the other way around.</w:t>
      </w:r>
      <w:r>
        <w:rPr>
          <w:rFonts w:ascii="Arial" w:eastAsia="Times New Roman" w:hAnsi="Arial" w:cs="Arial"/>
          <w:kern w:val="0"/>
          <w:lang w:eastAsia="en-GB"/>
          <w14:ligatures w14:val="none"/>
        </w:rPr>
        <w:t xml:space="preserve"> </w:t>
      </w:r>
      <w:r w:rsidRPr="00C55E2A">
        <w:rPr>
          <w:rFonts w:ascii="Arial" w:eastAsia="Times New Roman" w:hAnsi="Arial" w:cs="Arial"/>
          <w:kern w:val="0"/>
          <w:lang w:eastAsia="en-GB"/>
          <w14:ligatures w14:val="none"/>
        </w:rPr>
        <w:t xml:space="preserve">The dissertation will critically </w:t>
      </w:r>
      <w:r w:rsidRPr="005F2927">
        <w:rPr>
          <w:rFonts w:ascii="Arial" w:eastAsia="Times New Roman" w:hAnsi="Arial" w:cs="Arial"/>
          <w:kern w:val="0"/>
          <w:lang w:eastAsia="en-GB"/>
          <w14:ligatures w14:val="none"/>
        </w:rPr>
        <w:t xml:space="preserve">explore how Unilever, i.e. a company at the front of this shift, is using digital marketing and sustainability in two different worlds – the UK and India – to move away from traditional mass marketing. The purpose of this assignment is to </w:t>
      </w:r>
      <w:proofErr w:type="spellStart"/>
      <w:r w:rsidRPr="005F2927">
        <w:rPr>
          <w:rFonts w:ascii="Arial" w:eastAsia="Times New Roman" w:hAnsi="Arial" w:cs="Arial"/>
          <w:kern w:val="0"/>
          <w:lang w:eastAsia="en-GB"/>
          <w14:ligatures w14:val="none"/>
        </w:rPr>
        <w:t>analyze</w:t>
      </w:r>
      <w:proofErr w:type="spellEnd"/>
      <w:r w:rsidRPr="005F2927">
        <w:rPr>
          <w:rFonts w:ascii="Arial" w:eastAsia="Times New Roman" w:hAnsi="Arial" w:cs="Arial"/>
          <w:kern w:val="0"/>
          <w:lang w:eastAsia="en-GB"/>
          <w14:ligatures w14:val="none"/>
        </w:rPr>
        <w:t xml:space="preserve"> the approaches used by the company.</w:t>
      </w:r>
      <w:r w:rsidRPr="00C55E2A">
        <w:rPr>
          <w:rFonts w:ascii="Arial" w:eastAsia="Times New Roman" w:hAnsi="Arial" w:cs="Arial"/>
          <w:kern w:val="0"/>
          <w:lang w:eastAsia="en-GB"/>
          <w14:ligatures w14:val="none"/>
        </w:rPr>
        <w:t xml:space="preserve"> </w:t>
      </w:r>
    </w:p>
    <w:p w14:paraId="4245835F" w14:textId="77777777" w:rsidR="00C84D32" w:rsidRDefault="00C84D32" w:rsidP="00C84D32">
      <w:pPr>
        <w:spacing w:after="100" w:afterAutospacing="1" w:line="276" w:lineRule="auto"/>
        <w:rPr>
          <w:rFonts w:ascii="Arial" w:eastAsia="Times New Roman" w:hAnsi="Arial" w:cs="Arial"/>
          <w:kern w:val="0"/>
          <w:lang w:eastAsia="en-GB"/>
          <w14:ligatures w14:val="none"/>
        </w:rPr>
      </w:pPr>
      <w:r w:rsidRPr="00115F0F">
        <w:rPr>
          <w:rFonts w:ascii="Arial" w:eastAsia="Times New Roman" w:hAnsi="Arial" w:cs="Arial"/>
          <w:kern w:val="0"/>
          <w:lang w:eastAsia="en-GB"/>
          <w14:ligatures w14:val="none"/>
        </w:rPr>
        <w:t>This research is a detailed study comparing two cases. It uses a perspective of trying to understand how people take in information. The paper investigates the “Trust-Digital Paradox”. The paradox questions why people don’t always trust digital messages, even when they are intended to help.</w:t>
      </w:r>
      <w:r>
        <w:rPr>
          <w:rFonts w:ascii="Arial" w:eastAsia="Times New Roman" w:hAnsi="Arial" w:cs="Arial"/>
          <w:kern w:val="0"/>
          <w:lang w:eastAsia="en-GB"/>
          <w14:ligatures w14:val="none"/>
        </w:rPr>
        <w:t xml:space="preserve"> </w:t>
      </w:r>
      <w:r w:rsidRPr="009B0A3F">
        <w:rPr>
          <w:rFonts w:ascii="Arial" w:eastAsia="Times New Roman" w:hAnsi="Arial" w:cs="Arial"/>
          <w:kern w:val="0"/>
          <w:lang w:eastAsia="en-GB"/>
          <w14:ligatures w14:val="none"/>
        </w:rPr>
        <w:t>How a multinational can use AI-powered, highly customised digital ecosystems to promote its environmental purpose without raising consumer doubts and accusations of “digital greenwashing”.</w:t>
      </w:r>
      <w:r w:rsidRPr="00C55E2A">
        <w:rPr>
          <w:rFonts w:ascii="Arial" w:eastAsia="Times New Roman" w:hAnsi="Arial" w:cs="Arial"/>
          <w:kern w:val="0"/>
          <w:lang w:eastAsia="en-GB"/>
          <w14:ligatures w14:val="none"/>
        </w:rPr>
        <w:t xml:space="preserve"> </w:t>
      </w:r>
      <w:r w:rsidRPr="00A52357">
        <w:rPr>
          <w:rFonts w:ascii="Arial" w:eastAsia="Times New Roman" w:hAnsi="Arial" w:cs="Arial"/>
          <w:kern w:val="0"/>
          <w:lang w:eastAsia="en-GB"/>
          <w14:ligatures w14:val="none"/>
        </w:rPr>
        <w:t>The study gives insights into the mechanisms of sustainability marketing across different cultures, operational signalling and scaling brand purpose as crucial in the digital world</w:t>
      </w:r>
      <w:r>
        <w:rPr>
          <w:rFonts w:ascii="Arial" w:eastAsia="Times New Roman" w:hAnsi="Arial" w:cs="Arial"/>
          <w:kern w:val="0"/>
          <w:lang w:eastAsia="en-GB"/>
          <w14:ligatures w14:val="none"/>
        </w:rPr>
        <w:t>, p</w:t>
      </w:r>
      <w:r w:rsidRPr="00A52357">
        <w:rPr>
          <w:rFonts w:ascii="Arial" w:eastAsia="Times New Roman" w:hAnsi="Arial" w:cs="Arial"/>
          <w:kern w:val="0"/>
          <w:lang w:eastAsia="en-GB"/>
          <w14:ligatures w14:val="none"/>
        </w:rPr>
        <w:t>rices may differ in each country.</w:t>
      </w:r>
    </w:p>
    <w:p w14:paraId="7FCDB4D7" w14:textId="77777777" w:rsidR="00C84D32" w:rsidRPr="002E296C" w:rsidRDefault="00C84D32" w:rsidP="0078498F">
      <w:pPr>
        <w:pStyle w:val="Heading2"/>
      </w:pPr>
      <w:bookmarkStart w:id="97" w:name="_Toc231740363"/>
      <w:r w:rsidRPr="002E296C">
        <w:t>6.2 Synthesis of Key Findings</w:t>
      </w:r>
      <w:bookmarkEnd w:id="97"/>
    </w:p>
    <w:p w14:paraId="119F9A70" w14:textId="77777777" w:rsidR="00C84D32" w:rsidRDefault="00C84D32" w:rsidP="00C84D32">
      <w:pPr>
        <w:spacing w:after="100" w:afterAutospacing="1" w:line="276" w:lineRule="auto"/>
        <w:rPr>
          <w:rFonts w:ascii="Arial" w:eastAsia="Times New Roman" w:hAnsi="Arial" w:cs="Arial"/>
          <w:kern w:val="0"/>
          <w:lang w:eastAsia="en-GB"/>
          <w14:ligatures w14:val="none"/>
        </w:rPr>
      </w:pPr>
      <w:r w:rsidRPr="00B468BD">
        <w:rPr>
          <w:rFonts w:ascii="Arial" w:eastAsia="Times New Roman" w:hAnsi="Arial" w:cs="Arial"/>
          <w:kern w:val="0"/>
          <w:lang w:eastAsia="en-GB"/>
          <w14:ligatures w14:val="none"/>
        </w:rPr>
        <w:t xml:space="preserve">A simple review of Unilever’s reports, digital content and research files showed clear answers to the research questions. First, the study finds that one global sustainability message doesn’t work. Unilever deals with cultural differences through highly localized ‘Green Codes’. In the UK, its digital stories focus on themes of systemic accountability and carbon literacy, which strongly influence how people perceive the brand. </w:t>
      </w:r>
      <w:r w:rsidRPr="00793CF9">
        <w:rPr>
          <w:rFonts w:ascii="Arial" w:eastAsia="Times New Roman" w:hAnsi="Arial" w:cs="Arial"/>
          <w:kern w:val="0"/>
          <w:lang w:eastAsia="en-GB"/>
          <w14:ligatures w14:val="none"/>
        </w:rPr>
        <w:t>It uses a simple online system that depends on evidence</w:t>
      </w:r>
    </w:p>
    <w:p w14:paraId="32F477C1"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In comparison, </w:t>
      </w:r>
      <w:r w:rsidRPr="00B3676A">
        <w:rPr>
          <w:rFonts w:ascii="Arial" w:eastAsia="Times New Roman" w:hAnsi="Arial" w:cs="Arial"/>
          <w:kern w:val="0"/>
          <w:lang w:eastAsia="en-GB"/>
          <w14:ligatures w14:val="none"/>
        </w:rPr>
        <w:t>Unilever India is changing its approach as it views the country as an economic power growing very quickly. Today it works in the Grassroots Empowerment and social justice space, connecting sustainability with public health and women’s empowerment through projects like Project Shakti and Dove’s #StopTheBeautyTest. Looking at Dove and P&amp;G shows, how powerful hyper-local messages can be in protecting a brand from the Trust-Digital Paradox. P&amp;G often uses simple emotional ads, while Unilever lowers this risk by using a more local style of message.</w:t>
      </w:r>
    </w:p>
    <w:p w14:paraId="67A30260"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A568E5">
        <w:rPr>
          <w:rFonts w:ascii="Arial" w:eastAsia="Times New Roman" w:hAnsi="Arial" w:cs="Arial"/>
          <w:kern w:val="0"/>
          <w:lang w:eastAsia="en-GB"/>
          <w14:ligatures w14:val="none"/>
        </w:rPr>
        <w:t>When consumers feel that sustainable product selections are tied to their local area or personal values, especially if they can see their money directly supporting a community project, they view them as more genuine</w:t>
      </w:r>
      <w:r>
        <w:rPr>
          <w:rFonts w:ascii="Arial" w:eastAsia="Times New Roman" w:hAnsi="Arial" w:cs="Arial"/>
          <w:kern w:val="0"/>
          <w:lang w:eastAsia="en-GB"/>
          <w14:ligatures w14:val="none"/>
        </w:rPr>
        <w:t xml:space="preserve">. </w:t>
      </w:r>
      <w:r w:rsidRPr="00011C1A">
        <w:rPr>
          <w:rFonts w:ascii="Arial" w:eastAsia="Times New Roman" w:hAnsi="Arial" w:cs="Arial"/>
          <w:kern w:val="0"/>
          <w:lang w:eastAsia="en-GB"/>
          <w14:ligatures w14:val="none"/>
        </w:rPr>
        <w:t>It’s a way to counter the impression that sustainability campaigns are not genuine, but rather shallow "</w:t>
      </w:r>
      <w:r>
        <w:rPr>
          <w:rFonts w:ascii="Arial" w:eastAsia="Times New Roman" w:hAnsi="Arial" w:cs="Arial"/>
          <w:kern w:val="0"/>
          <w:lang w:eastAsia="en-GB"/>
          <w14:ligatures w14:val="none"/>
        </w:rPr>
        <w:t>fake</w:t>
      </w:r>
      <w:r w:rsidRPr="00011C1A">
        <w:rPr>
          <w:rFonts w:ascii="Arial" w:eastAsia="Times New Roman" w:hAnsi="Arial" w:cs="Arial"/>
          <w:kern w:val="0"/>
          <w:lang w:eastAsia="en-GB"/>
          <w14:ligatures w14:val="none"/>
        </w:rPr>
        <w:t xml:space="preserve"> greenwashing"</w:t>
      </w:r>
      <w:r w:rsidRPr="00A568E5">
        <w:rPr>
          <w:rFonts w:ascii="Arial" w:eastAsia="Times New Roman" w:hAnsi="Arial" w:cs="Arial"/>
          <w:kern w:val="0"/>
          <w:lang w:eastAsia="en-GB"/>
          <w14:ligatures w14:val="none"/>
        </w:rPr>
        <w:t xml:space="preserve"> </w:t>
      </w:r>
      <w:r w:rsidRPr="00C55E2A">
        <w:rPr>
          <w:rFonts w:ascii="Arial" w:eastAsia="Times New Roman" w:hAnsi="Arial" w:cs="Arial"/>
          <w:kern w:val="0"/>
          <w:lang w:eastAsia="en-GB"/>
          <w14:ligatures w14:val="none"/>
        </w:rPr>
        <w:t xml:space="preserve">(Ibrahim et al.,2025). </w:t>
      </w:r>
      <w:r w:rsidRPr="00A75A37">
        <w:rPr>
          <w:rFonts w:ascii="Arial" w:eastAsia="Times New Roman" w:hAnsi="Arial" w:cs="Arial"/>
          <w:kern w:val="0"/>
          <w:lang w:eastAsia="en-GB"/>
          <w14:ligatures w14:val="none"/>
        </w:rPr>
        <w:t>The Unilever Compass and its Annual Reports analysis reveal the true financial explanation for this action. Unilever fights the Trust-Digital Paradox by showing the authenticity of its online stories with expensive actions and software hubs for transparency, such "Sketch Pro." This proof increases long-term sales and high brand value in purpose-based products, but it requires resources and reduces short-term profit (Rana and Kapoor, 2025).</w:t>
      </w:r>
    </w:p>
    <w:p w14:paraId="739EFFDA"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r w:rsidRPr="00692231">
        <w:rPr>
          <w:rFonts w:ascii="Arial" w:eastAsia="Times New Roman" w:hAnsi="Arial" w:cs="Arial"/>
          <w:kern w:val="0"/>
          <w:lang w:eastAsia="en-GB"/>
          <w14:ligatures w14:val="none"/>
        </w:rPr>
        <w:t xml:space="preserve">The further examples of Hellmann's and Surf Excel demonstrate that Unilever's different premium methods are typical and not out of the ordinary. Another important issue is that Unilever is shifting its message from "Eco-Premium" to "Eco-Efficiency" in developed markets, and this can be seen in its AI tools, such as Hellmann's recipe bots. By making sustainable choices </w:t>
      </w:r>
      <w:r>
        <w:rPr>
          <w:rFonts w:ascii="Arial" w:eastAsia="Times New Roman" w:hAnsi="Arial" w:cs="Arial"/>
          <w:kern w:val="0"/>
          <w:lang w:eastAsia="en-GB"/>
          <w14:ligatures w14:val="none"/>
        </w:rPr>
        <w:t>feels</w:t>
      </w:r>
      <w:r w:rsidRPr="00692231">
        <w:rPr>
          <w:rFonts w:ascii="Arial" w:eastAsia="Times New Roman" w:hAnsi="Arial" w:cs="Arial"/>
          <w:kern w:val="0"/>
          <w:lang w:eastAsia="en-GB"/>
          <w14:ligatures w14:val="none"/>
        </w:rPr>
        <w:t xml:space="preserve"> local and personal, as if people are directly supporting local social programs, the brand normalizes luxurious items in developing nations</w:t>
      </w:r>
      <w:r w:rsidRPr="00C55E2A">
        <w:rPr>
          <w:rFonts w:ascii="Arial" w:eastAsia="Times New Roman" w:hAnsi="Arial" w:cs="Arial"/>
          <w:kern w:val="0"/>
          <w:lang w:eastAsia="en-GB"/>
          <w14:ligatures w14:val="none"/>
        </w:rPr>
        <w:t>.</w:t>
      </w:r>
    </w:p>
    <w:p w14:paraId="35CA4C60" w14:textId="77777777" w:rsidR="00C84D32" w:rsidRPr="0078498F" w:rsidRDefault="00C84D32" w:rsidP="0078498F">
      <w:pPr>
        <w:pStyle w:val="Heading2"/>
      </w:pPr>
      <w:bookmarkStart w:id="98" w:name="_Toc231740364"/>
      <w:r w:rsidRPr="0078498F">
        <w:t>6.3 Theoretical Contributions</w:t>
      </w:r>
      <w:bookmarkEnd w:id="98"/>
    </w:p>
    <w:p w14:paraId="2CE0D438" w14:textId="77777777" w:rsidR="00C84D32" w:rsidRPr="00C55E2A" w:rsidRDefault="00C84D32" w:rsidP="00C84D32">
      <w:pPr>
        <w:spacing w:line="276" w:lineRule="auto"/>
        <w:rPr>
          <w:rFonts w:ascii="Arial" w:hAnsi="Arial" w:cs="Arial"/>
        </w:rPr>
      </w:pPr>
      <w:r w:rsidRPr="00C55E2A">
        <w:rPr>
          <w:rFonts w:ascii="Arial" w:hAnsi="Arial" w:cs="Arial"/>
        </w:rPr>
        <w:t>The dissertation contributes significantly to the academic literature of FMCG marketing, corporate sustainability and digital communication.</w:t>
      </w:r>
    </w:p>
    <w:p w14:paraId="483A3DE9" w14:textId="77777777" w:rsidR="00C84D32" w:rsidRPr="00C55E2A" w:rsidRDefault="00C84D32" w:rsidP="00C84D32">
      <w:pPr>
        <w:numPr>
          <w:ilvl w:val="0"/>
          <w:numId w:val="12"/>
        </w:numPr>
        <w:spacing w:line="276" w:lineRule="auto"/>
        <w:rPr>
          <w:rFonts w:ascii="Arial" w:hAnsi="Arial" w:cs="Arial"/>
        </w:rPr>
      </w:pPr>
      <w:r w:rsidRPr="00C55E2A">
        <w:rPr>
          <w:rFonts w:ascii="Arial" w:hAnsi="Arial" w:cs="Arial"/>
          <w:b/>
          <w:bCs/>
        </w:rPr>
        <w:t>Extension of Signalling Theory in Digital Contexts:</w:t>
      </w:r>
      <w:r w:rsidRPr="00C55E2A">
        <w:rPr>
          <w:rFonts w:ascii="Arial" w:hAnsi="Arial" w:cs="Arial"/>
        </w:rPr>
        <w:t xml:space="preserve"> </w:t>
      </w:r>
      <w:r w:rsidRPr="00B64610">
        <w:rPr>
          <w:rFonts w:ascii="Arial" w:hAnsi="Arial" w:cs="Arial"/>
        </w:rPr>
        <w:t>Using Signalling Theory to explain digital greenwashing across countries is an interesting yet important gap that this study solves. The theory specifically claims that low-cost digital signals, like straightforward green-looking designs, are no longer effective, while high-cost, facts that can be verified like transparent and verifiable supply-chain data, are what now make claims about digital sustainability reliable when people are likely to be doubting online messages (Serhan and Zhang, 2025).</w:t>
      </w:r>
    </w:p>
    <w:p w14:paraId="7D65FE1D" w14:textId="77777777" w:rsidR="00C84D32" w:rsidRPr="00567325" w:rsidRDefault="00C84D32" w:rsidP="00C84D32">
      <w:pPr>
        <w:numPr>
          <w:ilvl w:val="0"/>
          <w:numId w:val="12"/>
        </w:numPr>
        <w:spacing w:line="276" w:lineRule="auto"/>
        <w:rPr>
          <w:rFonts w:ascii="Arial" w:hAnsi="Arial" w:cs="Arial"/>
          <w:b/>
          <w:bCs/>
        </w:rPr>
      </w:pPr>
      <w:r w:rsidRPr="00567325">
        <w:rPr>
          <w:rFonts w:ascii="Arial" w:hAnsi="Arial" w:cs="Arial"/>
          <w:b/>
          <w:bCs/>
        </w:rPr>
        <w:t>Conceptualizing the Trust-Digital Paradox:</w:t>
      </w:r>
      <w:r w:rsidRPr="00567325">
        <w:rPr>
          <w:rFonts w:ascii="Arial" w:hAnsi="Arial" w:cs="Arial"/>
        </w:rPr>
        <w:t xml:space="preserve"> The Trust-Digital Paradox simply says some marketing strategies and consumer trust are contradictory. This concept is clarified in a recent paper, which also shows that algorithms alone can't fix the paradox. In fact, for digital claims to be valid, high levels of operational transparency is needed. </w:t>
      </w:r>
    </w:p>
    <w:p w14:paraId="4CD2A302" w14:textId="77777777" w:rsidR="00C84D32" w:rsidRPr="00567325" w:rsidRDefault="00C84D32" w:rsidP="00C84D32">
      <w:pPr>
        <w:numPr>
          <w:ilvl w:val="0"/>
          <w:numId w:val="12"/>
        </w:numPr>
        <w:spacing w:line="276" w:lineRule="auto"/>
        <w:rPr>
          <w:rFonts w:ascii="Arial" w:hAnsi="Arial" w:cs="Arial"/>
          <w:b/>
          <w:bCs/>
        </w:rPr>
      </w:pPr>
      <w:r w:rsidRPr="00567325">
        <w:rPr>
          <w:rFonts w:ascii="Arial" w:hAnsi="Arial" w:cs="Arial"/>
          <w:b/>
          <w:bCs/>
        </w:rPr>
        <w:t>Cross-Cultural Adaptation of the SASSY Framework:</w:t>
      </w:r>
      <w:r w:rsidRPr="00567325">
        <w:rPr>
          <w:rFonts w:ascii="Arial" w:hAnsi="Arial" w:cs="Arial"/>
        </w:rPr>
        <w:t xml:space="preserve"> </w:t>
      </w:r>
      <w:r w:rsidRPr="00CF6EF2">
        <w:rPr>
          <w:rFonts w:ascii="Arial" w:hAnsi="Arial" w:cs="Arial"/>
        </w:rPr>
        <w:t>By carefully comparing the UK and India, this study increases the usefulness of SASSY. SASSY stands for Younique personalization, Superior Science, Agility, and Sustainability. According to research, "Younique" personalization should address more important social and cultural issues in addition to product choices. This means that there is a clear framework for localising global brand purpose (Imane &amp; Rabeh, 2025).</w:t>
      </w:r>
    </w:p>
    <w:p w14:paraId="47C462F6" w14:textId="77777777" w:rsidR="00C84D32" w:rsidRDefault="00C84D32" w:rsidP="00C84D32">
      <w:pPr>
        <w:numPr>
          <w:ilvl w:val="0"/>
          <w:numId w:val="12"/>
        </w:numPr>
        <w:spacing w:line="276" w:lineRule="auto"/>
        <w:rPr>
          <w:rFonts w:ascii="Arial" w:hAnsi="Arial" w:cs="Arial"/>
        </w:rPr>
      </w:pPr>
      <w:r w:rsidRPr="00D560CC">
        <w:rPr>
          <w:rFonts w:ascii="Arial" w:hAnsi="Arial" w:cs="Arial"/>
          <w:b/>
          <w:bCs/>
        </w:rPr>
        <w:t xml:space="preserve">The Weaponization of Digital Transparency: </w:t>
      </w:r>
      <w:r w:rsidRPr="00D560CC">
        <w:rPr>
          <w:rFonts w:ascii="Arial" w:hAnsi="Arial" w:cs="Arial"/>
        </w:rPr>
        <w:t>Our study shows that big global companies aren’t using costly transparency tools—like blockchain or real-time carbon tracking—just because people want eco-friendly products. Global companies also use transparency to avoid other competitors from entering into strict ESG markets. This means transparency serves as both a trust signal and a market control tool.</w:t>
      </w:r>
    </w:p>
    <w:p w14:paraId="54154C09" w14:textId="77777777" w:rsidR="00C84D32" w:rsidRPr="00D560CC" w:rsidRDefault="00C84D32" w:rsidP="00C84D32">
      <w:pPr>
        <w:numPr>
          <w:ilvl w:val="0"/>
          <w:numId w:val="12"/>
        </w:numPr>
        <w:spacing w:line="276" w:lineRule="auto"/>
        <w:rPr>
          <w:rFonts w:ascii="Arial" w:hAnsi="Arial" w:cs="Arial"/>
        </w:rPr>
      </w:pPr>
      <w:r w:rsidRPr="00D560CC">
        <w:rPr>
          <w:rFonts w:ascii="Arial" w:hAnsi="Arial" w:cs="Arial"/>
          <w:b/>
          <w:bCs/>
        </w:rPr>
        <w:t>Navigating the AI Marketing Paradox:</w:t>
      </w:r>
      <w:r w:rsidRPr="00D560CC">
        <w:rPr>
          <w:rFonts w:ascii="Arial" w:hAnsi="Arial" w:cs="Arial"/>
        </w:rPr>
        <w:t xml:space="preserve"> </w:t>
      </w:r>
      <w:r w:rsidRPr="001168E0">
        <w:rPr>
          <w:rFonts w:ascii="Arial" w:hAnsi="Arial" w:cs="Arial"/>
        </w:rPr>
        <w:t xml:space="preserve">This study contributes to marketing research on machine-generated green messages by pointing out that AI often fails. The results suggest AI only adds value to sustainability marketing when it changes out of a productivity phase into an empathy phase – where it stops creating mass ads and starts offering personal, helpful solutions </w:t>
      </w:r>
      <w:r>
        <w:rPr>
          <w:rFonts w:ascii="Arial" w:hAnsi="Arial" w:cs="Arial"/>
        </w:rPr>
        <w:t xml:space="preserve">for </w:t>
      </w:r>
      <w:r w:rsidRPr="001168E0">
        <w:rPr>
          <w:rFonts w:ascii="Arial" w:hAnsi="Arial" w:cs="Arial"/>
        </w:rPr>
        <w:t>people’s environmental concerns.</w:t>
      </w:r>
    </w:p>
    <w:p w14:paraId="5012D8D9" w14:textId="77777777" w:rsidR="00C84D32" w:rsidRPr="0078498F" w:rsidRDefault="00C84D32" w:rsidP="0078498F">
      <w:pPr>
        <w:pStyle w:val="Heading2"/>
      </w:pPr>
      <w:bookmarkStart w:id="99" w:name="_Toc231740365"/>
      <w:r w:rsidRPr="0078498F">
        <w:t>6.4 Managerial and Strategic Recommendations</w:t>
      </w:r>
      <w:bookmarkEnd w:id="99"/>
    </w:p>
    <w:p w14:paraId="7E15E607" w14:textId="77777777" w:rsidR="00C84D32" w:rsidRPr="00C55E2A" w:rsidRDefault="00C84D32" w:rsidP="00C84D32">
      <w:pPr>
        <w:rPr>
          <w:rFonts w:ascii="Arial" w:hAnsi="Arial" w:cs="Arial"/>
        </w:rPr>
      </w:pPr>
      <w:r w:rsidRPr="00A505FC">
        <w:rPr>
          <w:rFonts w:ascii="Arial" w:hAnsi="Arial" w:cs="Arial"/>
        </w:rPr>
        <w:t>The market experts, FMCG executives and international brand managers and the analysis carried out in this dissertation will generate qualitative insights that will be used to provide the strategic implications</w:t>
      </w:r>
      <w:r w:rsidRPr="00C55E2A">
        <w:rPr>
          <w:rFonts w:ascii="Arial" w:hAnsi="Arial" w:cs="Arial"/>
        </w:rPr>
        <w:t>.</w:t>
      </w:r>
    </w:p>
    <w:p w14:paraId="29269BA5" w14:textId="77777777" w:rsidR="00C84D32" w:rsidRPr="00C55E2A" w:rsidRDefault="00C84D32" w:rsidP="00C84D32">
      <w:pPr>
        <w:numPr>
          <w:ilvl w:val="0"/>
          <w:numId w:val="13"/>
        </w:numPr>
        <w:spacing w:line="276" w:lineRule="auto"/>
        <w:rPr>
          <w:rFonts w:ascii="Arial" w:hAnsi="Arial" w:cs="Arial"/>
        </w:rPr>
      </w:pPr>
      <w:r w:rsidRPr="00C55E2A">
        <w:rPr>
          <w:rFonts w:ascii="Arial" w:hAnsi="Arial" w:cs="Arial"/>
          <w:b/>
          <w:bCs/>
        </w:rPr>
        <w:t>Decentralize Sustainability Command Centres:</w:t>
      </w:r>
      <w:r w:rsidRPr="00C55E2A">
        <w:rPr>
          <w:rFonts w:ascii="Arial" w:hAnsi="Arial" w:cs="Arial"/>
        </w:rPr>
        <w:t xml:space="preserve"> </w:t>
      </w:r>
      <w:r w:rsidRPr="00D3673D">
        <w:rPr>
          <w:rFonts w:ascii="Arial" w:hAnsi="Arial" w:cs="Arial"/>
        </w:rPr>
        <w:t>Multinational companies have a significant problem with global environmental campaigns that try to use a single approach for all regions. Regional marketing teams need to have the necessary resources and the freedom to develop sustainability claims that reflect local issues. In simple terms, ignoring the deeper factors, like community infrastructure, will not allow emerging markets to succeed based on Western carbon metrics.</w:t>
      </w:r>
    </w:p>
    <w:p w14:paraId="492DE195" w14:textId="77777777" w:rsidR="00C84D32" w:rsidRPr="005E1BD7" w:rsidRDefault="00C84D32" w:rsidP="00C84D32">
      <w:pPr>
        <w:numPr>
          <w:ilvl w:val="0"/>
          <w:numId w:val="13"/>
        </w:numPr>
        <w:spacing w:line="276" w:lineRule="auto"/>
        <w:rPr>
          <w:rFonts w:ascii="Arial" w:hAnsi="Arial" w:cs="Arial"/>
          <w:lang w:val="en-IN"/>
        </w:rPr>
      </w:pPr>
      <w:r w:rsidRPr="005E1BD7">
        <w:rPr>
          <w:rFonts w:ascii="Arial" w:hAnsi="Arial" w:cs="Arial"/>
          <w:b/>
          <w:bCs/>
        </w:rPr>
        <w:t>Invest in High-Cost Digital Verification Hubs:</w:t>
      </w:r>
      <w:r w:rsidRPr="005E1BD7">
        <w:rPr>
          <w:rFonts w:ascii="Arial" w:hAnsi="Arial" w:cs="Arial"/>
        </w:rPr>
        <w:t xml:space="preserve"> </w:t>
      </w:r>
      <w:r w:rsidRPr="005E1BD7">
        <w:rPr>
          <w:rFonts w:ascii="Arial" w:hAnsi="Arial" w:cs="Arial"/>
          <w:lang w:val="en-IN"/>
        </w:rPr>
        <w:t>Investors do not easily trust green claims by companies because corporate greenwashing often shares information that sounds more eco-friendly than it is. This false message is harmful because it helps products gain undeserved public approval and misleads people about the environment.</w:t>
      </w:r>
    </w:p>
    <w:p w14:paraId="0033E667" w14:textId="77777777" w:rsidR="00C84D32" w:rsidRPr="005E1BD7" w:rsidRDefault="00C84D32" w:rsidP="00C84D32">
      <w:pPr>
        <w:numPr>
          <w:ilvl w:val="0"/>
          <w:numId w:val="26"/>
        </w:numPr>
        <w:spacing w:line="276" w:lineRule="auto"/>
        <w:rPr>
          <w:rFonts w:ascii="Arial" w:hAnsi="Arial" w:cs="Arial"/>
        </w:rPr>
      </w:pPr>
      <w:r w:rsidRPr="005E1BD7">
        <w:rPr>
          <w:rFonts w:ascii="Arial" w:hAnsi="Arial" w:cs="Arial"/>
          <w:b/>
          <w:bCs/>
        </w:rPr>
        <w:t>Harmonize Operational Reality with Marketing Claims:</w:t>
      </w:r>
      <w:r w:rsidRPr="005E1BD7">
        <w:rPr>
          <w:rFonts w:ascii="Arial" w:hAnsi="Arial" w:cs="Arial"/>
        </w:rPr>
        <w:t xml:space="preserve"> </w:t>
      </w:r>
      <w:r w:rsidRPr="008E1586">
        <w:rPr>
          <w:rFonts w:ascii="Arial" w:hAnsi="Arial" w:cs="Arial"/>
        </w:rPr>
        <w:t>Nowadays, authenticity comes from genuine actions, not cunning marketing strategies. It is something that a firm has to prove via its actions, rather than something that can be created with advertisements or appealing statements. Authenticity has become an operational result and not a marketing fabrication.</w:t>
      </w:r>
    </w:p>
    <w:p w14:paraId="621AA5A7" w14:textId="77777777" w:rsidR="00C84D32" w:rsidRDefault="00C84D32" w:rsidP="00C84D32">
      <w:pPr>
        <w:numPr>
          <w:ilvl w:val="0"/>
          <w:numId w:val="13"/>
        </w:numPr>
        <w:spacing w:line="276" w:lineRule="auto"/>
        <w:rPr>
          <w:rFonts w:ascii="Arial" w:hAnsi="Arial" w:cs="Arial"/>
        </w:rPr>
      </w:pPr>
      <w:r w:rsidRPr="00190D0C">
        <w:rPr>
          <w:rFonts w:ascii="Arial" w:hAnsi="Arial" w:cs="Arial"/>
          <w:b/>
          <w:bCs/>
        </w:rPr>
        <w:t>Accept Short-Term Margin Compression for Long-Term Equity:</w:t>
      </w:r>
      <w:r w:rsidRPr="00190D0C">
        <w:rPr>
          <w:rFonts w:ascii="Arial" w:hAnsi="Arial" w:cs="Arial"/>
        </w:rPr>
        <w:t xml:space="preserve"> Top companies usually believe that a product with a strong brand value, trustworthy dealers, good design, or attractive packaging would do well. However, merely changing the pack or adding a green claim will not work. When branding becomes simply buying and selling designs, the quality drops. Any new claim, design, or pack must be credible in order for the product to succeed. </w:t>
      </w:r>
    </w:p>
    <w:p w14:paraId="3351E644" w14:textId="77777777" w:rsidR="00C84D32" w:rsidRPr="00190D0C" w:rsidRDefault="00C84D32" w:rsidP="00C84D32">
      <w:pPr>
        <w:numPr>
          <w:ilvl w:val="0"/>
          <w:numId w:val="13"/>
        </w:numPr>
        <w:spacing w:line="276" w:lineRule="auto"/>
        <w:rPr>
          <w:rFonts w:ascii="Arial" w:hAnsi="Arial" w:cs="Arial"/>
        </w:rPr>
      </w:pPr>
      <w:r w:rsidRPr="00190D0C">
        <w:rPr>
          <w:rFonts w:ascii="Arial" w:hAnsi="Arial" w:cs="Arial"/>
          <w:b/>
          <w:bCs/>
        </w:rPr>
        <w:t xml:space="preserve">Align Sustainability with Macroeconomic Utility: </w:t>
      </w:r>
      <w:r w:rsidRPr="0098649A">
        <w:rPr>
          <w:rFonts w:ascii="Arial" w:hAnsi="Arial" w:cs="Arial"/>
        </w:rPr>
        <w:t>Green or sustainable FMCG items can no longer demand higher costs, according to surveys. Due to inflation and the cost-of-living crisis, many luxurious coatings have gone away, and brands increasingly utilize plain clear PP. This means that sustainability ads need to be redesign such that the product provides the consumer with an instant use-value, such as financial savings or social assistance. Digital tools can assist reduce waste because consumers in developed markets care about being environmentally aware.</w:t>
      </w:r>
    </w:p>
    <w:p w14:paraId="67FB8476" w14:textId="77777777" w:rsidR="00C84D32" w:rsidRPr="0078498F" w:rsidRDefault="00C84D32" w:rsidP="0078498F">
      <w:pPr>
        <w:pStyle w:val="Heading2"/>
      </w:pPr>
      <w:bookmarkStart w:id="100" w:name="_Toc231740366"/>
      <w:r w:rsidRPr="0078498F">
        <w:t>6.5 Limitations of the Study</w:t>
      </w:r>
      <w:bookmarkEnd w:id="100"/>
    </w:p>
    <w:p w14:paraId="371580D4" w14:textId="77777777" w:rsidR="00C84D32" w:rsidRPr="00C55E2A" w:rsidRDefault="00C84D32" w:rsidP="00C84D32">
      <w:pPr>
        <w:spacing w:line="276" w:lineRule="auto"/>
        <w:rPr>
          <w:rFonts w:ascii="Arial" w:hAnsi="Arial" w:cs="Arial"/>
        </w:rPr>
      </w:pPr>
      <w:r w:rsidRPr="00C55E2A">
        <w:rPr>
          <w:rFonts w:ascii="Arial" w:hAnsi="Arial" w:cs="Arial"/>
        </w:rPr>
        <w:t>This qualitative research reveals compelling and practical insight, but it is important to keep a few limitations in mind. A large part of the research data is drawn from secondary archival data sources that include a disclosure of corporates and market intelligence reports.  Never let your data speak alone, ensure they are rigorously triangulated or supported backed but, corporate documents (Annual Reports to be specific) have a temptation of corporate framing or spin (Azhar, 2024). The strategy also tackles "digital ephemerality," where many digital campaigns do not last long and keep disappearing after a while. Thus, tracking them digitally for long becomes tough under this type of plan. Through the case study of Unilever (a multinational company), the dissertation compares Global Brand strategies in two geographic settings (UK &amp; India). As a result, some findings may not be entirely universally generalizable to vastly different sectors of industry.</w:t>
      </w:r>
    </w:p>
    <w:p w14:paraId="4EFC1650" w14:textId="77777777" w:rsidR="00C84D32" w:rsidRPr="0078498F" w:rsidRDefault="00C84D32" w:rsidP="0078498F">
      <w:pPr>
        <w:pStyle w:val="Heading2"/>
      </w:pPr>
      <w:bookmarkStart w:id="101" w:name="_Toc231740367"/>
      <w:r w:rsidRPr="0078498F">
        <w:t>6.6 Future Research Directions</w:t>
      </w:r>
      <w:bookmarkEnd w:id="101"/>
    </w:p>
    <w:p w14:paraId="37F0D7F9" w14:textId="77777777" w:rsidR="00C84D32" w:rsidRPr="00C55E2A" w:rsidRDefault="00C84D32" w:rsidP="00C84D32">
      <w:pPr>
        <w:spacing w:line="276" w:lineRule="auto"/>
        <w:rPr>
          <w:rFonts w:ascii="Arial" w:hAnsi="Arial" w:cs="Arial"/>
        </w:rPr>
      </w:pPr>
      <w:r w:rsidRPr="00C55E2A">
        <w:rPr>
          <w:rFonts w:ascii="Arial" w:hAnsi="Arial" w:cs="Arial"/>
        </w:rPr>
        <w:t>This dissertation’s findings and limitations open several key areas for future research:</w:t>
      </w:r>
    </w:p>
    <w:p w14:paraId="2D9A4E4A" w14:textId="77777777" w:rsidR="00C84D32" w:rsidRPr="00C55E2A" w:rsidRDefault="00C84D32" w:rsidP="00C84D32">
      <w:pPr>
        <w:numPr>
          <w:ilvl w:val="0"/>
          <w:numId w:val="14"/>
        </w:numPr>
        <w:spacing w:line="276" w:lineRule="auto"/>
        <w:rPr>
          <w:rFonts w:ascii="Arial" w:hAnsi="Arial" w:cs="Arial"/>
        </w:rPr>
      </w:pPr>
      <w:r w:rsidRPr="00C55E2A">
        <w:rPr>
          <w:rFonts w:ascii="Arial" w:hAnsi="Arial" w:cs="Arial"/>
          <w:b/>
          <w:bCs/>
        </w:rPr>
        <w:t>Quantitative Conversion Studies:</w:t>
      </w:r>
      <w:r w:rsidRPr="00C55E2A">
        <w:rPr>
          <w:rFonts w:ascii="Arial" w:hAnsi="Arial" w:cs="Arial"/>
        </w:rPr>
        <w:t xml:space="preserve"> </w:t>
      </w:r>
      <w:r w:rsidRPr="00952CBB">
        <w:rPr>
          <w:rFonts w:ascii="Arial" w:hAnsi="Arial" w:cs="Arial"/>
        </w:rPr>
        <w:t>An upcoming consumer survey for a local sustainable campaign will keep an eye on the number of individuals who go from merely watching the campaign online to actually making a purchase as a result of it.</w:t>
      </w:r>
    </w:p>
    <w:p w14:paraId="13BA36C4" w14:textId="77777777" w:rsidR="00C84D32" w:rsidRPr="00C55E2A" w:rsidRDefault="00C84D32" w:rsidP="00C84D32">
      <w:pPr>
        <w:numPr>
          <w:ilvl w:val="0"/>
          <w:numId w:val="14"/>
        </w:numPr>
        <w:spacing w:line="276" w:lineRule="auto"/>
        <w:rPr>
          <w:rFonts w:ascii="Arial" w:hAnsi="Arial" w:cs="Arial"/>
        </w:rPr>
      </w:pPr>
      <w:r w:rsidRPr="00C55E2A">
        <w:rPr>
          <w:rFonts w:ascii="Arial" w:hAnsi="Arial" w:cs="Arial"/>
          <w:b/>
          <w:bCs/>
        </w:rPr>
        <w:t>The Impact of AI Regulation:</w:t>
      </w:r>
      <w:r w:rsidRPr="00C55E2A">
        <w:rPr>
          <w:rFonts w:ascii="Arial" w:hAnsi="Arial" w:cs="Arial"/>
        </w:rPr>
        <w:t xml:space="preserve"> </w:t>
      </w:r>
      <w:r w:rsidRPr="00656219">
        <w:rPr>
          <w:rFonts w:ascii="Arial" w:hAnsi="Arial" w:cs="Arial"/>
        </w:rPr>
        <w:t>As AI is rapidly changing marketing strategies, understanding the new and difficult AI regulations and their effects on targeted green marketing can help gain insight into the future of digital corporate communication (Choudhury et al., 2025).</w:t>
      </w:r>
    </w:p>
    <w:p w14:paraId="69D3B46C" w14:textId="77777777" w:rsidR="00C84D32" w:rsidRPr="00C55E2A" w:rsidRDefault="00C84D32" w:rsidP="00C84D32">
      <w:pPr>
        <w:numPr>
          <w:ilvl w:val="0"/>
          <w:numId w:val="14"/>
        </w:numPr>
        <w:spacing w:line="276" w:lineRule="auto"/>
        <w:rPr>
          <w:rFonts w:ascii="Arial" w:hAnsi="Arial" w:cs="Arial"/>
          <w:b/>
          <w:bCs/>
        </w:rPr>
      </w:pPr>
      <w:r w:rsidRPr="00C55E2A">
        <w:rPr>
          <w:rFonts w:ascii="Arial" w:hAnsi="Arial" w:cs="Arial"/>
          <w:b/>
          <w:bCs/>
        </w:rPr>
        <w:t>Expanding the Comparative Scope:</w:t>
      </w:r>
      <w:r w:rsidRPr="00C55E2A">
        <w:rPr>
          <w:rFonts w:ascii="Arial" w:hAnsi="Arial" w:cs="Arial"/>
        </w:rPr>
        <w:t xml:space="preserve"> </w:t>
      </w:r>
      <w:r w:rsidRPr="00680AA1">
        <w:rPr>
          <w:rFonts w:ascii="Arial" w:hAnsi="Arial" w:cs="Arial"/>
        </w:rPr>
        <w:t>This simple research plan must be adopted in future studies based on people’s views and experiences which compare FMCG digital sustainability strategies across very different markets. One such use can be comparison of US with emerging African economies which can test out localized version of “Green Codes”.</w:t>
      </w:r>
    </w:p>
    <w:p w14:paraId="79BD8E6A" w14:textId="77777777" w:rsidR="00C84D32" w:rsidRPr="0078498F" w:rsidRDefault="00C84D32" w:rsidP="0078498F">
      <w:pPr>
        <w:pStyle w:val="Heading2"/>
      </w:pPr>
      <w:bookmarkStart w:id="102" w:name="_Toc231740368"/>
      <w:r w:rsidRPr="0078498F">
        <w:t>6.7 Concluding Remarks</w:t>
      </w:r>
      <w:bookmarkEnd w:id="102"/>
    </w:p>
    <w:p w14:paraId="780D6A05" w14:textId="5087A695" w:rsidR="00C84D32" w:rsidRPr="00C55E2A" w:rsidRDefault="00C84D32" w:rsidP="00C84D32">
      <w:pPr>
        <w:spacing w:line="276" w:lineRule="auto"/>
        <w:rPr>
          <w:rFonts w:ascii="Arial" w:hAnsi="Arial" w:cs="Arial"/>
        </w:rPr>
      </w:pPr>
      <w:r w:rsidRPr="007776E8">
        <w:rPr>
          <w:rFonts w:ascii="Arial" w:hAnsi="Arial" w:cs="Arial"/>
        </w:rPr>
        <w:t xml:space="preserve">It appears that </w:t>
      </w:r>
      <w:r w:rsidR="0078498F" w:rsidRPr="007776E8">
        <w:rPr>
          <w:rFonts w:ascii="Arial" w:hAnsi="Arial" w:cs="Arial"/>
        </w:rPr>
        <w:t>several</w:t>
      </w:r>
      <w:r w:rsidRPr="007776E8">
        <w:rPr>
          <w:rFonts w:ascii="Arial" w:hAnsi="Arial" w:cs="Arial"/>
        </w:rPr>
        <w:t xml:space="preserve"> FMCG giants discovered during the COVID-19 outbreak that being transparent is the most effective marketing tactic available now. In addition to engaging in meaningful marketing, brands will also stand for clear transparency and authenticity. The days of businesses using green logos to win over customers are long gone. Because of its growth, customers now have a voice and a magnifying glass thanks to advancements in digital technology</w:t>
      </w:r>
      <w:r w:rsidRPr="00C55E2A">
        <w:rPr>
          <w:rFonts w:ascii="Arial" w:hAnsi="Arial" w:cs="Arial"/>
        </w:rPr>
        <w:t>.</w:t>
      </w:r>
    </w:p>
    <w:p w14:paraId="35A94936" w14:textId="77777777" w:rsidR="00C84D32" w:rsidRPr="00C55E2A" w:rsidRDefault="00C84D32" w:rsidP="00C84D32">
      <w:pPr>
        <w:spacing w:line="276" w:lineRule="auto"/>
        <w:rPr>
          <w:rFonts w:ascii="Arial" w:hAnsi="Arial" w:cs="Arial"/>
        </w:rPr>
      </w:pPr>
      <w:r w:rsidRPr="008E3AB3">
        <w:rPr>
          <w:rFonts w:ascii="Arial" w:hAnsi="Arial" w:cs="Arial"/>
        </w:rPr>
        <w:t>Compared to most UK supermarkets and Indian West Asia, Unilever is fare better than most. The understanding of global purpose and the required cultural knowledge, as well as a combination of digital claims with backed up fact, will define the future of FMCG brands.</w:t>
      </w:r>
    </w:p>
    <w:p w14:paraId="3A6A7F26"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p>
    <w:p w14:paraId="229CA92D"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p>
    <w:p w14:paraId="6F12EB0D"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p>
    <w:p w14:paraId="43D04B68" w14:textId="77777777" w:rsidR="00C84D32" w:rsidRPr="00C55E2A" w:rsidRDefault="00C84D32" w:rsidP="00C84D32">
      <w:pPr>
        <w:spacing w:after="100" w:afterAutospacing="1" w:line="276" w:lineRule="auto"/>
        <w:rPr>
          <w:rFonts w:ascii="Arial" w:eastAsia="Times New Roman" w:hAnsi="Arial" w:cs="Arial"/>
          <w:kern w:val="0"/>
          <w:lang w:eastAsia="en-GB"/>
          <w14:ligatures w14:val="none"/>
        </w:rPr>
      </w:pPr>
    </w:p>
    <w:p w14:paraId="28E9AE06" w14:textId="77777777" w:rsidR="00C84D32" w:rsidRPr="00C55E2A" w:rsidRDefault="00C84D32" w:rsidP="00C84D32">
      <w:pPr>
        <w:rPr>
          <w:rFonts w:ascii="Arial" w:hAnsi="Arial" w:cs="Arial"/>
          <w:lang w:eastAsia="en-GB"/>
        </w:rPr>
      </w:pPr>
    </w:p>
    <w:p w14:paraId="27C5DC78" w14:textId="77777777" w:rsidR="00C84D32" w:rsidRPr="00C55E2A" w:rsidRDefault="00C84D32" w:rsidP="00C84D32">
      <w:pPr>
        <w:rPr>
          <w:rFonts w:ascii="Arial" w:eastAsia="Times New Roman" w:hAnsi="Arial" w:cs="Arial"/>
          <w:kern w:val="0"/>
          <w:lang w:eastAsia="en-GB"/>
          <w14:ligatures w14:val="none"/>
        </w:rPr>
      </w:pPr>
    </w:p>
    <w:p w14:paraId="6CA7BB96" w14:textId="77777777" w:rsidR="00C84D32" w:rsidRPr="00C55E2A" w:rsidRDefault="00C84D32" w:rsidP="00C84D32">
      <w:pPr>
        <w:rPr>
          <w:rFonts w:ascii="Arial" w:eastAsia="Times New Roman" w:hAnsi="Arial" w:cs="Arial"/>
          <w:b/>
          <w:bCs/>
          <w:kern w:val="0"/>
          <w:lang w:eastAsia="en-GB"/>
          <w14:ligatures w14:val="none"/>
        </w:rPr>
      </w:pPr>
    </w:p>
    <w:p w14:paraId="79D45B15" w14:textId="77777777" w:rsidR="00C84D32" w:rsidRPr="00C55E2A" w:rsidRDefault="00C84D32" w:rsidP="00C84D32">
      <w:pPr>
        <w:rPr>
          <w:rFonts w:ascii="Arial" w:hAnsi="Arial" w:cs="Arial"/>
          <w:lang w:eastAsia="en-GB"/>
        </w:rPr>
      </w:pPr>
    </w:p>
    <w:p w14:paraId="62B71C8D" w14:textId="77777777" w:rsidR="00C84D32" w:rsidRPr="00C55E2A" w:rsidRDefault="00C84D32" w:rsidP="00C84D32">
      <w:pPr>
        <w:rPr>
          <w:rFonts w:ascii="Arial" w:hAnsi="Arial" w:cs="Arial"/>
          <w:lang w:eastAsia="en-GB"/>
        </w:rPr>
      </w:pPr>
    </w:p>
    <w:p w14:paraId="25CF4B07" w14:textId="77777777" w:rsidR="00C84D32" w:rsidRPr="00C55E2A" w:rsidRDefault="00C84D32" w:rsidP="00C84D32">
      <w:pPr>
        <w:rPr>
          <w:rFonts w:ascii="Arial" w:hAnsi="Arial" w:cs="Arial"/>
          <w:lang w:eastAsia="en-GB"/>
        </w:rPr>
      </w:pPr>
    </w:p>
    <w:p w14:paraId="1C7E2469" w14:textId="77777777" w:rsidR="00C84D32" w:rsidRPr="00C55E2A" w:rsidRDefault="00C84D32" w:rsidP="00C84D32">
      <w:pPr>
        <w:rPr>
          <w:rFonts w:ascii="Arial" w:hAnsi="Arial" w:cs="Arial"/>
        </w:rPr>
      </w:pPr>
    </w:p>
    <w:p w14:paraId="2E4793F5" w14:textId="77777777" w:rsidR="00C84D32" w:rsidRDefault="00C84D32" w:rsidP="00C84D32">
      <w:pPr>
        <w:rPr>
          <w:rFonts w:ascii="Arial" w:hAnsi="Arial" w:cs="Arial"/>
        </w:rPr>
      </w:pPr>
    </w:p>
    <w:p w14:paraId="126AAC26" w14:textId="77777777" w:rsidR="0078498F" w:rsidRDefault="0078498F" w:rsidP="00C84D32">
      <w:pPr>
        <w:rPr>
          <w:rFonts w:ascii="Arial" w:hAnsi="Arial" w:cs="Arial"/>
        </w:rPr>
      </w:pPr>
    </w:p>
    <w:p w14:paraId="38A66021" w14:textId="77777777" w:rsidR="0078498F" w:rsidRDefault="0078498F" w:rsidP="00C84D32">
      <w:pPr>
        <w:rPr>
          <w:rFonts w:ascii="Arial" w:hAnsi="Arial" w:cs="Arial"/>
        </w:rPr>
      </w:pPr>
    </w:p>
    <w:p w14:paraId="013BB8BD" w14:textId="77777777" w:rsidR="0078498F" w:rsidRPr="00C55E2A" w:rsidRDefault="0078498F" w:rsidP="00C84D32">
      <w:pPr>
        <w:rPr>
          <w:rFonts w:ascii="Arial" w:hAnsi="Arial" w:cs="Arial"/>
        </w:rPr>
      </w:pPr>
    </w:p>
    <w:p w14:paraId="3106B472" w14:textId="77777777" w:rsidR="00C84D32" w:rsidRPr="00C55E2A" w:rsidRDefault="00C84D32" w:rsidP="00C84D32">
      <w:pPr>
        <w:rPr>
          <w:rFonts w:ascii="Arial" w:hAnsi="Arial" w:cs="Arial"/>
        </w:rPr>
      </w:pPr>
    </w:p>
    <w:p w14:paraId="69454BAF" w14:textId="77777777" w:rsidR="00C84D32" w:rsidRPr="00C55E2A" w:rsidRDefault="00C84D32" w:rsidP="0078498F">
      <w:pPr>
        <w:pStyle w:val="Heading1"/>
        <w:rPr>
          <w:rFonts w:eastAsia="Times New Roman"/>
          <w:lang w:eastAsia="en-GB"/>
        </w:rPr>
      </w:pPr>
      <w:bookmarkStart w:id="103" w:name="_Toc231740369"/>
      <w:r w:rsidRPr="00C55E2A">
        <w:rPr>
          <w:rFonts w:eastAsia="Times New Roman"/>
          <w:lang w:eastAsia="en-GB"/>
        </w:rPr>
        <w:t>References</w:t>
      </w:r>
      <w:bookmarkEnd w:id="103"/>
    </w:p>
    <w:p w14:paraId="22756359"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Anh, H. (2024) 'Harmonizing engagement: The impact of music on consumer interaction in social media marketing', </w:t>
      </w:r>
      <w:r w:rsidRPr="00C55E2A">
        <w:rPr>
          <w:rFonts w:ascii="Arial" w:eastAsia="Times New Roman" w:hAnsi="Arial" w:cs="Arial"/>
          <w:i/>
          <w:iCs/>
          <w:kern w:val="0"/>
          <w:lang w:eastAsia="en-GB"/>
          <w14:ligatures w14:val="none"/>
        </w:rPr>
        <w:t>International Journal of Economics, Business and Management Research</w:t>
      </w:r>
      <w:r w:rsidRPr="00C55E2A">
        <w:rPr>
          <w:rFonts w:ascii="Arial" w:eastAsia="Times New Roman" w:hAnsi="Arial" w:cs="Arial"/>
          <w:kern w:val="0"/>
          <w:lang w:eastAsia="en-GB"/>
          <w14:ligatures w14:val="none"/>
        </w:rPr>
        <w:t>.</w:t>
      </w:r>
    </w:p>
    <w:p w14:paraId="0C7120F5"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Atkinson, L. and Rosenthal, S. (2014) '</w:t>
      </w:r>
      <w:proofErr w:type="spellStart"/>
      <w:r w:rsidRPr="00C55E2A">
        <w:rPr>
          <w:rFonts w:ascii="Arial" w:eastAsia="Times New Roman" w:hAnsi="Arial" w:cs="Arial"/>
          <w:kern w:val="0"/>
          <w:lang w:eastAsia="en-GB"/>
          <w14:ligatures w14:val="none"/>
        </w:rPr>
        <w:t>Signaling</w:t>
      </w:r>
      <w:proofErr w:type="spellEnd"/>
      <w:r w:rsidRPr="00C55E2A">
        <w:rPr>
          <w:rFonts w:ascii="Arial" w:eastAsia="Times New Roman" w:hAnsi="Arial" w:cs="Arial"/>
          <w:kern w:val="0"/>
          <w:lang w:eastAsia="en-GB"/>
          <w14:ligatures w14:val="none"/>
        </w:rPr>
        <w:t xml:space="preserve"> the green sell: The influence of eco-label source, argument specificity, and product involvement on consumer trust', </w:t>
      </w:r>
      <w:r w:rsidRPr="00C55E2A">
        <w:rPr>
          <w:rFonts w:ascii="Arial" w:eastAsia="Times New Roman" w:hAnsi="Arial" w:cs="Arial"/>
          <w:i/>
          <w:iCs/>
          <w:kern w:val="0"/>
          <w:lang w:eastAsia="en-GB"/>
          <w14:ligatures w14:val="none"/>
        </w:rPr>
        <w:t>Journal of Advertising</w:t>
      </w:r>
      <w:r w:rsidRPr="00C55E2A">
        <w:rPr>
          <w:rFonts w:ascii="Arial" w:eastAsia="Times New Roman" w:hAnsi="Arial" w:cs="Arial"/>
          <w:kern w:val="0"/>
          <w:lang w:eastAsia="en-GB"/>
          <w14:ligatures w14:val="none"/>
        </w:rPr>
        <w:t>, 43(1), pp. 33-45.</w:t>
      </w:r>
    </w:p>
    <w:p w14:paraId="6B09FF63"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Azhar, N. M. (2024) </w:t>
      </w:r>
      <w:r w:rsidRPr="00C55E2A">
        <w:rPr>
          <w:rFonts w:ascii="Arial" w:eastAsia="Times New Roman" w:hAnsi="Arial" w:cs="Arial"/>
          <w:i/>
          <w:iCs/>
          <w:kern w:val="0"/>
          <w:lang w:eastAsia="en-GB"/>
          <w14:ligatures w14:val="none"/>
        </w:rPr>
        <w:t>Digital Marketing Strategies for Sustainable Brand Development</w:t>
      </w:r>
      <w:r w:rsidRPr="00C55E2A">
        <w:rPr>
          <w:rFonts w:ascii="Arial" w:eastAsia="Times New Roman" w:hAnsi="Arial" w:cs="Arial"/>
          <w:kern w:val="0"/>
          <w:lang w:eastAsia="en-GB"/>
          <w14:ligatures w14:val="none"/>
        </w:rPr>
        <w:t>.</w:t>
      </w:r>
    </w:p>
    <w:p w14:paraId="7997757E"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Bagga, M. S. (2025) </w:t>
      </w:r>
      <w:r w:rsidRPr="00C55E2A">
        <w:rPr>
          <w:rFonts w:ascii="Arial" w:eastAsia="Times New Roman" w:hAnsi="Arial" w:cs="Arial"/>
          <w:i/>
          <w:iCs/>
          <w:kern w:val="0"/>
          <w:lang w:eastAsia="en-GB"/>
          <w14:ligatures w14:val="none"/>
        </w:rPr>
        <w:t>Evaluating the Impact of Green Marketing on Consumer Buying Behaviour in The Indian Market</w:t>
      </w:r>
      <w:r w:rsidRPr="00C55E2A">
        <w:rPr>
          <w:rFonts w:ascii="Arial" w:eastAsia="Times New Roman" w:hAnsi="Arial" w:cs="Arial"/>
          <w:kern w:val="0"/>
          <w:lang w:eastAsia="en-GB"/>
          <w14:ligatures w14:val="none"/>
        </w:rPr>
        <w:t>.</w:t>
      </w:r>
    </w:p>
    <w:p w14:paraId="42835EC8"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Belk, R. W. (2017) 'Qualitative research in advertising', </w:t>
      </w:r>
      <w:r w:rsidRPr="00C55E2A">
        <w:rPr>
          <w:rFonts w:ascii="Arial" w:eastAsia="Times New Roman" w:hAnsi="Arial" w:cs="Arial"/>
          <w:i/>
          <w:iCs/>
          <w:kern w:val="0"/>
          <w:lang w:eastAsia="en-GB"/>
          <w14:ligatures w14:val="none"/>
        </w:rPr>
        <w:t>Journal of Advertising</w:t>
      </w:r>
      <w:r w:rsidRPr="00C55E2A">
        <w:rPr>
          <w:rFonts w:ascii="Arial" w:eastAsia="Times New Roman" w:hAnsi="Arial" w:cs="Arial"/>
          <w:kern w:val="0"/>
          <w:lang w:eastAsia="en-GB"/>
          <w14:ligatures w14:val="none"/>
        </w:rPr>
        <w:t>.</w:t>
      </w:r>
    </w:p>
    <w:p w14:paraId="44D7E9CF"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proofErr w:type="spellStart"/>
      <w:r w:rsidRPr="00C55E2A">
        <w:rPr>
          <w:rFonts w:ascii="Arial" w:eastAsia="Times New Roman" w:hAnsi="Arial" w:cs="Arial"/>
          <w:kern w:val="0"/>
          <w:lang w:eastAsia="en-GB"/>
          <w14:ligatures w14:val="none"/>
        </w:rPr>
        <w:t>Blagorazumnaia</w:t>
      </w:r>
      <w:proofErr w:type="spellEnd"/>
      <w:r w:rsidRPr="00C55E2A">
        <w:rPr>
          <w:rFonts w:ascii="Arial" w:eastAsia="Times New Roman" w:hAnsi="Arial" w:cs="Arial"/>
          <w:kern w:val="0"/>
          <w:lang w:eastAsia="en-GB"/>
          <w14:ligatures w14:val="none"/>
        </w:rPr>
        <w:t xml:space="preserve">, O., Trifonova, E. et al. (2024) 'Digital greenwashing phenomena in the FMCG sector', </w:t>
      </w:r>
      <w:r w:rsidRPr="00C55E2A">
        <w:rPr>
          <w:rFonts w:ascii="Arial" w:eastAsia="Times New Roman" w:hAnsi="Arial" w:cs="Arial"/>
          <w:i/>
          <w:iCs/>
          <w:kern w:val="0"/>
          <w:lang w:eastAsia="en-GB"/>
          <w14:ligatures w14:val="none"/>
        </w:rPr>
        <w:t>European Journal of Marketing Ethics</w:t>
      </w:r>
      <w:r w:rsidRPr="00C55E2A">
        <w:rPr>
          <w:rFonts w:ascii="Arial" w:eastAsia="Times New Roman" w:hAnsi="Arial" w:cs="Arial"/>
          <w:kern w:val="0"/>
          <w:lang w:eastAsia="en-GB"/>
          <w14:ligatures w14:val="none"/>
        </w:rPr>
        <w:t>.</w:t>
      </w:r>
    </w:p>
    <w:p w14:paraId="2A318B28"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Bray, J., Johns, N. and Kilburn, D. (2011) 'An exploratory study into the factors impeding ethical consumption', </w:t>
      </w:r>
      <w:r w:rsidRPr="00C55E2A">
        <w:rPr>
          <w:rFonts w:ascii="Arial" w:eastAsia="Times New Roman" w:hAnsi="Arial" w:cs="Arial"/>
          <w:i/>
          <w:iCs/>
          <w:kern w:val="0"/>
          <w:lang w:eastAsia="en-GB"/>
          <w14:ligatures w14:val="none"/>
        </w:rPr>
        <w:t>Journal of Business Ethics</w:t>
      </w:r>
      <w:r w:rsidRPr="00C55E2A">
        <w:rPr>
          <w:rFonts w:ascii="Arial" w:eastAsia="Times New Roman" w:hAnsi="Arial" w:cs="Arial"/>
          <w:kern w:val="0"/>
          <w:lang w:eastAsia="en-GB"/>
          <w14:ligatures w14:val="none"/>
        </w:rPr>
        <w:t>, 98(4), pp. 597-608.</w:t>
      </w:r>
    </w:p>
    <w:p w14:paraId="49B45905"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Burgess, S. M. and Steenkamp, J. B. E. (2006) 'Marketing renaissance: How research in emerging markets advances marketing science and practice', </w:t>
      </w:r>
      <w:r w:rsidRPr="00C55E2A">
        <w:rPr>
          <w:rFonts w:ascii="Arial" w:eastAsia="Times New Roman" w:hAnsi="Arial" w:cs="Arial"/>
          <w:i/>
          <w:iCs/>
          <w:kern w:val="0"/>
          <w:lang w:eastAsia="en-GB"/>
          <w14:ligatures w14:val="none"/>
        </w:rPr>
        <w:t>International Journal of Research in Marketing</w:t>
      </w:r>
      <w:r w:rsidRPr="00C55E2A">
        <w:rPr>
          <w:rFonts w:ascii="Arial" w:eastAsia="Times New Roman" w:hAnsi="Arial" w:cs="Arial"/>
          <w:kern w:val="0"/>
          <w:lang w:eastAsia="en-GB"/>
          <w14:ligatures w14:val="none"/>
        </w:rPr>
        <w:t>, 23(4), pp. 337-356.</w:t>
      </w:r>
    </w:p>
    <w:p w14:paraId="26C7E657"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Bushman, R.M., </w:t>
      </w:r>
      <w:proofErr w:type="spellStart"/>
      <w:r w:rsidRPr="00C55E2A">
        <w:rPr>
          <w:rFonts w:ascii="Arial" w:eastAsia="Times New Roman" w:hAnsi="Arial" w:cs="Arial"/>
          <w:kern w:val="0"/>
          <w:lang w:eastAsia="en-GB"/>
          <w14:ligatures w14:val="none"/>
        </w:rPr>
        <w:t>Piotroski</w:t>
      </w:r>
      <w:proofErr w:type="spellEnd"/>
      <w:r w:rsidRPr="00C55E2A">
        <w:rPr>
          <w:rFonts w:ascii="Arial" w:eastAsia="Times New Roman" w:hAnsi="Arial" w:cs="Arial"/>
          <w:kern w:val="0"/>
          <w:lang w:eastAsia="en-GB"/>
          <w14:ligatures w14:val="none"/>
        </w:rPr>
        <w:t xml:space="preserve">, J.D. and Smith, A.J. (2004) 'What determines corporate transparency?', </w:t>
      </w:r>
      <w:r w:rsidRPr="00C55E2A">
        <w:rPr>
          <w:rFonts w:ascii="Arial" w:eastAsia="Times New Roman" w:hAnsi="Arial" w:cs="Arial"/>
          <w:i/>
          <w:iCs/>
          <w:kern w:val="0"/>
          <w:lang w:eastAsia="en-GB"/>
          <w14:ligatures w14:val="none"/>
        </w:rPr>
        <w:t>Journal of Accounting Research</w:t>
      </w:r>
      <w:r w:rsidRPr="00C55E2A">
        <w:rPr>
          <w:rFonts w:ascii="Arial" w:eastAsia="Times New Roman" w:hAnsi="Arial" w:cs="Arial"/>
          <w:kern w:val="0"/>
          <w:lang w:eastAsia="en-GB"/>
          <w14:ligatures w14:val="none"/>
        </w:rPr>
        <w:t>, 42(2), pp. 207-252.</w:t>
      </w:r>
    </w:p>
    <w:p w14:paraId="5DDC630F"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Choudhury, S., Santra, A., Karar, A. and Koner, N. (2025) </w:t>
      </w:r>
      <w:r w:rsidRPr="00C55E2A">
        <w:rPr>
          <w:rFonts w:ascii="Arial" w:eastAsia="Times New Roman" w:hAnsi="Arial" w:cs="Arial"/>
          <w:i/>
          <w:iCs/>
          <w:kern w:val="0"/>
          <w:lang w:eastAsia="en-GB"/>
          <w14:ligatures w14:val="none"/>
        </w:rPr>
        <w:t>A Study on Consumer Preference for Products Prioritizing Sustainability</w:t>
      </w:r>
      <w:r w:rsidRPr="00C55E2A">
        <w:rPr>
          <w:rFonts w:ascii="Arial" w:eastAsia="Times New Roman" w:hAnsi="Arial" w:cs="Arial"/>
          <w:kern w:val="0"/>
          <w:lang w:eastAsia="en-GB"/>
          <w14:ligatures w14:val="none"/>
        </w:rPr>
        <w:t>.</w:t>
      </w:r>
    </w:p>
    <w:p w14:paraId="6AD10CEA"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Connelly, B. L., Certo, S. T., Ireland, R. D. and Reutzel, C. R. (2011) '</w:t>
      </w:r>
      <w:proofErr w:type="spellStart"/>
      <w:r w:rsidRPr="00C55E2A">
        <w:rPr>
          <w:rFonts w:ascii="Arial" w:eastAsia="Times New Roman" w:hAnsi="Arial" w:cs="Arial"/>
          <w:kern w:val="0"/>
          <w:lang w:eastAsia="en-GB"/>
          <w14:ligatures w14:val="none"/>
        </w:rPr>
        <w:t>Signaling</w:t>
      </w:r>
      <w:proofErr w:type="spellEnd"/>
      <w:r w:rsidRPr="00C55E2A">
        <w:rPr>
          <w:rFonts w:ascii="Arial" w:eastAsia="Times New Roman" w:hAnsi="Arial" w:cs="Arial"/>
          <w:kern w:val="0"/>
          <w:lang w:eastAsia="en-GB"/>
          <w14:ligatures w14:val="none"/>
        </w:rPr>
        <w:t xml:space="preserve"> theory: A review and assessment', </w:t>
      </w:r>
      <w:r w:rsidRPr="00C55E2A">
        <w:rPr>
          <w:rFonts w:ascii="Arial" w:eastAsia="Times New Roman" w:hAnsi="Arial" w:cs="Arial"/>
          <w:i/>
          <w:iCs/>
          <w:kern w:val="0"/>
          <w:lang w:eastAsia="en-GB"/>
          <w14:ligatures w14:val="none"/>
        </w:rPr>
        <w:t>Journal of Management</w:t>
      </w:r>
      <w:r w:rsidRPr="00C55E2A">
        <w:rPr>
          <w:rFonts w:ascii="Arial" w:eastAsia="Times New Roman" w:hAnsi="Arial" w:cs="Arial"/>
          <w:kern w:val="0"/>
          <w:lang w:eastAsia="en-GB"/>
          <w14:ligatures w14:val="none"/>
        </w:rPr>
        <w:t>, 37(1), pp. 39-67.</w:t>
      </w:r>
    </w:p>
    <w:p w14:paraId="70E95E5F"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Delmas, M. A. and Burbano, V. C. (2011) 'The drivers of greenwashing', </w:t>
      </w:r>
      <w:r w:rsidRPr="00C55E2A">
        <w:rPr>
          <w:rFonts w:ascii="Arial" w:eastAsia="Times New Roman" w:hAnsi="Arial" w:cs="Arial"/>
          <w:i/>
          <w:iCs/>
          <w:kern w:val="0"/>
          <w:lang w:eastAsia="en-GB"/>
          <w14:ligatures w14:val="none"/>
        </w:rPr>
        <w:t>California Management Review</w:t>
      </w:r>
      <w:r w:rsidRPr="00C55E2A">
        <w:rPr>
          <w:rFonts w:ascii="Arial" w:eastAsia="Times New Roman" w:hAnsi="Arial" w:cs="Arial"/>
          <w:kern w:val="0"/>
          <w:lang w:eastAsia="en-GB"/>
          <w14:ligatures w14:val="none"/>
        </w:rPr>
        <w:t>, 54(1), pp. 64-87.</w:t>
      </w:r>
    </w:p>
    <w:p w14:paraId="43D65BF8"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Eckhardt, G.M. and Mahi, H. (2004) 'The role of consumer culture in India's emerging economy', </w:t>
      </w:r>
      <w:r w:rsidRPr="00C55E2A">
        <w:rPr>
          <w:rFonts w:ascii="Arial" w:eastAsia="Times New Roman" w:hAnsi="Arial" w:cs="Arial"/>
          <w:i/>
          <w:iCs/>
          <w:kern w:val="0"/>
          <w:lang w:eastAsia="en-GB"/>
          <w14:ligatures w14:val="none"/>
        </w:rPr>
        <w:t xml:space="preserve">Research in Consumer </w:t>
      </w:r>
      <w:proofErr w:type="spellStart"/>
      <w:r w:rsidRPr="00C55E2A">
        <w:rPr>
          <w:rFonts w:ascii="Arial" w:eastAsia="Times New Roman" w:hAnsi="Arial" w:cs="Arial"/>
          <w:i/>
          <w:iCs/>
          <w:kern w:val="0"/>
          <w:lang w:eastAsia="en-GB"/>
          <w14:ligatures w14:val="none"/>
        </w:rPr>
        <w:t>Behavior</w:t>
      </w:r>
      <w:proofErr w:type="spellEnd"/>
      <w:r w:rsidRPr="00C55E2A">
        <w:rPr>
          <w:rFonts w:ascii="Arial" w:eastAsia="Times New Roman" w:hAnsi="Arial" w:cs="Arial"/>
          <w:kern w:val="0"/>
          <w:lang w:eastAsia="en-GB"/>
          <w14:ligatures w14:val="none"/>
        </w:rPr>
        <w:t>, 10, pp. 299-318.</w:t>
      </w:r>
    </w:p>
    <w:p w14:paraId="119323DF"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Edelman (2023) </w:t>
      </w:r>
      <w:r w:rsidRPr="00C55E2A">
        <w:rPr>
          <w:rFonts w:ascii="Arial" w:eastAsia="Times New Roman" w:hAnsi="Arial" w:cs="Arial"/>
          <w:i/>
          <w:iCs/>
          <w:kern w:val="0"/>
          <w:lang w:eastAsia="en-GB"/>
          <w14:ligatures w14:val="none"/>
        </w:rPr>
        <w:t>Edelman Trust Barometer: Navigating a Polarized World</w:t>
      </w:r>
      <w:r w:rsidRPr="00C55E2A">
        <w:rPr>
          <w:rFonts w:ascii="Arial" w:eastAsia="Times New Roman" w:hAnsi="Arial" w:cs="Arial"/>
          <w:kern w:val="0"/>
          <w:lang w:eastAsia="en-GB"/>
          <w14:ligatures w14:val="none"/>
        </w:rPr>
        <w:t xml:space="preserve">. Available at: </w:t>
      </w:r>
      <w:hyperlink r:id="rId23" w:tgtFrame="_blank" w:history="1">
        <w:r w:rsidRPr="00C55E2A">
          <w:rPr>
            <w:rFonts w:ascii="Arial" w:eastAsia="Times New Roman" w:hAnsi="Arial" w:cs="Arial"/>
            <w:color w:val="0000FF"/>
            <w:kern w:val="0"/>
            <w:u w:val="single"/>
            <w:lang w:eastAsia="en-GB"/>
            <w14:ligatures w14:val="none"/>
          </w:rPr>
          <w:t>https://www.edelman.com/trust/2023</w:t>
        </w:r>
      </w:hyperlink>
      <w:r w:rsidRPr="00C55E2A">
        <w:rPr>
          <w:rFonts w:ascii="Arial" w:eastAsia="Times New Roman" w:hAnsi="Arial" w:cs="Arial"/>
          <w:kern w:val="0"/>
          <w:lang w:eastAsia="en-GB"/>
          <w14:ligatures w14:val="none"/>
        </w:rPr>
        <w:t xml:space="preserve"> (Accessed: 22 May 2024).</w:t>
      </w:r>
    </w:p>
    <w:p w14:paraId="54D3CF44"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Farr-Wharton, G., Foth, M. and Choi, J.H.J. (2014) 'Identifying factors that promote consumer behaviours causing expired domestic food waste', </w:t>
      </w:r>
      <w:r w:rsidRPr="00C55E2A">
        <w:rPr>
          <w:rFonts w:ascii="Arial" w:eastAsia="Times New Roman" w:hAnsi="Arial" w:cs="Arial"/>
          <w:i/>
          <w:iCs/>
          <w:kern w:val="0"/>
          <w:lang w:eastAsia="en-GB"/>
          <w14:ligatures w14:val="none"/>
        </w:rPr>
        <w:t>Journal of Consumer Behaviour</w:t>
      </w:r>
      <w:r w:rsidRPr="00C55E2A">
        <w:rPr>
          <w:rFonts w:ascii="Arial" w:eastAsia="Times New Roman" w:hAnsi="Arial" w:cs="Arial"/>
          <w:kern w:val="0"/>
          <w:lang w:eastAsia="en-GB"/>
          <w14:ligatures w14:val="none"/>
        </w:rPr>
        <w:t>, 13(6), pp. 393-402.</w:t>
      </w:r>
    </w:p>
    <w:p w14:paraId="5CC358D1"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Gleim, M. R., Smith, J. S., Andrews, D. and Cronin Jr, J. J. (2013) 'Against the green: A multi-method examination of the barriers to green consumption', </w:t>
      </w:r>
      <w:r w:rsidRPr="00C55E2A">
        <w:rPr>
          <w:rFonts w:ascii="Arial" w:eastAsia="Times New Roman" w:hAnsi="Arial" w:cs="Arial"/>
          <w:i/>
          <w:iCs/>
          <w:kern w:val="0"/>
          <w:lang w:eastAsia="en-GB"/>
          <w14:ligatures w14:val="none"/>
        </w:rPr>
        <w:t>Journal of Retailing</w:t>
      </w:r>
      <w:r w:rsidRPr="00C55E2A">
        <w:rPr>
          <w:rFonts w:ascii="Arial" w:eastAsia="Times New Roman" w:hAnsi="Arial" w:cs="Arial"/>
          <w:kern w:val="0"/>
          <w:lang w:eastAsia="en-GB"/>
          <w14:ligatures w14:val="none"/>
        </w:rPr>
        <w:t>, 89(1), pp. 44-61.</w:t>
      </w:r>
    </w:p>
    <w:p w14:paraId="4D332018"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Glikson, E. and Woolley, A.W. (2020) 'Human trust in artificial intelligence: Review of empirical research', </w:t>
      </w:r>
      <w:r w:rsidRPr="00C55E2A">
        <w:rPr>
          <w:rFonts w:ascii="Arial" w:eastAsia="Times New Roman" w:hAnsi="Arial" w:cs="Arial"/>
          <w:i/>
          <w:iCs/>
          <w:kern w:val="0"/>
          <w:lang w:eastAsia="en-GB"/>
          <w14:ligatures w14:val="none"/>
        </w:rPr>
        <w:t>Academy of Management Annals</w:t>
      </w:r>
      <w:r w:rsidRPr="00C55E2A">
        <w:rPr>
          <w:rFonts w:ascii="Arial" w:eastAsia="Times New Roman" w:hAnsi="Arial" w:cs="Arial"/>
          <w:kern w:val="0"/>
          <w:lang w:eastAsia="en-GB"/>
          <w14:ligatures w14:val="none"/>
        </w:rPr>
        <w:t>, 14(2), pp. 627-660.</w:t>
      </w:r>
    </w:p>
    <w:p w14:paraId="3D630E36"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Hofstede, G. (2011) '</w:t>
      </w:r>
      <w:proofErr w:type="spellStart"/>
      <w:r w:rsidRPr="00C55E2A">
        <w:rPr>
          <w:rFonts w:ascii="Arial" w:eastAsia="Times New Roman" w:hAnsi="Arial" w:cs="Arial"/>
          <w:kern w:val="0"/>
          <w:lang w:eastAsia="en-GB"/>
          <w14:ligatures w14:val="none"/>
        </w:rPr>
        <w:t>Dimensionalizing</w:t>
      </w:r>
      <w:proofErr w:type="spellEnd"/>
      <w:r w:rsidRPr="00C55E2A">
        <w:rPr>
          <w:rFonts w:ascii="Arial" w:eastAsia="Times New Roman" w:hAnsi="Arial" w:cs="Arial"/>
          <w:kern w:val="0"/>
          <w:lang w:eastAsia="en-GB"/>
          <w14:ligatures w14:val="none"/>
        </w:rPr>
        <w:t xml:space="preserve"> cultures: The </w:t>
      </w:r>
      <w:proofErr w:type="spellStart"/>
      <w:r w:rsidRPr="00C55E2A">
        <w:rPr>
          <w:rFonts w:ascii="Arial" w:eastAsia="Times New Roman" w:hAnsi="Arial" w:cs="Arial"/>
          <w:kern w:val="0"/>
          <w:lang w:eastAsia="en-GB"/>
          <w14:ligatures w14:val="none"/>
        </w:rPr>
        <w:t>Hofstede</w:t>
      </w:r>
      <w:proofErr w:type="spellEnd"/>
      <w:r w:rsidRPr="00C55E2A">
        <w:rPr>
          <w:rFonts w:ascii="Arial" w:eastAsia="Times New Roman" w:hAnsi="Arial" w:cs="Arial"/>
          <w:kern w:val="0"/>
          <w:lang w:eastAsia="en-GB"/>
          <w14:ligatures w14:val="none"/>
        </w:rPr>
        <w:t xml:space="preserve"> model in context', </w:t>
      </w:r>
      <w:r w:rsidRPr="00C55E2A">
        <w:rPr>
          <w:rFonts w:ascii="Arial" w:eastAsia="Times New Roman" w:hAnsi="Arial" w:cs="Arial"/>
          <w:i/>
          <w:iCs/>
          <w:kern w:val="0"/>
          <w:lang w:eastAsia="en-GB"/>
          <w14:ligatures w14:val="none"/>
        </w:rPr>
        <w:t>Online Readings in Psychology and Culture</w:t>
      </w:r>
      <w:r w:rsidRPr="00C55E2A">
        <w:rPr>
          <w:rFonts w:ascii="Arial" w:eastAsia="Times New Roman" w:hAnsi="Arial" w:cs="Arial"/>
          <w:kern w:val="0"/>
          <w:lang w:eastAsia="en-GB"/>
          <w14:ligatures w14:val="none"/>
        </w:rPr>
        <w:t>, 2(1), pp. 1-26.</w:t>
      </w:r>
    </w:p>
    <w:p w14:paraId="1C251120"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Holt, D.B. (2016) 'Branding in the age of social media', </w:t>
      </w:r>
      <w:r w:rsidRPr="00C55E2A">
        <w:rPr>
          <w:rFonts w:ascii="Arial" w:eastAsia="Times New Roman" w:hAnsi="Arial" w:cs="Arial"/>
          <w:i/>
          <w:iCs/>
          <w:kern w:val="0"/>
          <w:lang w:eastAsia="en-GB"/>
          <w14:ligatures w14:val="none"/>
        </w:rPr>
        <w:t>Harvard Business Review</w:t>
      </w:r>
      <w:r w:rsidRPr="00C55E2A">
        <w:rPr>
          <w:rFonts w:ascii="Arial" w:eastAsia="Times New Roman" w:hAnsi="Arial" w:cs="Arial"/>
          <w:kern w:val="0"/>
          <w:lang w:eastAsia="en-GB"/>
          <w14:ligatures w14:val="none"/>
        </w:rPr>
        <w:t>, 94(3), pp. 40-50.</w:t>
      </w:r>
    </w:p>
    <w:p w14:paraId="550EB47E"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Ibrahim, A., Amin, N., </w:t>
      </w:r>
      <w:proofErr w:type="spellStart"/>
      <w:r w:rsidRPr="00C55E2A">
        <w:rPr>
          <w:rFonts w:ascii="Arial" w:eastAsia="Times New Roman" w:hAnsi="Arial" w:cs="Arial"/>
          <w:kern w:val="0"/>
          <w:lang w:eastAsia="en-GB"/>
          <w14:ligatures w14:val="none"/>
        </w:rPr>
        <w:t>Shehloo</w:t>
      </w:r>
      <w:proofErr w:type="spellEnd"/>
      <w:r w:rsidRPr="00C55E2A">
        <w:rPr>
          <w:rFonts w:ascii="Arial" w:eastAsia="Times New Roman" w:hAnsi="Arial" w:cs="Arial"/>
          <w:kern w:val="0"/>
          <w:lang w:eastAsia="en-GB"/>
          <w14:ligatures w14:val="none"/>
        </w:rPr>
        <w:t xml:space="preserve">, A. A. and Qadri, N. (2025) </w:t>
      </w:r>
      <w:r w:rsidRPr="00C55E2A">
        <w:rPr>
          <w:rFonts w:ascii="Arial" w:eastAsia="Times New Roman" w:hAnsi="Arial" w:cs="Arial"/>
          <w:i/>
          <w:iCs/>
          <w:kern w:val="0"/>
          <w:lang w:eastAsia="en-GB"/>
          <w14:ligatures w14:val="none"/>
        </w:rPr>
        <w:t>Digital Marketing As A Catalyst For Environmental Sustainability And Green Consumerism: A Transformative Approach</w:t>
      </w:r>
      <w:r w:rsidRPr="00C55E2A">
        <w:rPr>
          <w:rFonts w:ascii="Arial" w:eastAsia="Times New Roman" w:hAnsi="Arial" w:cs="Arial"/>
          <w:kern w:val="0"/>
          <w:lang w:eastAsia="en-GB"/>
          <w14:ligatures w14:val="none"/>
        </w:rPr>
        <w:t>.</w:t>
      </w:r>
    </w:p>
    <w:p w14:paraId="302F24A2"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Imane, G. and Rabeh, H. (2025) </w:t>
      </w:r>
      <w:r w:rsidRPr="00C55E2A">
        <w:rPr>
          <w:rFonts w:ascii="Arial" w:eastAsia="Times New Roman" w:hAnsi="Arial" w:cs="Arial"/>
          <w:i/>
          <w:iCs/>
          <w:kern w:val="0"/>
          <w:lang w:eastAsia="en-GB"/>
          <w14:ligatures w14:val="none"/>
        </w:rPr>
        <w:t>The Role of Electronic Marketing in Encouraging Clean Products in the Context of Sustainable Development</w:t>
      </w:r>
      <w:r w:rsidRPr="00C55E2A">
        <w:rPr>
          <w:rFonts w:ascii="Arial" w:eastAsia="Times New Roman" w:hAnsi="Arial" w:cs="Arial"/>
          <w:kern w:val="0"/>
          <w:lang w:eastAsia="en-GB"/>
          <w14:ligatures w14:val="none"/>
        </w:rPr>
        <w:t>.</w:t>
      </w:r>
    </w:p>
    <w:p w14:paraId="1B9D330B"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Jaiswal, D. and Singh, B. (2018) 'Toward sustainable consumption: Investigating the determinants of green buying behaviour of Indian consumers', </w:t>
      </w:r>
      <w:r w:rsidRPr="00C55E2A">
        <w:rPr>
          <w:rFonts w:ascii="Arial" w:eastAsia="Times New Roman" w:hAnsi="Arial" w:cs="Arial"/>
          <w:i/>
          <w:iCs/>
          <w:kern w:val="0"/>
          <w:lang w:eastAsia="en-GB"/>
          <w14:ligatures w14:val="none"/>
        </w:rPr>
        <w:t>Business Strategy and Development</w:t>
      </w:r>
      <w:r w:rsidRPr="00C55E2A">
        <w:rPr>
          <w:rFonts w:ascii="Arial" w:eastAsia="Times New Roman" w:hAnsi="Arial" w:cs="Arial"/>
          <w:kern w:val="0"/>
          <w:lang w:eastAsia="en-GB"/>
          <w14:ligatures w14:val="none"/>
        </w:rPr>
        <w:t>.</w:t>
      </w:r>
    </w:p>
    <w:p w14:paraId="78BBFED1"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Kim, J., Taylor, C. R., Kim, K. H. and Lee, H. K. (2015) 'Measures of perceived sustainability', </w:t>
      </w:r>
      <w:r w:rsidRPr="00C55E2A">
        <w:rPr>
          <w:rFonts w:ascii="Arial" w:eastAsia="Times New Roman" w:hAnsi="Arial" w:cs="Arial"/>
          <w:i/>
          <w:iCs/>
          <w:kern w:val="0"/>
          <w:lang w:eastAsia="en-GB"/>
          <w14:ligatures w14:val="none"/>
        </w:rPr>
        <w:t>Journal of Global Scholars of Marketing Science</w:t>
      </w:r>
      <w:r w:rsidRPr="00C55E2A">
        <w:rPr>
          <w:rFonts w:ascii="Arial" w:eastAsia="Times New Roman" w:hAnsi="Arial" w:cs="Arial"/>
          <w:kern w:val="0"/>
          <w:lang w:eastAsia="en-GB"/>
          <w14:ligatures w14:val="none"/>
        </w:rPr>
        <w:t>.</w:t>
      </w:r>
    </w:p>
    <w:p w14:paraId="5F2B7F40"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Kollmuss, A. and Agyeman, J. (2002) 'Mind the gap: Why do people act environmentally and what are the barriers to pro-environmental </w:t>
      </w:r>
      <w:proofErr w:type="spellStart"/>
      <w:r w:rsidRPr="00C55E2A">
        <w:rPr>
          <w:rFonts w:ascii="Arial" w:eastAsia="Times New Roman" w:hAnsi="Arial" w:cs="Arial"/>
          <w:kern w:val="0"/>
          <w:lang w:eastAsia="en-GB"/>
          <w14:ligatures w14:val="none"/>
        </w:rPr>
        <w:t>behavior</w:t>
      </w:r>
      <w:proofErr w:type="spellEnd"/>
      <w:r w:rsidRPr="00C55E2A">
        <w:rPr>
          <w:rFonts w:ascii="Arial" w:eastAsia="Times New Roman" w:hAnsi="Arial" w:cs="Arial"/>
          <w:kern w:val="0"/>
          <w:lang w:eastAsia="en-GB"/>
          <w14:ligatures w14:val="none"/>
        </w:rPr>
        <w:t xml:space="preserve">?', </w:t>
      </w:r>
      <w:r w:rsidRPr="00C55E2A">
        <w:rPr>
          <w:rFonts w:ascii="Arial" w:eastAsia="Times New Roman" w:hAnsi="Arial" w:cs="Arial"/>
          <w:i/>
          <w:iCs/>
          <w:kern w:val="0"/>
          <w:lang w:eastAsia="en-GB"/>
          <w14:ligatures w14:val="none"/>
        </w:rPr>
        <w:t>Environmental Education Research</w:t>
      </w:r>
      <w:r w:rsidRPr="00C55E2A">
        <w:rPr>
          <w:rFonts w:ascii="Arial" w:eastAsia="Times New Roman" w:hAnsi="Arial" w:cs="Arial"/>
          <w:kern w:val="0"/>
          <w:lang w:eastAsia="en-GB"/>
          <w14:ligatures w14:val="none"/>
        </w:rPr>
        <w:t>, 8(3), pp. 239-260.</w:t>
      </w:r>
    </w:p>
    <w:p w14:paraId="22BDA6AC"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Marquis, C. and Toffel, M.W. (2012) 'When do firms greenwash? Corporate visibility, civil society testing, and the probability of environmental sanctions', </w:t>
      </w:r>
      <w:r w:rsidRPr="00C55E2A">
        <w:rPr>
          <w:rFonts w:ascii="Arial" w:eastAsia="Times New Roman" w:hAnsi="Arial" w:cs="Arial"/>
          <w:i/>
          <w:iCs/>
          <w:kern w:val="0"/>
          <w:lang w:eastAsia="en-GB"/>
          <w14:ligatures w14:val="none"/>
        </w:rPr>
        <w:t>Organization Science</w:t>
      </w:r>
      <w:r w:rsidRPr="00C55E2A">
        <w:rPr>
          <w:rFonts w:ascii="Arial" w:eastAsia="Times New Roman" w:hAnsi="Arial" w:cs="Arial"/>
          <w:kern w:val="0"/>
          <w:lang w:eastAsia="en-GB"/>
          <w14:ligatures w14:val="none"/>
        </w:rPr>
        <w:t>, 24(2), pp. 739-757.</w:t>
      </w:r>
    </w:p>
    <w:p w14:paraId="60AFE7F4"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Mathur, N. (2010) 'Shopping malls, credit cards and global brands: Consumer culture and lifestyle of India's new middle class', </w:t>
      </w:r>
      <w:r w:rsidRPr="00C55E2A">
        <w:rPr>
          <w:rFonts w:ascii="Arial" w:eastAsia="Times New Roman" w:hAnsi="Arial" w:cs="Arial"/>
          <w:i/>
          <w:iCs/>
          <w:kern w:val="0"/>
          <w:lang w:eastAsia="en-GB"/>
          <w14:ligatures w14:val="none"/>
        </w:rPr>
        <w:t>South Asia Research</w:t>
      </w:r>
      <w:r w:rsidRPr="00C55E2A">
        <w:rPr>
          <w:rFonts w:ascii="Arial" w:eastAsia="Times New Roman" w:hAnsi="Arial" w:cs="Arial"/>
          <w:kern w:val="0"/>
          <w:lang w:eastAsia="en-GB"/>
          <w14:ligatures w14:val="none"/>
        </w:rPr>
        <w:t>, 30(3), pp. 211-231.</w:t>
      </w:r>
    </w:p>
    <w:p w14:paraId="576262D1"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proofErr w:type="spellStart"/>
      <w:r w:rsidRPr="00C55E2A">
        <w:rPr>
          <w:rFonts w:ascii="Arial" w:eastAsia="Times New Roman" w:hAnsi="Arial" w:cs="Arial"/>
          <w:kern w:val="0"/>
          <w:lang w:eastAsia="en-GB"/>
          <w14:ligatures w14:val="none"/>
        </w:rPr>
        <w:t>Mustak</w:t>
      </w:r>
      <w:proofErr w:type="spellEnd"/>
      <w:r w:rsidRPr="00C55E2A">
        <w:rPr>
          <w:rFonts w:ascii="Arial" w:eastAsia="Times New Roman" w:hAnsi="Arial" w:cs="Arial"/>
          <w:kern w:val="0"/>
          <w:lang w:eastAsia="en-GB"/>
          <w14:ligatures w14:val="none"/>
        </w:rPr>
        <w:t xml:space="preserve">, M., Salminen, J., </w:t>
      </w:r>
      <w:proofErr w:type="spellStart"/>
      <w:r w:rsidRPr="00C55E2A">
        <w:rPr>
          <w:rFonts w:ascii="Arial" w:eastAsia="Times New Roman" w:hAnsi="Arial" w:cs="Arial"/>
          <w:kern w:val="0"/>
          <w:lang w:eastAsia="en-GB"/>
          <w14:ligatures w14:val="none"/>
        </w:rPr>
        <w:t>Plé</w:t>
      </w:r>
      <w:proofErr w:type="spellEnd"/>
      <w:r w:rsidRPr="00C55E2A">
        <w:rPr>
          <w:rFonts w:ascii="Arial" w:eastAsia="Times New Roman" w:hAnsi="Arial" w:cs="Arial"/>
          <w:kern w:val="0"/>
          <w:lang w:eastAsia="en-GB"/>
          <w14:ligatures w14:val="none"/>
        </w:rPr>
        <w:t xml:space="preserve">, L. and Wirtz, J. (2021) 'Artificial intelligence in marketing: Topic </w:t>
      </w:r>
      <w:proofErr w:type="spellStart"/>
      <w:r w:rsidRPr="00C55E2A">
        <w:rPr>
          <w:rFonts w:ascii="Arial" w:eastAsia="Times New Roman" w:hAnsi="Arial" w:cs="Arial"/>
          <w:kern w:val="0"/>
          <w:lang w:eastAsia="en-GB"/>
          <w14:ligatures w14:val="none"/>
        </w:rPr>
        <w:t>modeling</w:t>
      </w:r>
      <w:proofErr w:type="spellEnd"/>
      <w:r w:rsidRPr="00C55E2A">
        <w:rPr>
          <w:rFonts w:ascii="Arial" w:eastAsia="Times New Roman" w:hAnsi="Arial" w:cs="Arial"/>
          <w:kern w:val="0"/>
          <w:lang w:eastAsia="en-GB"/>
          <w14:ligatures w14:val="none"/>
        </w:rPr>
        <w:t xml:space="preserve">, </w:t>
      </w:r>
      <w:proofErr w:type="spellStart"/>
      <w:r w:rsidRPr="00C55E2A">
        <w:rPr>
          <w:rFonts w:ascii="Arial" w:eastAsia="Times New Roman" w:hAnsi="Arial" w:cs="Arial"/>
          <w:kern w:val="0"/>
          <w:lang w:eastAsia="en-GB"/>
          <w14:ligatures w14:val="none"/>
        </w:rPr>
        <w:t>scientometric</w:t>
      </w:r>
      <w:proofErr w:type="spellEnd"/>
      <w:r w:rsidRPr="00C55E2A">
        <w:rPr>
          <w:rFonts w:ascii="Arial" w:eastAsia="Times New Roman" w:hAnsi="Arial" w:cs="Arial"/>
          <w:kern w:val="0"/>
          <w:lang w:eastAsia="en-GB"/>
          <w14:ligatures w14:val="none"/>
        </w:rPr>
        <w:t xml:space="preserve"> analysis, and research agenda', </w:t>
      </w:r>
      <w:r w:rsidRPr="00C55E2A">
        <w:rPr>
          <w:rFonts w:ascii="Arial" w:eastAsia="Times New Roman" w:hAnsi="Arial" w:cs="Arial"/>
          <w:i/>
          <w:iCs/>
          <w:kern w:val="0"/>
          <w:lang w:eastAsia="en-GB"/>
          <w14:ligatures w14:val="none"/>
        </w:rPr>
        <w:t>Journal of Business Research</w:t>
      </w:r>
      <w:r w:rsidRPr="00C55E2A">
        <w:rPr>
          <w:rFonts w:ascii="Arial" w:eastAsia="Times New Roman" w:hAnsi="Arial" w:cs="Arial"/>
          <w:kern w:val="0"/>
          <w:lang w:eastAsia="en-GB"/>
          <w14:ligatures w14:val="none"/>
        </w:rPr>
        <w:t>, 124, pp. 389-404.</w:t>
      </w:r>
    </w:p>
    <w:p w14:paraId="7475CA55"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Nyilasy, G., </w:t>
      </w:r>
      <w:proofErr w:type="spellStart"/>
      <w:r w:rsidRPr="00C55E2A">
        <w:rPr>
          <w:rFonts w:ascii="Arial" w:eastAsia="Times New Roman" w:hAnsi="Arial" w:cs="Arial"/>
          <w:kern w:val="0"/>
          <w:lang w:eastAsia="en-GB"/>
          <w14:ligatures w14:val="none"/>
        </w:rPr>
        <w:t>Gangadharbatla</w:t>
      </w:r>
      <w:proofErr w:type="spellEnd"/>
      <w:r w:rsidRPr="00C55E2A">
        <w:rPr>
          <w:rFonts w:ascii="Arial" w:eastAsia="Times New Roman" w:hAnsi="Arial" w:cs="Arial"/>
          <w:kern w:val="0"/>
          <w:lang w:eastAsia="en-GB"/>
          <w14:ligatures w14:val="none"/>
        </w:rPr>
        <w:t xml:space="preserve">, H. and Paladino, A. (2014) 'Perceived greenwashing: The interactive effects of green advertising and corporate environmental performance on environmental responses', </w:t>
      </w:r>
      <w:r w:rsidRPr="00C55E2A">
        <w:rPr>
          <w:rFonts w:ascii="Arial" w:eastAsia="Times New Roman" w:hAnsi="Arial" w:cs="Arial"/>
          <w:i/>
          <w:iCs/>
          <w:kern w:val="0"/>
          <w:lang w:eastAsia="en-GB"/>
          <w14:ligatures w14:val="none"/>
        </w:rPr>
        <w:t>Journal of Business Ethics</w:t>
      </w:r>
      <w:r w:rsidRPr="00C55E2A">
        <w:rPr>
          <w:rFonts w:ascii="Arial" w:eastAsia="Times New Roman" w:hAnsi="Arial" w:cs="Arial"/>
          <w:kern w:val="0"/>
          <w:lang w:eastAsia="en-GB"/>
          <w14:ligatures w14:val="none"/>
        </w:rPr>
        <w:t>, 125(4), pp. 693-707.</w:t>
      </w:r>
    </w:p>
    <w:p w14:paraId="65E019FC"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Peattie, K. (2001) 'Towards sustainability: The third age of green marketing', </w:t>
      </w:r>
      <w:r w:rsidRPr="00C55E2A">
        <w:rPr>
          <w:rFonts w:ascii="Arial" w:eastAsia="Times New Roman" w:hAnsi="Arial" w:cs="Arial"/>
          <w:i/>
          <w:iCs/>
          <w:kern w:val="0"/>
          <w:lang w:eastAsia="en-GB"/>
          <w14:ligatures w14:val="none"/>
        </w:rPr>
        <w:t>The Marketing Review</w:t>
      </w:r>
      <w:r w:rsidRPr="00C55E2A">
        <w:rPr>
          <w:rFonts w:ascii="Arial" w:eastAsia="Times New Roman" w:hAnsi="Arial" w:cs="Arial"/>
          <w:kern w:val="0"/>
          <w:lang w:eastAsia="en-GB"/>
          <w14:ligatures w14:val="none"/>
        </w:rPr>
        <w:t>, 2(2), pp. 129-146.</w:t>
      </w:r>
    </w:p>
    <w:p w14:paraId="6151C32B"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Polonsky, M. J. (1994) 'An introduction to green marketing', </w:t>
      </w:r>
      <w:r w:rsidRPr="00C55E2A">
        <w:rPr>
          <w:rFonts w:ascii="Arial" w:eastAsia="Times New Roman" w:hAnsi="Arial" w:cs="Arial"/>
          <w:i/>
          <w:iCs/>
          <w:kern w:val="0"/>
          <w:lang w:eastAsia="en-GB"/>
          <w14:ligatures w14:val="none"/>
        </w:rPr>
        <w:t>Electronic Green Journal</w:t>
      </w:r>
      <w:r w:rsidRPr="00C55E2A">
        <w:rPr>
          <w:rFonts w:ascii="Arial" w:eastAsia="Times New Roman" w:hAnsi="Arial" w:cs="Arial"/>
          <w:kern w:val="0"/>
          <w:lang w:eastAsia="en-GB"/>
          <w14:ligatures w14:val="none"/>
        </w:rPr>
        <w:t>, 1(2).</w:t>
      </w:r>
    </w:p>
    <w:p w14:paraId="18B934AC"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Prahalad, C. K. (2004) </w:t>
      </w:r>
      <w:r w:rsidRPr="00C55E2A">
        <w:rPr>
          <w:rFonts w:ascii="Arial" w:eastAsia="Times New Roman" w:hAnsi="Arial" w:cs="Arial"/>
          <w:i/>
          <w:iCs/>
          <w:kern w:val="0"/>
          <w:lang w:eastAsia="en-GB"/>
          <w14:ligatures w14:val="none"/>
        </w:rPr>
        <w:t>The Fortune at the Bottom of the Pyramid: Eradicating Poverty Through Profits</w:t>
      </w:r>
      <w:r w:rsidRPr="00C55E2A">
        <w:rPr>
          <w:rFonts w:ascii="Arial" w:eastAsia="Times New Roman" w:hAnsi="Arial" w:cs="Arial"/>
          <w:kern w:val="0"/>
          <w:lang w:eastAsia="en-GB"/>
          <w14:ligatures w14:val="none"/>
        </w:rPr>
        <w:t>. Upper Saddle River, NJ: Wharton School Publishing.</w:t>
      </w:r>
    </w:p>
    <w:p w14:paraId="14265B1E"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proofErr w:type="spellStart"/>
      <w:r w:rsidRPr="00C55E2A">
        <w:rPr>
          <w:rFonts w:ascii="Arial" w:eastAsia="Times New Roman" w:hAnsi="Arial" w:cs="Arial"/>
          <w:kern w:val="0"/>
          <w:lang w:eastAsia="en-GB"/>
          <w14:ligatures w14:val="none"/>
        </w:rPr>
        <w:t>Puntoni</w:t>
      </w:r>
      <w:proofErr w:type="spellEnd"/>
      <w:r w:rsidRPr="00C55E2A">
        <w:rPr>
          <w:rFonts w:ascii="Arial" w:eastAsia="Times New Roman" w:hAnsi="Arial" w:cs="Arial"/>
          <w:kern w:val="0"/>
          <w:lang w:eastAsia="en-GB"/>
          <w14:ligatures w14:val="none"/>
        </w:rPr>
        <w:t xml:space="preserve">, S., Reczek, R. W., Giesler, M. and Botti, S. (2021) 'Consumers and artificial intelligence: An experiential perspective', </w:t>
      </w:r>
      <w:r w:rsidRPr="00C55E2A">
        <w:rPr>
          <w:rFonts w:ascii="Arial" w:eastAsia="Times New Roman" w:hAnsi="Arial" w:cs="Arial"/>
          <w:i/>
          <w:iCs/>
          <w:kern w:val="0"/>
          <w:lang w:eastAsia="en-GB"/>
          <w14:ligatures w14:val="none"/>
        </w:rPr>
        <w:t>Journal of Marketing</w:t>
      </w:r>
      <w:r w:rsidRPr="00C55E2A">
        <w:rPr>
          <w:rFonts w:ascii="Arial" w:eastAsia="Times New Roman" w:hAnsi="Arial" w:cs="Arial"/>
          <w:kern w:val="0"/>
          <w:lang w:eastAsia="en-GB"/>
          <w14:ligatures w14:val="none"/>
        </w:rPr>
        <w:t>, 85(1), pp. 131-151.</w:t>
      </w:r>
    </w:p>
    <w:p w14:paraId="1E823CF5"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proofErr w:type="spellStart"/>
      <w:r w:rsidRPr="00C55E2A">
        <w:rPr>
          <w:rFonts w:ascii="Arial" w:eastAsia="Times New Roman" w:hAnsi="Arial" w:cs="Arial"/>
          <w:kern w:val="0"/>
          <w:lang w:eastAsia="en-GB"/>
          <w14:ligatures w14:val="none"/>
        </w:rPr>
        <w:t>Qalati</w:t>
      </w:r>
      <w:proofErr w:type="spellEnd"/>
      <w:r w:rsidRPr="00C55E2A">
        <w:rPr>
          <w:rFonts w:ascii="Arial" w:eastAsia="Times New Roman" w:hAnsi="Arial" w:cs="Arial"/>
          <w:kern w:val="0"/>
          <w:lang w:eastAsia="en-GB"/>
          <w14:ligatures w14:val="none"/>
        </w:rPr>
        <w:t xml:space="preserve">, S. A., Barbosa, B. and </w:t>
      </w:r>
      <w:proofErr w:type="spellStart"/>
      <w:r w:rsidRPr="00C55E2A">
        <w:rPr>
          <w:rFonts w:ascii="Arial" w:eastAsia="Times New Roman" w:hAnsi="Arial" w:cs="Arial"/>
          <w:kern w:val="0"/>
          <w:lang w:eastAsia="en-GB"/>
          <w14:ligatures w14:val="none"/>
        </w:rPr>
        <w:t>Deshwal</w:t>
      </w:r>
      <w:proofErr w:type="spellEnd"/>
      <w:r w:rsidRPr="00C55E2A">
        <w:rPr>
          <w:rFonts w:ascii="Arial" w:eastAsia="Times New Roman" w:hAnsi="Arial" w:cs="Arial"/>
          <w:kern w:val="0"/>
          <w:lang w:eastAsia="en-GB"/>
          <w14:ligatures w14:val="none"/>
        </w:rPr>
        <w:t xml:space="preserve">, P. (2024) 'Consumer </w:t>
      </w:r>
      <w:proofErr w:type="spellStart"/>
      <w:r w:rsidRPr="00C55E2A">
        <w:rPr>
          <w:rFonts w:ascii="Arial" w:eastAsia="Times New Roman" w:hAnsi="Arial" w:cs="Arial"/>
          <w:kern w:val="0"/>
          <w:lang w:eastAsia="en-GB"/>
          <w14:ligatures w14:val="none"/>
        </w:rPr>
        <w:t>Behavior</w:t>
      </w:r>
      <w:proofErr w:type="spellEnd"/>
      <w:r w:rsidRPr="00C55E2A">
        <w:rPr>
          <w:rFonts w:ascii="Arial" w:eastAsia="Times New Roman" w:hAnsi="Arial" w:cs="Arial"/>
          <w:kern w:val="0"/>
          <w:lang w:eastAsia="en-GB"/>
          <w14:ligatures w14:val="none"/>
        </w:rPr>
        <w:t xml:space="preserve"> and Sustainable Marketing Development in Online and Offline Settings', </w:t>
      </w:r>
      <w:r w:rsidRPr="00C55E2A">
        <w:rPr>
          <w:rFonts w:ascii="Arial" w:eastAsia="Times New Roman" w:hAnsi="Arial" w:cs="Arial"/>
          <w:i/>
          <w:iCs/>
          <w:kern w:val="0"/>
          <w:lang w:eastAsia="en-GB"/>
          <w14:ligatures w14:val="none"/>
        </w:rPr>
        <w:t>Sustainability</w:t>
      </w:r>
      <w:r w:rsidRPr="00C55E2A">
        <w:rPr>
          <w:rFonts w:ascii="Arial" w:eastAsia="Times New Roman" w:hAnsi="Arial" w:cs="Arial"/>
          <w:kern w:val="0"/>
          <w:lang w:eastAsia="en-GB"/>
          <w14:ligatures w14:val="none"/>
        </w:rPr>
        <w:t>.</w:t>
      </w:r>
    </w:p>
    <w:p w14:paraId="0569392E"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Ramus, C. A. and Montiel, I. (2005) 'When are corporate environmental policies a form of greenwashing?', </w:t>
      </w:r>
      <w:r w:rsidRPr="00C55E2A">
        <w:rPr>
          <w:rFonts w:ascii="Arial" w:eastAsia="Times New Roman" w:hAnsi="Arial" w:cs="Arial"/>
          <w:i/>
          <w:iCs/>
          <w:kern w:val="0"/>
          <w:lang w:eastAsia="en-GB"/>
          <w14:ligatures w14:val="none"/>
        </w:rPr>
        <w:t>Business &amp; Society</w:t>
      </w:r>
      <w:r w:rsidRPr="00C55E2A">
        <w:rPr>
          <w:rFonts w:ascii="Arial" w:eastAsia="Times New Roman" w:hAnsi="Arial" w:cs="Arial"/>
          <w:kern w:val="0"/>
          <w:lang w:eastAsia="en-GB"/>
          <w14:ligatures w14:val="none"/>
        </w:rPr>
        <w:t>, 44(4), pp. 377-414.</w:t>
      </w:r>
    </w:p>
    <w:p w14:paraId="30C359B3"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Rana, M. D. and Kapoor, P. (2025) </w:t>
      </w:r>
      <w:r w:rsidRPr="00C55E2A">
        <w:rPr>
          <w:rFonts w:ascii="Arial" w:eastAsia="Times New Roman" w:hAnsi="Arial" w:cs="Arial"/>
          <w:i/>
          <w:iCs/>
          <w:kern w:val="0"/>
          <w:lang w:eastAsia="en-GB"/>
          <w14:ligatures w14:val="none"/>
        </w:rPr>
        <w:t xml:space="preserve">Emerging Trends In Sustainable Marketing: </w:t>
      </w:r>
      <w:proofErr w:type="spellStart"/>
      <w:r w:rsidRPr="00C55E2A">
        <w:rPr>
          <w:rFonts w:ascii="Arial" w:eastAsia="Times New Roman" w:hAnsi="Arial" w:cs="Arial"/>
          <w:i/>
          <w:iCs/>
          <w:kern w:val="0"/>
          <w:lang w:eastAsia="en-GB"/>
          <w14:ligatures w14:val="none"/>
        </w:rPr>
        <w:t>Analyzing</w:t>
      </w:r>
      <w:proofErr w:type="spellEnd"/>
      <w:r w:rsidRPr="00C55E2A">
        <w:rPr>
          <w:rFonts w:ascii="Arial" w:eastAsia="Times New Roman" w:hAnsi="Arial" w:cs="Arial"/>
          <w:i/>
          <w:iCs/>
          <w:kern w:val="0"/>
          <w:lang w:eastAsia="en-GB"/>
          <w14:ligatures w14:val="none"/>
        </w:rPr>
        <w:t xml:space="preserve"> The Impact Of Eco-Friendly Consumer </w:t>
      </w:r>
      <w:proofErr w:type="spellStart"/>
      <w:r w:rsidRPr="00C55E2A">
        <w:rPr>
          <w:rFonts w:ascii="Arial" w:eastAsia="Times New Roman" w:hAnsi="Arial" w:cs="Arial"/>
          <w:i/>
          <w:iCs/>
          <w:kern w:val="0"/>
          <w:lang w:eastAsia="en-GB"/>
          <w14:ligatures w14:val="none"/>
        </w:rPr>
        <w:t>Behavior</w:t>
      </w:r>
      <w:proofErr w:type="spellEnd"/>
      <w:r w:rsidRPr="00C55E2A">
        <w:rPr>
          <w:rFonts w:ascii="Arial" w:eastAsia="Times New Roman" w:hAnsi="Arial" w:cs="Arial"/>
          <w:i/>
          <w:iCs/>
          <w:kern w:val="0"/>
          <w:lang w:eastAsia="en-GB"/>
          <w14:ligatures w14:val="none"/>
        </w:rPr>
        <w:t xml:space="preserve"> On Brand Strategies</w:t>
      </w:r>
      <w:r w:rsidRPr="00C55E2A">
        <w:rPr>
          <w:rFonts w:ascii="Arial" w:eastAsia="Times New Roman" w:hAnsi="Arial" w:cs="Arial"/>
          <w:kern w:val="0"/>
          <w:lang w:eastAsia="en-GB"/>
          <w14:ligatures w14:val="none"/>
        </w:rPr>
        <w:t>.</w:t>
      </w:r>
    </w:p>
    <w:p w14:paraId="51550683"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Rawat, G. and Pande, M. C. (2024) </w:t>
      </w:r>
      <w:r w:rsidRPr="00C55E2A">
        <w:rPr>
          <w:rFonts w:ascii="Arial" w:eastAsia="Times New Roman" w:hAnsi="Arial" w:cs="Arial"/>
          <w:i/>
          <w:iCs/>
          <w:kern w:val="0"/>
          <w:lang w:eastAsia="en-GB"/>
          <w14:ligatures w14:val="none"/>
        </w:rPr>
        <w:t>Adoption of Green Marketing Strategies and Challenges in Sustainable Business Practices: Insights from Indian Companies</w:t>
      </w:r>
      <w:r w:rsidRPr="00C55E2A">
        <w:rPr>
          <w:rFonts w:ascii="Arial" w:eastAsia="Times New Roman" w:hAnsi="Arial" w:cs="Arial"/>
          <w:kern w:val="0"/>
          <w:lang w:eastAsia="en-GB"/>
          <w14:ligatures w14:val="none"/>
        </w:rPr>
        <w:t>.</w:t>
      </w:r>
    </w:p>
    <w:p w14:paraId="45E7AB4D"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Salhab, H. S., Khanfar, I., </w:t>
      </w:r>
      <w:proofErr w:type="spellStart"/>
      <w:r w:rsidRPr="00C55E2A">
        <w:rPr>
          <w:rFonts w:ascii="Arial" w:eastAsia="Times New Roman" w:hAnsi="Arial" w:cs="Arial"/>
          <w:kern w:val="0"/>
          <w:lang w:eastAsia="en-GB"/>
          <w14:ligatures w14:val="none"/>
        </w:rPr>
        <w:t>Khrais</w:t>
      </w:r>
      <w:proofErr w:type="spellEnd"/>
      <w:r w:rsidRPr="00C55E2A">
        <w:rPr>
          <w:rFonts w:ascii="Arial" w:eastAsia="Times New Roman" w:hAnsi="Arial" w:cs="Arial"/>
          <w:kern w:val="0"/>
          <w:lang w:eastAsia="en-GB"/>
          <w14:ligatures w14:val="none"/>
        </w:rPr>
        <w:t xml:space="preserve">, L. T., </w:t>
      </w:r>
      <w:proofErr w:type="spellStart"/>
      <w:r w:rsidRPr="00C55E2A">
        <w:rPr>
          <w:rFonts w:ascii="Arial" w:eastAsia="Times New Roman" w:hAnsi="Arial" w:cs="Arial"/>
          <w:kern w:val="0"/>
          <w:lang w:eastAsia="en-GB"/>
          <w14:ligatures w14:val="none"/>
        </w:rPr>
        <w:t>Zoubi</w:t>
      </w:r>
      <w:proofErr w:type="spellEnd"/>
      <w:r w:rsidRPr="00C55E2A">
        <w:rPr>
          <w:rFonts w:ascii="Arial" w:eastAsia="Times New Roman" w:hAnsi="Arial" w:cs="Arial"/>
          <w:kern w:val="0"/>
          <w:lang w:eastAsia="en-GB"/>
          <w14:ligatures w14:val="none"/>
        </w:rPr>
        <w:t xml:space="preserve">, M. and Morshed, A. (2025) </w:t>
      </w:r>
      <w:r w:rsidRPr="00C55E2A">
        <w:rPr>
          <w:rFonts w:ascii="Arial" w:eastAsia="Times New Roman" w:hAnsi="Arial" w:cs="Arial"/>
          <w:i/>
          <w:iCs/>
          <w:kern w:val="0"/>
          <w:lang w:eastAsia="en-GB"/>
          <w14:ligatures w14:val="none"/>
        </w:rPr>
        <w:t xml:space="preserve">Green marketing and sustainable consumer </w:t>
      </w:r>
      <w:proofErr w:type="spellStart"/>
      <w:r w:rsidRPr="00C55E2A">
        <w:rPr>
          <w:rFonts w:ascii="Arial" w:eastAsia="Times New Roman" w:hAnsi="Arial" w:cs="Arial"/>
          <w:i/>
          <w:iCs/>
          <w:kern w:val="0"/>
          <w:lang w:eastAsia="en-GB"/>
          <w14:ligatures w14:val="none"/>
        </w:rPr>
        <w:t>behavior</w:t>
      </w:r>
      <w:proofErr w:type="spellEnd"/>
      <w:r w:rsidRPr="00C55E2A">
        <w:rPr>
          <w:rFonts w:ascii="Arial" w:eastAsia="Times New Roman" w:hAnsi="Arial" w:cs="Arial"/>
          <w:i/>
          <w:iCs/>
          <w:kern w:val="0"/>
          <w:lang w:eastAsia="en-GB"/>
          <w14:ligatures w14:val="none"/>
        </w:rPr>
        <w:t xml:space="preserve"> in Jordan: Advancing SDGs through localized strategies and environmental awareness</w:t>
      </w:r>
      <w:r w:rsidRPr="00C55E2A">
        <w:rPr>
          <w:rFonts w:ascii="Arial" w:eastAsia="Times New Roman" w:hAnsi="Arial" w:cs="Arial"/>
          <w:kern w:val="0"/>
          <w:lang w:eastAsia="en-GB"/>
          <w14:ligatures w14:val="none"/>
        </w:rPr>
        <w:t>.</w:t>
      </w:r>
    </w:p>
    <w:p w14:paraId="63A38F66"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Schmuck, D., Matthes, J. and Naderer, B. (2018) 'Misleading consumers with green advertising? An affect–reason–involvement account of greenwashing effects in environmental advertising', </w:t>
      </w:r>
      <w:r w:rsidRPr="00C55E2A">
        <w:rPr>
          <w:rFonts w:ascii="Arial" w:eastAsia="Times New Roman" w:hAnsi="Arial" w:cs="Arial"/>
          <w:i/>
          <w:iCs/>
          <w:kern w:val="0"/>
          <w:lang w:eastAsia="en-GB"/>
          <w14:ligatures w14:val="none"/>
        </w:rPr>
        <w:t>Journal of Advertising</w:t>
      </w:r>
      <w:r w:rsidRPr="00C55E2A">
        <w:rPr>
          <w:rFonts w:ascii="Arial" w:eastAsia="Times New Roman" w:hAnsi="Arial" w:cs="Arial"/>
          <w:kern w:val="0"/>
          <w:lang w:eastAsia="en-GB"/>
          <w14:ligatures w14:val="none"/>
        </w:rPr>
        <w:t>, 47(2), pp. 127-145.</w:t>
      </w:r>
    </w:p>
    <w:p w14:paraId="14C12183"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Serhan, T. F. A. A. and Zhang, S. (2025) </w:t>
      </w:r>
      <w:r w:rsidRPr="00C55E2A">
        <w:rPr>
          <w:rFonts w:ascii="Arial" w:eastAsia="Times New Roman" w:hAnsi="Arial" w:cs="Arial"/>
          <w:i/>
          <w:iCs/>
          <w:kern w:val="0"/>
          <w:lang w:eastAsia="en-GB"/>
          <w14:ligatures w14:val="none"/>
        </w:rPr>
        <w:t>The paradox of digital marketing: Sustainable framework for effective strategies and regulatory challenges</w:t>
      </w:r>
      <w:r w:rsidRPr="00C55E2A">
        <w:rPr>
          <w:rFonts w:ascii="Arial" w:eastAsia="Times New Roman" w:hAnsi="Arial" w:cs="Arial"/>
          <w:kern w:val="0"/>
          <w:lang w:eastAsia="en-GB"/>
          <w14:ligatures w14:val="none"/>
        </w:rPr>
        <w:t>.</w:t>
      </w:r>
    </w:p>
    <w:p w14:paraId="502F4FD1"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proofErr w:type="spellStart"/>
      <w:r w:rsidRPr="00C55E2A">
        <w:rPr>
          <w:rFonts w:ascii="Arial" w:eastAsia="Times New Roman" w:hAnsi="Arial" w:cs="Arial"/>
          <w:kern w:val="0"/>
          <w:lang w:eastAsia="en-GB"/>
          <w14:ligatures w14:val="none"/>
        </w:rPr>
        <w:t>Shaimerdenkyzy</w:t>
      </w:r>
      <w:proofErr w:type="spellEnd"/>
      <w:r w:rsidRPr="00C55E2A">
        <w:rPr>
          <w:rFonts w:ascii="Arial" w:eastAsia="Times New Roman" w:hAnsi="Arial" w:cs="Arial"/>
          <w:kern w:val="0"/>
          <w:lang w:eastAsia="en-GB"/>
          <w14:ligatures w14:val="none"/>
        </w:rPr>
        <w:t xml:space="preserve">, Sh. E., </w:t>
      </w:r>
      <w:proofErr w:type="spellStart"/>
      <w:r w:rsidRPr="00C55E2A">
        <w:rPr>
          <w:rFonts w:ascii="Arial" w:eastAsia="Times New Roman" w:hAnsi="Arial" w:cs="Arial"/>
          <w:kern w:val="0"/>
          <w:lang w:eastAsia="en-GB"/>
          <w14:ligatures w14:val="none"/>
        </w:rPr>
        <w:t>Orazgaliyeva</w:t>
      </w:r>
      <w:proofErr w:type="spellEnd"/>
      <w:r w:rsidRPr="00C55E2A">
        <w:rPr>
          <w:rFonts w:ascii="Arial" w:eastAsia="Times New Roman" w:hAnsi="Arial" w:cs="Arial"/>
          <w:kern w:val="0"/>
          <w:lang w:eastAsia="en-GB"/>
          <w14:ligatures w14:val="none"/>
        </w:rPr>
        <w:t xml:space="preserve">, E. and </w:t>
      </w:r>
      <w:proofErr w:type="spellStart"/>
      <w:r w:rsidRPr="00C55E2A">
        <w:rPr>
          <w:rFonts w:ascii="Arial" w:eastAsia="Times New Roman" w:hAnsi="Arial" w:cs="Arial"/>
          <w:kern w:val="0"/>
          <w:lang w:eastAsia="en-GB"/>
          <w14:ligatures w14:val="none"/>
        </w:rPr>
        <w:t>Ismagilova</w:t>
      </w:r>
      <w:proofErr w:type="spellEnd"/>
      <w:r w:rsidRPr="00C55E2A">
        <w:rPr>
          <w:rFonts w:ascii="Arial" w:eastAsia="Times New Roman" w:hAnsi="Arial" w:cs="Arial"/>
          <w:kern w:val="0"/>
          <w:lang w:eastAsia="en-GB"/>
          <w14:ligatures w14:val="none"/>
        </w:rPr>
        <w:t xml:space="preserve">, A. (2025) </w:t>
      </w:r>
      <w:r w:rsidRPr="00C55E2A">
        <w:rPr>
          <w:rFonts w:ascii="Arial" w:eastAsia="Times New Roman" w:hAnsi="Arial" w:cs="Arial"/>
          <w:i/>
          <w:iCs/>
          <w:kern w:val="0"/>
          <w:lang w:eastAsia="en-GB"/>
          <w14:ligatures w14:val="none"/>
        </w:rPr>
        <w:t xml:space="preserve">Sustainable consumer </w:t>
      </w:r>
      <w:proofErr w:type="spellStart"/>
      <w:r w:rsidRPr="00C55E2A">
        <w:rPr>
          <w:rFonts w:ascii="Arial" w:eastAsia="Times New Roman" w:hAnsi="Arial" w:cs="Arial"/>
          <w:i/>
          <w:iCs/>
          <w:kern w:val="0"/>
          <w:lang w:eastAsia="en-GB"/>
          <w14:ligatures w14:val="none"/>
        </w:rPr>
        <w:t>behavior</w:t>
      </w:r>
      <w:proofErr w:type="spellEnd"/>
      <w:r w:rsidRPr="00C55E2A">
        <w:rPr>
          <w:rFonts w:ascii="Arial" w:eastAsia="Times New Roman" w:hAnsi="Arial" w:cs="Arial"/>
          <w:i/>
          <w:iCs/>
          <w:kern w:val="0"/>
          <w:lang w:eastAsia="en-GB"/>
          <w14:ligatures w14:val="none"/>
        </w:rPr>
        <w:t xml:space="preserve"> and digital marketing: an integrative literature review</w:t>
      </w:r>
      <w:r w:rsidRPr="00C55E2A">
        <w:rPr>
          <w:rFonts w:ascii="Arial" w:eastAsia="Times New Roman" w:hAnsi="Arial" w:cs="Arial"/>
          <w:kern w:val="0"/>
          <w:lang w:eastAsia="en-GB"/>
          <w14:ligatures w14:val="none"/>
        </w:rPr>
        <w:t>.</w:t>
      </w:r>
    </w:p>
    <w:p w14:paraId="4215EBBA"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Siano, A., Vollero, A., Conte, F. and Amabile, S. (2017) '“More than words”: Expanding the taxonomy of greenwashing after the Volkswagen scandal', </w:t>
      </w:r>
      <w:r w:rsidRPr="00C55E2A">
        <w:rPr>
          <w:rFonts w:ascii="Arial" w:eastAsia="Times New Roman" w:hAnsi="Arial" w:cs="Arial"/>
          <w:i/>
          <w:iCs/>
          <w:kern w:val="0"/>
          <w:lang w:eastAsia="en-GB"/>
          <w14:ligatures w14:val="none"/>
        </w:rPr>
        <w:t>Journal of Business Research</w:t>
      </w:r>
      <w:r w:rsidRPr="00C55E2A">
        <w:rPr>
          <w:rFonts w:ascii="Arial" w:eastAsia="Times New Roman" w:hAnsi="Arial" w:cs="Arial"/>
          <w:kern w:val="0"/>
          <w:lang w:eastAsia="en-GB"/>
          <w14:ligatures w14:val="none"/>
        </w:rPr>
        <w:t>, 71, pp. 27-37.</w:t>
      </w:r>
    </w:p>
    <w:p w14:paraId="5E012080"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Taj, S. A. (2016) 'Application of </w:t>
      </w:r>
      <w:proofErr w:type="spellStart"/>
      <w:r w:rsidRPr="00C55E2A">
        <w:rPr>
          <w:rFonts w:ascii="Arial" w:eastAsia="Times New Roman" w:hAnsi="Arial" w:cs="Arial"/>
          <w:kern w:val="0"/>
          <w:lang w:eastAsia="en-GB"/>
          <w14:ligatures w14:val="none"/>
        </w:rPr>
        <w:t>signaling</w:t>
      </w:r>
      <w:proofErr w:type="spellEnd"/>
      <w:r w:rsidRPr="00C55E2A">
        <w:rPr>
          <w:rFonts w:ascii="Arial" w:eastAsia="Times New Roman" w:hAnsi="Arial" w:cs="Arial"/>
          <w:kern w:val="0"/>
          <w:lang w:eastAsia="en-GB"/>
          <w14:ligatures w14:val="none"/>
        </w:rPr>
        <w:t xml:space="preserve"> theory in management research: Addressing major gaps in theory', </w:t>
      </w:r>
      <w:r w:rsidRPr="00C55E2A">
        <w:rPr>
          <w:rFonts w:ascii="Arial" w:eastAsia="Times New Roman" w:hAnsi="Arial" w:cs="Arial"/>
          <w:i/>
          <w:iCs/>
          <w:kern w:val="0"/>
          <w:lang w:eastAsia="en-GB"/>
          <w14:ligatures w14:val="none"/>
        </w:rPr>
        <w:t>European Management Journal</w:t>
      </w:r>
      <w:r w:rsidRPr="00C55E2A">
        <w:rPr>
          <w:rFonts w:ascii="Arial" w:eastAsia="Times New Roman" w:hAnsi="Arial" w:cs="Arial"/>
          <w:kern w:val="0"/>
          <w:lang w:eastAsia="en-GB"/>
          <w14:ligatures w14:val="none"/>
        </w:rPr>
        <w:t>, 34(4), pp. 338-348.</w:t>
      </w:r>
    </w:p>
    <w:p w14:paraId="6C48B7D9"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Torelli, R., </w:t>
      </w:r>
      <w:proofErr w:type="spellStart"/>
      <w:r w:rsidRPr="00C55E2A">
        <w:rPr>
          <w:rFonts w:ascii="Arial" w:eastAsia="Times New Roman" w:hAnsi="Arial" w:cs="Arial"/>
          <w:kern w:val="0"/>
          <w:lang w:eastAsia="en-GB"/>
          <w14:ligatures w14:val="none"/>
        </w:rPr>
        <w:t>Balluchi</w:t>
      </w:r>
      <w:proofErr w:type="spellEnd"/>
      <w:r w:rsidRPr="00C55E2A">
        <w:rPr>
          <w:rFonts w:ascii="Arial" w:eastAsia="Times New Roman" w:hAnsi="Arial" w:cs="Arial"/>
          <w:kern w:val="0"/>
          <w:lang w:eastAsia="en-GB"/>
          <w14:ligatures w14:val="none"/>
        </w:rPr>
        <w:t xml:space="preserve">, F. and Lazzini, A. (2020) 'Greenwashing and environmental communication: Effects on stakeholders' perceptions', </w:t>
      </w:r>
      <w:r w:rsidRPr="00C55E2A">
        <w:rPr>
          <w:rFonts w:ascii="Arial" w:eastAsia="Times New Roman" w:hAnsi="Arial" w:cs="Arial"/>
          <w:i/>
          <w:iCs/>
          <w:kern w:val="0"/>
          <w:lang w:eastAsia="en-GB"/>
          <w14:ligatures w14:val="none"/>
        </w:rPr>
        <w:t>Business Strategy and the Environment</w:t>
      </w:r>
      <w:r w:rsidRPr="00C55E2A">
        <w:rPr>
          <w:rFonts w:ascii="Arial" w:eastAsia="Times New Roman" w:hAnsi="Arial" w:cs="Arial"/>
          <w:kern w:val="0"/>
          <w:lang w:eastAsia="en-GB"/>
          <w14:ligatures w14:val="none"/>
        </w:rPr>
        <w:t>, 29(2), pp. 407-421.</w:t>
      </w:r>
    </w:p>
    <w:p w14:paraId="3CC1E882"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Udeh, C. A., </w:t>
      </w:r>
      <w:proofErr w:type="spellStart"/>
      <w:r w:rsidRPr="00C55E2A">
        <w:rPr>
          <w:rFonts w:ascii="Arial" w:eastAsia="Times New Roman" w:hAnsi="Arial" w:cs="Arial"/>
          <w:kern w:val="0"/>
          <w:lang w:eastAsia="en-GB"/>
          <w14:ligatures w14:val="none"/>
        </w:rPr>
        <w:t>Iheremeze</w:t>
      </w:r>
      <w:proofErr w:type="spellEnd"/>
      <w:r w:rsidRPr="00C55E2A">
        <w:rPr>
          <w:rFonts w:ascii="Arial" w:eastAsia="Times New Roman" w:hAnsi="Arial" w:cs="Arial"/>
          <w:kern w:val="0"/>
          <w:lang w:eastAsia="en-GB"/>
          <w14:ligatures w14:val="none"/>
        </w:rPr>
        <w:t xml:space="preserve">, K. C., Abdul, A. A., </w:t>
      </w:r>
      <w:proofErr w:type="spellStart"/>
      <w:r w:rsidRPr="00C55E2A">
        <w:rPr>
          <w:rFonts w:ascii="Arial" w:eastAsia="Times New Roman" w:hAnsi="Arial" w:cs="Arial"/>
          <w:kern w:val="0"/>
          <w:lang w:eastAsia="en-GB"/>
          <w14:ligatures w14:val="none"/>
        </w:rPr>
        <w:t>Daraojimba</w:t>
      </w:r>
      <w:proofErr w:type="spellEnd"/>
      <w:r w:rsidRPr="00C55E2A">
        <w:rPr>
          <w:rFonts w:ascii="Arial" w:eastAsia="Times New Roman" w:hAnsi="Arial" w:cs="Arial"/>
          <w:kern w:val="0"/>
          <w:lang w:eastAsia="en-GB"/>
          <w14:ligatures w14:val="none"/>
        </w:rPr>
        <w:t xml:space="preserve">, D. O. and Oke, T. T. (2023) 'Marketing Across Multicultural Landscapes: A Comprehensive Review of Strategies Bridging U.S. and African Markets', </w:t>
      </w:r>
      <w:r w:rsidRPr="00C55E2A">
        <w:rPr>
          <w:rFonts w:ascii="Arial" w:eastAsia="Times New Roman" w:hAnsi="Arial" w:cs="Arial"/>
          <w:i/>
          <w:iCs/>
          <w:kern w:val="0"/>
          <w:lang w:eastAsia="en-GB"/>
          <w14:ligatures w14:val="none"/>
        </w:rPr>
        <w:t>International Journal of Research and Scientific Innovation</w:t>
      </w:r>
      <w:r w:rsidRPr="00C55E2A">
        <w:rPr>
          <w:rFonts w:ascii="Arial" w:eastAsia="Times New Roman" w:hAnsi="Arial" w:cs="Arial"/>
          <w:kern w:val="0"/>
          <w:lang w:eastAsia="en-GB"/>
          <w14:ligatures w14:val="none"/>
        </w:rPr>
        <w:t>.</w:t>
      </w:r>
    </w:p>
    <w:p w14:paraId="7601939F"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Unilever (2025) </w:t>
      </w:r>
      <w:r w:rsidRPr="00C55E2A">
        <w:rPr>
          <w:rFonts w:ascii="Arial" w:eastAsia="Times New Roman" w:hAnsi="Arial" w:cs="Arial"/>
          <w:i/>
          <w:iCs/>
          <w:kern w:val="0"/>
          <w:lang w:eastAsia="en-GB"/>
          <w14:ligatures w14:val="none"/>
        </w:rPr>
        <w:t>Unilever Annual Report and Accounts 2025</w:t>
      </w:r>
      <w:r w:rsidRPr="00C55E2A">
        <w:rPr>
          <w:rFonts w:ascii="Arial" w:eastAsia="Times New Roman" w:hAnsi="Arial" w:cs="Arial"/>
          <w:kern w:val="0"/>
          <w:lang w:eastAsia="en-GB"/>
          <w14:ligatures w14:val="none"/>
        </w:rPr>
        <w:t xml:space="preserve">. Available at: </w:t>
      </w:r>
      <w:hyperlink r:id="rId24" w:tgtFrame="_blank" w:history="1">
        <w:r w:rsidRPr="00C55E2A">
          <w:rPr>
            <w:rFonts w:ascii="Arial" w:eastAsia="Times New Roman" w:hAnsi="Arial" w:cs="Arial"/>
            <w:color w:val="0000FF"/>
            <w:kern w:val="0"/>
            <w:u w:val="single"/>
            <w:lang w:eastAsia="en-GB"/>
            <w14:ligatures w14:val="none"/>
          </w:rPr>
          <w:t>www.unilever.com</w:t>
        </w:r>
      </w:hyperlink>
      <w:r w:rsidRPr="00C55E2A">
        <w:rPr>
          <w:rFonts w:ascii="Arial" w:eastAsia="Times New Roman" w:hAnsi="Arial" w:cs="Arial"/>
          <w:kern w:val="0"/>
          <w:lang w:eastAsia="en-GB"/>
          <w14:ligatures w14:val="none"/>
        </w:rPr>
        <w:t>.</w:t>
      </w:r>
    </w:p>
    <w:p w14:paraId="35893725"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proofErr w:type="spellStart"/>
      <w:r w:rsidRPr="00C55E2A">
        <w:rPr>
          <w:rFonts w:ascii="Arial" w:eastAsia="Times New Roman" w:hAnsi="Arial" w:cs="Arial"/>
          <w:kern w:val="0"/>
          <w:lang w:eastAsia="en-GB"/>
          <w14:ligatures w14:val="none"/>
        </w:rPr>
        <w:t>Vespestad</w:t>
      </w:r>
      <w:proofErr w:type="spellEnd"/>
      <w:r w:rsidRPr="00C55E2A">
        <w:rPr>
          <w:rFonts w:ascii="Arial" w:eastAsia="Times New Roman" w:hAnsi="Arial" w:cs="Arial"/>
          <w:kern w:val="0"/>
          <w:lang w:eastAsia="en-GB"/>
          <w14:ligatures w14:val="none"/>
        </w:rPr>
        <w:t xml:space="preserve">, M. K. and Clancy, A. (2020) 'Exploring the use of content analysis methodology in consumer research', </w:t>
      </w:r>
      <w:r w:rsidRPr="00C55E2A">
        <w:rPr>
          <w:rFonts w:ascii="Arial" w:eastAsia="Times New Roman" w:hAnsi="Arial" w:cs="Arial"/>
          <w:i/>
          <w:iCs/>
          <w:kern w:val="0"/>
          <w:lang w:eastAsia="en-GB"/>
          <w14:ligatures w14:val="none"/>
        </w:rPr>
        <w:t>Journal of Retailing and Consumer Services</w:t>
      </w:r>
      <w:r w:rsidRPr="00C55E2A">
        <w:rPr>
          <w:rFonts w:ascii="Arial" w:eastAsia="Times New Roman" w:hAnsi="Arial" w:cs="Arial"/>
          <w:kern w:val="0"/>
          <w:lang w:eastAsia="en-GB"/>
          <w14:ligatures w14:val="none"/>
        </w:rPr>
        <w:t>.</w:t>
      </w:r>
    </w:p>
    <w:p w14:paraId="6C154DFF"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Viswanathan, M., Sridharan, S. and Ritchie, R. (2010) 'Understanding consumption and entrepreneurship in subsistence marketplaces', </w:t>
      </w:r>
      <w:r w:rsidRPr="00C55E2A">
        <w:rPr>
          <w:rFonts w:ascii="Arial" w:eastAsia="Times New Roman" w:hAnsi="Arial" w:cs="Arial"/>
          <w:i/>
          <w:iCs/>
          <w:kern w:val="0"/>
          <w:lang w:eastAsia="en-GB"/>
          <w14:ligatures w14:val="none"/>
        </w:rPr>
        <w:t>Journal of Business Research</w:t>
      </w:r>
      <w:r w:rsidRPr="00C55E2A">
        <w:rPr>
          <w:rFonts w:ascii="Arial" w:eastAsia="Times New Roman" w:hAnsi="Arial" w:cs="Arial"/>
          <w:kern w:val="0"/>
          <w:lang w:eastAsia="en-GB"/>
          <w14:ligatures w14:val="none"/>
        </w:rPr>
        <w:t>, 63(6), pp. 570-581.</w:t>
      </w:r>
    </w:p>
    <w:p w14:paraId="085E1B63"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White, K., Habib, R. and Hardisty, D. J. (2019) 'How to SHIFT consumer </w:t>
      </w:r>
      <w:proofErr w:type="spellStart"/>
      <w:r w:rsidRPr="00C55E2A">
        <w:rPr>
          <w:rFonts w:ascii="Arial" w:eastAsia="Times New Roman" w:hAnsi="Arial" w:cs="Arial"/>
          <w:kern w:val="0"/>
          <w:lang w:eastAsia="en-GB"/>
          <w14:ligatures w14:val="none"/>
        </w:rPr>
        <w:t>behaviors</w:t>
      </w:r>
      <w:proofErr w:type="spellEnd"/>
      <w:r w:rsidRPr="00C55E2A">
        <w:rPr>
          <w:rFonts w:ascii="Arial" w:eastAsia="Times New Roman" w:hAnsi="Arial" w:cs="Arial"/>
          <w:kern w:val="0"/>
          <w:lang w:eastAsia="en-GB"/>
          <w14:ligatures w14:val="none"/>
        </w:rPr>
        <w:t xml:space="preserve"> to be more sustainable: A literature review and guiding framework', </w:t>
      </w:r>
      <w:r w:rsidRPr="00C55E2A">
        <w:rPr>
          <w:rFonts w:ascii="Arial" w:eastAsia="Times New Roman" w:hAnsi="Arial" w:cs="Arial"/>
          <w:i/>
          <w:iCs/>
          <w:kern w:val="0"/>
          <w:lang w:eastAsia="en-GB"/>
          <w14:ligatures w14:val="none"/>
        </w:rPr>
        <w:t>Journal of Marketing</w:t>
      </w:r>
      <w:r w:rsidRPr="00C55E2A">
        <w:rPr>
          <w:rFonts w:ascii="Arial" w:eastAsia="Times New Roman" w:hAnsi="Arial" w:cs="Arial"/>
          <w:kern w:val="0"/>
          <w:lang w:eastAsia="en-GB"/>
          <w14:ligatures w14:val="none"/>
        </w:rPr>
        <w:t>, 83(3), pp. 22-49.</w:t>
      </w:r>
    </w:p>
    <w:p w14:paraId="1D4D603C"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Yadav, S. and Kumari, V. (2024) </w:t>
      </w:r>
      <w:r w:rsidRPr="00C55E2A">
        <w:rPr>
          <w:rFonts w:ascii="Arial" w:eastAsia="Times New Roman" w:hAnsi="Arial" w:cs="Arial"/>
          <w:i/>
          <w:iCs/>
          <w:kern w:val="0"/>
          <w:lang w:eastAsia="en-GB"/>
          <w14:ligatures w14:val="none"/>
        </w:rPr>
        <w:t>Segmenting Green: Exploring Market Segmentation And Targeting Strategies In Sustainable Marketing</w:t>
      </w:r>
      <w:r w:rsidRPr="00C55E2A">
        <w:rPr>
          <w:rFonts w:ascii="Arial" w:eastAsia="Times New Roman" w:hAnsi="Arial" w:cs="Arial"/>
          <w:kern w:val="0"/>
          <w:lang w:eastAsia="en-GB"/>
          <w14:ligatures w14:val="none"/>
        </w:rPr>
        <w:t>.</w:t>
      </w:r>
    </w:p>
    <w:p w14:paraId="3C71AB46" w14:textId="77777777" w:rsidR="00C84D32" w:rsidRPr="00C55E2A" w:rsidRDefault="00C84D32" w:rsidP="00C84D32">
      <w:pPr>
        <w:spacing w:before="100" w:beforeAutospacing="1" w:after="100" w:afterAutospacing="1" w:line="276" w:lineRule="auto"/>
        <w:rPr>
          <w:rFonts w:ascii="Arial" w:eastAsia="Times New Roman" w:hAnsi="Arial" w:cs="Arial"/>
          <w:kern w:val="0"/>
          <w:lang w:eastAsia="en-GB"/>
          <w14:ligatures w14:val="none"/>
        </w:rPr>
      </w:pPr>
      <w:r w:rsidRPr="00C55E2A">
        <w:rPr>
          <w:rFonts w:ascii="Arial" w:eastAsia="Times New Roman" w:hAnsi="Arial" w:cs="Arial"/>
          <w:kern w:val="0"/>
          <w:lang w:eastAsia="en-GB"/>
          <w14:ligatures w14:val="none"/>
        </w:rPr>
        <w:t xml:space="preserve">Yao, L. (2024) 'How Does Sustainable Digital Marketing Affect Consumer </w:t>
      </w:r>
      <w:proofErr w:type="spellStart"/>
      <w:r w:rsidRPr="00C55E2A">
        <w:rPr>
          <w:rFonts w:ascii="Arial" w:eastAsia="Times New Roman" w:hAnsi="Arial" w:cs="Arial"/>
          <w:kern w:val="0"/>
          <w:lang w:eastAsia="en-GB"/>
          <w14:ligatures w14:val="none"/>
        </w:rPr>
        <w:t>Behavior</w:t>
      </w:r>
      <w:proofErr w:type="spellEnd"/>
      <w:r w:rsidRPr="00C55E2A">
        <w:rPr>
          <w:rFonts w:ascii="Arial" w:eastAsia="Times New Roman" w:hAnsi="Arial" w:cs="Arial"/>
          <w:kern w:val="0"/>
          <w:lang w:eastAsia="en-GB"/>
          <w14:ligatures w14:val="none"/>
        </w:rPr>
        <w:t xml:space="preserve">?', </w:t>
      </w:r>
      <w:r w:rsidRPr="00C55E2A">
        <w:rPr>
          <w:rFonts w:ascii="Arial" w:eastAsia="Times New Roman" w:hAnsi="Arial" w:cs="Arial"/>
          <w:i/>
          <w:iCs/>
          <w:kern w:val="0"/>
          <w:lang w:eastAsia="en-GB"/>
          <w14:ligatures w14:val="none"/>
        </w:rPr>
        <w:t>American Journal of Industrial and Business Management</w:t>
      </w:r>
      <w:r w:rsidRPr="00C55E2A">
        <w:rPr>
          <w:rFonts w:ascii="Arial" w:eastAsia="Times New Roman" w:hAnsi="Arial" w:cs="Arial"/>
          <w:kern w:val="0"/>
          <w:lang w:eastAsia="en-GB"/>
          <w14:ligatures w14:val="none"/>
        </w:rPr>
        <w:t>.</w:t>
      </w:r>
    </w:p>
    <w:p w14:paraId="3D17F26D"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p>
    <w:p w14:paraId="7CD5531B"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p>
    <w:p w14:paraId="676424E8"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p>
    <w:p w14:paraId="7129665C" w14:textId="77777777" w:rsidR="00C84D32" w:rsidRDefault="00C84D32" w:rsidP="00BD5FBC">
      <w:pPr>
        <w:spacing w:after="100" w:afterAutospacing="1" w:line="276" w:lineRule="auto"/>
        <w:rPr>
          <w:rFonts w:ascii="Arial" w:eastAsia="Times New Roman" w:hAnsi="Arial" w:cs="Arial"/>
          <w:kern w:val="0"/>
          <w:lang w:eastAsia="en-GB"/>
          <w14:ligatures w14:val="none"/>
        </w:rPr>
      </w:pPr>
    </w:p>
    <w:p w14:paraId="6913F706" w14:textId="28A58699" w:rsidR="00114AE5" w:rsidRPr="00BD5FBC" w:rsidRDefault="00114AE5" w:rsidP="0078498F">
      <w:pPr>
        <w:pStyle w:val="Heading1"/>
        <w:rPr>
          <w:rFonts w:eastAsia="Times New Roman"/>
          <w:lang w:eastAsia="en-GB"/>
        </w:rPr>
      </w:pPr>
      <w:bookmarkStart w:id="104" w:name="_Toc231740370"/>
      <w:r w:rsidRPr="00BD5FBC">
        <w:rPr>
          <w:rFonts w:eastAsia="Times New Roman"/>
          <w:lang w:eastAsia="en-GB"/>
        </w:rPr>
        <w:t>Appendices</w:t>
      </w:r>
      <w:bookmarkEnd w:id="104"/>
    </w:p>
    <w:p w14:paraId="3DF89D09" w14:textId="77777777" w:rsidR="00114AE5" w:rsidRPr="00BD5FBC" w:rsidRDefault="00114AE5" w:rsidP="00BD5FBC">
      <w:pPr>
        <w:spacing w:after="100" w:afterAutospacing="1" w:line="276" w:lineRule="auto"/>
        <w:rPr>
          <w:rFonts w:ascii="Arial" w:eastAsia="Times New Roman" w:hAnsi="Arial" w:cs="Arial"/>
          <w:b/>
          <w:bCs/>
          <w:kern w:val="0"/>
          <w:lang w:eastAsia="en-GB"/>
          <w14:ligatures w14:val="none"/>
        </w:rPr>
      </w:pPr>
      <w:r w:rsidRPr="00BD5FBC">
        <w:rPr>
          <w:rFonts w:ascii="Arial" w:eastAsia="Times New Roman" w:hAnsi="Arial" w:cs="Arial"/>
          <w:b/>
          <w:bCs/>
          <w:kern w:val="0"/>
          <w:lang w:eastAsia="en-GB"/>
          <w14:ligatures w14:val="none"/>
        </w:rPr>
        <w:t>Appendix A: Thematic Coding Framework for Digital Assets</w:t>
      </w:r>
    </w:p>
    <w:p w14:paraId="05AD45C7"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 xml:space="preserve">The following table illustrates a sample of the thematic coding process applied to the 40-50 digital assets (social media posts, websites, and campaign videos) </w:t>
      </w:r>
      <w:proofErr w:type="spellStart"/>
      <w:r w:rsidRPr="00BD5FBC">
        <w:rPr>
          <w:rFonts w:ascii="Arial" w:eastAsia="Times New Roman" w:hAnsi="Arial" w:cs="Arial"/>
          <w:kern w:val="0"/>
          <w:lang w:eastAsia="en-GB"/>
          <w14:ligatures w14:val="none"/>
        </w:rPr>
        <w:t>analyzed</w:t>
      </w:r>
      <w:proofErr w:type="spellEnd"/>
      <w:r w:rsidRPr="00BD5FBC">
        <w:rPr>
          <w:rFonts w:ascii="Arial" w:eastAsia="Times New Roman" w:hAnsi="Arial" w:cs="Arial"/>
          <w:kern w:val="0"/>
          <w:lang w:eastAsia="en-GB"/>
          <w14:ligatures w14:val="none"/>
        </w:rPr>
        <w:t xml:space="preserve"> during the archival digital research phase. It demonstrates how raw digital marketing content was categorized into the overarching "Green Codes" discussed in Chapter 4.</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0"/>
        <w:gridCol w:w="2849"/>
        <w:gridCol w:w="2719"/>
        <w:gridCol w:w="2562"/>
      </w:tblGrid>
      <w:tr w:rsidR="00114AE5" w:rsidRPr="00BD5FBC" w14:paraId="4970E1DB"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35A9F29"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b/>
                <w:bCs/>
                <w:kern w:val="0"/>
                <w:lang w:eastAsia="en-GB"/>
                <w14:ligatures w14:val="none"/>
              </w:rPr>
              <w:t>Market</w:t>
            </w:r>
          </w:p>
        </w:tc>
        <w:tc>
          <w:tcPr>
            <w:tcW w:w="0" w:type="auto"/>
            <w:tcBorders>
              <w:top w:val="single" w:sz="6" w:space="0" w:color="auto"/>
              <w:left w:val="single" w:sz="6" w:space="0" w:color="auto"/>
              <w:bottom w:val="single" w:sz="6" w:space="0" w:color="auto"/>
              <w:right w:val="single" w:sz="6" w:space="0" w:color="auto"/>
            </w:tcBorders>
            <w:vAlign w:val="center"/>
            <w:hideMark/>
          </w:tcPr>
          <w:p w14:paraId="2698C6C1"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b/>
                <w:bCs/>
                <w:kern w:val="0"/>
                <w:lang w:eastAsia="en-GB"/>
                <w14:ligatures w14:val="none"/>
              </w:rPr>
              <w:t>Source Material / Digital Asset</w:t>
            </w:r>
          </w:p>
        </w:tc>
        <w:tc>
          <w:tcPr>
            <w:tcW w:w="0" w:type="auto"/>
            <w:tcBorders>
              <w:top w:val="single" w:sz="6" w:space="0" w:color="auto"/>
              <w:left w:val="single" w:sz="6" w:space="0" w:color="auto"/>
              <w:bottom w:val="single" w:sz="6" w:space="0" w:color="auto"/>
              <w:right w:val="single" w:sz="6" w:space="0" w:color="auto"/>
            </w:tcBorders>
            <w:vAlign w:val="center"/>
            <w:hideMark/>
          </w:tcPr>
          <w:p w14:paraId="4E0DB24E"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b/>
                <w:bCs/>
                <w:kern w:val="0"/>
                <w:lang w:eastAsia="en-GB"/>
                <w14:ligatures w14:val="none"/>
              </w:rPr>
              <w:t xml:space="preserve">Key Phrase / Visual Cue </w:t>
            </w:r>
            <w:proofErr w:type="spellStart"/>
            <w:r w:rsidRPr="00BD5FBC">
              <w:rPr>
                <w:rFonts w:ascii="Arial" w:eastAsia="Times New Roman" w:hAnsi="Arial" w:cs="Arial"/>
                <w:b/>
                <w:bCs/>
                <w:kern w:val="0"/>
                <w:lang w:eastAsia="en-GB"/>
                <w14:ligatures w14:val="none"/>
              </w:rPr>
              <w:t>Analyzed</w:t>
            </w:r>
            <w:proofErr w:type="spellEnd"/>
          </w:p>
        </w:tc>
        <w:tc>
          <w:tcPr>
            <w:tcW w:w="0" w:type="auto"/>
            <w:tcBorders>
              <w:top w:val="single" w:sz="6" w:space="0" w:color="auto"/>
              <w:left w:val="single" w:sz="6" w:space="0" w:color="auto"/>
              <w:bottom w:val="single" w:sz="6" w:space="0" w:color="auto"/>
              <w:right w:val="single" w:sz="6" w:space="0" w:color="auto"/>
            </w:tcBorders>
            <w:vAlign w:val="center"/>
            <w:hideMark/>
          </w:tcPr>
          <w:p w14:paraId="7E7E2C27"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b/>
                <w:bCs/>
                <w:kern w:val="0"/>
                <w:lang w:eastAsia="en-GB"/>
                <w14:ligatures w14:val="none"/>
              </w:rPr>
              <w:t>Coded Theme ("Green Code")</w:t>
            </w:r>
          </w:p>
        </w:tc>
      </w:tr>
      <w:tr w:rsidR="00114AE5" w:rsidRPr="00BD5FBC" w14:paraId="1CE0377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A957AFC"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b/>
                <w:bCs/>
                <w:kern w:val="0"/>
                <w:lang w:eastAsia="en-GB"/>
                <w14:ligatures w14:val="none"/>
              </w:rPr>
              <w:t>UK</w:t>
            </w:r>
          </w:p>
        </w:tc>
        <w:tc>
          <w:tcPr>
            <w:tcW w:w="0" w:type="auto"/>
            <w:tcBorders>
              <w:top w:val="single" w:sz="6" w:space="0" w:color="auto"/>
              <w:left w:val="single" w:sz="6" w:space="0" w:color="auto"/>
              <w:bottom w:val="single" w:sz="6" w:space="0" w:color="auto"/>
              <w:right w:val="single" w:sz="6" w:space="0" w:color="auto"/>
            </w:tcBorders>
            <w:vAlign w:val="center"/>
            <w:hideMark/>
          </w:tcPr>
          <w:p w14:paraId="239BC2A8"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Dove UK Instagram Post (Oct 2025)</w:t>
            </w:r>
          </w:p>
        </w:tc>
        <w:tc>
          <w:tcPr>
            <w:tcW w:w="0" w:type="auto"/>
            <w:tcBorders>
              <w:top w:val="single" w:sz="6" w:space="0" w:color="auto"/>
              <w:left w:val="single" w:sz="6" w:space="0" w:color="auto"/>
              <w:bottom w:val="single" w:sz="6" w:space="0" w:color="auto"/>
              <w:right w:val="single" w:sz="6" w:space="0" w:color="auto"/>
            </w:tcBorders>
            <w:vAlign w:val="center"/>
            <w:hideMark/>
          </w:tcPr>
          <w:p w14:paraId="298767D9"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"100% recycled plastic bottles. Backed by science."</w:t>
            </w:r>
          </w:p>
        </w:tc>
        <w:tc>
          <w:tcPr>
            <w:tcW w:w="0" w:type="auto"/>
            <w:tcBorders>
              <w:top w:val="single" w:sz="6" w:space="0" w:color="auto"/>
              <w:left w:val="single" w:sz="6" w:space="0" w:color="auto"/>
              <w:bottom w:val="single" w:sz="6" w:space="0" w:color="auto"/>
              <w:right w:val="single" w:sz="6" w:space="0" w:color="auto"/>
            </w:tcBorders>
            <w:vAlign w:val="center"/>
            <w:hideMark/>
          </w:tcPr>
          <w:p w14:paraId="4AA7A7E1"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Systemic Accountability / Superior Science</w:t>
            </w:r>
          </w:p>
        </w:tc>
      </w:tr>
      <w:tr w:rsidR="00114AE5" w:rsidRPr="00BD5FBC" w14:paraId="4ADEF46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0BD543B"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b/>
                <w:bCs/>
                <w:kern w:val="0"/>
                <w:lang w:eastAsia="en-GB"/>
                <w14:ligatures w14:val="none"/>
              </w:rPr>
              <w:t>UK</w:t>
            </w:r>
          </w:p>
        </w:tc>
        <w:tc>
          <w:tcPr>
            <w:tcW w:w="0" w:type="auto"/>
            <w:tcBorders>
              <w:top w:val="single" w:sz="6" w:space="0" w:color="auto"/>
              <w:left w:val="single" w:sz="6" w:space="0" w:color="auto"/>
              <w:bottom w:val="single" w:sz="6" w:space="0" w:color="auto"/>
              <w:right w:val="single" w:sz="6" w:space="0" w:color="auto"/>
            </w:tcBorders>
            <w:vAlign w:val="center"/>
            <w:hideMark/>
          </w:tcPr>
          <w:p w14:paraId="5A554083"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Unilever Corporate Website (UK)</w:t>
            </w:r>
          </w:p>
        </w:tc>
        <w:tc>
          <w:tcPr>
            <w:tcW w:w="0" w:type="auto"/>
            <w:tcBorders>
              <w:top w:val="single" w:sz="6" w:space="0" w:color="auto"/>
              <w:left w:val="single" w:sz="6" w:space="0" w:color="auto"/>
              <w:bottom w:val="single" w:sz="6" w:space="0" w:color="auto"/>
              <w:right w:val="single" w:sz="6" w:space="0" w:color="auto"/>
            </w:tcBorders>
            <w:vAlign w:val="center"/>
            <w:hideMark/>
          </w:tcPr>
          <w:p w14:paraId="1398BCB5"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Interactive tracker showing supply chain carbon footprint</w:t>
            </w:r>
          </w:p>
        </w:tc>
        <w:tc>
          <w:tcPr>
            <w:tcW w:w="0" w:type="auto"/>
            <w:tcBorders>
              <w:top w:val="single" w:sz="6" w:space="0" w:color="auto"/>
              <w:left w:val="single" w:sz="6" w:space="0" w:color="auto"/>
              <w:bottom w:val="single" w:sz="6" w:space="0" w:color="auto"/>
              <w:right w:val="single" w:sz="6" w:space="0" w:color="auto"/>
            </w:tcBorders>
            <w:vAlign w:val="center"/>
            <w:hideMark/>
          </w:tcPr>
          <w:p w14:paraId="658C1A6F"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Carbon Literacy / Radical Transparency</w:t>
            </w:r>
          </w:p>
        </w:tc>
      </w:tr>
      <w:tr w:rsidR="00114AE5" w:rsidRPr="00BD5FBC" w14:paraId="685BDAF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6522832"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b/>
                <w:bCs/>
                <w:kern w:val="0"/>
                <w:lang w:eastAsia="en-GB"/>
                <w14:ligatures w14:val="none"/>
              </w:rPr>
              <w:t>India</w:t>
            </w:r>
          </w:p>
        </w:tc>
        <w:tc>
          <w:tcPr>
            <w:tcW w:w="0" w:type="auto"/>
            <w:tcBorders>
              <w:top w:val="single" w:sz="6" w:space="0" w:color="auto"/>
              <w:left w:val="single" w:sz="6" w:space="0" w:color="auto"/>
              <w:bottom w:val="single" w:sz="6" w:space="0" w:color="auto"/>
              <w:right w:val="single" w:sz="6" w:space="0" w:color="auto"/>
            </w:tcBorders>
            <w:vAlign w:val="center"/>
            <w:hideMark/>
          </w:tcPr>
          <w:p w14:paraId="78DCE2C6"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Dove #StopTheBeautyTest YouTube Ad</w:t>
            </w:r>
          </w:p>
        </w:tc>
        <w:tc>
          <w:tcPr>
            <w:tcW w:w="0" w:type="auto"/>
            <w:tcBorders>
              <w:top w:val="single" w:sz="6" w:space="0" w:color="auto"/>
              <w:left w:val="single" w:sz="6" w:space="0" w:color="auto"/>
              <w:bottom w:val="single" w:sz="6" w:space="0" w:color="auto"/>
              <w:right w:val="single" w:sz="6" w:space="0" w:color="auto"/>
            </w:tcBorders>
            <w:vAlign w:val="center"/>
            <w:hideMark/>
          </w:tcPr>
          <w:p w14:paraId="4CF4B340"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Narrative focusing on rejecting societal marriage prejudices</w:t>
            </w:r>
          </w:p>
        </w:tc>
        <w:tc>
          <w:tcPr>
            <w:tcW w:w="0" w:type="auto"/>
            <w:tcBorders>
              <w:top w:val="single" w:sz="6" w:space="0" w:color="auto"/>
              <w:left w:val="single" w:sz="6" w:space="0" w:color="auto"/>
              <w:bottom w:val="single" w:sz="6" w:space="0" w:color="auto"/>
              <w:right w:val="single" w:sz="6" w:space="0" w:color="auto"/>
            </w:tcBorders>
            <w:vAlign w:val="center"/>
            <w:hideMark/>
          </w:tcPr>
          <w:p w14:paraId="628D78B0"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Social Equality / Inclusive Representation</w:t>
            </w:r>
          </w:p>
        </w:tc>
      </w:tr>
      <w:tr w:rsidR="00114AE5" w:rsidRPr="00BD5FBC" w14:paraId="4DD253A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6ED210F"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b/>
                <w:bCs/>
                <w:kern w:val="0"/>
                <w:lang w:eastAsia="en-GB"/>
                <w14:ligatures w14:val="none"/>
              </w:rPr>
              <w:t>India</w:t>
            </w:r>
          </w:p>
        </w:tc>
        <w:tc>
          <w:tcPr>
            <w:tcW w:w="0" w:type="auto"/>
            <w:tcBorders>
              <w:top w:val="single" w:sz="6" w:space="0" w:color="auto"/>
              <w:left w:val="single" w:sz="6" w:space="0" w:color="auto"/>
              <w:bottom w:val="single" w:sz="6" w:space="0" w:color="auto"/>
              <w:right w:val="single" w:sz="6" w:space="0" w:color="auto"/>
            </w:tcBorders>
            <w:vAlign w:val="center"/>
            <w:hideMark/>
          </w:tcPr>
          <w:p w14:paraId="721A0DAB"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Lifebuoy India Digital Campaign</w:t>
            </w:r>
          </w:p>
        </w:tc>
        <w:tc>
          <w:tcPr>
            <w:tcW w:w="0" w:type="auto"/>
            <w:tcBorders>
              <w:top w:val="single" w:sz="6" w:space="0" w:color="auto"/>
              <w:left w:val="single" w:sz="6" w:space="0" w:color="auto"/>
              <w:bottom w:val="single" w:sz="6" w:space="0" w:color="auto"/>
              <w:right w:val="single" w:sz="6" w:space="0" w:color="auto"/>
            </w:tcBorders>
            <w:vAlign w:val="center"/>
            <w:hideMark/>
          </w:tcPr>
          <w:p w14:paraId="6C8B556D"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Focus on handwashing education in rural villages</w:t>
            </w:r>
          </w:p>
        </w:tc>
        <w:tc>
          <w:tcPr>
            <w:tcW w:w="0" w:type="auto"/>
            <w:tcBorders>
              <w:top w:val="single" w:sz="6" w:space="0" w:color="auto"/>
              <w:left w:val="single" w:sz="6" w:space="0" w:color="auto"/>
              <w:bottom w:val="single" w:sz="6" w:space="0" w:color="auto"/>
              <w:right w:val="single" w:sz="6" w:space="0" w:color="auto"/>
            </w:tcBorders>
            <w:vAlign w:val="center"/>
            <w:hideMark/>
          </w:tcPr>
          <w:p w14:paraId="38591DA0"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r w:rsidRPr="00BD5FBC">
              <w:rPr>
                <w:rFonts w:ascii="Arial" w:eastAsia="Times New Roman" w:hAnsi="Arial" w:cs="Arial"/>
                <w:kern w:val="0"/>
                <w:lang w:eastAsia="en-GB"/>
                <w14:ligatures w14:val="none"/>
              </w:rPr>
              <w:t>Grassroots Empowerment / Community Health</w:t>
            </w:r>
          </w:p>
        </w:tc>
      </w:tr>
    </w:tbl>
    <w:p w14:paraId="6AED505F" w14:textId="77777777" w:rsidR="00114AE5" w:rsidRPr="00BD5FBC" w:rsidRDefault="00114AE5" w:rsidP="00BD5FBC">
      <w:pPr>
        <w:spacing w:after="100" w:afterAutospacing="1" w:line="276" w:lineRule="auto"/>
        <w:rPr>
          <w:rFonts w:ascii="Arial" w:eastAsia="Times New Roman" w:hAnsi="Arial" w:cs="Arial"/>
          <w:kern w:val="0"/>
          <w:lang w:eastAsia="en-GB"/>
          <w14:ligatures w14:val="none"/>
        </w:rPr>
      </w:pPr>
    </w:p>
    <w:p w14:paraId="2669ECD9" w14:textId="77777777" w:rsidR="00114AE5" w:rsidRPr="00BD5FBC" w:rsidRDefault="00114AE5" w:rsidP="00BD5FBC">
      <w:pPr>
        <w:spacing w:line="276" w:lineRule="auto"/>
        <w:rPr>
          <w:rFonts w:ascii="Arial" w:hAnsi="Arial" w:cs="Arial"/>
          <w:b/>
          <w:bCs/>
        </w:rPr>
      </w:pPr>
      <w:r w:rsidRPr="00BD5FBC">
        <w:rPr>
          <w:rFonts w:ascii="Arial" w:hAnsi="Arial" w:cs="Arial"/>
          <w:b/>
          <w:bCs/>
        </w:rPr>
        <w:t xml:space="preserve">Appendix B: Sample of Digital Assets </w:t>
      </w:r>
      <w:proofErr w:type="spellStart"/>
      <w:r w:rsidRPr="00BD5FBC">
        <w:rPr>
          <w:rFonts w:ascii="Arial" w:hAnsi="Arial" w:cs="Arial"/>
          <w:b/>
          <w:bCs/>
        </w:rPr>
        <w:t>Analyzed</w:t>
      </w:r>
      <w:proofErr w:type="spellEnd"/>
    </w:p>
    <w:p w14:paraId="48AFFBBA" w14:textId="77777777" w:rsidR="00114AE5" w:rsidRPr="00BD5FBC" w:rsidRDefault="00114AE5" w:rsidP="00BD5FBC">
      <w:pPr>
        <w:spacing w:line="276" w:lineRule="auto"/>
        <w:rPr>
          <w:rFonts w:ascii="Arial" w:hAnsi="Arial" w:cs="Arial"/>
        </w:rPr>
      </w:pPr>
      <w:r w:rsidRPr="00BD5FBC">
        <w:rPr>
          <w:rFonts w:ascii="Arial" w:hAnsi="Arial" w:cs="Arial"/>
        </w:rPr>
        <w:t xml:space="preserve">The following is a curated sample of the 40-50 digital marketing assets </w:t>
      </w:r>
      <w:proofErr w:type="spellStart"/>
      <w:r w:rsidRPr="00BD5FBC">
        <w:rPr>
          <w:rFonts w:ascii="Arial" w:hAnsi="Arial" w:cs="Arial"/>
        </w:rPr>
        <w:t>analyzed</w:t>
      </w:r>
      <w:proofErr w:type="spellEnd"/>
      <w:r w:rsidRPr="00BD5FBC">
        <w:rPr>
          <w:rFonts w:ascii="Arial" w:hAnsi="Arial" w:cs="Arial"/>
        </w:rPr>
        <w:t xml:space="preserve"> during the archival research phase. These specific URLs highlight the thematic divergence between the UK and Indian markets.</w:t>
      </w:r>
    </w:p>
    <w:p w14:paraId="2258DF92" w14:textId="77777777" w:rsidR="00114AE5" w:rsidRPr="00BD5FBC" w:rsidRDefault="00114AE5" w:rsidP="00BD5FBC">
      <w:pPr>
        <w:spacing w:line="276" w:lineRule="auto"/>
        <w:rPr>
          <w:rFonts w:ascii="Arial" w:hAnsi="Arial" w:cs="Arial"/>
        </w:rPr>
      </w:pPr>
      <w:r w:rsidRPr="00BD5FBC">
        <w:rPr>
          <w:rFonts w:ascii="Arial" w:hAnsi="Arial" w:cs="Arial"/>
          <w:b/>
          <w:bCs/>
        </w:rPr>
        <w:t>UK Digital Assets (Systemic Accountability &amp; Digital Well-being)</w:t>
      </w:r>
    </w:p>
    <w:p w14:paraId="4685A514" w14:textId="77777777" w:rsidR="00114AE5" w:rsidRPr="00BD5FBC" w:rsidRDefault="00114AE5" w:rsidP="00BD5FBC">
      <w:pPr>
        <w:numPr>
          <w:ilvl w:val="0"/>
          <w:numId w:val="22"/>
        </w:numPr>
        <w:spacing w:line="276" w:lineRule="auto"/>
        <w:rPr>
          <w:rFonts w:ascii="Arial" w:hAnsi="Arial" w:cs="Arial"/>
        </w:rPr>
      </w:pPr>
      <w:r w:rsidRPr="00BD5FBC">
        <w:rPr>
          <w:rFonts w:ascii="Arial" w:hAnsi="Arial" w:cs="Arial"/>
          <w:b/>
          <w:bCs/>
        </w:rPr>
        <w:t>Dove UK "Real Beauty Pledge" Digital Portal:</w:t>
      </w:r>
      <w:r w:rsidRPr="00BD5FBC">
        <w:rPr>
          <w:rFonts w:ascii="Arial" w:hAnsi="Arial" w:cs="Arial"/>
        </w:rPr>
        <w:t xml:space="preserve"> * </w:t>
      </w:r>
      <w:r w:rsidRPr="00BD5FBC">
        <w:rPr>
          <w:rFonts w:ascii="Arial" w:hAnsi="Arial" w:cs="Arial"/>
          <w:i/>
          <w:iCs/>
        </w:rPr>
        <w:t>URL:</w:t>
      </w:r>
      <w:r w:rsidRPr="00BD5FBC">
        <w:rPr>
          <w:rFonts w:ascii="Arial" w:hAnsi="Arial" w:cs="Arial"/>
        </w:rPr>
        <w:t xml:space="preserve"> https://www.dove.com/uk/stories/about-dove/dove-real-beauty-pledge.html</w:t>
      </w:r>
    </w:p>
    <w:p w14:paraId="101ABD38" w14:textId="77777777" w:rsidR="00114AE5" w:rsidRPr="00BD5FBC" w:rsidRDefault="00114AE5" w:rsidP="00BD5FBC">
      <w:pPr>
        <w:numPr>
          <w:ilvl w:val="1"/>
          <w:numId w:val="22"/>
        </w:numPr>
        <w:spacing w:line="276" w:lineRule="auto"/>
        <w:rPr>
          <w:rFonts w:ascii="Arial" w:hAnsi="Arial" w:cs="Arial"/>
        </w:rPr>
      </w:pPr>
      <w:r w:rsidRPr="00BD5FBC">
        <w:rPr>
          <w:rFonts w:ascii="Arial" w:hAnsi="Arial" w:cs="Arial"/>
          <w:i/>
          <w:iCs/>
        </w:rPr>
        <w:t>Relevance:</w:t>
      </w:r>
      <w:r w:rsidRPr="00BD5FBC">
        <w:rPr>
          <w:rFonts w:ascii="Arial" w:hAnsi="Arial" w:cs="Arial"/>
        </w:rPr>
        <w:t xml:space="preserve"> </w:t>
      </w:r>
      <w:proofErr w:type="spellStart"/>
      <w:r w:rsidRPr="00BD5FBC">
        <w:rPr>
          <w:rFonts w:ascii="Arial" w:hAnsi="Arial" w:cs="Arial"/>
        </w:rPr>
        <w:t>Analyzed</w:t>
      </w:r>
      <w:proofErr w:type="spellEnd"/>
      <w:r w:rsidRPr="00BD5FBC">
        <w:rPr>
          <w:rFonts w:ascii="Arial" w:hAnsi="Arial" w:cs="Arial"/>
        </w:rPr>
        <w:t xml:space="preserve"> for messaging related to mental health sustainability, toxic beauty standards, and digital well-being.</w:t>
      </w:r>
    </w:p>
    <w:p w14:paraId="6CD9D5B9" w14:textId="77777777" w:rsidR="00114AE5" w:rsidRPr="00BD5FBC" w:rsidRDefault="00114AE5" w:rsidP="00BD5FBC">
      <w:pPr>
        <w:numPr>
          <w:ilvl w:val="0"/>
          <w:numId w:val="22"/>
        </w:numPr>
        <w:spacing w:line="276" w:lineRule="auto"/>
        <w:rPr>
          <w:rFonts w:ascii="Arial" w:hAnsi="Arial" w:cs="Arial"/>
        </w:rPr>
      </w:pPr>
      <w:r w:rsidRPr="00BD5FBC">
        <w:rPr>
          <w:rFonts w:ascii="Arial" w:hAnsi="Arial" w:cs="Arial"/>
          <w:b/>
          <w:bCs/>
        </w:rPr>
        <w:t>Unilever Global/UK Sustainability Hub:</w:t>
      </w:r>
      <w:r w:rsidRPr="00BD5FBC">
        <w:rPr>
          <w:rFonts w:ascii="Arial" w:hAnsi="Arial" w:cs="Arial"/>
        </w:rPr>
        <w:t xml:space="preserve"> * </w:t>
      </w:r>
      <w:r w:rsidRPr="00BD5FBC">
        <w:rPr>
          <w:rFonts w:ascii="Arial" w:hAnsi="Arial" w:cs="Arial"/>
          <w:i/>
          <w:iCs/>
        </w:rPr>
        <w:t>URL:</w:t>
      </w:r>
      <w:r w:rsidRPr="00BD5FBC">
        <w:rPr>
          <w:rFonts w:ascii="Arial" w:hAnsi="Arial" w:cs="Arial"/>
        </w:rPr>
        <w:t xml:space="preserve"> https://www.unilever.com/sustainability/</w:t>
      </w:r>
    </w:p>
    <w:p w14:paraId="7BE905E0" w14:textId="77777777" w:rsidR="00114AE5" w:rsidRPr="00BD5FBC" w:rsidRDefault="00114AE5" w:rsidP="00BD5FBC">
      <w:pPr>
        <w:numPr>
          <w:ilvl w:val="1"/>
          <w:numId w:val="22"/>
        </w:numPr>
        <w:spacing w:line="276" w:lineRule="auto"/>
        <w:rPr>
          <w:rFonts w:ascii="Arial" w:hAnsi="Arial" w:cs="Arial"/>
        </w:rPr>
      </w:pPr>
      <w:r w:rsidRPr="00BD5FBC">
        <w:rPr>
          <w:rFonts w:ascii="Arial" w:hAnsi="Arial" w:cs="Arial"/>
          <w:i/>
          <w:iCs/>
        </w:rPr>
        <w:t>Relevance:</w:t>
      </w:r>
      <w:r w:rsidRPr="00BD5FBC">
        <w:rPr>
          <w:rFonts w:ascii="Arial" w:hAnsi="Arial" w:cs="Arial"/>
        </w:rPr>
        <w:t xml:space="preserve"> Reviewed for interactive supply-chain tracking features, empirical carbon footprint disclosures, and the public presentation of the </w:t>
      </w:r>
      <w:r w:rsidRPr="00BD5FBC">
        <w:rPr>
          <w:rFonts w:ascii="Arial" w:hAnsi="Arial" w:cs="Arial"/>
          <w:i/>
          <w:iCs/>
        </w:rPr>
        <w:t>Unilever Compass</w:t>
      </w:r>
      <w:r w:rsidRPr="00BD5FBC">
        <w:rPr>
          <w:rFonts w:ascii="Arial" w:hAnsi="Arial" w:cs="Arial"/>
        </w:rPr>
        <w:t>.</w:t>
      </w:r>
    </w:p>
    <w:p w14:paraId="35936354" w14:textId="77777777" w:rsidR="00114AE5" w:rsidRPr="00BD5FBC" w:rsidRDefault="00114AE5" w:rsidP="00BD5FBC">
      <w:pPr>
        <w:spacing w:line="276" w:lineRule="auto"/>
        <w:rPr>
          <w:rFonts w:ascii="Arial" w:hAnsi="Arial" w:cs="Arial"/>
        </w:rPr>
      </w:pPr>
      <w:r w:rsidRPr="00BD5FBC">
        <w:rPr>
          <w:rFonts w:ascii="Arial" w:hAnsi="Arial" w:cs="Arial"/>
          <w:b/>
          <w:bCs/>
        </w:rPr>
        <w:t>India Digital Assets (Social Equality &amp; Grassroots Empowerment)</w:t>
      </w:r>
    </w:p>
    <w:p w14:paraId="72565837" w14:textId="77777777" w:rsidR="00114AE5" w:rsidRPr="00BD5FBC" w:rsidRDefault="00114AE5" w:rsidP="00BD5FBC">
      <w:pPr>
        <w:spacing w:line="276" w:lineRule="auto"/>
        <w:rPr>
          <w:rFonts w:ascii="Arial" w:hAnsi="Arial" w:cs="Arial"/>
        </w:rPr>
      </w:pPr>
      <w:r w:rsidRPr="00BD5FBC">
        <w:rPr>
          <w:rFonts w:ascii="Arial" w:hAnsi="Arial" w:cs="Arial"/>
        </w:rPr>
        <w:t xml:space="preserve">3. </w:t>
      </w:r>
      <w:r w:rsidRPr="00BD5FBC">
        <w:rPr>
          <w:rFonts w:ascii="Arial" w:hAnsi="Arial" w:cs="Arial"/>
          <w:b/>
          <w:bCs/>
        </w:rPr>
        <w:t>Dove India "#StopTheBeautyTest" Campaign Hub:</w:t>
      </w:r>
      <w:r w:rsidRPr="00BD5FBC">
        <w:rPr>
          <w:rFonts w:ascii="Arial" w:hAnsi="Arial" w:cs="Arial"/>
        </w:rPr>
        <w:t xml:space="preserve"> * </w:t>
      </w:r>
      <w:r w:rsidRPr="00BD5FBC">
        <w:rPr>
          <w:rFonts w:ascii="Arial" w:hAnsi="Arial" w:cs="Arial"/>
          <w:i/>
          <w:iCs/>
        </w:rPr>
        <w:t>URL:</w:t>
      </w:r>
      <w:r w:rsidRPr="00BD5FBC">
        <w:rPr>
          <w:rFonts w:ascii="Arial" w:hAnsi="Arial" w:cs="Arial"/>
        </w:rPr>
        <w:t xml:space="preserve"> https://www.dove.com/in/stories/campaigns/stop-the-beauty-test.html</w:t>
      </w:r>
    </w:p>
    <w:p w14:paraId="758339DA" w14:textId="77777777" w:rsidR="00114AE5" w:rsidRPr="00BD5FBC" w:rsidRDefault="00114AE5" w:rsidP="00BD5FBC">
      <w:pPr>
        <w:numPr>
          <w:ilvl w:val="0"/>
          <w:numId w:val="23"/>
        </w:numPr>
        <w:spacing w:line="276" w:lineRule="auto"/>
        <w:rPr>
          <w:rFonts w:ascii="Arial" w:hAnsi="Arial" w:cs="Arial"/>
        </w:rPr>
      </w:pPr>
      <w:r w:rsidRPr="00BD5FBC">
        <w:rPr>
          <w:rFonts w:ascii="Arial" w:hAnsi="Arial" w:cs="Arial"/>
          <w:i/>
          <w:iCs/>
        </w:rPr>
        <w:t>Relevance:</w:t>
      </w:r>
      <w:r w:rsidRPr="00BD5FBC">
        <w:rPr>
          <w:rFonts w:ascii="Arial" w:hAnsi="Arial" w:cs="Arial"/>
        </w:rPr>
        <w:t xml:space="preserve"> </w:t>
      </w:r>
      <w:proofErr w:type="spellStart"/>
      <w:r w:rsidRPr="00BD5FBC">
        <w:rPr>
          <w:rFonts w:ascii="Arial" w:hAnsi="Arial" w:cs="Arial"/>
        </w:rPr>
        <w:t>Analyzed</w:t>
      </w:r>
      <w:proofErr w:type="spellEnd"/>
      <w:r w:rsidRPr="00BD5FBC">
        <w:rPr>
          <w:rFonts w:ascii="Arial" w:hAnsi="Arial" w:cs="Arial"/>
        </w:rPr>
        <w:t xml:space="preserve"> for </w:t>
      </w:r>
      <w:proofErr w:type="spellStart"/>
      <w:r w:rsidRPr="00BD5FBC">
        <w:rPr>
          <w:rFonts w:ascii="Arial" w:hAnsi="Arial" w:cs="Arial"/>
        </w:rPr>
        <w:t>localized</w:t>
      </w:r>
      <w:proofErr w:type="spellEnd"/>
      <w:r w:rsidRPr="00BD5FBC">
        <w:rPr>
          <w:rFonts w:ascii="Arial" w:hAnsi="Arial" w:cs="Arial"/>
        </w:rPr>
        <w:t xml:space="preserve"> socio-cultural messaging focusing on dismantling systemic marriage prejudices, </w:t>
      </w:r>
      <w:proofErr w:type="spellStart"/>
      <w:r w:rsidRPr="00BD5FBC">
        <w:rPr>
          <w:rFonts w:ascii="Arial" w:hAnsi="Arial" w:cs="Arial"/>
        </w:rPr>
        <w:t>colorism</w:t>
      </w:r>
      <w:proofErr w:type="spellEnd"/>
      <w:r w:rsidRPr="00BD5FBC">
        <w:rPr>
          <w:rFonts w:ascii="Arial" w:hAnsi="Arial" w:cs="Arial"/>
        </w:rPr>
        <w:t>, and promoting inclusive representation.</w:t>
      </w:r>
    </w:p>
    <w:p w14:paraId="464F5469" w14:textId="77777777" w:rsidR="00114AE5" w:rsidRPr="00BD5FBC" w:rsidRDefault="00114AE5" w:rsidP="00BD5FBC">
      <w:pPr>
        <w:numPr>
          <w:ilvl w:val="0"/>
          <w:numId w:val="24"/>
        </w:numPr>
        <w:spacing w:line="276" w:lineRule="auto"/>
        <w:rPr>
          <w:rFonts w:ascii="Arial" w:hAnsi="Arial" w:cs="Arial"/>
        </w:rPr>
      </w:pPr>
      <w:r w:rsidRPr="00BD5FBC">
        <w:rPr>
          <w:rFonts w:ascii="Arial" w:hAnsi="Arial" w:cs="Arial"/>
          <w:b/>
          <w:bCs/>
        </w:rPr>
        <w:t>Hindustan Unilever "Project Shakti" Digital Amplification:</w:t>
      </w:r>
      <w:r w:rsidRPr="00BD5FBC">
        <w:rPr>
          <w:rFonts w:ascii="Arial" w:hAnsi="Arial" w:cs="Arial"/>
        </w:rPr>
        <w:t xml:space="preserve"> * </w:t>
      </w:r>
      <w:r w:rsidRPr="00BD5FBC">
        <w:rPr>
          <w:rFonts w:ascii="Arial" w:hAnsi="Arial" w:cs="Arial"/>
          <w:i/>
          <w:iCs/>
        </w:rPr>
        <w:t>URL:</w:t>
      </w:r>
      <w:r w:rsidRPr="00BD5FBC">
        <w:rPr>
          <w:rFonts w:ascii="Arial" w:hAnsi="Arial" w:cs="Arial"/>
        </w:rPr>
        <w:t xml:space="preserve"> https://www.hul.co.in/planet-and-society/case-studies/enhancing-livelihoods-through-project-shakti/</w:t>
      </w:r>
    </w:p>
    <w:p w14:paraId="6C660F7E" w14:textId="77777777" w:rsidR="00114AE5" w:rsidRPr="00BD5FBC" w:rsidRDefault="00114AE5" w:rsidP="00BD5FBC">
      <w:pPr>
        <w:numPr>
          <w:ilvl w:val="1"/>
          <w:numId w:val="24"/>
        </w:numPr>
        <w:spacing w:line="276" w:lineRule="auto"/>
        <w:rPr>
          <w:rFonts w:ascii="Arial" w:hAnsi="Arial" w:cs="Arial"/>
        </w:rPr>
      </w:pPr>
      <w:r w:rsidRPr="00BD5FBC">
        <w:rPr>
          <w:rFonts w:ascii="Arial" w:hAnsi="Arial" w:cs="Arial"/>
          <w:i/>
          <w:iCs/>
        </w:rPr>
        <w:t>Relevance:</w:t>
      </w:r>
      <w:r w:rsidRPr="00BD5FBC">
        <w:rPr>
          <w:rFonts w:ascii="Arial" w:hAnsi="Arial" w:cs="Arial"/>
        </w:rPr>
        <w:t xml:space="preserve"> </w:t>
      </w:r>
      <w:proofErr w:type="spellStart"/>
      <w:r w:rsidRPr="00BD5FBC">
        <w:rPr>
          <w:rFonts w:ascii="Arial" w:hAnsi="Arial" w:cs="Arial"/>
        </w:rPr>
        <w:t>Analyzed</w:t>
      </w:r>
      <w:proofErr w:type="spellEnd"/>
      <w:r w:rsidRPr="00BD5FBC">
        <w:rPr>
          <w:rFonts w:ascii="Arial" w:hAnsi="Arial" w:cs="Arial"/>
        </w:rPr>
        <w:t xml:space="preserve"> web content and regional social media narratives highlighting the economic empowerment of rural female entrepreneurs.</w:t>
      </w:r>
    </w:p>
    <w:p w14:paraId="226D3C54" w14:textId="77777777" w:rsidR="00114AE5" w:rsidRPr="00BD5FBC" w:rsidRDefault="00114AE5" w:rsidP="00BD5FBC">
      <w:pPr>
        <w:numPr>
          <w:ilvl w:val="0"/>
          <w:numId w:val="24"/>
        </w:numPr>
        <w:spacing w:line="276" w:lineRule="auto"/>
        <w:rPr>
          <w:rFonts w:ascii="Arial" w:hAnsi="Arial" w:cs="Arial"/>
        </w:rPr>
      </w:pPr>
      <w:r w:rsidRPr="00BD5FBC">
        <w:rPr>
          <w:rFonts w:ascii="Arial" w:hAnsi="Arial" w:cs="Arial"/>
          <w:b/>
          <w:bCs/>
        </w:rPr>
        <w:t>Lifebuoy India "Help A Child Reach 5" Digital Campaign:</w:t>
      </w:r>
    </w:p>
    <w:p w14:paraId="53B01730" w14:textId="77777777" w:rsidR="00114AE5" w:rsidRPr="00BD5FBC" w:rsidRDefault="00114AE5" w:rsidP="00BD5FBC">
      <w:pPr>
        <w:numPr>
          <w:ilvl w:val="1"/>
          <w:numId w:val="24"/>
        </w:numPr>
        <w:spacing w:line="276" w:lineRule="auto"/>
        <w:rPr>
          <w:rFonts w:ascii="Arial" w:hAnsi="Arial" w:cs="Arial"/>
        </w:rPr>
      </w:pPr>
      <w:r w:rsidRPr="00BD5FBC">
        <w:rPr>
          <w:rFonts w:ascii="Arial" w:hAnsi="Arial" w:cs="Arial"/>
          <w:i/>
          <w:iCs/>
        </w:rPr>
        <w:t>URL:</w:t>
      </w:r>
      <w:r w:rsidRPr="00BD5FBC">
        <w:rPr>
          <w:rFonts w:ascii="Arial" w:hAnsi="Arial" w:cs="Arial"/>
        </w:rPr>
        <w:t xml:space="preserve"> https://www.lifebuoy.in/social-mission/help-a-child-reach-5.html</w:t>
      </w:r>
    </w:p>
    <w:p w14:paraId="257680E1" w14:textId="77777777" w:rsidR="00114AE5" w:rsidRPr="00BD5FBC" w:rsidRDefault="00114AE5" w:rsidP="00BD5FBC">
      <w:pPr>
        <w:numPr>
          <w:ilvl w:val="1"/>
          <w:numId w:val="24"/>
        </w:numPr>
        <w:spacing w:line="276" w:lineRule="auto"/>
        <w:rPr>
          <w:rFonts w:ascii="Arial" w:hAnsi="Arial" w:cs="Arial"/>
        </w:rPr>
      </w:pPr>
      <w:r w:rsidRPr="00BD5FBC">
        <w:rPr>
          <w:rFonts w:ascii="Arial" w:hAnsi="Arial" w:cs="Arial"/>
          <w:i/>
          <w:iCs/>
        </w:rPr>
        <w:t>Relevance:</w:t>
      </w:r>
      <w:r w:rsidRPr="00BD5FBC">
        <w:rPr>
          <w:rFonts w:ascii="Arial" w:hAnsi="Arial" w:cs="Arial"/>
        </w:rPr>
        <w:t xml:space="preserve"> </w:t>
      </w:r>
      <w:proofErr w:type="spellStart"/>
      <w:r w:rsidRPr="00BD5FBC">
        <w:rPr>
          <w:rFonts w:ascii="Arial" w:hAnsi="Arial" w:cs="Arial"/>
        </w:rPr>
        <w:t>Analyzed</w:t>
      </w:r>
      <w:proofErr w:type="spellEnd"/>
      <w:r w:rsidRPr="00BD5FBC">
        <w:rPr>
          <w:rFonts w:ascii="Arial" w:hAnsi="Arial" w:cs="Arial"/>
        </w:rPr>
        <w:t xml:space="preserve"> for grassroots social utility messaging, tying environmental hygiene products directly to community public health and child mortality prevention.</w:t>
      </w:r>
    </w:p>
    <w:p w14:paraId="659CA7E3" w14:textId="77777777" w:rsidR="0036112B" w:rsidRPr="00BD5FBC" w:rsidRDefault="0036112B" w:rsidP="00BD5FBC">
      <w:pPr>
        <w:spacing w:line="276" w:lineRule="auto"/>
        <w:rPr>
          <w:rFonts w:ascii="Arial" w:hAnsi="Arial" w:cs="Arial"/>
        </w:rPr>
      </w:pPr>
    </w:p>
    <w:sectPr w:rsidR="0036112B" w:rsidRPr="00BD5F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4XzzxSMb" int2:invalidationBookmarkName="" int2:hashCode="fQi1HMvzNlTE26" int2:id="JGeU1eFH">
      <int2:state int2:value="Rejected" int2:type="gram"/>
    </int2:bookmark>
    <int2:bookmark int2:bookmarkName="_Int_uxCPnD4e" int2:invalidationBookmarkName="" int2:hashCode="43K/JlIt1QZTyM" int2:id="iPEPmBLa">
      <int2:state int2:value="Rejected" int2:type="style"/>
    </int2:bookmark>
    <int2:bookmark int2:bookmarkName="_Int_nxEkOZDK" int2:invalidationBookmarkName="" int2:hashCode="IwNMa3Y6SlNjkA" int2:id="pHZyGzCF">
      <int2:state int2:value="Rejected" int2:type="style"/>
    </int2:bookmark>
    <int2:bookmark int2:bookmarkName="_Int_A3MxzaQu" int2:invalidationBookmarkName="" int2:hashCode="yEuNNnCfzg/Khq" int2:id="cBjlmKXH">
      <int2:state int2:value="Rejected" int2:type="style"/>
    </int2:bookmark>
    <int2:bookmark int2:bookmarkName="_Int_U2Chpuad" int2:invalidationBookmarkName="" int2:hashCode="6nOFAbtSjY8/H3" int2:id="0UefpbEZ">
      <int2:state int2:value="Rejected" int2:type="style"/>
    </int2:bookmark>
    <int2:bookmark int2:bookmarkName="_Int_dKZX0pWy" int2:invalidationBookmarkName="" int2:hashCode="Wv7Q8R7wR+UwIV" int2:id="EreqNns8">
      <int2:state int2:value="Rejected" int2:type="style"/>
    </int2:bookmark>
    <int2:bookmark int2:bookmarkName="_Int_e5kRog1W" int2:invalidationBookmarkName="" int2:hashCode="FPGoVS9FMyqyjo" int2:id="TtZMdVS4">
      <int2:state int2:value="Rejected" int2:type="style"/>
    </int2:bookmark>
    <int2:bookmark int2:bookmarkName="_Int_8dxk6Ukf" int2:invalidationBookmarkName="" int2:hashCode="aF7sM1aTbrmUbf" int2:id="8Zo47LgA">
      <int2:state int2:value="Rejected" int2:type="style"/>
    </int2:bookmark>
    <int2:bookmark int2:bookmarkName="_Int_kwHF7Rxn" int2:invalidationBookmarkName="" int2:hashCode="41xkQlrUmil/ig" int2:id="xbB4wLDG">
      <int2:state int2:value="Rejected" int2:type="style"/>
    </int2:bookmark>
    <int2:bookmark int2:bookmarkName="_Int_b0egSLKR" int2:invalidationBookmarkName="" int2:hashCode="gqdTc9T+27BJaQ" int2:id="hqwzrLk3">
      <int2:state int2:value="Rejected" int2:type="style"/>
    </int2:bookmark>
    <int2:bookmark int2:bookmarkName="_Int_44biGUCx" int2:invalidationBookmarkName="" int2:hashCode="Yj52w2qiqIZUIB" int2:id="GtnSFc1q">
      <int2:state int2:value="Rejected" int2:type="style"/>
    </int2:bookmark>
    <int2:bookmark int2:bookmarkName="_Int_44ThzY92" int2:invalidationBookmarkName="" int2:hashCode="M1xMHi8FtSl6Vn" int2:id="7ozQKK7n">
      <int2:state int2:value="Rejected" int2:type="style"/>
    </int2:bookmark>
    <int2:bookmark int2:bookmarkName="_Int_hRkQyhhR" int2:invalidationBookmarkName="" int2:hashCode="vHHNl2eQ5oponG" int2:id="zKTIfDs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A6AB2"/>
    <w:multiLevelType w:val="multilevel"/>
    <w:tmpl w:val="F6C6B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326BE1"/>
    <w:multiLevelType w:val="multilevel"/>
    <w:tmpl w:val="A92A21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A913E3"/>
    <w:multiLevelType w:val="multilevel"/>
    <w:tmpl w:val="5AF28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901689"/>
    <w:multiLevelType w:val="multilevel"/>
    <w:tmpl w:val="69508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E2710F"/>
    <w:multiLevelType w:val="multilevel"/>
    <w:tmpl w:val="2E06F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6C1015"/>
    <w:multiLevelType w:val="multilevel"/>
    <w:tmpl w:val="4192F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3528D4"/>
    <w:multiLevelType w:val="multilevel"/>
    <w:tmpl w:val="30603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F609B9"/>
    <w:multiLevelType w:val="multilevel"/>
    <w:tmpl w:val="75388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DE6512"/>
    <w:multiLevelType w:val="multilevel"/>
    <w:tmpl w:val="FB523EE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4E21B1"/>
    <w:multiLevelType w:val="multilevel"/>
    <w:tmpl w:val="97DEA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483B55"/>
    <w:multiLevelType w:val="multilevel"/>
    <w:tmpl w:val="FBD49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9F7ED7"/>
    <w:multiLevelType w:val="multilevel"/>
    <w:tmpl w:val="8326B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CA4E7E"/>
    <w:multiLevelType w:val="multilevel"/>
    <w:tmpl w:val="0DC6C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7F3682"/>
    <w:multiLevelType w:val="multilevel"/>
    <w:tmpl w:val="96720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4A5042"/>
    <w:multiLevelType w:val="multilevel"/>
    <w:tmpl w:val="52CC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26A83"/>
    <w:multiLevelType w:val="multilevel"/>
    <w:tmpl w:val="9DAEAFF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2813AE"/>
    <w:multiLevelType w:val="multilevel"/>
    <w:tmpl w:val="4D8C8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CB0261"/>
    <w:multiLevelType w:val="multilevel"/>
    <w:tmpl w:val="30547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514E65"/>
    <w:multiLevelType w:val="multilevel"/>
    <w:tmpl w:val="5F7A2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DA2A23"/>
    <w:multiLevelType w:val="multilevel"/>
    <w:tmpl w:val="8B5E28A6"/>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C12A65"/>
    <w:multiLevelType w:val="multilevel"/>
    <w:tmpl w:val="28362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A40E78"/>
    <w:multiLevelType w:val="multilevel"/>
    <w:tmpl w:val="68367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315C50"/>
    <w:multiLevelType w:val="multilevel"/>
    <w:tmpl w:val="7E40D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0F069F7"/>
    <w:multiLevelType w:val="multilevel"/>
    <w:tmpl w:val="0B343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A15B9A"/>
    <w:multiLevelType w:val="multilevel"/>
    <w:tmpl w:val="D2E8C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58678F4"/>
    <w:multiLevelType w:val="multilevel"/>
    <w:tmpl w:val="03844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82316F1"/>
    <w:multiLevelType w:val="multilevel"/>
    <w:tmpl w:val="C4102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D27249A"/>
    <w:multiLevelType w:val="multilevel"/>
    <w:tmpl w:val="CEFE9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8F592B"/>
    <w:multiLevelType w:val="multilevel"/>
    <w:tmpl w:val="2C2AB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2166250">
    <w:abstractNumId w:val="22"/>
  </w:num>
  <w:num w:numId="2" w16cid:durableId="760686483">
    <w:abstractNumId w:val="0"/>
  </w:num>
  <w:num w:numId="3" w16cid:durableId="30763942">
    <w:abstractNumId w:val="24"/>
  </w:num>
  <w:num w:numId="4" w16cid:durableId="1455368405">
    <w:abstractNumId w:val="4"/>
  </w:num>
  <w:num w:numId="5" w16cid:durableId="657927983">
    <w:abstractNumId w:val="10"/>
  </w:num>
  <w:num w:numId="6" w16cid:durableId="443232759">
    <w:abstractNumId w:val="20"/>
  </w:num>
  <w:num w:numId="7" w16cid:durableId="1428845590">
    <w:abstractNumId w:val="28"/>
  </w:num>
  <w:num w:numId="8" w16cid:durableId="792140874">
    <w:abstractNumId w:val="9"/>
  </w:num>
  <w:num w:numId="9" w16cid:durableId="177935587">
    <w:abstractNumId w:val="27"/>
  </w:num>
  <w:num w:numId="10" w16cid:durableId="771242688">
    <w:abstractNumId w:val="25"/>
  </w:num>
  <w:num w:numId="11" w16cid:durableId="80614558">
    <w:abstractNumId w:val="5"/>
  </w:num>
  <w:num w:numId="12" w16cid:durableId="2004550401">
    <w:abstractNumId w:val="12"/>
  </w:num>
  <w:num w:numId="13" w16cid:durableId="345328120">
    <w:abstractNumId w:val="26"/>
  </w:num>
  <w:num w:numId="14" w16cid:durableId="553277579">
    <w:abstractNumId w:val="23"/>
  </w:num>
  <w:num w:numId="15" w16cid:durableId="1547988405">
    <w:abstractNumId w:val="2"/>
  </w:num>
  <w:num w:numId="16" w16cid:durableId="1623994235">
    <w:abstractNumId w:val="6"/>
  </w:num>
  <w:num w:numId="17" w16cid:durableId="430052057">
    <w:abstractNumId w:val="18"/>
  </w:num>
  <w:num w:numId="18" w16cid:durableId="1523930639">
    <w:abstractNumId w:val="21"/>
  </w:num>
  <w:num w:numId="19" w16cid:durableId="1962414141">
    <w:abstractNumId w:val="14"/>
  </w:num>
  <w:num w:numId="20" w16cid:durableId="1362894473">
    <w:abstractNumId w:val="7"/>
  </w:num>
  <w:num w:numId="21" w16cid:durableId="1738825251">
    <w:abstractNumId w:val="16"/>
  </w:num>
  <w:num w:numId="22" w16cid:durableId="27800476">
    <w:abstractNumId w:val="1"/>
  </w:num>
  <w:num w:numId="23" w16cid:durableId="786125204">
    <w:abstractNumId w:val="11"/>
  </w:num>
  <w:num w:numId="24" w16cid:durableId="1960070346">
    <w:abstractNumId w:val="19"/>
  </w:num>
  <w:num w:numId="25" w16cid:durableId="182912013">
    <w:abstractNumId w:val="3"/>
  </w:num>
  <w:num w:numId="26" w16cid:durableId="1822119389">
    <w:abstractNumId w:val="15"/>
  </w:num>
  <w:num w:numId="27" w16cid:durableId="347146277">
    <w:abstractNumId w:val="8"/>
  </w:num>
  <w:num w:numId="28" w16cid:durableId="1731806695">
    <w:abstractNumId w:val="13"/>
  </w:num>
  <w:num w:numId="29" w16cid:durableId="18768480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D81"/>
    <w:rsid w:val="00016B07"/>
    <w:rsid w:val="00040E0D"/>
    <w:rsid w:val="000C4D81"/>
    <w:rsid w:val="000D27D9"/>
    <w:rsid w:val="0011144C"/>
    <w:rsid w:val="00114AE5"/>
    <w:rsid w:val="001D3A13"/>
    <w:rsid w:val="001F123D"/>
    <w:rsid w:val="00222A14"/>
    <w:rsid w:val="002A7CB8"/>
    <w:rsid w:val="002B5D37"/>
    <w:rsid w:val="003346F6"/>
    <w:rsid w:val="0036112B"/>
    <w:rsid w:val="00374BB0"/>
    <w:rsid w:val="004033D1"/>
    <w:rsid w:val="00437AD2"/>
    <w:rsid w:val="004418AF"/>
    <w:rsid w:val="004769EB"/>
    <w:rsid w:val="004941ED"/>
    <w:rsid w:val="004A5252"/>
    <w:rsid w:val="004B4DCF"/>
    <w:rsid w:val="004B547A"/>
    <w:rsid w:val="004E26AB"/>
    <w:rsid w:val="00587C26"/>
    <w:rsid w:val="005D246F"/>
    <w:rsid w:val="005F5767"/>
    <w:rsid w:val="0062511B"/>
    <w:rsid w:val="00630EED"/>
    <w:rsid w:val="00653559"/>
    <w:rsid w:val="0068433F"/>
    <w:rsid w:val="006D7ACB"/>
    <w:rsid w:val="006F636F"/>
    <w:rsid w:val="00706647"/>
    <w:rsid w:val="007112CB"/>
    <w:rsid w:val="00741452"/>
    <w:rsid w:val="0078498F"/>
    <w:rsid w:val="00793151"/>
    <w:rsid w:val="007D6687"/>
    <w:rsid w:val="008428AC"/>
    <w:rsid w:val="008B7EC5"/>
    <w:rsid w:val="009453E9"/>
    <w:rsid w:val="00953310"/>
    <w:rsid w:val="00980669"/>
    <w:rsid w:val="009A44DA"/>
    <w:rsid w:val="009C3C9B"/>
    <w:rsid w:val="009E4145"/>
    <w:rsid w:val="00A13042"/>
    <w:rsid w:val="00A36130"/>
    <w:rsid w:val="00A97C67"/>
    <w:rsid w:val="00AA7DA6"/>
    <w:rsid w:val="00AF0CE0"/>
    <w:rsid w:val="00B7770D"/>
    <w:rsid w:val="00BA23A2"/>
    <w:rsid w:val="00BD5FBC"/>
    <w:rsid w:val="00BF63DC"/>
    <w:rsid w:val="00C84D32"/>
    <w:rsid w:val="00C911D7"/>
    <w:rsid w:val="00CA5530"/>
    <w:rsid w:val="00CE569A"/>
    <w:rsid w:val="00D20669"/>
    <w:rsid w:val="00D262AB"/>
    <w:rsid w:val="00DE7F3F"/>
    <w:rsid w:val="00E22280"/>
    <w:rsid w:val="00E8202B"/>
    <w:rsid w:val="00ED7C94"/>
    <w:rsid w:val="00F00B58"/>
    <w:rsid w:val="00F10ED1"/>
    <w:rsid w:val="00F275BB"/>
    <w:rsid w:val="00F61A86"/>
    <w:rsid w:val="00FD3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989E2"/>
  <w15:chartTrackingRefBased/>
  <w15:docId w15:val="{15A6624E-8058-4A92-A017-8AD01E829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D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4D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4D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D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D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D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D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D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D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D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4D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4D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4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4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4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D81"/>
    <w:rPr>
      <w:rFonts w:eastAsiaTheme="majorEastAsia" w:cstheme="majorBidi"/>
      <w:color w:val="272727" w:themeColor="text1" w:themeTint="D8"/>
    </w:rPr>
  </w:style>
  <w:style w:type="paragraph" w:styleId="Title">
    <w:name w:val="Title"/>
    <w:basedOn w:val="Normal"/>
    <w:next w:val="Normal"/>
    <w:link w:val="TitleChar"/>
    <w:uiPriority w:val="10"/>
    <w:qFormat/>
    <w:rsid w:val="000C4D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D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D81"/>
    <w:pPr>
      <w:spacing w:before="160"/>
      <w:jc w:val="center"/>
    </w:pPr>
    <w:rPr>
      <w:i/>
      <w:iCs/>
      <w:color w:val="404040" w:themeColor="text1" w:themeTint="BF"/>
    </w:rPr>
  </w:style>
  <w:style w:type="character" w:customStyle="1" w:styleId="QuoteChar">
    <w:name w:val="Quote Char"/>
    <w:basedOn w:val="DefaultParagraphFont"/>
    <w:link w:val="Quote"/>
    <w:uiPriority w:val="29"/>
    <w:rsid w:val="000C4D81"/>
    <w:rPr>
      <w:i/>
      <w:iCs/>
      <w:color w:val="404040" w:themeColor="text1" w:themeTint="BF"/>
    </w:rPr>
  </w:style>
  <w:style w:type="paragraph" w:styleId="ListParagraph">
    <w:name w:val="List Paragraph"/>
    <w:basedOn w:val="Normal"/>
    <w:uiPriority w:val="34"/>
    <w:qFormat/>
    <w:rsid w:val="000C4D81"/>
    <w:pPr>
      <w:ind w:left="720"/>
      <w:contextualSpacing/>
    </w:pPr>
  </w:style>
  <w:style w:type="character" w:styleId="IntenseEmphasis">
    <w:name w:val="Intense Emphasis"/>
    <w:basedOn w:val="DefaultParagraphFont"/>
    <w:uiPriority w:val="21"/>
    <w:qFormat/>
    <w:rsid w:val="000C4D81"/>
    <w:rPr>
      <w:i/>
      <w:iCs/>
      <w:color w:val="0F4761" w:themeColor="accent1" w:themeShade="BF"/>
    </w:rPr>
  </w:style>
  <w:style w:type="paragraph" w:styleId="IntenseQuote">
    <w:name w:val="Intense Quote"/>
    <w:basedOn w:val="Normal"/>
    <w:next w:val="Normal"/>
    <w:link w:val="IntenseQuoteChar"/>
    <w:uiPriority w:val="30"/>
    <w:qFormat/>
    <w:rsid w:val="000C4D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4D81"/>
    <w:rPr>
      <w:i/>
      <w:iCs/>
      <w:color w:val="0F4761" w:themeColor="accent1" w:themeShade="BF"/>
    </w:rPr>
  </w:style>
  <w:style w:type="character" w:styleId="IntenseReference">
    <w:name w:val="Intense Reference"/>
    <w:basedOn w:val="DefaultParagraphFont"/>
    <w:uiPriority w:val="32"/>
    <w:qFormat/>
    <w:rsid w:val="000C4D81"/>
    <w:rPr>
      <w:b/>
      <w:bCs/>
      <w:smallCaps/>
      <w:color w:val="0F4761" w:themeColor="accent1" w:themeShade="BF"/>
      <w:spacing w:val="5"/>
    </w:rPr>
  </w:style>
  <w:style w:type="character" w:styleId="Hyperlink">
    <w:name w:val="Hyperlink"/>
    <w:basedOn w:val="DefaultParagraphFont"/>
    <w:uiPriority w:val="99"/>
    <w:unhideWhenUsed/>
    <w:rsid w:val="00222A14"/>
    <w:rPr>
      <w:color w:val="467886" w:themeColor="hyperlink"/>
      <w:u w:val="single"/>
    </w:rPr>
  </w:style>
  <w:style w:type="character" w:styleId="UnresolvedMention">
    <w:name w:val="Unresolved Mention"/>
    <w:basedOn w:val="DefaultParagraphFont"/>
    <w:uiPriority w:val="99"/>
    <w:semiHidden/>
    <w:unhideWhenUsed/>
    <w:rsid w:val="00222A14"/>
    <w:rPr>
      <w:color w:val="605E5C"/>
      <w:shd w:val="clear" w:color="auto" w:fill="E1DFDD"/>
    </w:rPr>
  </w:style>
  <w:style w:type="paragraph" w:styleId="TOCHeading">
    <w:name w:val="TOC Heading"/>
    <w:basedOn w:val="Heading1"/>
    <w:next w:val="Normal"/>
    <w:uiPriority w:val="39"/>
    <w:unhideWhenUsed/>
    <w:qFormat/>
    <w:rsid w:val="000D27D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D27D9"/>
    <w:pPr>
      <w:spacing w:after="100"/>
    </w:pPr>
  </w:style>
  <w:style w:type="paragraph" w:styleId="TOC2">
    <w:name w:val="toc 2"/>
    <w:basedOn w:val="Normal"/>
    <w:next w:val="Normal"/>
    <w:autoRedefine/>
    <w:uiPriority w:val="39"/>
    <w:unhideWhenUsed/>
    <w:rsid w:val="000D27D9"/>
    <w:pPr>
      <w:spacing w:after="100"/>
      <w:ind w:left="240"/>
    </w:pPr>
  </w:style>
  <w:style w:type="paragraph" w:styleId="TOC3">
    <w:name w:val="toc 3"/>
    <w:basedOn w:val="Normal"/>
    <w:next w:val="Normal"/>
    <w:autoRedefine/>
    <w:uiPriority w:val="39"/>
    <w:unhideWhenUsed/>
    <w:rsid w:val="000D27D9"/>
    <w:pPr>
      <w:spacing w:after="100"/>
      <w:ind w:left="480"/>
    </w:pPr>
  </w:style>
  <w:style w:type="paragraph" w:styleId="TOC4">
    <w:name w:val="toc 4"/>
    <w:basedOn w:val="Normal"/>
    <w:next w:val="Normal"/>
    <w:autoRedefine/>
    <w:uiPriority w:val="39"/>
    <w:unhideWhenUsed/>
    <w:rsid w:val="0078498F"/>
    <w:pPr>
      <w:spacing w:after="100"/>
      <w:ind w:left="720"/>
    </w:pPr>
    <w:rPr>
      <w:rFonts w:eastAsiaTheme="minorEastAsia"/>
      <w:lang w:eastAsia="en-GB"/>
    </w:rPr>
  </w:style>
  <w:style w:type="paragraph" w:styleId="TOC5">
    <w:name w:val="toc 5"/>
    <w:basedOn w:val="Normal"/>
    <w:next w:val="Normal"/>
    <w:autoRedefine/>
    <w:uiPriority w:val="39"/>
    <w:unhideWhenUsed/>
    <w:rsid w:val="0078498F"/>
    <w:pPr>
      <w:spacing w:after="100"/>
      <w:ind w:left="960"/>
    </w:pPr>
    <w:rPr>
      <w:rFonts w:eastAsiaTheme="minorEastAsia"/>
      <w:lang w:eastAsia="en-GB"/>
    </w:rPr>
  </w:style>
  <w:style w:type="paragraph" w:styleId="TOC6">
    <w:name w:val="toc 6"/>
    <w:basedOn w:val="Normal"/>
    <w:next w:val="Normal"/>
    <w:autoRedefine/>
    <w:uiPriority w:val="39"/>
    <w:unhideWhenUsed/>
    <w:rsid w:val="0078498F"/>
    <w:pPr>
      <w:spacing w:after="100"/>
      <w:ind w:left="1200"/>
    </w:pPr>
    <w:rPr>
      <w:rFonts w:eastAsiaTheme="minorEastAsia"/>
      <w:lang w:eastAsia="en-GB"/>
    </w:rPr>
  </w:style>
  <w:style w:type="paragraph" w:styleId="TOC7">
    <w:name w:val="toc 7"/>
    <w:basedOn w:val="Normal"/>
    <w:next w:val="Normal"/>
    <w:autoRedefine/>
    <w:uiPriority w:val="39"/>
    <w:unhideWhenUsed/>
    <w:rsid w:val="0078498F"/>
    <w:pPr>
      <w:spacing w:after="100"/>
      <w:ind w:left="1440"/>
    </w:pPr>
    <w:rPr>
      <w:rFonts w:eastAsiaTheme="minorEastAsia"/>
      <w:lang w:eastAsia="en-GB"/>
    </w:rPr>
  </w:style>
  <w:style w:type="paragraph" w:styleId="TOC8">
    <w:name w:val="toc 8"/>
    <w:basedOn w:val="Normal"/>
    <w:next w:val="Normal"/>
    <w:autoRedefine/>
    <w:uiPriority w:val="39"/>
    <w:unhideWhenUsed/>
    <w:rsid w:val="0078498F"/>
    <w:pPr>
      <w:spacing w:after="100"/>
      <w:ind w:left="1680"/>
    </w:pPr>
    <w:rPr>
      <w:rFonts w:eastAsiaTheme="minorEastAsia"/>
      <w:lang w:eastAsia="en-GB"/>
    </w:rPr>
  </w:style>
  <w:style w:type="paragraph" w:styleId="TOC9">
    <w:name w:val="toc 9"/>
    <w:basedOn w:val="Normal"/>
    <w:next w:val="Normal"/>
    <w:autoRedefine/>
    <w:uiPriority w:val="39"/>
    <w:unhideWhenUsed/>
    <w:rsid w:val="0078498F"/>
    <w:pPr>
      <w:spacing w:after="100"/>
      <w:ind w:left="192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3.png"/><Relationship Id="rId18" Type="http://schemas.openxmlformats.org/officeDocument/2006/relationships/diagramData" Target="diagrams/data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diagramData" Target="diagrams/data1.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24" Type="http://schemas.openxmlformats.org/officeDocument/2006/relationships/hyperlink" Target="https://www.unilever.com"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google.com/search?q=https://www.edelman.com/trust/2023&amp;authuser=3" TargetMode="External"/><Relationship Id="rId10" Type="http://schemas.openxmlformats.org/officeDocument/2006/relationships/diagramColors" Target="diagrams/colors1.xml"/><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image" Target="media/image4.jpeg"/><Relationship Id="rId22" Type="http://schemas.microsoft.com/office/2007/relationships/diagramDrawing" Target="diagrams/drawing2.xml"/><Relationship Id="rId27" Type="http://schemas.microsoft.com/office/2020/10/relationships/intelligence" Target="intelligence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1A7C49-625C-4860-A8BF-C271F9504CF4}" type="doc">
      <dgm:prSet loTypeId="urn:microsoft.com/office/officeart/2005/8/layout/matrix1" loCatId="matrix" qsTypeId="urn:microsoft.com/office/officeart/2005/8/quickstyle/3d5" qsCatId="3D" csTypeId="urn:microsoft.com/office/officeart/2005/8/colors/colorful1" csCatId="colorful" phldr="1"/>
      <dgm:spPr/>
      <dgm:t>
        <a:bodyPr/>
        <a:lstStyle/>
        <a:p>
          <a:endParaRPr lang="en-GB"/>
        </a:p>
      </dgm:t>
    </dgm:pt>
    <dgm:pt modelId="{8F25FE4F-69C3-4345-9A5A-5FFD5D821EE5}">
      <dgm:prSet phldrT="[Text]"/>
      <dgm:spPr/>
      <dgm:t>
        <a:bodyPr/>
        <a:lstStyle/>
        <a:p>
          <a:pPr algn="ctr">
            <a:buNone/>
          </a:pPr>
          <a:r>
            <a:rPr lang="en-GB"/>
            <a:t>SASSY Framework</a:t>
          </a:r>
        </a:p>
      </dgm:t>
    </dgm:pt>
    <dgm:pt modelId="{9150FACE-26C6-4B14-BC3F-5E2B5F107932}" type="parTrans" cxnId="{F3C1289A-D03B-48D9-A41A-889498F190F8}">
      <dgm:prSet/>
      <dgm:spPr/>
      <dgm:t>
        <a:bodyPr/>
        <a:lstStyle/>
        <a:p>
          <a:pPr algn="ctr"/>
          <a:endParaRPr lang="en-GB"/>
        </a:p>
      </dgm:t>
    </dgm:pt>
    <dgm:pt modelId="{FE06C265-D1C1-4D41-8AB1-3764DDB10E4F}" type="sibTrans" cxnId="{F3C1289A-D03B-48D9-A41A-889498F190F8}">
      <dgm:prSet/>
      <dgm:spPr/>
      <dgm:t>
        <a:bodyPr/>
        <a:lstStyle/>
        <a:p>
          <a:pPr algn="ctr"/>
          <a:endParaRPr lang="en-GB"/>
        </a:p>
      </dgm:t>
    </dgm:pt>
    <dgm:pt modelId="{2D3B1D5C-98CF-4EA3-B52A-E42E01584E16}">
      <dgm:prSet phldrT="[Text]"/>
      <dgm:spPr/>
      <dgm:t>
        <a:bodyPr/>
        <a:lstStyle/>
        <a:p>
          <a:pPr algn="ctr">
            <a:buNone/>
          </a:pPr>
          <a:r>
            <a:rPr lang="en-GB"/>
            <a:t>Superior Science</a:t>
          </a:r>
        </a:p>
      </dgm:t>
    </dgm:pt>
    <dgm:pt modelId="{2C6B73DB-903C-4F04-B793-DDFD03F38874}" type="parTrans" cxnId="{6975F194-DFC5-46BD-B02F-C7CE0DB4A00A}">
      <dgm:prSet/>
      <dgm:spPr/>
      <dgm:t>
        <a:bodyPr/>
        <a:lstStyle/>
        <a:p>
          <a:pPr algn="ctr"/>
          <a:endParaRPr lang="en-GB"/>
        </a:p>
      </dgm:t>
    </dgm:pt>
    <dgm:pt modelId="{B4170049-67A7-46C3-842A-212ED7374F8B}" type="sibTrans" cxnId="{6975F194-DFC5-46BD-B02F-C7CE0DB4A00A}">
      <dgm:prSet/>
      <dgm:spPr/>
      <dgm:t>
        <a:bodyPr/>
        <a:lstStyle/>
        <a:p>
          <a:pPr algn="ctr"/>
          <a:endParaRPr lang="en-GB"/>
        </a:p>
      </dgm:t>
    </dgm:pt>
    <dgm:pt modelId="{77B3C63F-D661-487B-B59A-B26281E7FFED}">
      <dgm:prSet phldrT="[Text]"/>
      <dgm:spPr/>
      <dgm:t>
        <a:bodyPr/>
        <a:lstStyle/>
        <a:p>
          <a:pPr algn="ctr">
            <a:buNone/>
          </a:pPr>
          <a:r>
            <a:rPr lang="en-GB"/>
            <a:t>Agility</a:t>
          </a:r>
        </a:p>
      </dgm:t>
    </dgm:pt>
    <dgm:pt modelId="{3B75BE65-AAB6-42D1-B3CA-C2EBA7BCF441}" type="parTrans" cxnId="{654FFC65-45D8-4C12-A2FA-B573D15B8A8D}">
      <dgm:prSet/>
      <dgm:spPr/>
      <dgm:t>
        <a:bodyPr/>
        <a:lstStyle/>
        <a:p>
          <a:pPr algn="ctr"/>
          <a:endParaRPr lang="en-GB"/>
        </a:p>
      </dgm:t>
    </dgm:pt>
    <dgm:pt modelId="{BDB85276-8A5A-409E-88DE-3EBBDA5D4672}" type="sibTrans" cxnId="{654FFC65-45D8-4C12-A2FA-B573D15B8A8D}">
      <dgm:prSet/>
      <dgm:spPr/>
      <dgm:t>
        <a:bodyPr/>
        <a:lstStyle/>
        <a:p>
          <a:pPr algn="ctr"/>
          <a:endParaRPr lang="en-GB"/>
        </a:p>
      </dgm:t>
    </dgm:pt>
    <dgm:pt modelId="{02AE17D3-F397-4887-A51A-A82ADB8FF999}">
      <dgm:prSet phldrT="[Text]"/>
      <dgm:spPr/>
      <dgm:t>
        <a:bodyPr/>
        <a:lstStyle/>
        <a:p>
          <a:pPr algn="ctr">
            <a:buNone/>
          </a:pPr>
          <a:r>
            <a:rPr lang="en-GB"/>
            <a:t>Sustainability</a:t>
          </a:r>
        </a:p>
      </dgm:t>
    </dgm:pt>
    <dgm:pt modelId="{DEA91299-E62B-4A56-812E-257FC0EF2352}" type="parTrans" cxnId="{6916FF7F-0914-46C7-BC81-DCE463EB7970}">
      <dgm:prSet/>
      <dgm:spPr/>
      <dgm:t>
        <a:bodyPr/>
        <a:lstStyle/>
        <a:p>
          <a:pPr algn="ctr"/>
          <a:endParaRPr lang="en-GB"/>
        </a:p>
      </dgm:t>
    </dgm:pt>
    <dgm:pt modelId="{B7766666-4F81-46AC-B1B5-E03C8ACFB66C}" type="sibTrans" cxnId="{6916FF7F-0914-46C7-BC81-DCE463EB7970}">
      <dgm:prSet/>
      <dgm:spPr/>
      <dgm:t>
        <a:bodyPr/>
        <a:lstStyle/>
        <a:p>
          <a:pPr algn="ctr"/>
          <a:endParaRPr lang="en-GB"/>
        </a:p>
      </dgm:t>
    </dgm:pt>
    <dgm:pt modelId="{97806422-ACCA-4A11-AA51-2BBFABEF420D}">
      <dgm:prSet phldrT="[Text]"/>
      <dgm:spPr/>
      <dgm:t>
        <a:bodyPr/>
        <a:lstStyle/>
        <a:p>
          <a:pPr algn="ctr">
            <a:buNone/>
          </a:pPr>
          <a:r>
            <a:rPr lang="en-GB"/>
            <a:t>Younique</a:t>
          </a:r>
        </a:p>
      </dgm:t>
    </dgm:pt>
    <dgm:pt modelId="{287E5A1F-031E-47AA-B7EB-CEAE2592BE3C}" type="parTrans" cxnId="{681DFBBD-B6C3-4821-A708-605CCBE7693B}">
      <dgm:prSet/>
      <dgm:spPr/>
      <dgm:t>
        <a:bodyPr/>
        <a:lstStyle/>
        <a:p>
          <a:pPr algn="ctr"/>
          <a:endParaRPr lang="en-GB"/>
        </a:p>
      </dgm:t>
    </dgm:pt>
    <dgm:pt modelId="{1F7A81B8-4070-484F-A5BA-2285E52ADAB9}" type="sibTrans" cxnId="{681DFBBD-B6C3-4821-A708-605CCBE7693B}">
      <dgm:prSet/>
      <dgm:spPr/>
      <dgm:t>
        <a:bodyPr/>
        <a:lstStyle/>
        <a:p>
          <a:pPr algn="ctr"/>
          <a:endParaRPr lang="en-GB"/>
        </a:p>
      </dgm:t>
    </dgm:pt>
    <dgm:pt modelId="{07D87B0D-1795-4F1F-8AE9-FFE0FAB1E24E}" type="pres">
      <dgm:prSet presAssocID="{D91A7C49-625C-4860-A8BF-C271F9504CF4}" presName="diagram" presStyleCnt="0">
        <dgm:presLayoutVars>
          <dgm:chMax val="1"/>
          <dgm:dir/>
          <dgm:animLvl val="ctr"/>
          <dgm:resizeHandles val="exact"/>
        </dgm:presLayoutVars>
      </dgm:prSet>
      <dgm:spPr/>
    </dgm:pt>
    <dgm:pt modelId="{DED19C66-E8B7-4659-B78D-69CBDD87BFBD}" type="pres">
      <dgm:prSet presAssocID="{D91A7C49-625C-4860-A8BF-C271F9504CF4}" presName="matrix" presStyleCnt="0"/>
      <dgm:spPr/>
    </dgm:pt>
    <dgm:pt modelId="{86E03DEF-7FD3-41BB-BBB4-C720D98BF0ED}" type="pres">
      <dgm:prSet presAssocID="{D91A7C49-625C-4860-A8BF-C271F9504CF4}" presName="tile1" presStyleLbl="node1" presStyleIdx="0" presStyleCnt="4"/>
      <dgm:spPr/>
    </dgm:pt>
    <dgm:pt modelId="{02088E81-6B01-4289-86B1-B547A6BE0E8B}" type="pres">
      <dgm:prSet presAssocID="{D91A7C49-625C-4860-A8BF-C271F9504CF4}" presName="tile1text" presStyleLbl="node1" presStyleIdx="0" presStyleCnt="4">
        <dgm:presLayoutVars>
          <dgm:chMax val="0"/>
          <dgm:chPref val="0"/>
          <dgm:bulletEnabled val="1"/>
        </dgm:presLayoutVars>
      </dgm:prSet>
      <dgm:spPr/>
    </dgm:pt>
    <dgm:pt modelId="{DF7352B3-7B8A-4813-9DD3-070FCB3E7FB4}" type="pres">
      <dgm:prSet presAssocID="{D91A7C49-625C-4860-A8BF-C271F9504CF4}" presName="tile2" presStyleLbl="node1" presStyleIdx="1" presStyleCnt="4" custLinFactNeighborX="3316" custLinFactNeighborY="-3483"/>
      <dgm:spPr/>
    </dgm:pt>
    <dgm:pt modelId="{F83F5916-ED02-4DB6-AE7B-21D03F42A1EB}" type="pres">
      <dgm:prSet presAssocID="{D91A7C49-625C-4860-A8BF-C271F9504CF4}" presName="tile2text" presStyleLbl="node1" presStyleIdx="1" presStyleCnt="4">
        <dgm:presLayoutVars>
          <dgm:chMax val="0"/>
          <dgm:chPref val="0"/>
          <dgm:bulletEnabled val="1"/>
        </dgm:presLayoutVars>
      </dgm:prSet>
      <dgm:spPr/>
    </dgm:pt>
    <dgm:pt modelId="{773062FD-C298-4948-899E-C4F70CD3214A}" type="pres">
      <dgm:prSet presAssocID="{D91A7C49-625C-4860-A8BF-C271F9504CF4}" presName="tile3" presStyleLbl="node1" presStyleIdx="2" presStyleCnt="4"/>
      <dgm:spPr/>
    </dgm:pt>
    <dgm:pt modelId="{F64C5F78-3BE6-49C8-9246-0ADDEEE1B46A}" type="pres">
      <dgm:prSet presAssocID="{D91A7C49-625C-4860-A8BF-C271F9504CF4}" presName="tile3text" presStyleLbl="node1" presStyleIdx="2" presStyleCnt="4">
        <dgm:presLayoutVars>
          <dgm:chMax val="0"/>
          <dgm:chPref val="0"/>
          <dgm:bulletEnabled val="1"/>
        </dgm:presLayoutVars>
      </dgm:prSet>
      <dgm:spPr/>
    </dgm:pt>
    <dgm:pt modelId="{C78D67D3-9CDD-4CE1-9C73-2089AF6C45BE}" type="pres">
      <dgm:prSet presAssocID="{D91A7C49-625C-4860-A8BF-C271F9504CF4}" presName="tile4" presStyleLbl="node1" presStyleIdx="3" presStyleCnt="4"/>
      <dgm:spPr/>
    </dgm:pt>
    <dgm:pt modelId="{2AC0800A-3110-404B-8BFB-6274EAAC364F}" type="pres">
      <dgm:prSet presAssocID="{D91A7C49-625C-4860-A8BF-C271F9504CF4}" presName="tile4text" presStyleLbl="node1" presStyleIdx="3" presStyleCnt="4">
        <dgm:presLayoutVars>
          <dgm:chMax val="0"/>
          <dgm:chPref val="0"/>
          <dgm:bulletEnabled val="1"/>
        </dgm:presLayoutVars>
      </dgm:prSet>
      <dgm:spPr/>
    </dgm:pt>
    <dgm:pt modelId="{BEE649D7-289B-4B5C-91BF-EC59D6230080}" type="pres">
      <dgm:prSet presAssocID="{D91A7C49-625C-4860-A8BF-C271F9504CF4}" presName="centerTile" presStyleLbl="fgShp" presStyleIdx="0" presStyleCnt="1">
        <dgm:presLayoutVars>
          <dgm:chMax val="0"/>
          <dgm:chPref val="0"/>
        </dgm:presLayoutVars>
      </dgm:prSet>
      <dgm:spPr/>
    </dgm:pt>
  </dgm:ptLst>
  <dgm:cxnLst>
    <dgm:cxn modelId="{9D3B0035-F790-4B48-B123-C18612002388}" type="presOf" srcId="{77B3C63F-D661-487B-B59A-B26281E7FFED}" destId="{F83F5916-ED02-4DB6-AE7B-21D03F42A1EB}" srcOrd="1" destOrd="0" presId="urn:microsoft.com/office/officeart/2005/8/layout/matrix1"/>
    <dgm:cxn modelId="{5B90263B-B95D-4631-A9BC-125945702263}" type="presOf" srcId="{2D3B1D5C-98CF-4EA3-B52A-E42E01584E16}" destId="{02088E81-6B01-4289-86B1-B547A6BE0E8B}" srcOrd="1" destOrd="0" presId="urn:microsoft.com/office/officeart/2005/8/layout/matrix1"/>
    <dgm:cxn modelId="{1F6C523C-7945-497D-9319-3092F6E4CE66}" type="presOf" srcId="{97806422-ACCA-4A11-AA51-2BBFABEF420D}" destId="{C78D67D3-9CDD-4CE1-9C73-2089AF6C45BE}" srcOrd="0" destOrd="0" presId="urn:microsoft.com/office/officeart/2005/8/layout/matrix1"/>
    <dgm:cxn modelId="{7504B648-EBFD-4BA2-81C5-D2430CCA0562}" type="presOf" srcId="{02AE17D3-F397-4887-A51A-A82ADB8FF999}" destId="{F64C5F78-3BE6-49C8-9246-0ADDEEE1B46A}" srcOrd="1" destOrd="0" presId="urn:microsoft.com/office/officeart/2005/8/layout/matrix1"/>
    <dgm:cxn modelId="{43BE1859-C193-4CD4-89D9-16FA506D444E}" type="presOf" srcId="{02AE17D3-F397-4887-A51A-A82ADB8FF999}" destId="{773062FD-C298-4948-899E-C4F70CD3214A}" srcOrd="0" destOrd="0" presId="urn:microsoft.com/office/officeart/2005/8/layout/matrix1"/>
    <dgm:cxn modelId="{654FFC65-45D8-4C12-A2FA-B573D15B8A8D}" srcId="{8F25FE4F-69C3-4345-9A5A-5FFD5D821EE5}" destId="{77B3C63F-D661-487B-B59A-B26281E7FFED}" srcOrd="1" destOrd="0" parTransId="{3B75BE65-AAB6-42D1-B3CA-C2EBA7BCF441}" sibTransId="{BDB85276-8A5A-409E-88DE-3EBBDA5D4672}"/>
    <dgm:cxn modelId="{04B5FA6A-4F8D-4A7B-B821-79ECE0D5D18E}" type="presOf" srcId="{97806422-ACCA-4A11-AA51-2BBFABEF420D}" destId="{2AC0800A-3110-404B-8BFB-6274EAAC364F}" srcOrd="1" destOrd="0" presId="urn:microsoft.com/office/officeart/2005/8/layout/matrix1"/>
    <dgm:cxn modelId="{6916FF7F-0914-46C7-BC81-DCE463EB7970}" srcId="{8F25FE4F-69C3-4345-9A5A-5FFD5D821EE5}" destId="{02AE17D3-F397-4887-A51A-A82ADB8FF999}" srcOrd="2" destOrd="0" parTransId="{DEA91299-E62B-4A56-812E-257FC0EF2352}" sibTransId="{B7766666-4F81-46AC-B1B5-E03C8ACFB66C}"/>
    <dgm:cxn modelId="{6975F194-DFC5-46BD-B02F-C7CE0DB4A00A}" srcId="{8F25FE4F-69C3-4345-9A5A-5FFD5D821EE5}" destId="{2D3B1D5C-98CF-4EA3-B52A-E42E01584E16}" srcOrd="0" destOrd="0" parTransId="{2C6B73DB-903C-4F04-B793-DDFD03F38874}" sibTransId="{B4170049-67A7-46C3-842A-212ED7374F8B}"/>
    <dgm:cxn modelId="{F3C1289A-D03B-48D9-A41A-889498F190F8}" srcId="{D91A7C49-625C-4860-A8BF-C271F9504CF4}" destId="{8F25FE4F-69C3-4345-9A5A-5FFD5D821EE5}" srcOrd="0" destOrd="0" parTransId="{9150FACE-26C6-4B14-BC3F-5E2B5F107932}" sibTransId="{FE06C265-D1C1-4D41-8AB1-3764DDB10E4F}"/>
    <dgm:cxn modelId="{479FF99D-FD92-4E8F-BF6B-4E0A1F29B919}" type="presOf" srcId="{8F25FE4F-69C3-4345-9A5A-5FFD5D821EE5}" destId="{BEE649D7-289B-4B5C-91BF-EC59D6230080}" srcOrd="0" destOrd="0" presId="urn:microsoft.com/office/officeart/2005/8/layout/matrix1"/>
    <dgm:cxn modelId="{681DFBBD-B6C3-4821-A708-605CCBE7693B}" srcId="{8F25FE4F-69C3-4345-9A5A-5FFD5D821EE5}" destId="{97806422-ACCA-4A11-AA51-2BBFABEF420D}" srcOrd="3" destOrd="0" parTransId="{287E5A1F-031E-47AA-B7EB-CEAE2592BE3C}" sibTransId="{1F7A81B8-4070-484F-A5BA-2285E52ADAB9}"/>
    <dgm:cxn modelId="{5825FCC2-61B2-47C5-9E9A-AE9093529570}" type="presOf" srcId="{D91A7C49-625C-4860-A8BF-C271F9504CF4}" destId="{07D87B0D-1795-4F1F-8AE9-FFE0FAB1E24E}" srcOrd="0" destOrd="0" presId="urn:microsoft.com/office/officeart/2005/8/layout/matrix1"/>
    <dgm:cxn modelId="{229084C6-EC21-4E49-828D-439EC7BDA0B1}" type="presOf" srcId="{2D3B1D5C-98CF-4EA3-B52A-E42E01584E16}" destId="{86E03DEF-7FD3-41BB-BBB4-C720D98BF0ED}" srcOrd="0" destOrd="0" presId="urn:microsoft.com/office/officeart/2005/8/layout/matrix1"/>
    <dgm:cxn modelId="{71A528DC-DE9D-4BE5-A042-EE82F6D60CE8}" type="presOf" srcId="{77B3C63F-D661-487B-B59A-B26281E7FFED}" destId="{DF7352B3-7B8A-4813-9DD3-070FCB3E7FB4}" srcOrd="0" destOrd="0" presId="urn:microsoft.com/office/officeart/2005/8/layout/matrix1"/>
    <dgm:cxn modelId="{F68BDA48-A65B-4C3F-83D8-0AE9D02893C5}" type="presParOf" srcId="{07D87B0D-1795-4F1F-8AE9-FFE0FAB1E24E}" destId="{DED19C66-E8B7-4659-B78D-69CBDD87BFBD}" srcOrd="0" destOrd="0" presId="urn:microsoft.com/office/officeart/2005/8/layout/matrix1"/>
    <dgm:cxn modelId="{A474179C-1C28-4DAD-AF19-32F034CEC83C}" type="presParOf" srcId="{DED19C66-E8B7-4659-B78D-69CBDD87BFBD}" destId="{86E03DEF-7FD3-41BB-BBB4-C720D98BF0ED}" srcOrd="0" destOrd="0" presId="urn:microsoft.com/office/officeart/2005/8/layout/matrix1"/>
    <dgm:cxn modelId="{8FA57A52-2585-4B9C-9F57-F3DE05F46282}" type="presParOf" srcId="{DED19C66-E8B7-4659-B78D-69CBDD87BFBD}" destId="{02088E81-6B01-4289-86B1-B547A6BE0E8B}" srcOrd="1" destOrd="0" presId="urn:microsoft.com/office/officeart/2005/8/layout/matrix1"/>
    <dgm:cxn modelId="{05FBEB49-71F3-4D34-8DAA-C6CD76F1E72A}" type="presParOf" srcId="{DED19C66-E8B7-4659-B78D-69CBDD87BFBD}" destId="{DF7352B3-7B8A-4813-9DD3-070FCB3E7FB4}" srcOrd="2" destOrd="0" presId="urn:microsoft.com/office/officeart/2005/8/layout/matrix1"/>
    <dgm:cxn modelId="{13536727-021C-48D9-A854-4111184EFDF3}" type="presParOf" srcId="{DED19C66-E8B7-4659-B78D-69CBDD87BFBD}" destId="{F83F5916-ED02-4DB6-AE7B-21D03F42A1EB}" srcOrd="3" destOrd="0" presId="urn:microsoft.com/office/officeart/2005/8/layout/matrix1"/>
    <dgm:cxn modelId="{142E4AA3-7458-4809-A491-19FE8B2BE3FE}" type="presParOf" srcId="{DED19C66-E8B7-4659-B78D-69CBDD87BFBD}" destId="{773062FD-C298-4948-899E-C4F70CD3214A}" srcOrd="4" destOrd="0" presId="urn:microsoft.com/office/officeart/2005/8/layout/matrix1"/>
    <dgm:cxn modelId="{93E350C0-FC8C-443E-9D60-CB71CEF9A6EE}" type="presParOf" srcId="{DED19C66-E8B7-4659-B78D-69CBDD87BFBD}" destId="{F64C5F78-3BE6-49C8-9246-0ADDEEE1B46A}" srcOrd="5" destOrd="0" presId="urn:microsoft.com/office/officeart/2005/8/layout/matrix1"/>
    <dgm:cxn modelId="{E1E97041-8A50-4E95-A72A-57F69F946D91}" type="presParOf" srcId="{DED19C66-E8B7-4659-B78D-69CBDD87BFBD}" destId="{C78D67D3-9CDD-4CE1-9C73-2089AF6C45BE}" srcOrd="6" destOrd="0" presId="urn:microsoft.com/office/officeart/2005/8/layout/matrix1"/>
    <dgm:cxn modelId="{668829D9-C280-4BC3-B2D5-111B3EC112F7}" type="presParOf" srcId="{DED19C66-E8B7-4659-B78D-69CBDD87BFBD}" destId="{2AC0800A-3110-404B-8BFB-6274EAAC364F}" srcOrd="7" destOrd="0" presId="urn:microsoft.com/office/officeart/2005/8/layout/matrix1"/>
    <dgm:cxn modelId="{D96A2D59-489D-4F34-ACE6-8F9E70CC8C2C}" type="presParOf" srcId="{07D87B0D-1795-4F1F-8AE9-FFE0FAB1E24E}" destId="{BEE649D7-289B-4B5C-91BF-EC59D6230080}" srcOrd="1" destOrd="0" presId="urn:microsoft.com/office/officeart/2005/8/layout/matrix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F66E00E-E25D-462C-B0C7-88CFD6A91904}" type="doc">
      <dgm:prSet loTypeId="urn:microsoft.com/office/officeart/2009/3/layout/DescendingProcess" loCatId="process" qsTypeId="urn:microsoft.com/office/officeart/2005/8/quickstyle/3d5" qsCatId="3D" csTypeId="urn:microsoft.com/office/officeart/2005/8/colors/colorful2" csCatId="colorful" phldr="1"/>
      <dgm:spPr/>
      <dgm:t>
        <a:bodyPr/>
        <a:lstStyle/>
        <a:p>
          <a:endParaRPr lang="en-GB"/>
        </a:p>
      </dgm:t>
    </dgm:pt>
    <dgm:pt modelId="{23C9600C-F6ED-446B-B1BE-588E0F591A99}">
      <dgm:prSet phldrT="[Text]"/>
      <dgm:spPr/>
      <dgm:t>
        <a:bodyPr/>
        <a:lstStyle/>
        <a:p>
          <a:pPr>
            <a:buNone/>
          </a:pPr>
          <a:r>
            <a:rPr lang="en-GB" b="1"/>
            <a:t>Trust-Digital Paradox</a:t>
          </a:r>
          <a:endParaRPr lang="en-GB"/>
        </a:p>
      </dgm:t>
    </dgm:pt>
    <dgm:pt modelId="{08B754B9-CEC1-414D-AA27-C32874F988CC}" type="parTrans" cxnId="{FCAA8411-8E2A-41EF-A09D-FDA7C91797C9}">
      <dgm:prSet/>
      <dgm:spPr/>
      <dgm:t>
        <a:bodyPr/>
        <a:lstStyle/>
        <a:p>
          <a:endParaRPr lang="en-GB"/>
        </a:p>
      </dgm:t>
    </dgm:pt>
    <dgm:pt modelId="{56C7CD96-6DFD-47F0-A4A1-9324E54E7A76}" type="sibTrans" cxnId="{FCAA8411-8E2A-41EF-A09D-FDA7C91797C9}">
      <dgm:prSet/>
      <dgm:spPr/>
      <dgm:t>
        <a:bodyPr/>
        <a:lstStyle/>
        <a:p>
          <a:endParaRPr lang="en-GB"/>
        </a:p>
      </dgm:t>
    </dgm:pt>
    <dgm:pt modelId="{645CE76F-36D7-4743-B4C1-7F6215002551}">
      <dgm:prSet phldrT="[Text]"/>
      <dgm:spPr/>
      <dgm:t>
        <a:bodyPr/>
        <a:lstStyle/>
        <a:p>
          <a:pPr>
            <a:buNone/>
          </a:pPr>
          <a:r>
            <a:rPr lang="en-GB"/>
            <a:t>AI Targeting</a:t>
          </a:r>
        </a:p>
      </dgm:t>
    </dgm:pt>
    <dgm:pt modelId="{39238614-6E22-4F3A-BC69-8E7057659816}" type="parTrans" cxnId="{EDDE0218-7FA2-4D20-8F8D-45EEC24FB10E}">
      <dgm:prSet/>
      <dgm:spPr/>
      <dgm:t>
        <a:bodyPr/>
        <a:lstStyle/>
        <a:p>
          <a:endParaRPr lang="en-GB"/>
        </a:p>
      </dgm:t>
    </dgm:pt>
    <dgm:pt modelId="{1D495B0C-4E7A-4F1E-97F1-B87FC6264DCC}" type="sibTrans" cxnId="{EDDE0218-7FA2-4D20-8F8D-45EEC24FB10E}">
      <dgm:prSet/>
      <dgm:spPr/>
      <dgm:t>
        <a:bodyPr/>
        <a:lstStyle/>
        <a:p>
          <a:endParaRPr lang="en-GB"/>
        </a:p>
      </dgm:t>
    </dgm:pt>
    <dgm:pt modelId="{5E12B945-DF3A-4EC5-B2CA-794E3C6730DB}">
      <dgm:prSet phldrT="[Text]"/>
      <dgm:spPr/>
      <dgm:t>
        <a:bodyPr/>
        <a:lstStyle/>
        <a:p>
          <a:pPr>
            <a:buNone/>
          </a:pPr>
          <a:r>
            <a:rPr lang="en-GB"/>
            <a:t>Consumer Skepticism</a:t>
          </a:r>
        </a:p>
      </dgm:t>
    </dgm:pt>
    <dgm:pt modelId="{34423F56-8ACB-4386-B26C-DB0738D3C560}" type="parTrans" cxnId="{6DC5DD5C-415E-443B-9FC9-27DCAB73C137}">
      <dgm:prSet/>
      <dgm:spPr/>
      <dgm:t>
        <a:bodyPr/>
        <a:lstStyle/>
        <a:p>
          <a:endParaRPr lang="en-GB"/>
        </a:p>
      </dgm:t>
    </dgm:pt>
    <dgm:pt modelId="{D16CD7E7-D941-435B-A2C9-4787BB2BB39C}" type="sibTrans" cxnId="{6DC5DD5C-415E-443B-9FC9-27DCAB73C137}">
      <dgm:prSet/>
      <dgm:spPr/>
      <dgm:t>
        <a:bodyPr/>
        <a:lstStyle/>
        <a:p>
          <a:endParaRPr lang="en-GB"/>
        </a:p>
      </dgm:t>
    </dgm:pt>
    <dgm:pt modelId="{1FEBBFBF-3C64-4EFA-B227-F98DF3010221}">
      <dgm:prSet phldrT="[Text]"/>
      <dgm:spPr/>
      <dgm:t>
        <a:bodyPr/>
        <a:lstStyle/>
        <a:p>
          <a:pPr>
            <a:buNone/>
          </a:pPr>
          <a:r>
            <a:rPr lang="en-GB"/>
            <a:t>Resolved by Transparency </a:t>
          </a:r>
        </a:p>
      </dgm:t>
    </dgm:pt>
    <dgm:pt modelId="{00B9A5B9-9044-4865-A9E8-D546CF90E0CB}" type="parTrans" cxnId="{01038905-9C38-45C6-9A4F-8969D290D761}">
      <dgm:prSet/>
      <dgm:spPr/>
      <dgm:t>
        <a:bodyPr/>
        <a:lstStyle/>
        <a:p>
          <a:endParaRPr lang="en-GB"/>
        </a:p>
      </dgm:t>
    </dgm:pt>
    <dgm:pt modelId="{9EDBFF0B-CEB6-48B4-8E30-AC825826FA06}" type="sibTrans" cxnId="{01038905-9C38-45C6-9A4F-8969D290D761}">
      <dgm:prSet/>
      <dgm:spPr/>
      <dgm:t>
        <a:bodyPr/>
        <a:lstStyle/>
        <a:p>
          <a:endParaRPr lang="en-GB"/>
        </a:p>
      </dgm:t>
    </dgm:pt>
    <dgm:pt modelId="{A125E32C-CF3E-453D-ADDD-C6C86B3151E8}">
      <dgm:prSet phldrT="[Text]"/>
      <dgm:spPr/>
      <dgm:t>
        <a:bodyPr/>
        <a:lstStyle/>
        <a:p>
          <a:pPr>
            <a:buNone/>
          </a:pPr>
          <a:r>
            <a:rPr lang="en-GB"/>
            <a:t>Brand Trust</a:t>
          </a:r>
        </a:p>
      </dgm:t>
    </dgm:pt>
    <dgm:pt modelId="{ED6D7344-37B0-43E6-8998-F02EC6FC21D7}" type="parTrans" cxnId="{6F99080A-1312-413D-8FB9-200F1E3BFDB8}">
      <dgm:prSet/>
      <dgm:spPr/>
      <dgm:t>
        <a:bodyPr/>
        <a:lstStyle/>
        <a:p>
          <a:endParaRPr lang="en-GB"/>
        </a:p>
      </dgm:t>
    </dgm:pt>
    <dgm:pt modelId="{2B58B50A-3C43-4083-B478-5BAE96AC504E}" type="sibTrans" cxnId="{6F99080A-1312-413D-8FB9-200F1E3BFDB8}">
      <dgm:prSet/>
      <dgm:spPr/>
      <dgm:t>
        <a:bodyPr/>
        <a:lstStyle/>
        <a:p>
          <a:endParaRPr lang="en-GB"/>
        </a:p>
      </dgm:t>
    </dgm:pt>
    <dgm:pt modelId="{E4168636-815E-478E-96B1-B26E026248EA}" type="pres">
      <dgm:prSet presAssocID="{5F66E00E-E25D-462C-B0C7-88CFD6A91904}" presName="Name0" presStyleCnt="0">
        <dgm:presLayoutVars>
          <dgm:chMax val="7"/>
          <dgm:chPref val="5"/>
        </dgm:presLayoutVars>
      </dgm:prSet>
      <dgm:spPr/>
    </dgm:pt>
    <dgm:pt modelId="{F3B0F81B-7E1C-4F21-A484-BFFF392767D7}" type="pres">
      <dgm:prSet presAssocID="{5F66E00E-E25D-462C-B0C7-88CFD6A91904}" presName="arrowNode" presStyleLbl="node1" presStyleIdx="0" presStyleCnt="1"/>
      <dgm:spPr/>
    </dgm:pt>
    <dgm:pt modelId="{DD3B7C4D-F599-46BA-AF51-F3BFE6926A3F}" type="pres">
      <dgm:prSet presAssocID="{23C9600C-F6ED-446B-B1BE-588E0F591A99}" presName="txNode1" presStyleLbl="revTx" presStyleIdx="0" presStyleCnt="5">
        <dgm:presLayoutVars>
          <dgm:bulletEnabled val="1"/>
        </dgm:presLayoutVars>
      </dgm:prSet>
      <dgm:spPr/>
    </dgm:pt>
    <dgm:pt modelId="{F6A1EBC1-0B14-4CBF-AC8D-4A222A047DC8}" type="pres">
      <dgm:prSet presAssocID="{645CE76F-36D7-4743-B4C1-7F6215002551}" presName="txNode2" presStyleLbl="revTx" presStyleIdx="1" presStyleCnt="5">
        <dgm:presLayoutVars>
          <dgm:bulletEnabled val="1"/>
        </dgm:presLayoutVars>
      </dgm:prSet>
      <dgm:spPr/>
    </dgm:pt>
    <dgm:pt modelId="{2C2CA51F-54BB-4AEA-979E-64E6F875C27A}" type="pres">
      <dgm:prSet presAssocID="{1D495B0C-4E7A-4F1E-97F1-B87FC6264DCC}" presName="dotNode2" presStyleCnt="0"/>
      <dgm:spPr/>
    </dgm:pt>
    <dgm:pt modelId="{FDF70F6A-3583-44F0-BB52-B04601F9C45E}" type="pres">
      <dgm:prSet presAssocID="{1D495B0C-4E7A-4F1E-97F1-B87FC6264DCC}" presName="dotRepeatNode" presStyleLbl="fgShp" presStyleIdx="0" presStyleCnt="3"/>
      <dgm:spPr/>
    </dgm:pt>
    <dgm:pt modelId="{CFA2BDA6-1F5B-49B0-9660-ACED15CBD8B7}" type="pres">
      <dgm:prSet presAssocID="{5E12B945-DF3A-4EC5-B2CA-794E3C6730DB}" presName="txNode3" presStyleLbl="revTx" presStyleIdx="2" presStyleCnt="5">
        <dgm:presLayoutVars>
          <dgm:bulletEnabled val="1"/>
        </dgm:presLayoutVars>
      </dgm:prSet>
      <dgm:spPr/>
    </dgm:pt>
    <dgm:pt modelId="{B07F8242-B794-4D7F-805C-455506F5526C}" type="pres">
      <dgm:prSet presAssocID="{D16CD7E7-D941-435B-A2C9-4787BB2BB39C}" presName="dotNode3" presStyleCnt="0"/>
      <dgm:spPr/>
    </dgm:pt>
    <dgm:pt modelId="{DB65EF6F-1122-47B7-A7CC-E2BCEA53E10D}" type="pres">
      <dgm:prSet presAssocID="{D16CD7E7-D941-435B-A2C9-4787BB2BB39C}" presName="dotRepeatNode" presStyleLbl="fgShp" presStyleIdx="1" presStyleCnt="3"/>
      <dgm:spPr/>
    </dgm:pt>
    <dgm:pt modelId="{B4301627-F4B1-4DD7-8EEC-9DE5DDB90AFF}" type="pres">
      <dgm:prSet presAssocID="{1FEBBFBF-3C64-4EFA-B227-F98DF3010221}" presName="txNode4" presStyleLbl="revTx" presStyleIdx="3" presStyleCnt="5">
        <dgm:presLayoutVars>
          <dgm:bulletEnabled val="1"/>
        </dgm:presLayoutVars>
      </dgm:prSet>
      <dgm:spPr/>
    </dgm:pt>
    <dgm:pt modelId="{3069BE3A-C224-46C7-8509-7AC6EE06595E}" type="pres">
      <dgm:prSet presAssocID="{9EDBFF0B-CEB6-48B4-8E30-AC825826FA06}" presName="dotNode4" presStyleCnt="0"/>
      <dgm:spPr/>
    </dgm:pt>
    <dgm:pt modelId="{A69FC532-A0F3-47F0-ACAA-A4AAC09F56C9}" type="pres">
      <dgm:prSet presAssocID="{9EDBFF0B-CEB6-48B4-8E30-AC825826FA06}" presName="dotRepeatNode" presStyleLbl="fgShp" presStyleIdx="2" presStyleCnt="3"/>
      <dgm:spPr/>
    </dgm:pt>
    <dgm:pt modelId="{431036CD-39CD-4F47-892E-1729EE284FA9}" type="pres">
      <dgm:prSet presAssocID="{A125E32C-CF3E-453D-ADDD-C6C86B3151E8}" presName="txNode5" presStyleLbl="revTx" presStyleIdx="4" presStyleCnt="5">
        <dgm:presLayoutVars>
          <dgm:bulletEnabled val="1"/>
        </dgm:presLayoutVars>
      </dgm:prSet>
      <dgm:spPr/>
    </dgm:pt>
  </dgm:ptLst>
  <dgm:cxnLst>
    <dgm:cxn modelId="{01038905-9C38-45C6-9A4F-8969D290D761}" srcId="{5F66E00E-E25D-462C-B0C7-88CFD6A91904}" destId="{1FEBBFBF-3C64-4EFA-B227-F98DF3010221}" srcOrd="3" destOrd="0" parTransId="{00B9A5B9-9044-4865-A9E8-D546CF90E0CB}" sibTransId="{9EDBFF0B-CEB6-48B4-8E30-AC825826FA06}"/>
    <dgm:cxn modelId="{6F99080A-1312-413D-8FB9-200F1E3BFDB8}" srcId="{5F66E00E-E25D-462C-B0C7-88CFD6A91904}" destId="{A125E32C-CF3E-453D-ADDD-C6C86B3151E8}" srcOrd="4" destOrd="0" parTransId="{ED6D7344-37B0-43E6-8998-F02EC6FC21D7}" sibTransId="{2B58B50A-3C43-4083-B478-5BAE96AC504E}"/>
    <dgm:cxn modelId="{9E02170A-0C2B-41DB-A5DC-8FEDFC5F4B6E}" type="presOf" srcId="{1FEBBFBF-3C64-4EFA-B227-F98DF3010221}" destId="{B4301627-F4B1-4DD7-8EEC-9DE5DDB90AFF}" srcOrd="0" destOrd="0" presId="urn:microsoft.com/office/officeart/2009/3/layout/DescendingProcess"/>
    <dgm:cxn modelId="{FCAA8411-8E2A-41EF-A09D-FDA7C91797C9}" srcId="{5F66E00E-E25D-462C-B0C7-88CFD6A91904}" destId="{23C9600C-F6ED-446B-B1BE-588E0F591A99}" srcOrd="0" destOrd="0" parTransId="{08B754B9-CEC1-414D-AA27-C32874F988CC}" sibTransId="{56C7CD96-6DFD-47F0-A4A1-9324E54E7A76}"/>
    <dgm:cxn modelId="{DECDF111-EB6F-443B-9F53-B1CBC3AFEC7E}" type="presOf" srcId="{1D495B0C-4E7A-4F1E-97F1-B87FC6264DCC}" destId="{FDF70F6A-3583-44F0-BB52-B04601F9C45E}" srcOrd="0" destOrd="0" presId="urn:microsoft.com/office/officeart/2009/3/layout/DescendingProcess"/>
    <dgm:cxn modelId="{EDDE0218-7FA2-4D20-8F8D-45EEC24FB10E}" srcId="{5F66E00E-E25D-462C-B0C7-88CFD6A91904}" destId="{645CE76F-36D7-4743-B4C1-7F6215002551}" srcOrd="1" destOrd="0" parTransId="{39238614-6E22-4F3A-BC69-8E7057659816}" sibTransId="{1D495B0C-4E7A-4F1E-97F1-B87FC6264DCC}"/>
    <dgm:cxn modelId="{AC121E2C-4D64-45CA-B959-2438015D75BC}" type="presOf" srcId="{645CE76F-36D7-4743-B4C1-7F6215002551}" destId="{F6A1EBC1-0B14-4CBF-AC8D-4A222A047DC8}" srcOrd="0" destOrd="0" presId="urn:microsoft.com/office/officeart/2009/3/layout/DescendingProcess"/>
    <dgm:cxn modelId="{97380C57-4FA4-453D-9CD5-AAC934344832}" type="presOf" srcId="{23C9600C-F6ED-446B-B1BE-588E0F591A99}" destId="{DD3B7C4D-F599-46BA-AF51-F3BFE6926A3F}" srcOrd="0" destOrd="0" presId="urn:microsoft.com/office/officeart/2009/3/layout/DescendingProcess"/>
    <dgm:cxn modelId="{6DC5DD5C-415E-443B-9FC9-27DCAB73C137}" srcId="{5F66E00E-E25D-462C-B0C7-88CFD6A91904}" destId="{5E12B945-DF3A-4EC5-B2CA-794E3C6730DB}" srcOrd="2" destOrd="0" parTransId="{34423F56-8ACB-4386-B26C-DB0738D3C560}" sibTransId="{D16CD7E7-D941-435B-A2C9-4787BB2BB39C}"/>
    <dgm:cxn modelId="{12E1506B-79B9-4A21-81A0-057B0706774C}" type="presOf" srcId="{9EDBFF0B-CEB6-48B4-8E30-AC825826FA06}" destId="{A69FC532-A0F3-47F0-ACAA-A4AAC09F56C9}" srcOrd="0" destOrd="0" presId="urn:microsoft.com/office/officeart/2009/3/layout/DescendingProcess"/>
    <dgm:cxn modelId="{75C8F76C-7BA3-4F31-B73B-4A39394F4F1D}" type="presOf" srcId="{A125E32C-CF3E-453D-ADDD-C6C86B3151E8}" destId="{431036CD-39CD-4F47-892E-1729EE284FA9}" srcOrd="0" destOrd="0" presId="urn:microsoft.com/office/officeart/2009/3/layout/DescendingProcess"/>
    <dgm:cxn modelId="{B5B27B9D-5307-4A14-BEDE-8A385565BE6B}" type="presOf" srcId="{D16CD7E7-D941-435B-A2C9-4787BB2BB39C}" destId="{DB65EF6F-1122-47B7-A7CC-E2BCEA53E10D}" srcOrd="0" destOrd="0" presId="urn:microsoft.com/office/officeart/2009/3/layout/DescendingProcess"/>
    <dgm:cxn modelId="{7B6376A2-ACA8-4A1D-BEBC-24B4630F297F}" type="presOf" srcId="{5E12B945-DF3A-4EC5-B2CA-794E3C6730DB}" destId="{CFA2BDA6-1F5B-49B0-9660-ACED15CBD8B7}" srcOrd="0" destOrd="0" presId="urn:microsoft.com/office/officeart/2009/3/layout/DescendingProcess"/>
    <dgm:cxn modelId="{820607BC-275B-41C7-856B-C8A803750C81}" type="presOf" srcId="{5F66E00E-E25D-462C-B0C7-88CFD6A91904}" destId="{E4168636-815E-478E-96B1-B26E026248EA}" srcOrd="0" destOrd="0" presId="urn:microsoft.com/office/officeart/2009/3/layout/DescendingProcess"/>
    <dgm:cxn modelId="{B9F893A0-08C5-403D-A55A-A32A59FBE048}" type="presParOf" srcId="{E4168636-815E-478E-96B1-B26E026248EA}" destId="{F3B0F81B-7E1C-4F21-A484-BFFF392767D7}" srcOrd="0" destOrd="0" presId="urn:microsoft.com/office/officeart/2009/3/layout/DescendingProcess"/>
    <dgm:cxn modelId="{4F963E72-6604-48D1-9C2D-DF2A1D5AAD9E}" type="presParOf" srcId="{E4168636-815E-478E-96B1-B26E026248EA}" destId="{DD3B7C4D-F599-46BA-AF51-F3BFE6926A3F}" srcOrd="1" destOrd="0" presId="urn:microsoft.com/office/officeart/2009/3/layout/DescendingProcess"/>
    <dgm:cxn modelId="{DBB3F558-5C32-4A4E-A904-A14E85DEBB38}" type="presParOf" srcId="{E4168636-815E-478E-96B1-B26E026248EA}" destId="{F6A1EBC1-0B14-4CBF-AC8D-4A222A047DC8}" srcOrd="2" destOrd="0" presId="urn:microsoft.com/office/officeart/2009/3/layout/DescendingProcess"/>
    <dgm:cxn modelId="{18291F3C-98E3-4B2D-8997-8B2C50828A98}" type="presParOf" srcId="{E4168636-815E-478E-96B1-B26E026248EA}" destId="{2C2CA51F-54BB-4AEA-979E-64E6F875C27A}" srcOrd="3" destOrd="0" presId="urn:microsoft.com/office/officeart/2009/3/layout/DescendingProcess"/>
    <dgm:cxn modelId="{1C795724-09A6-419D-AD14-29EE4895B92B}" type="presParOf" srcId="{2C2CA51F-54BB-4AEA-979E-64E6F875C27A}" destId="{FDF70F6A-3583-44F0-BB52-B04601F9C45E}" srcOrd="0" destOrd="0" presId="urn:microsoft.com/office/officeart/2009/3/layout/DescendingProcess"/>
    <dgm:cxn modelId="{9CEF4A1B-AE3E-4C64-AE85-499A437B66DF}" type="presParOf" srcId="{E4168636-815E-478E-96B1-B26E026248EA}" destId="{CFA2BDA6-1F5B-49B0-9660-ACED15CBD8B7}" srcOrd="4" destOrd="0" presId="urn:microsoft.com/office/officeart/2009/3/layout/DescendingProcess"/>
    <dgm:cxn modelId="{9D840A4B-FC05-4777-A614-F0859FADB254}" type="presParOf" srcId="{E4168636-815E-478E-96B1-B26E026248EA}" destId="{B07F8242-B794-4D7F-805C-455506F5526C}" srcOrd="5" destOrd="0" presId="urn:microsoft.com/office/officeart/2009/3/layout/DescendingProcess"/>
    <dgm:cxn modelId="{9BF7D14F-05EB-4289-B043-BB230A50EA73}" type="presParOf" srcId="{B07F8242-B794-4D7F-805C-455506F5526C}" destId="{DB65EF6F-1122-47B7-A7CC-E2BCEA53E10D}" srcOrd="0" destOrd="0" presId="urn:microsoft.com/office/officeart/2009/3/layout/DescendingProcess"/>
    <dgm:cxn modelId="{B5F6F84A-820E-4546-B56F-A29DC64B0E6E}" type="presParOf" srcId="{E4168636-815E-478E-96B1-B26E026248EA}" destId="{B4301627-F4B1-4DD7-8EEC-9DE5DDB90AFF}" srcOrd="6" destOrd="0" presId="urn:microsoft.com/office/officeart/2009/3/layout/DescendingProcess"/>
    <dgm:cxn modelId="{27A795D2-9493-4BF3-8259-FB7E62CCAC81}" type="presParOf" srcId="{E4168636-815E-478E-96B1-B26E026248EA}" destId="{3069BE3A-C224-46C7-8509-7AC6EE06595E}" srcOrd="7" destOrd="0" presId="urn:microsoft.com/office/officeart/2009/3/layout/DescendingProcess"/>
    <dgm:cxn modelId="{59A63BE2-5D4D-445B-B53A-CDD015414B43}" type="presParOf" srcId="{3069BE3A-C224-46C7-8509-7AC6EE06595E}" destId="{A69FC532-A0F3-47F0-ACAA-A4AAC09F56C9}" srcOrd="0" destOrd="0" presId="urn:microsoft.com/office/officeart/2009/3/layout/DescendingProcess"/>
    <dgm:cxn modelId="{4E16AEE6-8743-404C-B3EF-447BC10FCCA5}" type="presParOf" srcId="{E4168636-815E-478E-96B1-B26E026248EA}" destId="{431036CD-39CD-4F47-892E-1729EE284FA9}" srcOrd="8" destOrd="0" presId="urn:microsoft.com/office/officeart/2009/3/layout/Descending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E03DEF-7FD3-41BB-BBB4-C720D98BF0ED}">
      <dsp:nvSpPr>
        <dsp:cNvPr id="0" name=""/>
        <dsp:cNvSpPr/>
      </dsp:nvSpPr>
      <dsp:spPr>
        <a:xfrm rot="16200000">
          <a:off x="302423" y="-302423"/>
          <a:ext cx="1169544" cy="1774391"/>
        </a:xfrm>
        <a:prstGeom prst="round1Rect">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Superior Science</a:t>
          </a:r>
        </a:p>
      </dsp:txBody>
      <dsp:txXfrm rot="5400000">
        <a:off x="0" y="0"/>
        <a:ext cx="1774391" cy="877158"/>
      </dsp:txXfrm>
    </dsp:sp>
    <dsp:sp modelId="{DF7352B3-7B8A-4813-9DD3-070FCB3E7FB4}">
      <dsp:nvSpPr>
        <dsp:cNvPr id="0" name=""/>
        <dsp:cNvSpPr/>
      </dsp:nvSpPr>
      <dsp:spPr>
        <a:xfrm>
          <a:off x="1774391" y="0"/>
          <a:ext cx="1774391" cy="1169544"/>
        </a:xfrm>
        <a:prstGeom prst="round1Rect">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Agility</a:t>
          </a:r>
        </a:p>
      </dsp:txBody>
      <dsp:txXfrm>
        <a:off x="1774391" y="0"/>
        <a:ext cx="1774391" cy="877158"/>
      </dsp:txXfrm>
    </dsp:sp>
    <dsp:sp modelId="{773062FD-C298-4948-899E-C4F70CD3214A}">
      <dsp:nvSpPr>
        <dsp:cNvPr id="0" name=""/>
        <dsp:cNvSpPr/>
      </dsp:nvSpPr>
      <dsp:spPr>
        <a:xfrm rot="10800000">
          <a:off x="0" y="1169544"/>
          <a:ext cx="1774391" cy="1169544"/>
        </a:xfrm>
        <a:prstGeom prst="round1Rect">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Sustainability</a:t>
          </a:r>
        </a:p>
      </dsp:txBody>
      <dsp:txXfrm rot="10800000">
        <a:off x="0" y="1461930"/>
        <a:ext cx="1774391" cy="877158"/>
      </dsp:txXfrm>
    </dsp:sp>
    <dsp:sp modelId="{C78D67D3-9CDD-4CE1-9C73-2089AF6C45BE}">
      <dsp:nvSpPr>
        <dsp:cNvPr id="0" name=""/>
        <dsp:cNvSpPr/>
      </dsp:nvSpPr>
      <dsp:spPr>
        <a:xfrm rot="5400000">
          <a:off x="2076814" y="867121"/>
          <a:ext cx="1169544" cy="1774391"/>
        </a:xfrm>
        <a:prstGeom prst="round1Rect">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Younique</a:t>
          </a:r>
        </a:p>
      </dsp:txBody>
      <dsp:txXfrm rot="-5400000">
        <a:off x="1774391" y="1461930"/>
        <a:ext cx="1774391" cy="877158"/>
      </dsp:txXfrm>
    </dsp:sp>
    <dsp:sp modelId="{BEE649D7-289B-4B5C-91BF-EC59D6230080}">
      <dsp:nvSpPr>
        <dsp:cNvPr id="0" name=""/>
        <dsp:cNvSpPr/>
      </dsp:nvSpPr>
      <dsp:spPr>
        <a:xfrm>
          <a:off x="1242073" y="877158"/>
          <a:ext cx="1064634" cy="584772"/>
        </a:xfrm>
        <a:prstGeom prst="roundRect">
          <a:avLst/>
        </a:prstGeom>
        <a:solidFill>
          <a:schemeClr val="accent2">
            <a:tint val="40000"/>
            <a:hueOff val="0"/>
            <a:satOff val="0"/>
            <a:lumOff val="0"/>
            <a:alphaOff val="0"/>
          </a:schemeClr>
        </a:solidFill>
        <a:ln>
          <a:noFill/>
        </a:ln>
        <a:effectLst/>
        <a:sp3d z="5715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SASSY Framework</a:t>
          </a:r>
        </a:p>
      </dsp:txBody>
      <dsp:txXfrm>
        <a:off x="1270619" y="905704"/>
        <a:ext cx="1007542" cy="5276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B0F81B-7E1C-4F21-A484-BFFF392767D7}">
      <dsp:nvSpPr>
        <dsp:cNvPr id="0" name=""/>
        <dsp:cNvSpPr/>
      </dsp:nvSpPr>
      <dsp:spPr>
        <a:xfrm rot="4396374">
          <a:off x="1168188" y="636854"/>
          <a:ext cx="2762775" cy="1926691"/>
        </a:xfrm>
        <a:prstGeom prst="swooshArrow">
          <a:avLst>
            <a:gd name="adj1" fmla="val 16310"/>
            <a:gd name="adj2" fmla="val 31370"/>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FDF70F6A-3583-44F0-BB52-B04601F9C45E}">
      <dsp:nvSpPr>
        <dsp:cNvPr id="0" name=""/>
        <dsp:cNvSpPr/>
      </dsp:nvSpPr>
      <dsp:spPr>
        <a:xfrm>
          <a:off x="2203132" y="888431"/>
          <a:ext cx="69768" cy="69768"/>
        </a:xfrm>
        <a:prstGeom prst="ellipse">
          <a:avLst/>
        </a:prstGeom>
        <a:solidFill>
          <a:schemeClr val="accent2">
            <a:tint val="40000"/>
            <a:hueOff val="0"/>
            <a:satOff val="0"/>
            <a:lumOff val="0"/>
            <a:alphaOff val="0"/>
          </a:schemeClr>
        </a:solidFill>
        <a:ln>
          <a:noFill/>
        </a:ln>
        <a:effectLst/>
        <a:sp3d z="5715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DB65EF6F-1122-47B7-A7CC-E2BCEA53E10D}">
      <dsp:nvSpPr>
        <dsp:cNvPr id="0" name=""/>
        <dsp:cNvSpPr/>
      </dsp:nvSpPr>
      <dsp:spPr>
        <a:xfrm>
          <a:off x="2680856" y="1273759"/>
          <a:ext cx="69768" cy="69768"/>
        </a:xfrm>
        <a:prstGeom prst="ellipse">
          <a:avLst/>
        </a:prstGeom>
        <a:solidFill>
          <a:schemeClr val="accent2">
            <a:tint val="40000"/>
            <a:hueOff val="0"/>
            <a:satOff val="0"/>
            <a:lumOff val="0"/>
            <a:alphaOff val="0"/>
          </a:schemeClr>
        </a:solidFill>
        <a:ln>
          <a:noFill/>
        </a:ln>
        <a:effectLst/>
        <a:sp3d z="5715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A69FC532-A0F3-47F0-ACAA-A4AAC09F56C9}">
      <dsp:nvSpPr>
        <dsp:cNvPr id="0" name=""/>
        <dsp:cNvSpPr/>
      </dsp:nvSpPr>
      <dsp:spPr>
        <a:xfrm>
          <a:off x="3038884" y="1724375"/>
          <a:ext cx="69768" cy="69768"/>
        </a:xfrm>
        <a:prstGeom prst="ellipse">
          <a:avLst/>
        </a:prstGeom>
        <a:solidFill>
          <a:schemeClr val="accent2">
            <a:tint val="40000"/>
            <a:hueOff val="0"/>
            <a:satOff val="0"/>
            <a:lumOff val="0"/>
            <a:alphaOff val="0"/>
          </a:schemeClr>
        </a:solidFill>
        <a:ln>
          <a:noFill/>
        </a:ln>
        <a:effectLst/>
        <a:sp3d z="5715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DD3B7C4D-F599-46BA-AF51-F3BFE6926A3F}">
      <dsp:nvSpPr>
        <dsp:cNvPr id="0" name=""/>
        <dsp:cNvSpPr/>
      </dsp:nvSpPr>
      <dsp:spPr>
        <a:xfrm>
          <a:off x="982979" y="0"/>
          <a:ext cx="1302562" cy="5120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b" anchorCtr="0">
          <a:noAutofit/>
        </a:bodyPr>
        <a:lstStyle/>
        <a:p>
          <a:pPr marL="0" lvl="0" indent="0" algn="ctr" defTabSz="666750">
            <a:lnSpc>
              <a:spcPct val="90000"/>
            </a:lnSpc>
            <a:spcBef>
              <a:spcPct val="0"/>
            </a:spcBef>
            <a:spcAft>
              <a:spcPct val="35000"/>
            </a:spcAft>
            <a:buNone/>
          </a:pPr>
          <a:r>
            <a:rPr lang="en-GB" sz="1500" b="1" kern="1200"/>
            <a:t>Trust-Digital Paradox</a:t>
          </a:r>
          <a:endParaRPr lang="en-GB" sz="1500" kern="1200"/>
        </a:p>
      </dsp:txBody>
      <dsp:txXfrm>
        <a:off x="982979" y="0"/>
        <a:ext cx="1302562" cy="512064"/>
      </dsp:txXfrm>
    </dsp:sp>
    <dsp:sp modelId="{F6A1EBC1-0B14-4CBF-AC8D-4A222A047DC8}">
      <dsp:nvSpPr>
        <dsp:cNvPr id="0" name=""/>
        <dsp:cNvSpPr/>
      </dsp:nvSpPr>
      <dsp:spPr>
        <a:xfrm>
          <a:off x="2602382" y="667283"/>
          <a:ext cx="1901037" cy="5120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l" defTabSz="666750">
            <a:lnSpc>
              <a:spcPct val="90000"/>
            </a:lnSpc>
            <a:spcBef>
              <a:spcPct val="0"/>
            </a:spcBef>
            <a:spcAft>
              <a:spcPct val="35000"/>
            </a:spcAft>
            <a:buNone/>
          </a:pPr>
          <a:r>
            <a:rPr lang="en-GB" sz="1500" kern="1200"/>
            <a:t>AI Targeting</a:t>
          </a:r>
        </a:p>
      </dsp:txBody>
      <dsp:txXfrm>
        <a:off x="2602382" y="667283"/>
        <a:ext cx="1901037" cy="512064"/>
      </dsp:txXfrm>
    </dsp:sp>
    <dsp:sp modelId="{CFA2BDA6-1F5B-49B0-9660-ACED15CBD8B7}">
      <dsp:nvSpPr>
        <dsp:cNvPr id="0" name=""/>
        <dsp:cNvSpPr/>
      </dsp:nvSpPr>
      <dsp:spPr>
        <a:xfrm>
          <a:off x="982979" y="1052611"/>
          <a:ext cx="1513789" cy="5120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r" defTabSz="666750">
            <a:lnSpc>
              <a:spcPct val="90000"/>
            </a:lnSpc>
            <a:spcBef>
              <a:spcPct val="0"/>
            </a:spcBef>
            <a:spcAft>
              <a:spcPct val="35000"/>
            </a:spcAft>
            <a:buNone/>
          </a:pPr>
          <a:r>
            <a:rPr lang="en-GB" sz="1500" kern="1200"/>
            <a:t>Consumer Skepticism</a:t>
          </a:r>
        </a:p>
      </dsp:txBody>
      <dsp:txXfrm>
        <a:off x="982979" y="1052611"/>
        <a:ext cx="1513789" cy="512064"/>
      </dsp:txXfrm>
    </dsp:sp>
    <dsp:sp modelId="{B4301627-F4B1-4DD7-8EEC-9DE5DDB90AFF}">
      <dsp:nvSpPr>
        <dsp:cNvPr id="0" name=""/>
        <dsp:cNvSpPr/>
      </dsp:nvSpPr>
      <dsp:spPr>
        <a:xfrm>
          <a:off x="3341674" y="1503227"/>
          <a:ext cx="1161745" cy="5120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l" defTabSz="666750">
            <a:lnSpc>
              <a:spcPct val="90000"/>
            </a:lnSpc>
            <a:spcBef>
              <a:spcPct val="0"/>
            </a:spcBef>
            <a:spcAft>
              <a:spcPct val="35000"/>
            </a:spcAft>
            <a:buNone/>
          </a:pPr>
          <a:r>
            <a:rPr lang="en-GB" sz="1500" kern="1200"/>
            <a:t>Resolved by Transparency </a:t>
          </a:r>
        </a:p>
      </dsp:txBody>
      <dsp:txXfrm>
        <a:off x="3341674" y="1503227"/>
        <a:ext cx="1161745" cy="512064"/>
      </dsp:txXfrm>
    </dsp:sp>
    <dsp:sp modelId="{431036CD-39CD-4F47-892E-1729EE284FA9}">
      <dsp:nvSpPr>
        <dsp:cNvPr id="0" name=""/>
        <dsp:cNvSpPr/>
      </dsp:nvSpPr>
      <dsp:spPr>
        <a:xfrm>
          <a:off x="2743200" y="2688336"/>
          <a:ext cx="1760220" cy="5120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t" anchorCtr="0">
          <a:noAutofit/>
        </a:bodyPr>
        <a:lstStyle/>
        <a:p>
          <a:pPr marL="0" lvl="0" indent="0" algn="ctr" defTabSz="666750">
            <a:lnSpc>
              <a:spcPct val="90000"/>
            </a:lnSpc>
            <a:spcBef>
              <a:spcPct val="0"/>
            </a:spcBef>
            <a:spcAft>
              <a:spcPct val="35000"/>
            </a:spcAft>
            <a:buNone/>
          </a:pPr>
          <a:r>
            <a:rPr lang="en-GB" sz="1500" kern="1200"/>
            <a:t>Brand Trust</a:t>
          </a:r>
        </a:p>
      </dsp:txBody>
      <dsp:txXfrm>
        <a:off x="2743200" y="2688336"/>
        <a:ext cx="1760220" cy="51206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9/3/layout/DescendingProcess">
  <dgm:title val=""/>
  <dgm:desc val=""/>
  <dgm:catLst>
    <dgm:cat type="process" pri="235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clrData>
  <dgm:layoutNode name="Name0">
    <dgm:varLst>
      <dgm:chMax val="7"/>
      <dgm:chPref val="5"/>
    </dgm:varLst>
    <dgm:alg type="composite">
      <dgm:param type="ar" val="1.1"/>
    </dgm:alg>
    <dgm:shape xmlns:r="http://schemas.openxmlformats.org/officeDocument/2006/relationships" r:blip="">
      <dgm:adjLst/>
    </dgm:shape>
    <dgm:choose name="Name1">
      <dgm:if name="Name2" axis="ch" ptType="node" func="cnt" op="equ" val="1">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Lst>
      </dgm:if>
      <dgm:if name="Name3" axis="ch" ptType="node" func="cnt" op="equ" val="2">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5"/>
          <dgm:constr type="b" for="ch" forName="txNode2" refType="h"/>
          <dgm:constr type="r" for="ch" forName="txNode2" refType="w"/>
          <dgm:constr type="h" for="ch" forName="txNode2" refType="h" fact="0.16"/>
        </dgm:constrLst>
      </dgm:if>
      <dgm:if name="Name4" axis="ch" ptType="node" func="cnt" op="equ" val="3">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56"/>
          <dgm:constr type="ctrY" for="ch" forName="txNode2" refType="h" fact="0.3992"/>
          <dgm:constr type="r" for="ch" forName="txNode2" refType="w"/>
          <dgm:constr type="h" for="ch" forName="txNode2" refType="h" fact="0.16"/>
          <dgm:constr type="l" for="ch" forName="txNode3" refType="w" fact="0.5"/>
          <dgm:constr type="b" for="ch" forName="txNode3" refType="h"/>
          <dgm:constr type="r" for="ch" forName="txNode3" refType="w"/>
          <dgm:constr type="h" for="ch" forName="txNode3" refType="h" fact="0.16"/>
          <dgm:constr type="ctrX" for="ch" forName="dotNode2" refType="w" fact="0.4782"/>
          <dgm:constr type="ctrY" for="ch" forName="dotNode2" refType="h" fact="0.3992"/>
          <dgm:constr type="h" for="ch" forName="dotNode2" refType="h" fact="0.0218"/>
          <dgm:constr type="w" for="ch" forName="dotNode2" refType="h" refFor="ch" refForName="dotNode2"/>
        </dgm:constrLst>
      </dgm:if>
      <dgm:if name="Name5" axis="ch" ptType="node" func="cnt" op="equ" val="4">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49"/>
          <dgm:constr type="ctrY" for="ch" forName="txNode2" refType="h" fact="0.3153"/>
          <dgm:constr type="r" for="ch" forName="txNode2" refType="w"/>
          <dgm:constr type="h" for="ch" forName="txNode2" refType="h" fact="0.16"/>
          <dgm:constr type="l" for="ch" forName="txNode3" refType="w" fact="0"/>
          <dgm:constr type="ctrY" for="ch" forName="txNode3" refType="h" fact="0.5004"/>
          <dgm:constr type="r" for="ch" forName="txNode3" refType="w" fact="0.5"/>
          <dgm:constr type="h" for="ch" forName="txNode3" refType="h" fact="0.16"/>
          <dgm:constr type="l" for="ch" forName="txNode4" refType="w" fact="0.5"/>
          <dgm:constr type="b" for="ch" forName="txNode4" refType="h"/>
          <dgm:constr type="r" for="ch" forName="txNode4" refType="w"/>
          <dgm:constr type="h" for="ch" forName="txNode4" refType="h" fact="0.16"/>
          <dgm:constr type="ctrX" for="ch" forName="dotNode2" refType="w" fact="0.39"/>
          <dgm:constr type="ctrY" for="ch" forName="dotNode2" refType="h" fact="0.3153"/>
          <dgm:constr type="h" for="ch" forName="dotNode2" refType="h" fact="0.0218"/>
          <dgm:constr type="w" for="ch" forName="dotNode2" refType="h" refFor="ch" refForName="dotNode2"/>
          <dgm:constr type="ctrX" for="ch" forName="dotNode3" refType="w" fact="0.5626"/>
          <dgm:constr type="ctrY" for="ch" forName="dotNode3" refType="h" fact="0.5004"/>
          <dgm:constr type="h" for="ch" forName="dotNode3" refType="h" fact="0.0218"/>
          <dgm:constr type="w" for="ch" forName="dotNode3" refType="h" refFor="ch" refForName="dotNode3"/>
        </dgm:constrLst>
      </dgm:if>
      <dgm:if name="Name6" axis="ch" ptType="node" func="cnt" op="equ" val="5">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46"/>
          <dgm:constr type="ctrY" for="ch" forName="txNode2" refType="h" fact="0.2885"/>
          <dgm:constr type="r" for="ch" forName="txNode2" refType="w"/>
          <dgm:constr type="h" for="ch" forName="txNode2" refType="h" fact="0.16"/>
          <dgm:constr type="l" for="ch" forName="txNode3" refType="w" fact="0"/>
          <dgm:constr type="ctrY" for="ch" forName="txNode3" refType="h" fact="0.4089"/>
          <dgm:constr type="r" for="ch" forName="txNode3" refType="w" fact="0.43"/>
          <dgm:constr type="h" for="ch" forName="txNode3" refType="h" fact="0.16"/>
          <dgm:constr type="l" for="ch" forName="txNode4" refType="w" fact="0.67"/>
          <dgm:constr type="ctrY" for="ch" forName="txNode4" refType="h" fact="0.5497"/>
          <dgm:constr type="r" for="ch" forName="txNode4" refType="w"/>
          <dgm:constr type="h" for="ch" forName="txNode4" refType="h" fact="0.16"/>
          <dgm:constr type="l" for="ch" forName="txNode5" refType="w" fact="0.5"/>
          <dgm:constr type="b" for="ch" forName="txNode5" refType="h"/>
          <dgm:constr type="r" for="ch" forName="txNode5" refType="w"/>
          <dgm:constr type="h" for="ch" forName="txNode5" refType="h" fact="0.16"/>
          <dgm:constr type="ctrX" for="ch" forName="dotNode2" refType="w" fact="0.3565"/>
          <dgm:constr type="ctrY" for="ch" forName="dotNode2" refType="h" fact="0.2885"/>
          <dgm:constr type="h" for="ch" forName="dotNode2" refType="h" fact="0.0218"/>
          <dgm:constr type="w" for="ch" forName="dotNode2" refType="h" refFor="ch" refForName="dotNode2"/>
          <dgm:constr type="ctrX" for="ch" forName="dotNode3" refType="w" fact="0.4922"/>
          <dgm:constr type="ctrY" for="ch" forName="dotNode3" refType="h" fact="0.4089"/>
          <dgm:constr type="h" for="ch" forName="dotNode3" refType="h" fact="0.0218"/>
          <dgm:constr type="w" for="ch" forName="dotNode3" refType="h" refFor="ch" refForName="dotNode3"/>
          <dgm:constr type="ctrX" for="ch" forName="dotNode4" refType="w" fact="0.5939"/>
          <dgm:constr type="ctrY" for="ch" forName="dotNode4" refType="h" fact="0.5497"/>
          <dgm:constr type="h" for="ch" forName="dotNode4" refType="h" fact="0.0218"/>
          <dgm:constr type="w" for="ch" forName="dotNode4" refType="h" refFor="ch" refForName="dotNode4"/>
        </dgm:constrLst>
      </dgm:if>
      <dgm:if name="Name7" axis="ch" ptType="node" func="cnt" op="equ" val="6">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45"/>
          <dgm:constr type="ctrY" for="ch" forName="txNode2" refType="h" fact="0.2693"/>
          <dgm:constr type="r" for="ch" forName="txNode2" refType="w"/>
          <dgm:constr type="h" for="ch" forName="txNode2" refType="h" fact="0.16"/>
          <dgm:constr type="l" for="ch" forName="txNode3" refType="w" fact="0"/>
          <dgm:constr type="ctrY" for="ch" forName="txNode3" refType="h" fact="0.3638"/>
          <dgm:constr type="r" for="ch" forName="txNode3" refType="w" fact="0.37"/>
          <dgm:constr type="h" for="ch" forName="txNode3" refType="h" fact="0.16"/>
          <dgm:constr type="l" for="ch" forName="txNode4" refType="w" fact="0.63"/>
          <dgm:constr type="ctrY" for="ch" forName="txNode4" refType="h" fact="0.4744"/>
          <dgm:constr type="r" for="ch" forName="txNode4" refType="w"/>
          <dgm:constr type="h" for="ch" forName="txNode4" refType="h" fact="0.16"/>
          <dgm:constr type="l" for="ch" forName="txNode5" refType="w" fact="0"/>
          <dgm:constr type="ctrY" for="ch" forName="txNode5" refType="h" fact="0.5961"/>
          <dgm:constr type="r" for="ch" forName="txNode5" refType="w" fact="0.55"/>
          <dgm:constr type="h" for="ch" forName="txNode5" refType="h" fact="0.16"/>
          <dgm:constr type="l" for="ch" forName="txNode6" refType="w" fact="0.5"/>
          <dgm:constr type="b" for="ch" forName="txNode6" refType="h"/>
          <dgm:constr type="r" for="ch" forName="txNode6" refType="w"/>
          <dgm:constr type="h" for="ch" forName="txNode6" refType="h" fact="0.16"/>
          <dgm:constr type="ctrX" for="ch" forName="dotNode2" refType="w" fact="0.33"/>
          <dgm:constr type="ctrY" for="ch" forName="dotNode2" refType="h" fact="0.2693"/>
          <dgm:constr type="h" for="ch" forName="dotNode2" refType="h" fact="0.0218"/>
          <dgm:constr type="w" for="ch" forName="dotNode2" refType="h" refFor="ch" refForName="dotNode2"/>
          <dgm:constr type="ctrX" for="ch" forName="dotNode3" refType="w" fact="0.4419"/>
          <dgm:constr type="ctrY" for="ch" forName="dotNode3" refType="h" fact="0.3638"/>
          <dgm:constr type="h" for="ch" forName="dotNode3" refType="h" fact="0.0218"/>
          <dgm:constr type="w" for="ch" forName="dotNode3" refType="h" refFor="ch" refForName="dotNode3"/>
          <dgm:constr type="ctrX" for="ch" forName="dotNode4" refType="w" fact="0.5425"/>
          <dgm:constr type="ctrY" for="ch" forName="dotNode4" refType="h" fact="0.4744"/>
          <dgm:constr type="h" for="ch" forName="dotNode4" refType="h" fact="0.0218"/>
          <dgm:constr type="w" for="ch" forName="dotNode4" refType="h" refFor="ch" refForName="dotNode4"/>
          <dgm:constr type="ctrX" for="ch" forName="dotNode5" refType="w" fact="0.6153"/>
          <dgm:constr type="ctrY" for="ch" forName="dotNode5" refType="h" fact="0.5961"/>
          <dgm:constr type="h" for="ch" forName="dotNode5" refType="h" fact="0.0218"/>
          <dgm:constr type="w" for="ch" forName="dotNode5" refType="h" refFor="ch" refForName="dotNode5"/>
        </dgm:constrLst>
      </dgm:if>
      <dgm:else name="Name8">
        <dgm:constrLst>
          <dgm:constr type="primFontSz" for="ch" ptType="node" op="equ" val="65"/>
          <dgm:constr type="w" for="ch" forName="arrowNode" refType="w" fact="0.75"/>
          <dgm:constr type="h" for="ch" forName="arrowNode" refType="h"/>
          <dgm:constr type="l" for="ch" forName="arrowNode" refType="w" fact="0.07"/>
          <dgm:constr type="t" for="ch" forName="arrowNode"/>
          <dgm:constr type="l" for="ch" forName="txNode1" refType="w" fact="0"/>
          <dgm:constr type="t" for="ch" forName="txNode1" refType="h" fact="0"/>
          <dgm:constr type="r" for="ch" forName="txNode1" refType="w" fact="0.37"/>
          <dgm:constr type="h" for="ch" forName="txNode1" refType="h" fact="0.16"/>
          <dgm:constr type="l" for="ch" forName="txNode2" refType="w" fact="0.44"/>
          <dgm:constr type="ctrY" for="ch" forName="txNode2" refType="h" fact="0.2693"/>
          <dgm:constr type="r" for="ch" forName="txNode2" refType="w"/>
          <dgm:constr type="h" for="ch" forName="txNode2" refType="h" fact="0.16"/>
          <dgm:constr type="l" for="ch" forName="txNode3" refType="w" fact="0"/>
          <dgm:constr type="ctrY" for="ch" forName="txNode3" refType="h" fact="0.3424"/>
          <dgm:constr type="r" for="ch" forName="txNode3" refType="w" fact="0.33"/>
          <dgm:constr type="h" for="ch" forName="txNode3" refType="h" fact="0.16"/>
          <dgm:constr type="l" for="ch" forName="txNode4" refType="w" fact="0.61"/>
          <dgm:constr type="ctrY" for="ch" forName="txNode4" refType="h" fact="0.4276"/>
          <dgm:constr type="r" for="ch" forName="txNode4" refType="w"/>
          <dgm:constr type="h" for="ch" forName="txNode4" refType="h" fact="0.16"/>
          <dgm:constr type="l" for="ch" forName="txNode5" refType="w" fact="0"/>
          <dgm:constr type="ctrY" for="ch" forName="txNode5" refType="h" fact="0.5218"/>
          <dgm:constr type="r" for="ch" forName="txNode5" refType="w" fact="0.5"/>
          <dgm:constr type="h" for="ch" forName="txNode5" refType="h" fact="0.16"/>
          <dgm:constr type="l" for="ch" forName="txNode6" refType="w" fact="0.71"/>
          <dgm:constr type="ctrY" for="ch" forName="txNode6" refType="h" fact="0.6179"/>
          <dgm:constr type="r" for="ch" forName="txNode6" refType="w"/>
          <dgm:constr type="h" for="ch" forName="txNode6" refType="h" fact="0.16"/>
          <dgm:constr type="l" for="ch" forName="txNode7" refType="w" fact="0.5"/>
          <dgm:constr type="b" for="ch" forName="txNode7" refType="h"/>
          <dgm:constr type="r" for="ch" forName="txNode7" refType="w"/>
          <dgm:constr type="h" for="ch" forName="txNode7" refType="h" fact="0.16"/>
          <dgm:constr type="ctrX" for="ch" forName="dotNode2" refType="w" fact="0.33"/>
          <dgm:constr type="ctrY" for="ch" forName="dotNode2" refType="h" fact="0.2693"/>
          <dgm:constr type="h" for="ch" forName="dotNode2" refType="h" fact="0.0218"/>
          <dgm:constr type="w" for="ch" forName="dotNode2" refType="h" refFor="ch" refForName="dotNode2"/>
          <dgm:constr type="ctrX" for="ch" forName="dotNode3" refType="w" fact="0.425"/>
          <dgm:constr type="ctrY" for="ch" forName="dotNode3" refType="h" fact="0.3424"/>
          <dgm:constr type="h" for="ch" forName="dotNode3" refType="h" fact="0.0218"/>
          <dgm:constr type="w" for="ch" forName="dotNode3" refType="h" refFor="ch" refForName="dotNode3"/>
          <dgm:constr type="ctrX" for="ch" forName="dotNode4" refType="w" fact="0.505"/>
          <dgm:constr type="ctrY" for="ch" forName="dotNode4" refType="h" fact="0.4276"/>
          <dgm:constr type="h" for="ch" forName="dotNode4" refType="h" fact="0.0218"/>
          <dgm:constr type="w" for="ch" forName="dotNode4" refType="h" refFor="ch" refForName="dotNode4"/>
          <dgm:constr type="ctrX" for="ch" forName="dotNode5" refType="w" fact="0.5742"/>
          <dgm:constr type="ctrY" for="ch" forName="dotNode5" refType="h" fact="0.5218"/>
          <dgm:constr type="h" for="ch" forName="dotNode5" refType="h" fact="0.0218"/>
          <dgm:constr type="w" for="ch" forName="dotNode5" refType="h" refFor="ch" refForName="dotNode5"/>
          <dgm:constr type="ctrX" for="ch" forName="dotNode6" refType="w" fact="0.63"/>
          <dgm:constr type="ctrY" for="ch" forName="dotNode6" refType="h" fact="0.6179"/>
          <dgm:constr type="h" for="ch" forName="dotNode6" refType="h" fact="0.0218"/>
          <dgm:constr type="w" for="ch" forName="dotNode6" refType="h" refFor="ch" refForName="dotNode6"/>
        </dgm:constrLst>
      </dgm:else>
    </dgm:choose>
    <dgm:forEach name="Name9" axis="self" ptType="parTrans">
      <dgm:forEach name="Name10" axis="self" ptType="sibTrans" st="2">
        <dgm:forEach name="dotRepeat" axis="self">
          <dgm:layoutNode name="dotRepeatNode" styleLbl="fgShp">
            <dgm:alg type="sp"/>
            <dgm:shape xmlns:r="http://schemas.openxmlformats.org/officeDocument/2006/relationships" type="ellipse" r:blip="">
              <dgm:adjLst/>
            </dgm:shape>
            <dgm:presOf axis="self"/>
          </dgm:layoutNode>
        </dgm:forEach>
      </dgm:forEach>
    </dgm:forEach>
    <dgm:choose name="Name11">
      <dgm:if name="Name12" axis="ch" ptType="node" func="cnt" op="gte" val="1">
        <dgm:layoutNode name="arrowNode" styleLbl="node1">
          <dgm:alg type="sp"/>
          <dgm:shape xmlns:r="http://schemas.openxmlformats.org/officeDocument/2006/relationships" rot="73.2729" type="swooshArrow" r:blip="">
            <dgm:adjLst>
              <dgm:adj idx="1" val="0.1631"/>
              <dgm:adj idx="2" val="0.3137"/>
            </dgm:adjLst>
          </dgm:shape>
          <dgm:presOf/>
        </dgm:layoutNode>
      </dgm:if>
      <dgm:else name="Name13"/>
    </dgm:choose>
    <dgm:forEach name="Name14" axis="ch" ptType="node" cnt="1">
      <dgm:layoutNode name="txNode1" styleLbl="revTx">
        <dgm:varLst>
          <dgm:bulletEnabled val="1"/>
        </dgm:varLst>
        <dgm:alg type="tx">
          <dgm:param type="txAnchorVert" val="b"/>
        </dgm:alg>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15" axis="ch" ptType="node" st="2" cnt="1">
      <dgm:layoutNode name="txNode2" styleLbl="revTx">
        <dgm:varLst>
          <dgm:bulletEnabled val="1"/>
        </dgm:varLst>
        <dgm:choose name="Name16">
          <dgm:if name="Name17" axis="self" ptType="node" func="revPos" op="equ" val="1">
            <dgm:alg type="tx">
              <dgm:param type="txAnchorVert" val="t"/>
            </dgm:alg>
          </dgm:if>
          <dgm:if name="Name18" axis="self" ptType="node" func="posOdd" op="equ" val="1">
            <dgm:alg type="tx">
              <dgm:param type="parTxLTRAlign" val="r"/>
              <dgm:param type="parTxRTLAlign" val="r"/>
            </dgm:alg>
          </dgm:if>
          <dgm:else name="Name1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0">
        <dgm:if name="Name21" axis="par ch" ptType="all node" func="cnt" op="neq" val="2">
          <dgm:forEach name="Name22" axis="follow" ptType="sibTrans" cnt="1">
            <dgm:layoutNode name="dotNode2">
              <dgm:alg type="sp"/>
              <dgm:shape xmlns:r="http://schemas.openxmlformats.org/officeDocument/2006/relationships" r:blip="">
                <dgm:adjLst/>
              </dgm:shape>
              <dgm:presOf/>
              <dgm:forEach name="Name23" ref="dotRepeat"/>
            </dgm:layoutNode>
          </dgm:forEach>
        </dgm:if>
        <dgm:else name="Name24"/>
      </dgm:choose>
    </dgm:forEach>
    <dgm:forEach name="Name25" axis="ch" ptType="node" st="3" cnt="1">
      <dgm:layoutNode name="txNode3" styleLbl="revTx">
        <dgm:varLst>
          <dgm:bulletEnabled val="1"/>
        </dgm:varLst>
        <dgm:choose name="Name26">
          <dgm:if name="Name27" axis="self" ptType="node" func="revPos" op="equ" val="1">
            <dgm:alg type="tx">
              <dgm:param type="txAnchorVert" val="t"/>
            </dgm:alg>
          </dgm:if>
          <dgm:if name="Name28" axis="self" ptType="node" func="posOdd" op="equ" val="1">
            <dgm:alg type="tx">
              <dgm:param type="parTxLTRAlign" val="r"/>
              <dgm:param type="parTxRTLAlign" val="r"/>
            </dgm:alg>
          </dgm:if>
          <dgm:else name="Name2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30">
        <dgm:if name="Name31" axis="par ch" ptType="all node" func="cnt" op="neq" val="3">
          <dgm:forEach name="Name32" axis="follow" ptType="sibTrans" cnt="1">
            <dgm:layoutNode name="dotNode3">
              <dgm:alg type="sp"/>
              <dgm:shape xmlns:r="http://schemas.openxmlformats.org/officeDocument/2006/relationships" r:blip="">
                <dgm:adjLst/>
              </dgm:shape>
              <dgm:presOf/>
              <dgm:forEach name="Name33" ref="dotRepeat"/>
            </dgm:layoutNode>
          </dgm:forEach>
        </dgm:if>
        <dgm:else name="Name34"/>
      </dgm:choose>
    </dgm:forEach>
    <dgm:forEach name="Name35" axis="ch" ptType="node" st="4" cnt="1">
      <dgm:layoutNode name="txNode4" styleLbl="revTx">
        <dgm:varLst>
          <dgm:bulletEnabled val="1"/>
        </dgm:varLst>
        <dgm:choose name="Name36">
          <dgm:if name="Name37" axis="self" ptType="node" func="revPos" op="equ" val="1">
            <dgm:alg type="tx">
              <dgm:param type="txAnchorVert" val="t"/>
            </dgm:alg>
          </dgm:if>
          <dgm:if name="Name38" axis="self" ptType="node" func="posOdd" op="equ" val="1">
            <dgm:alg type="tx">
              <dgm:param type="parTxLTRAlign" val="r"/>
              <dgm:param type="parTxRTLAlign" val="r"/>
            </dgm:alg>
          </dgm:if>
          <dgm:else name="Name3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40">
        <dgm:if name="Name41" axis="par ch" ptType="all node" func="cnt" op="neq" val="4">
          <dgm:forEach name="Name42" axis="follow" ptType="sibTrans" cnt="1">
            <dgm:layoutNode name="dotNode4">
              <dgm:alg type="sp"/>
              <dgm:shape xmlns:r="http://schemas.openxmlformats.org/officeDocument/2006/relationships" r:blip="">
                <dgm:adjLst/>
              </dgm:shape>
              <dgm:presOf/>
              <dgm:forEach name="Name43" ref="dotRepeat"/>
            </dgm:layoutNode>
          </dgm:forEach>
        </dgm:if>
        <dgm:else name="Name44"/>
      </dgm:choose>
    </dgm:forEach>
    <dgm:forEach name="Name45" axis="ch" ptType="node" st="5" cnt="1">
      <dgm:layoutNode name="txNode5" styleLbl="revTx">
        <dgm:varLst>
          <dgm:bulletEnabled val="1"/>
        </dgm:varLst>
        <dgm:choose name="Name46">
          <dgm:if name="Name47" axis="self" ptType="node" func="revPos" op="equ" val="1">
            <dgm:alg type="tx">
              <dgm:param type="txAnchorVert" val="t"/>
            </dgm:alg>
          </dgm:if>
          <dgm:if name="Name48" axis="self" ptType="node" func="posOdd" op="equ" val="1">
            <dgm:alg type="tx">
              <dgm:param type="parTxLTRAlign" val="r"/>
              <dgm:param type="parTxRTLAlign" val="r"/>
            </dgm:alg>
          </dgm:if>
          <dgm:else name="Name4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50">
        <dgm:if name="Name51" axis="par ch" ptType="all node" func="cnt" op="neq" val="5">
          <dgm:forEach name="Name52" axis="follow" ptType="sibTrans" cnt="1">
            <dgm:layoutNode name="dotNode5">
              <dgm:alg type="sp"/>
              <dgm:shape xmlns:r="http://schemas.openxmlformats.org/officeDocument/2006/relationships" r:blip="">
                <dgm:adjLst/>
              </dgm:shape>
              <dgm:presOf/>
              <dgm:forEach name="Name53" ref="dotRepeat"/>
            </dgm:layoutNode>
          </dgm:forEach>
        </dgm:if>
        <dgm:else name="Name54"/>
      </dgm:choose>
    </dgm:forEach>
    <dgm:forEach name="Name55" axis="ch" ptType="node" st="6" cnt="1">
      <dgm:layoutNode name="txNode6" styleLbl="revTx">
        <dgm:varLst>
          <dgm:bulletEnabled val="1"/>
        </dgm:varLst>
        <dgm:choose name="Name56">
          <dgm:if name="Name57" axis="self" ptType="node" func="revPos" op="equ" val="1">
            <dgm:alg type="tx">
              <dgm:param type="txAnchorVert" val="t"/>
            </dgm:alg>
          </dgm:if>
          <dgm:if name="Name58" axis="self" ptType="node" func="posOdd" op="equ" val="1">
            <dgm:alg type="tx">
              <dgm:param type="parTxLTRAlign" val="r"/>
              <dgm:param type="parTxRTLAlign" val="r"/>
            </dgm:alg>
          </dgm:if>
          <dgm:else name="Name59">
            <dgm:alg type="tx">
              <dgm:param type="parTxLTRAlign" val="l"/>
              <dgm:param type="parTxRTLAlign" val="l"/>
            </dgm:alg>
          </dgm:else>
        </dgm:choose>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60">
        <dgm:if name="Name61" axis="par ch" ptType="all node" func="cnt" op="neq" val="6">
          <dgm:forEach name="Name62" axis="follow" ptType="sibTrans" cnt="1">
            <dgm:layoutNode name="dotNode6">
              <dgm:alg type="sp"/>
              <dgm:shape xmlns:r="http://schemas.openxmlformats.org/officeDocument/2006/relationships" r:blip="">
                <dgm:adjLst/>
              </dgm:shape>
              <dgm:presOf/>
              <dgm:forEach name="Name63" ref="dotRepeat"/>
            </dgm:layoutNode>
          </dgm:forEach>
        </dgm:if>
        <dgm:else name="Name64"/>
      </dgm:choose>
    </dgm:forEach>
    <dgm:forEach name="Name65" axis="ch" ptType="node" st="7" cnt="1">
      <dgm:layoutNode name="txNode7" styleLbl="revTx">
        <dgm:varLst>
          <dgm:bulletEnabled val="1"/>
        </dgm:varLst>
        <dgm:alg type="tx">
          <dgm:param type="txAnchorVert" val="t"/>
        </dgm:alg>
        <dgm:shape xmlns:r="http://schemas.openxmlformats.org/officeDocument/2006/relationships" type="rect" r:blip="" zOrderOff="10">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9FD5A-B1FD-4CA0-8A31-67305C7AA0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18347</Words>
  <Characters>104583</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tirthraj dave</dc:creator>
  <cp:keywords/>
  <dc:description/>
  <cp:lastModifiedBy>Manish Shivcharan Verma (2433117)</cp:lastModifiedBy>
  <cp:revision>2</cp:revision>
  <dcterms:created xsi:type="dcterms:W3CDTF">2026-06-08T12:58:00Z</dcterms:created>
  <dcterms:modified xsi:type="dcterms:W3CDTF">2026-06-08T12:58:00Z</dcterms:modified>
</cp:coreProperties>
</file>