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9A8F6A" w14:textId="59975209" w:rsidR="0003103D" w:rsidRPr="0003103D" w:rsidRDefault="0003103D" w:rsidP="006F183E">
      <w:pPr>
        <w:rPr>
          <w:rFonts w:ascii="Aptos" w:hAnsi="Aptos"/>
          <w:lang w:eastAsia="en-GB"/>
        </w:rPr>
      </w:pPr>
      <w:r w:rsidRPr="002D5194">
        <w:rPr>
          <w:rFonts w:ascii="Aptos" w:hAnsi="Aptos" w:cs="Times New Roman"/>
          <w:color w:val="000000"/>
        </w:rPr>
        <w:t xml:space="preserve">Today I'll discuss Prader–Willi syndrome (PWS), covering its definition, diagnosis, challenges for affected children, and one key support strategy. PWS is a rare genetic disorder caused by missing paternal genes in chromosome 15, affecting about 1 in 15,000 births worldwide—both males and females. Children with PWS often have low muscle tone, developmental delays, learning and </w:t>
      </w:r>
      <w:r w:rsidR="006F183E" w:rsidRPr="002D5194">
        <w:rPr>
          <w:rFonts w:ascii="Aptos" w:hAnsi="Aptos" w:cs="Times New Roman"/>
          <w:color w:val="000000"/>
        </w:rPr>
        <w:t>behavioural</w:t>
      </w:r>
      <w:r w:rsidRPr="002D5194">
        <w:rPr>
          <w:rFonts w:ascii="Aptos" w:hAnsi="Aptos" w:cs="Times New Roman"/>
          <w:color w:val="000000"/>
        </w:rPr>
        <w:t xml:space="preserve"> issues, and especially hyperphagia, an intense urge to eat which can lead to obesity if not managed. Lifelong support from healthcare professionals, educators, and families is vital for these children.</w:t>
      </w:r>
    </w:p>
    <w:p w14:paraId="791662E3" w14:textId="4A4AE5EF" w:rsidR="006F183E" w:rsidRPr="002D5194" w:rsidRDefault="006F183E" w:rsidP="006F183E">
      <w:pPr>
        <w:rPr>
          <w:rFonts w:ascii="Aptos" w:hAnsi="Aptos" w:cs="Times New Roman"/>
          <w:color w:val="000000"/>
        </w:rPr>
      </w:pPr>
      <w:r w:rsidRPr="002D5194">
        <w:rPr>
          <w:rFonts w:ascii="Aptos" w:hAnsi="Aptos" w:cs="Times New Roman"/>
          <w:color w:val="000000"/>
        </w:rPr>
        <w:t xml:space="preserve">Historically, the diagnosis of Prader-Willi syndrome (PWS) was based on the recognition of distinct physical and behavioural traits. In infancy, clinical </w:t>
      </w:r>
      <w:r w:rsidR="000A60DC" w:rsidRPr="002D5194">
        <w:rPr>
          <w:rFonts w:ascii="Aptos" w:hAnsi="Aptos" w:cs="Times New Roman"/>
          <w:color w:val="000000"/>
        </w:rPr>
        <w:t>indications</w:t>
      </w:r>
      <w:r w:rsidRPr="002D5194">
        <w:rPr>
          <w:rFonts w:ascii="Aptos" w:hAnsi="Aptos" w:cs="Times New Roman"/>
          <w:color w:val="000000"/>
        </w:rPr>
        <w:t xml:space="preserve"> may include profound hypotonia, inadequate feeding, weak vocalisation, and failure to thrive. As patients mature, symptoms such as hyperphagia, excessive weight gain, delayed speech development, and behavioural challenges become more prominent</w:t>
      </w:r>
      <w:r w:rsidR="00A2347D">
        <w:rPr>
          <w:rFonts w:ascii="Aptos" w:hAnsi="Aptos" w:cs="Times New Roman"/>
          <w:color w:val="000000"/>
        </w:rPr>
        <w:t xml:space="preserve"> (Butler</w:t>
      </w:r>
      <w:r w:rsidR="006136D8">
        <w:rPr>
          <w:rFonts w:ascii="Aptos" w:hAnsi="Aptos" w:cs="Times New Roman"/>
          <w:color w:val="000000"/>
        </w:rPr>
        <w:t xml:space="preserve"> et al., 2019).</w:t>
      </w:r>
    </w:p>
    <w:p w14:paraId="4753E55B" w14:textId="2D0811E3" w:rsidR="006F183E" w:rsidRPr="002D5194" w:rsidRDefault="006F183E" w:rsidP="006F183E">
      <w:pPr>
        <w:rPr>
          <w:rFonts w:ascii="Aptos" w:hAnsi="Aptos" w:cs="Times New Roman"/>
          <w:color w:val="000000"/>
        </w:rPr>
      </w:pPr>
      <w:r w:rsidRPr="002D5194">
        <w:rPr>
          <w:rFonts w:ascii="Aptos" w:hAnsi="Aptos" w:cs="Times New Roman"/>
          <w:color w:val="000000"/>
        </w:rPr>
        <w:t>However, sole reliance on physical characteristics presents limitations, as many features are shared with other developmental disorders. Consequently, contemporary diagnostic practice centres on genetic testing. The go</w:t>
      </w:r>
      <w:r w:rsidR="00ED371A" w:rsidRPr="002D5194">
        <w:rPr>
          <w:rFonts w:ascii="Aptos" w:hAnsi="Aptos" w:cs="Times New Roman"/>
          <w:color w:val="000000"/>
        </w:rPr>
        <w:t xml:space="preserve"> to </w:t>
      </w:r>
      <w:r w:rsidRPr="002D5194">
        <w:rPr>
          <w:rFonts w:ascii="Aptos" w:hAnsi="Aptos" w:cs="Times New Roman"/>
          <w:color w:val="000000"/>
        </w:rPr>
        <w:t>method is DNA methylation analysis, which identifies abnormal gene expression on chromosome 15 and detects over 99% of cases with high accuracy</w:t>
      </w:r>
      <w:r w:rsidR="009B5D65">
        <w:rPr>
          <w:rFonts w:ascii="Aptos" w:hAnsi="Aptos" w:cs="Times New Roman"/>
          <w:color w:val="000000"/>
        </w:rPr>
        <w:t xml:space="preserve"> (</w:t>
      </w:r>
      <w:proofErr w:type="spellStart"/>
      <w:r w:rsidR="009B5D65">
        <w:rPr>
          <w:rFonts w:ascii="Aptos" w:hAnsi="Aptos" w:cs="Times New Roman"/>
          <w:color w:val="000000"/>
        </w:rPr>
        <w:t>GeneReviews</w:t>
      </w:r>
      <w:proofErr w:type="spellEnd"/>
      <w:r w:rsidR="009B5D65">
        <w:rPr>
          <w:rFonts w:ascii="Aptos" w:hAnsi="Aptos" w:cs="Times New Roman"/>
          <w:color w:val="000000"/>
        </w:rPr>
        <w:t xml:space="preserve">, 2025). </w:t>
      </w:r>
      <w:r w:rsidRPr="002D5194">
        <w:rPr>
          <w:rFonts w:ascii="Aptos" w:hAnsi="Aptos" w:cs="Times New Roman"/>
          <w:color w:val="000000"/>
        </w:rPr>
        <w:t>Additional analyses, including chromosomal microarray or MS-MLPA, may be employed to determine specific genetic subtypes</w:t>
      </w:r>
      <w:r w:rsidR="006136D8">
        <w:rPr>
          <w:rFonts w:ascii="Aptos" w:hAnsi="Aptos" w:cs="Times New Roman"/>
          <w:color w:val="000000"/>
        </w:rPr>
        <w:t xml:space="preserve"> (</w:t>
      </w:r>
      <w:proofErr w:type="spellStart"/>
      <w:r w:rsidR="006136D8">
        <w:rPr>
          <w:rFonts w:ascii="Aptos" w:hAnsi="Aptos" w:cs="Times New Roman"/>
          <w:color w:val="000000"/>
        </w:rPr>
        <w:t>Beygo</w:t>
      </w:r>
      <w:proofErr w:type="spellEnd"/>
      <w:r w:rsidR="006136D8">
        <w:rPr>
          <w:rFonts w:ascii="Aptos" w:hAnsi="Aptos" w:cs="Times New Roman"/>
          <w:color w:val="000000"/>
        </w:rPr>
        <w:t xml:space="preserve"> et all.,2019).</w:t>
      </w:r>
    </w:p>
    <w:p w14:paraId="675BD8AF" w14:textId="52772F4A" w:rsidR="006F183E" w:rsidRPr="002D5194" w:rsidRDefault="006F183E" w:rsidP="006F183E">
      <w:pPr>
        <w:rPr>
          <w:rFonts w:ascii="Aptos" w:hAnsi="Aptos" w:cs="Times New Roman"/>
          <w:color w:val="000000"/>
        </w:rPr>
      </w:pPr>
      <w:r w:rsidRPr="002D5194">
        <w:rPr>
          <w:rFonts w:ascii="Aptos" w:hAnsi="Aptos" w:cs="Times New Roman"/>
          <w:color w:val="000000"/>
        </w:rPr>
        <w:t>Timely diagnosis is crucial, as it facilitates early intervention. For instance, growth hormone therapy, physiotherapy, and nutritional management can significantly enhance physical development and long-term health outcomes</w:t>
      </w:r>
      <w:r w:rsidR="009B5D65">
        <w:rPr>
          <w:rFonts w:ascii="Aptos" w:hAnsi="Aptos" w:cs="Times New Roman"/>
          <w:color w:val="000000"/>
        </w:rPr>
        <w:t xml:space="preserve"> (NHS</w:t>
      </w:r>
      <w:r w:rsidR="00D61BF3">
        <w:rPr>
          <w:rFonts w:ascii="Aptos" w:hAnsi="Aptos" w:cs="Times New Roman"/>
          <w:color w:val="000000"/>
        </w:rPr>
        <w:t>, 2017).</w:t>
      </w:r>
    </w:p>
    <w:p w14:paraId="5CC0FC84" w14:textId="49284A46" w:rsidR="0003103D" w:rsidRPr="0003103D" w:rsidRDefault="006F183E" w:rsidP="006F183E">
      <w:pPr>
        <w:rPr>
          <w:rFonts w:ascii="Aptos" w:hAnsi="Aptos" w:cs="Times New Roman"/>
          <w:color w:val="000000"/>
        </w:rPr>
      </w:pPr>
      <w:r w:rsidRPr="002D5194">
        <w:rPr>
          <w:rFonts w:ascii="Aptos" w:hAnsi="Aptos" w:cs="Times New Roman"/>
          <w:color w:val="000000"/>
        </w:rPr>
        <w:t xml:space="preserve">Despite advances in genetic testing, delayed diagnosis remains prevalent, particularly during infancy due to nonspecific presentation of symptoms. Limited awareness among healthcare providers may further postpone recognition. Butler et al. (2019) report that earlier identification has </w:t>
      </w:r>
      <w:r w:rsidR="002F13E1" w:rsidRPr="002D5194">
        <w:rPr>
          <w:rFonts w:ascii="Aptos" w:hAnsi="Aptos" w:cs="Times New Roman"/>
          <w:color w:val="000000"/>
        </w:rPr>
        <w:t>significantly</w:t>
      </w:r>
      <w:r w:rsidRPr="002D5194">
        <w:rPr>
          <w:rFonts w:ascii="Aptos" w:hAnsi="Aptos" w:cs="Times New Roman"/>
          <w:color w:val="000000"/>
        </w:rPr>
        <w:t xml:space="preserve"> improved developmental and behavioural outcomes for children with PWS by enabling support strategies prior to the onset of severe complications.</w:t>
      </w:r>
    </w:p>
    <w:p w14:paraId="4A329604" w14:textId="788C2967" w:rsidR="0031728D" w:rsidRDefault="00A53441" w:rsidP="0031728D">
      <w:r w:rsidRPr="002D5194">
        <w:rPr>
          <w:rFonts w:ascii="Aptos" w:hAnsi="Aptos" w:cs="Times New Roman"/>
          <w:color w:val="000000"/>
        </w:rPr>
        <w:t>Children with Prader–Willi syndrome (PWS) face significant challenges in health, emotional wellbeing, education, and social inclusion. Hyperphagia, an uncontrollable appetite due to hypothalamic dysfunction, leads to constant hunger and food-seeking behaviours, often resulting in obesity and related health issues like diabetes, cardiovascular disease, sleep apnoea, and mobility problems. Emotional difficulties can include anxiety, frustration, behavioural outbursts, and issues with regulation</w:t>
      </w:r>
      <w:r w:rsidR="009801BE">
        <w:rPr>
          <w:rFonts w:ascii="Aptos" w:hAnsi="Aptos" w:cs="Times New Roman"/>
          <w:color w:val="000000"/>
        </w:rPr>
        <w:t xml:space="preserve"> </w:t>
      </w:r>
      <w:r w:rsidR="0031728D">
        <w:fldChar w:fldCharType="begin"/>
      </w:r>
      <w:r w:rsidR="0031728D">
        <w:instrText xml:space="preserve"> ADDIN ZOTERO_ITEM CSL_CITATION {"citationID":"Buow78Va","properties":{"unsorted":false,"formattedCitation":"(Wieting {\\i{}et al.}, 2024)","plainCitation":"(Wieting et al., 2024)","noteIndex":0},"citationItems":[{"id":865,"uris":["http://zotero.org/users/15305297/items/X4F6XTAH"],"itemData":{"id":865,"type":"article-journal","container-title":"Journal of Applied Research in Intellectual Disabilities","DOI":"10.1111/jar.13266","ISSN":"1468-3148","issue":"4","note":"_eprint: https://onlinelibrary.wiley.com/doi/pdf/10.1111/jar.13266","page":"e13266","title":"Psychiatric care for people with Prader-Willi syndrome—characteristics, needs and barriers","URL":"https://onlinelibrary.wiley.com/doi/abs/10.1111/jar.13266","volume":"37","author":[{"family":"Wieting","given":"Jelte"},{"family":"Herrmann","given":"Theresa"},{"family":"Deest-Gaubatz","given":"Stephanie"},{"family":"Eberlein","given":"Christian Karl"},{"family":"Bleich","given":"Stefan"},{"family":"Frieling","given":"Helge"},{"family":"Deest","given":"Maximilian"}],"accessed":{"date-parts":[["2026",5,14]]},"issued":{"date-parts":[["2024"]]}}}],"schema":"https://github.com/citation-style-language/schema/raw/master/csl-citation.json"} </w:instrText>
      </w:r>
      <w:r w:rsidR="0031728D">
        <w:fldChar w:fldCharType="separate"/>
      </w:r>
      <w:r w:rsidR="0031728D" w:rsidRPr="005D3017">
        <w:rPr>
          <w:rFonts w:ascii="Aptos" w:hAnsi="Aptos" w:cs="Times New Roman"/>
          <w:kern w:val="0"/>
        </w:rPr>
        <w:t xml:space="preserve">(Wieting </w:t>
      </w:r>
      <w:r w:rsidR="0031728D" w:rsidRPr="005D3017">
        <w:rPr>
          <w:rFonts w:ascii="Aptos" w:hAnsi="Aptos" w:cs="Times New Roman"/>
          <w:i/>
          <w:iCs/>
          <w:kern w:val="0"/>
        </w:rPr>
        <w:t>et al.</w:t>
      </w:r>
      <w:r w:rsidR="0031728D" w:rsidRPr="005D3017">
        <w:rPr>
          <w:rFonts w:ascii="Aptos" w:hAnsi="Aptos" w:cs="Times New Roman"/>
          <w:kern w:val="0"/>
        </w:rPr>
        <w:t>, 2024)</w:t>
      </w:r>
      <w:r w:rsidR="0031728D">
        <w:fldChar w:fldCharType="end"/>
      </w:r>
      <w:r w:rsidR="0031728D">
        <w:t>.</w:t>
      </w:r>
    </w:p>
    <w:p w14:paraId="222E8E2A" w14:textId="341D537F" w:rsidR="00810649" w:rsidRPr="002D5194" w:rsidRDefault="00A53441" w:rsidP="00810649">
      <w:pPr>
        <w:rPr>
          <w:rFonts w:ascii="Aptos" w:hAnsi="Aptos"/>
          <w:lang w:eastAsia="en-GB"/>
        </w:rPr>
      </w:pPr>
      <w:r w:rsidRPr="002D5194">
        <w:rPr>
          <w:rFonts w:ascii="Aptos" w:hAnsi="Aptos" w:cs="Times New Roman"/>
          <w:color w:val="000000"/>
        </w:rPr>
        <w:lastRenderedPageBreak/>
        <w:t>Educationally, many children have mild to moderate learning disabilities, delayed language development, and attention or memory problems that impact academic progress</w:t>
      </w:r>
      <w:r w:rsidR="0031728D">
        <w:rPr>
          <w:rFonts w:ascii="Aptos" w:hAnsi="Aptos" w:cs="Times New Roman"/>
          <w:color w:val="000000"/>
        </w:rPr>
        <w:t xml:space="preserve"> </w:t>
      </w:r>
      <w:r w:rsidR="00DF23E1">
        <w:rPr>
          <w:rFonts w:ascii="Aptos" w:hAnsi="Aptos" w:cs="Times New Roman"/>
          <w:color w:val="000000"/>
        </w:rPr>
        <w:t>(Guevera, 2021).</w:t>
      </w:r>
      <w:r w:rsidRPr="002D5194">
        <w:rPr>
          <w:rFonts w:ascii="Aptos" w:hAnsi="Aptos" w:cs="Times New Roman"/>
          <w:color w:val="000000"/>
        </w:rPr>
        <w:t xml:space="preserve"> Socially, they may encounter stigma and exclusion because of obesity or </w:t>
      </w:r>
      <w:r w:rsidR="0084694B" w:rsidRPr="002D5194">
        <w:rPr>
          <w:rFonts w:ascii="Aptos" w:hAnsi="Aptos" w:cs="Times New Roman"/>
          <w:color w:val="000000"/>
        </w:rPr>
        <w:t>behavioural</w:t>
      </w:r>
      <w:r w:rsidRPr="002D5194">
        <w:rPr>
          <w:rFonts w:ascii="Aptos" w:hAnsi="Aptos" w:cs="Times New Roman"/>
          <w:color w:val="000000"/>
        </w:rPr>
        <w:t xml:space="preserve"> differences, making peer relationships challenging. Families must provide ongoing supervision and structured routines, which can cause emotional and financial strain. Research by Rice et al. (2016) highlights that behavioural and emotional challenges in children with PWS significantly affect family life and educational participation.</w:t>
      </w:r>
    </w:p>
    <w:p w14:paraId="7E1925EB" w14:textId="4F646B3A" w:rsidR="00CD7738" w:rsidRPr="00CD7738" w:rsidRDefault="00CD7738" w:rsidP="00CD7738">
      <w:pPr>
        <w:shd w:val="clear" w:color="auto" w:fill="FFFFFF"/>
        <w:spacing w:after="300" w:line="240" w:lineRule="auto"/>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 xml:space="preserve">A highly effective approach for supporting children with Prader–Willi syndrome is structured </w:t>
      </w:r>
      <w:r w:rsidR="002D5194" w:rsidRPr="002D5194">
        <w:rPr>
          <w:rFonts w:ascii="Aptos" w:eastAsia="Times New Roman" w:hAnsi="Aptos" w:cs="Arial"/>
          <w:color w:val="000000"/>
          <w:kern w:val="0"/>
          <w:lang w:eastAsia="en-GB"/>
          <w14:ligatures w14:val="none"/>
        </w:rPr>
        <w:t>behavioural</w:t>
      </w:r>
      <w:r w:rsidRPr="00CD7738">
        <w:rPr>
          <w:rFonts w:ascii="Aptos" w:eastAsia="Times New Roman" w:hAnsi="Aptos" w:cs="Arial"/>
          <w:color w:val="000000"/>
          <w:kern w:val="0"/>
          <w:lang w:eastAsia="en-GB"/>
          <w14:ligatures w14:val="none"/>
        </w:rPr>
        <w:t xml:space="preserve"> and environmental management. Because hyperphagia persists throughout life and is hard to regulate internally, creating an environment with fewer temptations and predictable routines can be beneficial</w:t>
      </w:r>
      <w:r w:rsidR="001A496E">
        <w:rPr>
          <w:rFonts w:ascii="Aptos" w:eastAsia="Times New Roman" w:hAnsi="Aptos" w:cs="Arial"/>
          <w:color w:val="000000"/>
          <w:kern w:val="0"/>
          <w:lang w:eastAsia="en-GB"/>
          <w14:ligatures w14:val="none"/>
        </w:rPr>
        <w:t xml:space="preserve">, with some research into the effects of </w:t>
      </w:r>
      <w:r w:rsidR="000451EF">
        <w:rPr>
          <w:rFonts w:ascii="Aptos" w:eastAsia="Times New Roman" w:hAnsi="Aptos" w:cs="Arial"/>
          <w:color w:val="000000"/>
          <w:kern w:val="0"/>
          <w:lang w:eastAsia="en-GB"/>
          <w14:ligatures w14:val="none"/>
        </w:rPr>
        <w:t xml:space="preserve">oxytocin on social and food related behaviour </w:t>
      </w:r>
      <w:r w:rsidR="000451EF">
        <w:fldChar w:fldCharType="begin"/>
      </w:r>
      <w:r w:rsidR="000451EF">
        <w:instrText xml:space="preserve"> ADDIN ZOTERO_ITEM CSL_CITATION {"citationID":"2LRI0edn","properties":{"unsorted":false,"formattedCitation":"(Kuppens, Donze and Hokken-Koelega, 2016)","plainCitation":"(Kuppens, Donze and Hokken-Koelega, 2016)","noteIndex":0},"citationItems":[{"id":868,"uris":["http://zotero.org/users/15305297/items/V94PEIGW"],"itemData":{"id":868,"type":"article-journal","container-title":"Clinical Endocrinology","DOI":"10.1111/cen.13169","ISSN":"1365-2265","issue":"6","page":"979-987","title":"Promising effects of oxytocin on social and food-related behaviour in young children with Prader–Willi syndrome: a randomized, double-blind, controlled crossover trial","URL":"https://onlinelibrary.wiley.com/doi/abs/10.1111/cen.13169","volume":"85","author":[{"family":"Kuppens","given":"R.j."},{"family":"Donze","given":"S.h."},{"family":"Hokken-Koelega","given":"A.c.s."}],"accessed":{"date-parts":[["2026",5,14]]},"issued":{"date-parts":[["2016"]]}}}],"schema":"https://github.com/citation-style-language/schema/raw/master/csl-citation.json"} </w:instrText>
      </w:r>
      <w:r w:rsidR="000451EF">
        <w:fldChar w:fldCharType="separate"/>
      </w:r>
      <w:r w:rsidR="000451EF" w:rsidRPr="00722511">
        <w:rPr>
          <w:rFonts w:ascii="Aptos" w:hAnsi="Aptos"/>
        </w:rPr>
        <w:t>(</w:t>
      </w:r>
      <w:proofErr w:type="spellStart"/>
      <w:r w:rsidR="000451EF" w:rsidRPr="00722511">
        <w:rPr>
          <w:rFonts w:ascii="Aptos" w:hAnsi="Aptos"/>
        </w:rPr>
        <w:t>Kuppens</w:t>
      </w:r>
      <w:proofErr w:type="spellEnd"/>
      <w:r w:rsidR="000451EF" w:rsidRPr="00722511">
        <w:rPr>
          <w:rFonts w:ascii="Aptos" w:hAnsi="Aptos"/>
        </w:rPr>
        <w:t xml:space="preserve">, Donze and </w:t>
      </w:r>
      <w:proofErr w:type="spellStart"/>
      <w:r w:rsidR="000451EF" w:rsidRPr="00722511">
        <w:rPr>
          <w:rFonts w:ascii="Aptos" w:hAnsi="Aptos"/>
        </w:rPr>
        <w:t>Hokken-Koelega</w:t>
      </w:r>
      <w:proofErr w:type="spellEnd"/>
      <w:r w:rsidR="000451EF" w:rsidRPr="00722511">
        <w:rPr>
          <w:rFonts w:ascii="Aptos" w:hAnsi="Aptos"/>
        </w:rPr>
        <w:t>, 2016)</w:t>
      </w:r>
      <w:r w:rsidR="000451EF">
        <w:fldChar w:fldCharType="end"/>
      </w:r>
      <w:r w:rsidR="000451EF">
        <w:t>.</w:t>
      </w:r>
    </w:p>
    <w:p w14:paraId="25D09D43" w14:textId="77777777" w:rsidR="00CD7738" w:rsidRPr="00CD7738" w:rsidRDefault="00CD7738" w:rsidP="00CD7738">
      <w:pPr>
        <w:shd w:val="clear" w:color="auto" w:fill="FFFFFF"/>
        <w:spacing w:after="0" w:line="240" w:lineRule="auto"/>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Key components of this strategy include:</w:t>
      </w:r>
    </w:p>
    <w:p w14:paraId="4F2DD49A" w14:textId="77777777" w:rsidR="00CD7738" w:rsidRPr="00CD7738" w:rsidRDefault="00CD7738" w:rsidP="00CD7738">
      <w:pPr>
        <w:numPr>
          <w:ilvl w:val="0"/>
          <w:numId w:val="1"/>
        </w:numPr>
        <w:shd w:val="clear" w:color="auto" w:fill="FFFFFF"/>
        <w:spacing w:after="0" w:line="240" w:lineRule="auto"/>
        <w:ind w:left="1020"/>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Food security measures: Families may lock cupboards and refrigerators to prevent unsupervised eating. While it can feel restrictive, these steps help protect the child’s physical health and safety.</w:t>
      </w:r>
    </w:p>
    <w:p w14:paraId="2C41F9CE" w14:textId="326D9929" w:rsidR="00CD7738" w:rsidRPr="00CD7738" w:rsidRDefault="00CD7738" w:rsidP="00CD7738">
      <w:pPr>
        <w:numPr>
          <w:ilvl w:val="0"/>
          <w:numId w:val="1"/>
        </w:numPr>
        <w:shd w:val="clear" w:color="auto" w:fill="FFFFFF"/>
        <w:spacing w:after="0" w:line="240" w:lineRule="auto"/>
        <w:ind w:left="1020"/>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 xml:space="preserve">Consistent routines: Daily activities should follow a reliable schedule. Regular </w:t>
      </w:r>
      <w:r w:rsidR="00BA4868" w:rsidRPr="00CD7738">
        <w:rPr>
          <w:rFonts w:ascii="Aptos" w:eastAsia="Times New Roman" w:hAnsi="Aptos" w:cs="Arial"/>
          <w:color w:val="000000"/>
          <w:kern w:val="0"/>
          <w:lang w:eastAsia="en-GB"/>
          <w14:ligatures w14:val="none"/>
        </w:rPr>
        <w:t>mealtimes</w:t>
      </w:r>
      <w:r w:rsidRPr="00CD7738">
        <w:rPr>
          <w:rFonts w:ascii="Aptos" w:eastAsia="Times New Roman" w:hAnsi="Aptos" w:cs="Arial"/>
          <w:color w:val="000000"/>
          <w:kern w:val="0"/>
          <w:lang w:eastAsia="en-GB"/>
          <w14:ligatures w14:val="none"/>
        </w:rPr>
        <w:t>, school routines, and bedtime routines help reduce anxiety and improve coping.</w:t>
      </w:r>
    </w:p>
    <w:p w14:paraId="7A190FDA" w14:textId="77777777" w:rsidR="00CD7738" w:rsidRPr="00CD7738" w:rsidRDefault="00CD7738" w:rsidP="00CD7738">
      <w:pPr>
        <w:numPr>
          <w:ilvl w:val="0"/>
          <w:numId w:val="1"/>
        </w:numPr>
        <w:shd w:val="clear" w:color="auto" w:fill="FFFFFF"/>
        <w:spacing w:after="0" w:line="240" w:lineRule="auto"/>
        <w:ind w:left="1020"/>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Visual supports: Visual schedules and timetables help children understand expectations and ease transitions.</w:t>
      </w:r>
    </w:p>
    <w:p w14:paraId="2E820AFE" w14:textId="1D3C2B82" w:rsidR="00CD7738" w:rsidRPr="00CD7738" w:rsidRDefault="00CD7738" w:rsidP="00CD7738">
      <w:pPr>
        <w:numPr>
          <w:ilvl w:val="0"/>
          <w:numId w:val="1"/>
        </w:numPr>
        <w:shd w:val="clear" w:color="auto" w:fill="FFFFFF"/>
        <w:spacing w:after="0" w:line="240" w:lineRule="auto"/>
        <w:ind w:left="1020"/>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 xml:space="preserve">Positive reinforcement: Emphasizing praise for appropriate </w:t>
      </w:r>
      <w:proofErr w:type="spellStart"/>
      <w:r w:rsidRPr="00CD7738">
        <w:rPr>
          <w:rFonts w:ascii="Aptos" w:eastAsia="Times New Roman" w:hAnsi="Aptos" w:cs="Arial"/>
          <w:color w:val="000000"/>
          <w:kern w:val="0"/>
          <w:lang w:eastAsia="en-GB"/>
          <w14:ligatures w14:val="none"/>
        </w:rPr>
        <w:t>behavior</w:t>
      </w:r>
      <w:proofErr w:type="spellEnd"/>
      <w:r w:rsidRPr="00CD7738">
        <w:rPr>
          <w:rFonts w:ascii="Aptos" w:eastAsia="Times New Roman" w:hAnsi="Aptos" w:cs="Arial"/>
          <w:color w:val="000000"/>
          <w:kern w:val="0"/>
          <w:lang w:eastAsia="en-GB"/>
          <w14:ligatures w14:val="none"/>
        </w:rPr>
        <w:t xml:space="preserve"> and rewarding achievements supports emotional regulation and self-esteem. Punitive approaches are generally avoided, as they can increase frustration and </w:t>
      </w:r>
      <w:r w:rsidR="00C970F5" w:rsidRPr="00CD7738">
        <w:rPr>
          <w:rFonts w:ascii="Aptos" w:eastAsia="Times New Roman" w:hAnsi="Aptos" w:cs="Arial"/>
          <w:color w:val="000000"/>
          <w:kern w:val="0"/>
          <w:lang w:eastAsia="en-GB"/>
          <w14:ligatures w14:val="none"/>
        </w:rPr>
        <w:t>behavioural</w:t>
      </w:r>
      <w:r w:rsidRPr="00CD7738">
        <w:rPr>
          <w:rFonts w:ascii="Aptos" w:eastAsia="Times New Roman" w:hAnsi="Aptos" w:cs="Arial"/>
          <w:color w:val="000000"/>
          <w:kern w:val="0"/>
          <w:lang w:eastAsia="en-GB"/>
          <w14:ligatures w14:val="none"/>
        </w:rPr>
        <w:t xml:space="preserve"> outbursts.</w:t>
      </w:r>
    </w:p>
    <w:p w14:paraId="4DEC8239" w14:textId="77777777" w:rsidR="00CD7738" w:rsidRPr="00CD7738" w:rsidRDefault="00CD7738" w:rsidP="00CD7738">
      <w:pPr>
        <w:numPr>
          <w:ilvl w:val="0"/>
          <w:numId w:val="1"/>
        </w:numPr>
        <w:shd w:val="clear" w:color="auto" w:fill="FFFFFF"/>
        <w:spacing w:after="0" w:line="240" w:lineRule="auto"/>
        <w:ind w:left="1020"/>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School involvement: Teachers and school staff collaborate with parents and healthcare professionals to create individualized support plans. These may include supervised snack times, strategies for emotional regulation, and additional learning support.</w:t>
      </w:r>
    </w:p>
    <w:p w14:paraId="054C9748" w14:textId="77777777" w:rsidR="00CD7738" w:rsidRPr="00CD7738" w:rsidRDefault="00CD7738" w:rsidP="00CD7738">
      <w:pPr>
        <w:numPr>
          <w:ilvl w:val="0"/>
          <w:numId w:val="1"/>
        </w:numPr>
        <w:shd w:val="clear" w:color="auto" w:fill="FFFFFF"/>
        <w:spacing w:after="0" w:line="240" w:lineRule="auto"/>
        <w:ind w:left="1020"/>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Multidisciplinary care: A team approach is essential. Dietitians, psychologists, physiotherapists, speech and language therapists, and endocrinologists all contribute to improving the child’s quality of life.</w:t>
      </w:r>
    </w:p>
    <w:p w14:paraId="383EAF72" w14:textId="77777777" w:rsidR="002D5194" w:rsidRPr="002D5194" w:rsidRDefault="002D5194" w:rsidP="00CD7738">
      <w:pPr>
        <w:shd w:val="clear" w:color="auto" w:fill="FFFFFF"/>
        <w:spacing w:after="0" w:line="240" w:lineRule="auto"/>
        <w:rPr>
          <w:rFonts w:ascii="Aptos" w:eastAsia="Times New Roman" w:hAnsi="Aptos" w:cs="Arial"/>
          <w:color w:val="000000"/>
          <w:kern w:val="0"/>
          <w:lang w:eastAsia="en-GB"/>
          <w14:ligatures w14:val="none"/>
        </w:rPr>
      </w:pPr>
    </w:p>
    <w:p w14:paraId="66545F13" w14:textId="6EA12CC0" w:rsidR="00CD7738" w:rsidRPr="00CD7738" w:rsidRDefault="00CD7738" w:rsidP="00CD7738">
      <w:pPr>
        <w:shd w:val="clear" w:color="auto" w:fill="FFFFFF"/>
        <w:spacing w:after="0" w:line="240" w:lineRule="auto"/>
        <w:rPr>
          <w:rFonts w:ascii="Aptos" w:eastAsia="Times New Roman" w:hAnsi="Aptos" w:cs="Arial"/>
          <w:color w:val="000000"/>
          <w:kern w:val="0"/>
          <w:lang w:eastAsia="en-GB"/>
          <w14:ligatures w14:val="none"/>
        </w:rPr>
      </w:pPr>
      <w:r w:rsidRPr="00CD7738">
        <w:rPr>
          <w:rFonts w:ascii="Aptos" w:eastAsia="Times New Roman" w:hAnsi="Aptos" w:cs="Arial"/>
          <w:color w:val="000000"/>
          <w:kern w:val="0"/>
          <w:lang w:eastAsia="en-GB"/>
          <w14:ligatures w14:val="none"/>
        </w:rPr>
        <w:t xml:space="preserve">Research from </w:t>
      </w:r>
      <w:proofErr w:type="spellStart"/>
      <w:r w:rsidRPr="00CD7738">
        <w:rPr>
          <w:rFonts w:ascii="Aptos" w:eastAsia="Times New Roman" w:hAnsi="Aptos" w:cs="Arial"/>
          <w:color w:val="000000"/>
          <w:kern w:val="0"/>
          <w:lang w:eastAsia="en-GB"/>
          <w14:ligatures w14:val="none"/>
        </w:rPr>
        <w:t>Lionti</w:t>
      </w:r>
      <w:proofErr w:type="spellEnd"/>
      <w:r w:rsidRPr="00CD7738">
        <w:rPr>
          <w:rFonts w:ascii="Aptos" w:eastAsia="Times New Roman" w:hAnsi="Aptos" w:cs="Arial"/>
          <w:color w:val="000000"/>
          <w:kern w:val="0"/>
          <w:lang w:eastAsia="en-GB"/>
          <w14:ligatures w14:val="none"/>
        </w:rPr>
        <w:t xml:space="preserve"> and colleagues (2022) indicates that combining structured environmental management with multidisciplinary intervention yields significant improvements in long-term physical and psychological outcomes for individuals with PWS. While maintaining strict routines can be challenging for families, this approach remains one of the most evidence-based strategies available.</w:t>
      </w:r>
    </w:p>
    <w:p w14:paraId="4D9B072B" w14:textId="77777777" w:rsidR="00BC585A" w:rsidRDefault="00BC585A">
      <w:pPr>
        <w:rPr>
          <w:rFonts w:ascii="Aptos" w:hAnsi="Aptos"/>
        </w:rPr>
      </w:pPr>
    </w:p>
    <w:p w14:paraId="05839386" w14:textId="77777777" w:rsidR="009C50B6" w:rsidRDefault="009C50B6">
      <w:pPr>
        <w:rPr>
          <w:rFonts w:ascii="Aptos" w:hAnsi="Aptos"/>
        </w:rPr>
      </w:pPr>
    </w:p>
    <w:p w14:paraId="7B4CA2FF" w14:textId="77777777" w:rsidR="009C50B6" w:rsidRDefault="009C50B6">
      <w:pPr>
        <w:rPr>
          <w:rFonts w:ascii="Aptos" w:hAnsi="Aptos"/>
        </w:rPr>
      </w:pPr>
    </w:p>
    <w:p w14:paraId="41996A29" w14:textId="23BF41D1" w:rsidR="00197A25" w:rsidRDefault="00197A25">
      <w:pPr>
        <w:rPr>
          <w:rFonts w:ascii="Aptos" w:hAnsi="Aptos"/>
        </w:rPr>
      </w:pPr>
      <w:r>
        <w:rPr>
          <w:rFonts w:ascii="Aptos" w:hAnsi="Aptos"/>
        </w:rPr>
        <w:lastRenderedPageBreak/>
        <w:t>Questions:</w:t>
      </w:r>
    </w:p>
    <w:p w14:paraId="4A48BCA9" w14:textId="14C1554A" w:rsidR="00197A25" w:rsidRDefault="009C0A43" w:rsidP="009C0A43">
      <w:pPr>
        <w:pStyle w:val="ListParagraph"/>
        <w:numPr>
          <w:ilvl w:val="0"/>
          <w:numId w:val="2"/>
        </w:numPr>
        <w:rPr>
          <w:rFonts w:ascii="Aptos" w:hAnsi="Aptos"/>
        </w:rPr>
      </w:pPr>
      <w:r>
        <w:rPr>
          <w:rFonts w:ascii="Aptos" w:hAnsi="Aptos"/>
        </w:rPr>
        <w:t xml:space="preserve">Why has there been an increase in </w:t>
      </w:r>
      <w:r w:rsidR="008B2801">
        <w:rPr>
          <w:rFonts w:ascii="Aptos" w:hAnsi="Aptos"/>
        </w:rPr>
        <w:t>referrals</w:t>
      </w:r>
      <w:r>
        <w:rPr>
          <w:rFonts w:ascii="Aptos" w:hAnsi="Aptos"/>
        </w:rPr>
        <w:t xml:space="preserve"> over the recent years</w:t>
      </w:r>
      <w:r w:rsidR="008B2801">
        <w:rPr>
          <w:rFonts w:ascii="Aptos" w:hAnsi="Aptos"/>
        </w:rPr>
        <w:t>?</w:t>
      </w:r>
    </w:p>
    <w:p w14:paraId="12824ECD" w14:textId="4A0FB0DC" w:rsidR="009C0A43" w:rsidRDefault="00CC5121" w:rsidP="009C0A43">
      <w:pPr>
        <w:pStyle w:val="ListParagraph"/>
        <w:numPr>
          <w:ilvl w:val="0"/>
          <w:numId w:val="2"/>
        </w:numPr>
        <w:rPr>
          <w:rFonts w:ascii="Aptos" w:hAnsi="Aptos"/>
        </w:rPr>
      </w:pPr>
      <w:r>
        <w:rPr>
          <w:rFonts w:ascii="Aptos" w:hAnsi="Aptos"/>
        </w:rPr>
        <w:t>What effects do long waiting time assessments have on children and their families</w:t>
      </w:r>
      <w:r w:rsidR="008B2801">
        <w:rPr>
          <w:rFonts w:ascii="Aptos" w:hAnsi="Aptos"/>
        </w:rPr>
        <w:t>?</w:t>
      </w:r>
      <w:r w:rsidR="00181249">
        <w:rPr>
          <w:rFonts w:ascii="Aptos" w:hAnsi="Aptos"/>
        </w:rPr>
        <w:t xml:space="preserve"> </w:t>
      </w:r>
    </w:p>
    <w:p w14:paraId="03A54B96" w14:textId="77777777" w:rsidR="00683142" w:rsidRPr="00683142" w:rsidRDefault="00683142" w:rsidP="00683142">
      <w:pPr>
        <w:rPr>
          <w:rFonts w:ascii="Aptos" w:hAnsi="Aptos"/>
        </w:rPr>
      </w:pPr>
    </w:p>
    <w:p w14:paraId="25782518" w14:textId="1677CA28" w:rsidR="00683142" w:rsidRPr="00683142" w:rsidRDefault="00683142" w:rsidP="00683142">
      <w:pPr>
        <w:spacing w:line="360" w:lineRule="auto"/>
        <w:jc w:val="both"/>
        <w:rPr>
          <w:rFonts w:ascii="Arial" w:hAnsi="Arial" w:cs="Arial"/>
        </w:rPr>
      </w:pPr>
      <w:r w:rsidRPr="00683142">
        <w:rPr>
          <w:rFonts w:ascii="Arial" w:hAnsi="Arial" w:cs="Arial"/>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298BC072" w14:textId="77777777" w:rsidR="00BC585A" w:rsidRPr="00BC585A" w:rsidRDefault="00BC585A" w:rsidP="00BC585A">
      <w:pPr>
        <w:rPr>
          <w:rFonts w:ascii="Aptos" w:hAnsi="Aptos"/>
        </w:rPr>
      </w:pPr>
    </w:p>
    <w:p w14:paraId="4D1BAD78" w14:textId="77777777" w:rsidR="00484AF8" w:rsidRDefault="00484AF8" w:rsidP="00484AF8">
      <w:pPr>
        <w:rPr>
          <w:rFonts w:ascii="Aptos" w:hAnsi="Aptos"/>
        </w:rPr>
      </w:pPr>
    </w:p>
    <w:p w14:paraId="6857735C" w14:textId="77777777" w:rsidR="00BC585A" w:rsidRDefault="00BC585A" w:rsidP="00484AF8">
      <w:pPr>
        <w:rPr>
          <w:rFonts w:ascii="Aptos" w:hAnsi="Aptos"/>
          <w:b/>
          <w:bCs/>
        </w:rPr>
      </w:pPr>
    </w:p>
    <w:p w14:paraId="33272B43" w14:textId="77777777" w:rsidR="00BC585A" w:rsidRDefault="00BC585A" w:rsidP="00484AF8">
      <w:pPr>
        <w:rPr>
          <w:rFonts w:ascii="Aptos" w:hAnsi="Aptos"/>
          <w:b/>
          <w:bCs/>
        </w:rPr>
      </w:pPr>
    </w:p>
    <w:p w14:paraId="7E5DF42D" w14:textId="77777777" w:rsidR="00BC585A" w:rsidRDefault="00BC585A" w:rsidP="00484AF8">
      <w:pPr>
        <w:rPr>
          <w:rFonts w:ascii="Aptos" w:hAnsi="Aptos"/>
          <w:b/>
          <w:bCs/>
        </w:rPr>
      </w:pPr>
    </w:p>
    <w:p w14:paraId="01A6CA49" w14:textId="77777777" w:rsidR="00BC585A" w:rsidRDefault="00BC585A" w:rsidP="00484AF8">
      <w:pPr>
        <w:rPr>
          <w:rFonts w:ascii="Aptos" w:hAnsi="Aptos"/>
          <w:b/>
          <w:bCs/>
        </w:rPr>
      </w:pPr>
    </w:p>
    <w:p w14:paraId="1BF4C396" w14:textId="77777777" w:rsidR="00BC585A" w:rsidRDefault="00BC585A" w:rsidP="00484AF8">
      <w:pPr>
        <w:rPr>
          <w:rFonts w:ascii="Aptos" w:hAnsi="Aptos"/>
          <w:b/>
          <w:bCs/>
        </w:rPr>
      </w:pPr>
    </w:p>
    <w:p w14:paraId="552FDFBA" w14:textId="77777777" w:rsidR="00BC585A" w:rsidRDefault="00BC585A" w:rsidP="00484AF8">
      <w:pPr>
        <w:rPr>
          <w:rFonts w:ascii="Aptos" w:hAnsi="Aptos"/>
          <w:b/>
          <w:bCs/>
        </w:rPr>
      </w:pPr>
    </w:p>
    <w:p w14:paraId="236DED97" w14:textId="77777777" w:rsidR="00BC585A" w:rsidRDefault="00BC585A" w:rsidP="00484AF8">
      <w:pPr>
        <w:rPr>
          <w:rFonts w:ascii="Aptos" w:hAnsi="Aptos"/>
          <w:b/>
          <w:bCs/>
        </w:rPr>
      </w:pPr>
    </w:p>
    <w:p w14:paraId="031F1700" w14:textId="77777777" w:rsidR="00BC585A" w:rsidRDefault="00BC585A" w:rsidP="00484AF8">
      <w:pPr>
        <w:rPr>
          <w:rFonts w:ascii="Aptos" w:hAnsi="Aptos"/>
          <w:b/>
          <w:bCs/>
        </w:rPr>
      </w:pPr>
    </w:p>
    <w:p w14:paraId="6310E037" w14:textId="77777777" w:rsidR="00BC585A" w:rsidRDefault="00BC585A" w:rsidP="00484AF8">
      <w:pPr>
        <w:rPr>
          <w:rFonts w:ascii="Aptos" w:hAnsi="Aptos"/>
          <w:b/>
          <w:bCs/>
        </w:rPr>
      </w:pPr>
    </w:p>
    <w:p w14:paraId="73A58504" w14:textId="77777777" w:rsidR="00BC585A" w:rsidRDefault="00BC585A" w:rsidP="00484AF8">
      <w:pPr>
        <w:rPr>
          <w:rFonts w:ascii="Aptos" w:hAnsi="Aptos"/>
          <w:b/>
          <w:bCs/>
        </w:rPr>
      </w:pPr>
    </w:p>
    <w:p w14:paraId="2BD104C9" w14:textId="77777777" w:rsidR="00BC585A" w:rsidRDefault="00BC585A" w:rsidP="00484AF8">
      <w:pPr>
        <w:rPr>
          <w:rFonts w:ascii="Aptos" w:hAnsi="Aptos"/>
          <w:b/>
          <w:bCs/>
        </w:rPr>
      </w:pPr>
    </w:p>
    <w:p w14:paraId="0D6DA850" w14:textId="77777777" w:rsidR="00BC585A" w:rsidRDefault="00BC585A" w:rsidP="00484AF8">
      <w:pPr>
        <w:rPr>
          <w:rFonts w:ascii="Aptos" w:hAnsi="Aptos"/>
          <w:b/>
          <w:bCs/>
        </w:rPr>
      </w:pPr>
    </w:p>
    <w:p w14:paraId="76C1A7A3" w14:textId="77777777" w:rsidR="00BC585A" w:rsidRDefault="00BC585A" w:rsidP="00484AF8">
      <w:pPr>
        <w:rPr>
          <w:rFonts w:ascii="Aptos" w:hAnsi="Aptos"/>
          <w:b/>
          <w:bCs/>
        </w:rPr>
      </w:pPr>
    </w:p>
    <w:p w14:paraId="52B3CFCA" w14:textId="77777777" w:rsidR="00BC585A" w:rsidRDefault="00BC585A" w:rsidP="00484AF8">
      <w:pPr>
        <w:rPr>
          <w:rFonts w:ascii="Aptos" w:hAnsi="Aptos"/>
          <w:b/>
          <w:bCs/>
        </w:rPr>
      </w:pPr>
    </w:p>
    <w:p w14:paraId="035C83B9" w14:textId="77777777" w:rsidR="00BC585A" w:rsidRDefault="00BC585A" w:rsidP="00484AF8">
      <w:pPr>
        <w:rPr>
          <w:rFonts w:ascii="Aptos" w:hAnsi="Aptos"/>
          <w:b/>
          <w:bCs/>
        </w:rPr>
      </w:pPr>
    </w:p>
    <w:p w14:paraId="275D550F" w14:textId="77777777" w:rsidR="00BC585A" w:rsidRDefault="00BC585A" w:rsidP="00484AF8">
      <w:pPr>
        <w:rPr>
          <w:rFonts w:ascii="Aptos" w:hAnsi="Aptos"/>
          <w:b/>
          <w:bCs/>
        </w:rPr>
      </w:pPr>
    </w:p>
    <w:p w14:paraId="62C0FAB3" w14:textId="77777777" w:rsidR="00BC585A" w:rsidRDefault="00BC585A" w:rsidP="00484AF8">
      <w:pPr>
        <w:rPr>
          <w:rFonts w:ascii="Aptos" w:hAnsi="Aptos"/>
          <w:b/>
          <w:bCs/>
        </w:rPr>
      </w:pPr>
    </w:p>
    <w:p w14:paraId="65C28A79" w14:textId="77777777" w:rsidR="00BC585A" w:rsidRDefault="00BC585A" w:rsidP="00484AF8">
      <w:pPr>
        <w:rPr>
          <w:rFonts w:ascii="Aptos" w:hAnsi="Aptos"/>
          <w:b/>
          <w:bCs/>
        </w:rPr>
      </w:pPr>
    </w:p>
    <w:p w14:paraId="644D4E0D" w14:textId="77777777" w:rsidR="00AE617D" w:rsidRPr="004C4E88" w:rsidRDefault="00AE617D" w:rsidP="00AE617D">
      <w:pPr>
        <w:rPr>
          <w:rFonts w:ascii="Aptos" w:hAnsi="Aptos"/>
          <w:b/>
          <w:bCs/>
        </w:rPr>
      </w:pPr>
      <w:r w:rsidRPr="004C4E88">
        <w:rPr>
          <w:rFonts w:ascii="Aptos" w:hAnsi="Aptos"/>
          <w:b/>
          <w:bCs/>
        </w:rPr>
        <w:lastRenderedPageBreak/>
        <w:t>Reference List:</w:t>
      </w:r>
    </w:p>
    <w:p w14:paraId="04B83C57" w14:textId="77777777" w:rsidR="00AE617D" w:rsidRPr="00484AF8" w:rsidRDefault="00AE617D" w:rsidP="00AE617D">
      <w:pPr>
        <w:spacing w:after="240" w:line="240" w:lineRule="auto"/>
        <w:rPr>
          <w:rFonts w:ascii="Aptos" w:hAnsi="Aptos"/>
        </w:rPr>
      </w:pPr>
      <w:r w:rsidRPr="00484AF8">
        <w:fldChar w:fldCharType="begin"/>
      </w:r>
      <w:r w:rsidRPr="00484AF8">
        <w:instrText xml:space="preserve"> ADDIN ZOTERO_BIBL {"uncited":[],"omitted":[],"custom":[]} CSL_BIBLIOGRAPHY </w:instrText>
      </w:r>
      <w:r w:rsidRPr="00484AF8">
        <w:fldChar w:fldCharType="separate"/>
      </w:r>
      <w:proofErr w:type="spellStart"/>
      <w:r w:rsidRPr="00484AF8">
        <w:rPr>
          <w:rFonts w:ascii="Aptos" w:hAnsi="Aptos"/>
        </w:rPr>
        <w:t>Beygo</w:t>
      </w:r>
      <w:proofErr w:type="spellEnd"/>
      <w:r w:rsidRPr="00484AF8">
        <w:rPr>
          <w:rFonts w:ascii="Aptos" w:hAnsi="Aptos"/>
        </w:rPr>
        <w:t xml:space="preserve">, J., </w:t>
      </w:r>
      <w:proofErr w:type="spellStart"/>
      <w:r w:rsidRPr="00484AF8">
        <w:rPr>
          <w:rFonts w:ascii="Aptos" w:hAnsi="Aptos"/>
        </w:rPr>
        <w:t>Buiting</w:t>
      </w:r>
      <w:proofErr w:type="spellEnd"/>
      <w:r w:rsidRPr="00484AF8">
        <w:rPr>
          <w:rFonts w:ascii="Aptos" w:hAnsi="Aptos"/>
        </w:rPr>
        <w:t xml:space="preserve">, K., Ramsden, S.C., Ellis, R., Clayton-Smith, J. and </w:t>
      </w:r>
      <w:proofErr w:type="spellStart"/>
      <w:r w:rsidRPr="00484AF8">
        <w:rPr>
          <w:rFonts w:ascii="Aptos" w:hAnsi="Aptos"/>
        </w:rPr>
        <w:t>Kanber</w:t>
      </w:r>
      <w:proofErr w:type="spellEnd"/>
      <w:r w:rsidRPr="00484AF8">
        <w:rPr>
          <w:rFonts w:ascii="Aptos" w:hAnsi="Aptos"/>
        </w:rPr>
        <w:t xml:space="preserve">, D. (2019) ‘Update of the EMQN/ACGS best practice guidelines for molecular analysis of Prader-Willi and Angelman syndromes’, </w:t>
      </w:r>
      <w:r w:rsidRPr="00484AF8">
        <w:rPr>
          <w:rFonts w:ascii="Aptos" w:hAnsi="Aptos"/>
          <w:i/>
          <w:iCs/>
        </w:rPr>
        <w:t>European Journal of Human Genetics</w:t>
      </w:r>
      <w:r w:rsidRPr="00484AF8">
        <w:rPr>
          <w:rFonts w:ascii="Aptos" w:hAnsi="Aptos"/>
        </w:rPr>
        <w:t>, 27(9), pp. 1326–1340. Available at: https://doi.org/10.1038/s41431-019-0435-0.</w:t>
      </w:r>
    </w:p>
    <w:p w14:paraId="2AEF937F" w14:textId="77777777" w:rsidR="00AE617D" w:rsidRPr="00484AF8" w:rsidRDefault="00AE617D" w:rsidP="00AE617D">
      <w:pPr>
        <w:spacing w:after="240" w:line="240" w:lineRule="auto"/>
        <w:rPr>
          <w:rFonts w:ascii="Aptos" w:hAnsi="Aptos"/>
        </w:rPr>
      </w:pPr>
      <w:r w:rsidRPr="00484AF8">
        <w:rPr>
          <w:rFonts w:ascii="Aptos" w:hAnsi="Aptos"/>
        </w:rPr>
        <w:t xml:space="preserve">Butler, M.G., </w:t>
      </w:r>
      <w:proofErr w:type="spellStart"/>
      <w:r w:rsidRPr="00484AF8">
        <w:rPr>
          <w:rFonts w:ascii="Aptos" w:hAnsi="Aptos"/>
        </w:rPr>
        <w:t>Manzardo</w:t>
      </w:r>
      <w:proofErr w:type="spellEnd"/>
      <w:r w:rsidRPr="00484AF8">
        <w:rPr>
          <w:rFonts w:ascii="Aptos" w:hAnsi="Aptos"/>
        </w:rPr>
        <w:t xml:space="preserve">, A.M. and Forster, J.L. (2016) ‘Prader-Willi Syndrome: Clinical Genetics and Diagnostic Aspects with Treatment Approaches’, </w:t>
      </w:r>
      <w:r w:rsidRPr="00484AF8">
        <w:rPr>
          <w:rFonts w:ascii="Aptos" w:hAnsi="Aptos"/>
          <w:i/>
          <w:iCs/>
        </w:rPr>
        <w:t xml:space="preserve">Current </w:t>
      </w:r>
      <w:proofErr w:type="spellStart"/>
      <w:r w:rsidRPr="00484AF8">
        <w:rPr>
          <w:rFonts w:ascii="Aptos" w:hAnsi="Aptos"/>
          <w:i/>
          <w:iCs/>
        </w:rPr>
        <w:t>pediatric</w:t>
      </w:r>
      <w:proofErr w:type="spellEnd"/>
      <w:r w:rsidRPr="00484AF8">
        <w:rPr>
          <w:rFonts w:ascii="Aptos" w:hAnsi="Aptos"/>
          <w:i/>
          <w:iCs/>
        </w:rPr>
        <w:t xml:space="preserve"> reviews</w:t>
      </w:r>
      <w:r w:rsidRPr="00484AF8">
        <w:rPr>
          <w:rFonts w:ascii="Aptos" w:hAnsi="Aptos"/>
        </w:rPr>
        <w:t>, 12(2), pp. 136–166. Available at: https://doi.org/10.2174/1573396312666151123115250.</w:t>
      </w:r>
    </w:p>
    <w:p w14:paraId="43FA4A53" w14:textId="77777777" w:rsidR="00AE617D" w:rsidRPr="00484AF8" w:rsidRDefault="00AE617D" w:rsidP="00AE617D">
      <w:pPr>
        <w:spacing w:after="240" w:line="240" w:lineRule="auto"/>
        <w:rPr>
          <w:rFonts w:ascii="Aptos" w:hAnsi="Aptos"/>
        </w:rPr>
      </w:pPr>
      <w:r w:rsidRPr="00484AF8">
        <w:rPr>
          <w:rFonts w:ascii="Aptos" w:hAnsi="Aptos"/>
        </w:rPr>
        <w:t xml:space="preserve">Driscoll, D.J., Miller, J.L. and Cassidy, S.B. (2026) ‘Prader-Willi Syndrome’, </w:t>
      </w:r>
      <w:proofErr w:type="spellStart"/>
      <w:r w:rsidRPr="00484AF8">
        <w:rPr>
          <w:rFonts w:ascii="Aptos" w:hAnsi="Aptos"/>
          <w:i/>
          <w:iCs/>
        </w:rPr>
        <w:t>GeneReviews</w:t>
      </w:r>
      <w:proofErr w:type="spellEnd"/>
      <w:r w:rsidRPr="00484AF8">
        <w:rPr>
          <w:rFonts w:ascii="Aptos" w:hAnsi="Aptos"/>
        </w:rPr>
        <w:t>. Seattle (WA): University of Washington, Seattle. Available at: http://www.ncbi.nlm.nih.gov/books/NBK1330/ (Accessed: 9 May 2026).</w:t>
      </w:r>
    </w:p>
    <w:p w14:paraId="74022E29" w14:textId="77777777" w:rsidR="00AE617D" w:rsidRDefault="00AE617D" w:rsidP="00AE617D">
      <w:pPr>
        <w:spacing w:before="200" w:after="0" w:line="216" w:lineRule="auto"/>
        <w:rPr>
          <w:rFonts w:eastAsia="+mn-ea" w:cs="+mn-cs"/>
          <w:color w:val="000000"/>
          <w:kern w:val="24"/>
          <w:lang w:eastAsia="en-GB"/>
          <w14:ligatures w14:val="none"/>
        </w:rPr>
      </w:pPr>
      <w:r w:rsidRPr="00484AF8">
        <w:rPr>
          <w:rFonts w:eastAsia="+mn-ea" w:cs="+mn-cs"/>
          <w:color w:val="000000"/>
          <w:kern w:val="24"/>
          <w:lang w:eastAsia="en-GB"/>
          <w14:ligatures w14:val="none"/>
        </w:rPr>
        <w:t xml:space="preserve">Guevera, A. (2021) ‘The need to reimagine disability rights law because the medical model of disability fails us all,’ </w:t>
      </w:r>
      <w:r w:rsidRPr="00484AF8">
        <w:rPr>
          <w:rFonts w:eastAsia="+mn-ea" w:cs="+mn-cs"/>
          <w:i/>
          <w:iCs/>
          <w:color w:val="000000"/>
          <w:kern w:val="24"/>
          <w:lang w:eastAsia="en-GB"/>
          <w14:ligatures w14:val="none"/>
        </w:rPr>
        <w:t xml:space="preserve">Wisconsin Law Review. </w:t>
      </w:r>
      <w:r w:rsidRPr="00484AF8">
        <w:rPr>
          <w:rFonts w:eastAsia="+mn-ea" w:cs="+mn-cs"/>
          <w:color w:val="000000"/>
          <w:kern w:val="24"/>
          <w:lang w:eastAsia="en-GB"/>
          <w14:ligatures w14:val="none"/>
        </w:rPr>
        <w:t xml:space="preserve">Available at: </w:t>
      </w:r>
      <w:hyperlink r:id="rId7" w:history="1">
        <w:r w:rsidRPr="00484AF8">
          <w:rPr>
            <w:rFonts w:eastAsia="+mn-ea" w:cs="+mn-cs"/>
            <w:color w:val="000000"/>
            <w:kern w:val="24"/>
            <w:u w:val="single"/>
            <w:lang w:eastAsia="en-GB"/>
            <w14:ligatures w14:val="none"/>
          </w:rPr>
          <w:t>Section Head (uwlaw-omeka.s3.us-east-2.amazonaws.com)</w:t>
        </w:r>
      </w:hyperlink>
      <w:r w:rsidRPr="00484AF8">
        <w:rPr>
          <w:rFonts w:eastAsia="+mn-ea" w:cs="+mn-cs"/>
          <w:color w:val="000000"/>
          <w:kern w:val="24"/>
          <w:lang w:eastAsia="en-GB"/>
          <w14:ligatures w14:val="none"/>
        </w:rPr>
        <w:t xml:space="preserve"> (Accessed: 10 May 2026).</w:t>
      </w:r>
    </w:p>
    <w:p w14:paraId="12B1DD33" w14:textId="77777777" w:rsidR="00AE617D" w:rsidRDefault="00AE617D" w:rsidP="00AE617D">
      <w:pPr>
        <w:spacing w:after="240" w:line="240" w:lineRule="auto"/>
      </w:pPr>
      <w:proofErr w:type="spellStart"/>
      <w:r w:rsidRPr="00555F25">
        <w:t>Kuppens</w:t>
      </w:r>
      <w:proofErr w:type="spellEnd"/>
      <w:r w:rsidRPr="00555F25">
        <w:t xml:space="preserve">, R. j., Donze, S. h. and </w:t>
      </w:r>
      <w:proofErr w:type="spellStart"/>
      <w:r w:rsidRPr="00555F25">
        <w:t>Hokken-Koelega</w:t>
      </w:r>
      <w:proofErr w:type="spellEnd"/>
      <w:r w:rsidRPr="00555F25">
        <w:t xml:space="preserve">, A. c. s. (2016) ‘Promising effects of oxytocin on social and food-related behaviour in young children with Prader–Willi syndrome: a randomized, double-blind, controlled crossover trial’, </w:t>
      </w:r>
      <w:r w:rsidRPr="00555F25">
        <w:rPr>
          <w:i/>
          <w:iCs/>
        </w:rPr>
        <w:t>Clinical Endocrinology</w:t>
      </w:r>
      <w:r w:rsidRPr="00555F25">
        <w:t>, 85(6), pp. 979–987. Available at: https://doi.org/10.1111/cen.13169.</w:t>
      </w:r>
    </w:p>
    <w:p w14:paraId="4C7F9C35" w14:textId="77777777" w:rsidR="00AE617D" w:rsidRPr="000B55B8" w:rsidRDefault="00AE617D" w:rsidP="00AE617D">
      <w:pPr>
        <w:spacing w:after="240" w:line="240" w:lineRule="auto"/>
      </w:pPr>
      <w:proofErr w:type="spellStart"/>
      <w:r w:rsidRPr="000B55B8">
        <w:t>Kuppens</w:t>
      </w:r>
      <w:proofErr w:type="spellEnd"/>
      <w:r w:rsidRPr="000B55B8">
        <w:t xml:space="preserve">, R. j., Donze, S. h. and </w:t>
      </w:r>
      <w:proofErr w:type="spellStart"/>
      <w:r w:rsidRPr="000B55B8">
        <w:t>Hokken-Koelega</w:t>
      </w:r>
      <w:proofErr w:type="spellEnd"/>
      <w:r w:rsidRPr="000B55B8">
        <w:t xml:space="preserve">, A. c. s. (2016) ‘Promising effects of oxytocin on social and food-related behaviour in young children with Prader–Willi syndrome: a randomized, double-blind, controlled crossover trial’, </w:t>
      </w:r>
      <w:r w:rsidRPr="000B55B8">
        <w:rPr>
          <w:i/>
          <w:iCs/>
        </w:rPr>
        <w:t>Clinical Endocrinology</w:t>
      </w:r>
      <w:r w:rsidRPr="000B55B8">
        <w:t>, 85(6), pp. 979–987. Available at: https://doi.org/10.1111/cen.13169.</w:t>
      </w:r>
    </w:p>
    <w:p w14:paraId="56987D50" w14:textId="77777777" w:rsidR="00AE617D" w:rsidRPr="00484AF8" w:rsidRDefault="00AE617D" w:rsidP="00AE617D">
      <w:pPr>
        <w:spacing w:after="240" w:line="240" w:lineRule="auto"/>
        <w:rPr>
          <w:rFonts w:ascii="Aptos" w:hAnsi="Aptos"/>
        </w:rPr>
      </w:pPr>
      <w:r w:rsidRPr="00484AF8">
        <w:rPr>
          <w:rFonts w:ascii="Aptos" w:hAnsi="Aptos"/>
        </w:rPr>
        <w:t xml:space="preserve">NHS (2017) </w:t>
      </w:r>
      <w:r w:rsidRPr="00484AF8">
        <w:rPr>
          <w:rFonts w:ascii="Aptos" w:hAnsi="Aptos"/>
          <w:i/>
          <w:iCs/>
        </w:rPr>
        <w:t>Prader-Willi syndrome - Diagnosis</w:t>
      </w:r>
      <w:r w:rsidRPr="00484AF8">
        <w:rPr>
          <w:rFonts w:ascii="Aptos" w:hAnsi="Aptos"/>
        </w:rPr>
        <w:t xml:space="preserve">, </w:t>
      </w:r>
      <w:r w:rsidRPr="00484AF8">
        <w:rPr>
          <w:rFonts w:ascii="Aptos" w:hAnsi="Aptos"/>
          <w:i/>
          <w:iCs/>
        </w:rPr>
        <w:t>nhs.uk</w:t>
      </w:r>
      <w:r w:rsidRPr="00484AF8">
        <w:rPr>
          <w:rFonts w:ascii="Aptos" w:hAnsi="Aptos"/>
        </w:rPr>
        <w:t>. Available at: https://www.nhs.uk/conditions/prader-willi-syndrome/diagnosis/ (Accessed: 9 May 2026).</w:t>
      </w:r>
    </w:p>
    <w:p w14:paraId="330C3AA8" w14:textId="77777777" w:rsidR="00AE617D" w:rsidRPr="00484AF8" w:rsidRDefault="00AE617D" w:rsidP="00AE617D">
      <w:pPr>
        <w:spacing w:after="240" w:line="240" w:lineRule="auto"/>
        <w:rPr>
          <w:rFonts w:ascii="Aptos" w:hAnsi="Aptos"/>
        </w:rPr>
      </w:pPr>
      <w:r w:rsidRPr="00484AF8">
        <w:rPr>
          <w:rFonts w:ascii="Aptos" w:hAnsi="Aptos"/>
        </w:rPr>
        <w:t xml:space="preserve">Rice, L.J., </w:t>
      </w:r>
      <w:proofErr w:type="spellStart"/>
      <w:r w:rsidRPr="00484AF8">
        <w:rPr>
          <w:rFonts w:ascii="Aptos" w:hAnsi="Aptos"/>
        </w:rPr>
        <w:t>Lagopoulos</w:t>
      </w:r>
      <w:proofErr w:type="spellEnd"/>
      <w:r w:rsidRPr="00484AF8">
        <w:rPr>
          <w:rFonts w:ascii="Aptos" w:hAnsi="Aptos"/>
        </w:rPr>
        <w:t xml:space="preserve">, J., Brammer, M. and Einfeld, S.L. (2016) ‘Reduced gamma-aminobutyric acid is associated with emotional and </w:t>
      </w:r>
      <w:proofErr w:type="spellStart"/>
      <w:r w:rsidRPr="00484AF8">
        <w:rPr>
          <w:rFonts w:ascii="Aptos" w:hAnsi="Aptos"/>
        </w:rPr>
        <w:t>behavioral</w:t>
      </w:r>
      <w:proofErr w:type="spellEnd"/>
      <w:r w:rsidRPr="00484AF8">
        <w:rPr>
          <w:rFonts w:ascii="Aptos" w:hAnsi="Aptos"/>
        </w:rPr>
        <w:t xml:space="preserve"> problems in Prader–Willi syndrome’, </w:t>
      </w:r>
      <w:r w:rsidRPr="00484AF8">
        <w:rPr>
          <w:rFonts w:ascii="Aptos" w:hAnsi="Aptos"/>
          <w:i/>
          <w:iCs/>
        </w:rPr>
        <w:t>American Journal of Medical Genetics Part B: Neuropsychiatric Genetics</w:t>
      </w:r>
      <w:r w:rsidRPr="00484AF8">
        <w:rPr>
          <w:rFonts w:ascii="Aptos" w:hAnsi="Aptos"/>
        </w:rPr>
        <w:t>, 171(8), pp. 1041–1048. Available at: https://doi.org/10.1002/ajmg.b.32472 (Accessed: 10 May 2026).</w:t>
      </w:r>
    </w:p>
    <w:p w14:paraId="77331BA4" w14:textId="77777777" w:rsidR="00AE617D" w:rsidRDefault="00AE617D" w:rsidP="00AE617D">
      <w:pPr>
        <w:spacing w:after="240" w:line="240" w:lineRule="auto"/>
        <w:rPr>
          <w:rFonts w:ascii="Aptos" w:hAnsi="Aptos"/>
        </w:rPr>
      </w:pPr>
      <w:r w:rsidRPr="00484AF8">
        <w:rPr>
          <w:rFonts w:ascii="Aptos" w:hAnsi="Aptos"/>
        </w:rPr>
        <w:t xml:space="preserve">Shape Arts (2024) </w:t>
      </w:r>
      <w:r w:rsidRPr="00484AF8">
        <w:rPr>
          <w:rFonts w:ascii="Aptos" w:hAnsi="Aptos"/>
          <w:i/>
          <w:iCs/>
        </w:rPr>
        <w:t>What is the Social Model of Disability?</w:t>
      </w:r>
      <w:r w:rsidRPr="00484AF8">
        <w:rPr>
          <w:rFonts w:ascii="Aptos" w:hAnsi="Aptos"/>
        </w:rPr>
        <w:t xml:space="preserve">, </w:t>
      </w:r>
      <w:r w:rsidRPr="00484AF8">
        <w:rPr>
          <w:rFonts w:ascii="Aptos" w:hAnsi="Aptos"/>
          <w:i/>
          <w:iCs/>
        </w:rPr>
        <w:t>Shape Arts</w:t>
      </w:r>
      <w:r w:rsidRPr="00484AF8">
        <w:rPr>
          <w:rFonts w:ascii="Aptos" w:hAnsi="Aptos"/>
        </w:rPr>
        <w:t>. Available at: https://www.shapearts.org.uk/listing/category/social-model (Accessed: 10 May 2026).</w:t>
      </w:r>
    </w:p>
    <w:p w14:paraId="7EB84FE5" w14:textId="77777777" w:rsidR="00AE617D" w:rsidRDefault="00AE617D" w:rsidP="00AE617D">
      <w:pPr>
        <w:spacing w:after="240" w:line="240" w:lineRule="auto"/>
      </w:pPr>
      <w:r w:rsidRPr="00181249">
        <w:t xml:space="preserve">Wieting, J., Herrmann, T., </w:t>
      </w:r>
      <w:proofErr w:type="spellStart"/>
      <w:r w:rsidRPr="00181249">
        <w:t>Deest</w:t>
      </w:r>
      <w:proofErr w:type="spellEnd"/>
      <w:r w:rsidRPr="00181249">
        <w:t xml:space="preserve">-Gaubatz, S., Eberlein, C.K., Bleich, S., Frieling, H. and </w:t>
      </w:r>
      <w:proofErr w:type="spellStart"/>
      <w:r w:rsidRPr="00181249">
        <w:t>Deest</w:t>
      </w:r>
      <w:proofErr w:type="spellEnd"/>
      <w:r w:rsidRPr="00181249">
        <w:t xml:space="preserve">, M. (2024) ‘Psychiatric care for people with Prader-Willi syndrome—characteristics, needs and barriers’, </w:t>
      </w:r>
      <w:r w:rsidRPr="00181249">
        <w:rPr>
          <w:i/>
          <w:iCs/>
        </w:rPr>
        <w:t>Journal of Applied Research in Intellectual Disabilities</w:t>
      </w:r>
      <w:r w:rsidRPr="00181249">
        <w:t>, 37(4), p. e13266. Available at: https://doi.org/10.1111/jar.13266.</w:t>
      </w:r>
    </w:p>
    <w:p w14:paraId="03726768" w14:textId="77777777" w:rsidR="00AE617D" w:rsidRPr="00181249" w:rsidRDefault="00AE617D" w:rsidP="00AE617D">
      <w:pPr>
        <w:spacing w:after="240" w:line="240" w:lineRule="auto"/>
      </w:pPr>
    </w:p>
    <w:p w14:paraId="56F5C03F" w14:textId="77777777" w:rsidR="00AE617D" w:rsidRPr="00484AF8" w:rsidRDefault="00AE617D" w:rsidP="00AE617D">
      <w:pPr>
        <w:spacing w:after="240" w:line="240" w:lineRule="auto"/>
        <w:rPr>
          <w:rFonts w:ascii="Aptos" w:hAnsi="Aptos"/>
        </w:rPr>
      </w:pPr>
    </w:p>
    <w:p w14:paraId="4220AE14" w14:textId="2CDD04F5" w:rsidR="00BC585A" w:rsidRDefault="00AE617D" w:rsidP="00AE617D">
      <w:pPr>
        <w:rPr>
          <w:rFonts w:ascii="Aptos" w:hAnsi="Aptos"/>
          <w:b/>
          <w:bCs/>
        </w:rPr>
      </w:pPr>
      <w:r w:rsidRPr="00484AF8">
        <w:lastRenderedPageBreak/>
        <w:fldChar w:fldCharType="end"/>
      </w:r>
    </w:p>
    <w:p w14:paraId="70C72981" w14:textId="190A8E55" w:rsidR="00484AF8" w:rsidRPr="00484AF8" w:rsidRDefault="00484AF8" w:rsidP="00484AF8"/>
    <w:p w14:paraId="23903413" w14:textId="77777777" w:rsidR="00484AF8" w:rsidRPr="00484AF8" w:rsidRDefault="00484AF8" w:rsidP="00484AF8"/>
    <w:p w14:paraId="30641EF1" w14:textId="77777777" w:rsidR="00484AF8" w:rsidRPr="00484AF8" w:rsidRDefault="00484AF8" w:rsidP="00484AF8">
      <w:pPr>
        <w:rPr>
          <w:rFonts w:ascii="Aptos" w:hAnsi="Aptos"/>
        </w:rPr>
      </w:pPr>
    </w:p>
    <w:sectPr w:rsidR="00484AF8" w:rsidRPr="00484AF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7C534" w14:textId="77777777" w:rsidR="002158B2" w:rsidRDefault="002158B2" w:rsidP="00E47FF7">
      <w:pPr>
        <w:spacing w:after="0" w:line="240" w:lineRule="auto"/>
      </w:pPr>
      <w:r>
        <w:separator/>
      </w:r>
    </w:p>
  </w:endnote>
  <w:endnote w:type="continuationSeparator" w:id="0">
    <w:p w14:paraId="63AC623B" w14:textId="77777777" w:rsidR="002158B2" w:rsidRDefault="002158B2" w:rsidP="00E47F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71D4B5" w14:textId="77777777" w:rsidR="00484AF8" w:rsidRDefault="00484AF8">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7A9B35D" w14:textId="77777777" w:rsidR="00484AF8" w:rsidRDefault="00484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0D175" w14:textId="77777777" w:rsidR="002158B2" w:rsidRDefault="002158B2" w:rsidP="00E47FF7">
      <w:pPr>
        <w:spacing w:after="0" w:line="240" w:lineRule="auto"/>
      </w:pPr>
      <w:r>
        <w:separator/>
      </w:r>
    </w:p>
  </w:footnote>
  <w:footnote w:type="continuationSeparator" w:id="0">
    <w:p w14:paraId="29684F32" w14:textId="77777777" w:rsidR="002158B2" w:rsidRDefault="002158B2" w:rsidP="00E47F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69D61D" w14:textId="1DAF2C90" w:rsidR="00E47FF7" w:rsidRDefault="00E47FF7">
    <w:pPr>
      <w:pStyle w:val="Header"/>
    </w:pPr>
    <w:r>
      <w:t xml:space="preserve">ECEY 6006 </w:t>
    </w:r>
    <w:r w:rsidR="00484AF8">
      <w:tab/>
      <w:t>2410146</w:t>
    </w:r>
    <w:r w:rsidR="00484AF8">
      <w:tab/>
      <w:t>Word Count: 7</w:t>
    </w:r>
    <w:r w:rsidR="00AE617D">
      <w:t>31</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E2B56"/>
    <w:multiLevelType w:val="multilevel"/>
    <w:tmpl w:val="75B2C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461B15"/>
    <w:multiLevelType w:val="hybridMultilevel"/>
    <w:tmpl w:val="2C3EBD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8460435">
    <w:abstractNumId w:val="0"/>
  </w:num>
  <w:num w:numId="2" w16cid:durableId="925698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B13"/>
    <w:rsid w:val="0003103D"/>
    <w:rsid w:val="000451EF"/>
    <w:rsid w:val="00082445"/>
    <w:rsid w:val="00095C4E"/>
    <w:rsid w:val="000A60DC"/>
    <w:rsid w:val="000B55B8"/>
    <w:rsid w:val="00117B13"/>
    <w:rsid w:val="00181249"/>
    <w:rsid w:val="00197A25"/>
    <w:rsid w:val="001A496E"/>
    <w:rsid w:val="002158B2"/>
    <w:rsid w:val="002D5194"/>
    <w:rsid w:val="002F13E1"/>
    <w:rsid w:val="0031728D"/>
    <w:rsid w:val="00454A97"/>
    <w:rsid w:val="00484AF8"/>
    <w:rsid w:val="004C4E88"/>
    <w:rsid w:val="004E7CA8"/>
    <w:rsid w:val="00555F25"/>
    <w:rsid w:val="006136D8"/>
    <w:rsid w:val="0066149E"/>
    <w:rsid w:val="00683142"/>
    <w:rsid w:val="006F183E"/>
    <w:rsid w:val="00776431"/>
    <w:rsid w:val="007828E7"/>
    <w:rsid w:val="00810649"/>
    <w:rsid w:val="00814610"/>
    <w:rsid w:val="0084694B"/>
    <w:rsid w:val="008574A9"/>
    <w:rsid w:val="008B2801"/>
    <w:rsid w:val="009801BE"/>
    <w:rsid w:val="009B5D65"/>
    <w:rsid w:val="009C0A43"/>
    <w:rsid w:val="009C50B6"/>
    <w:rsid w:val="009D0AB8"/>
    <w:rsid w:val="00A2347D"/>
    <w:rsid w:val="00A53441"/>
    <w:rsid w:val="00A64CE4"/>
    <w:rsid w:val="00AE617D"/>
    <w:rsid w:val="00BA4868"/>
    <w:rsid w:val="00BC585A"/>
    <w:rsid w:val="00C81D70"/>
    <w:rsid w:val="00C970F5"/>
    <w:rsid w:val="00CA458B"/>
    <w:rsid w:val="00CC5121"/>
    <w:rsid w:val="00CD7738"/>
    <w:rsid w:val="00D61BF3"/>
    <w:rsid w:val="00D77EE1"/>
    <w:rsid w:val="00DC766B"/>
    <w:rsid w:val="00DF23E1"/>
    <w:rsid w:val="00E47FF7"/>
    <w:rsid w:val="00ED3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63B10"/>
  <w15:chartTrackingRefBased/>
  <w15:docId w15:val="{31FD1E0D-3B23-4775-968B-E34F1C8DC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7B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7B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7B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7B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7B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7B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7B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7B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7B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B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7B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7B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7B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7B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7B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7B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7B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7B13"/>
    <w:rPr>
      <w:rFonts w:eastAsiaTheme="majorEastAsia" w:cstheme="majorBidi"/>
      <w:color w:val="272727" w:themeColor="text1" w:themeTint="D8"/>
    </w:rPr>
  </w:style>
  <w:style w:type="paragraph" w:styleId="Title">
    <w:name w:val="Title"/>
    <w:basedOn w:val="Normal"/>
    <w:next w:val="Normal"/>
    <w:link w:val="TitleChar"/>
    <w:uiPriority w:val="10"/>
    <w:qFormat/>
    <w:rsid w:val="00117B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7B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7B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7B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7B13"/>
    <w:pPr>
      <w:spacing w:before="160"/>
      <w:jc w:val="center"/>
    </w:pPr>
    <w:rPr>
      <w:i/>
      <w:iCs/>
      <w:color w:val="404040" w:themeColor="text1" w:themeTint="BF"/>
    </w:rPr>
  </w:style>
  <w:style w:type="character" w:customStyle="1" w:styleId="QuoteChar">
    <w:name w:val="Quote Char"/>
    <w:basedOn w:val="DefaultParagraphFont"/>
    <w:link w:val="Quote"/>
    <w:uiPriority w:val="29"/>
    <w:rsid w:val="00117B13"/>
    <w:rPr>
      <w:i/>
      <w:iCs/>
      <w:color w:val="404040" w:themeColor="text1" w:themeTint="BF"/>
    </w:rPr>
  </w:style>
  <w:style w:type="paragraph" w:styleId="ListParagraph">
    <w:name w:val="List Paragraph"/>
    <w:basedOn w:val="Normal"/>
    <w:uiPriority w:val="34"/>
    <w:qFormat/>
    <w:rsid w:val="00117B13"/>
    <w:pPr>
      <w:ind w:left="720"/>
      <w:contextualSpacing/>
    </w:pPr>
  </w:style>
  <w:style w:type="character" w:styleId="IntenseEmphasis">
    <w:name w:val="Intense Emphasis"/>
    <w:basedOn w:val="DefaultParagraphFont"/>
    <w:uiPriority w:val="21"/>
    <w:qFormat/>
    <w:rsid w:val="00117B13"/>
    <w:rPr>
      <w:i/>
      <w:iCs/>
      <w:color w:val="0F4761" w:themeColor="accent1" w:themeShade="BF"/>
    </w:rPr>
  </w:style>
  <w:style w:type="paragraph" w:styleId="IntenseQuote">
    <w:name w:val="Intense Quote"/>
    <w:basedOn w:val="Normal"/>
    <w:next w:val="Normal"/>
    <w:link w:val="IntenseQuoteChar"/>
    <w:uiPriority w:val="30"/>
    <w:qFormat/>
    <w:rsid w:val="00117B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7B13"/>
    <w:rPr>
      <w:i/>
      <w:iCs/>
      <w:color w:val="0F4761" w:themeColor="accent1" w:themeShade="BF"/>
    </w:rPr>
  </w:style>
  <w:style w:type="character" w:styleId="IntenseReference">
    <w:name w:val="Intense Reference"/>
    <w:basedOn w:val="DefaultParagraphFont"/>
    <w:uiPriority w:val="32"/>
    <w:qFormat/>
    <w:rsid w:val="00117B13"/>
    <w:rPr>
      <w:b/>
      <w:bCs/>
      <w:smallCaps/>
      <w:color w:val="0F4761" w:themeColor="accent1" w:themeShade="BF"/>
      <w:spacing w:val="5"/>
    </w:rPr>
  </w:style>
  <w:style w:type="paragraph" w:styleId="Header">
    <w:name w:val="header"/>
    <w:basedOn w:val="Normal"/>
    <w:link w:val="HeaderChar"/>
    <w:uiPriority w:val="99"/>
    <w:unhideWhenUsed/>
    <w:rsid w:val="00E47F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FF7"/>
  </w:style>
  <w:style w:type="paragraph" w:styleId="Footer">
    <w:name w:val="footer"/>
    <w:basedOn w:val="Normal"/>
    <w:link w:val="FooterChar"/>
    <w:uiPriority w:val="99"/>
    <w:unhideWhenUsed/>
    <w:rsid w:val="00E47F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FF7"/>
  </w:style>
  <w:style w:type="paragraph" w:styleId="Bibliography">
    <w:name w:val="Bibliography"/>
    <w:basedOn w:val="Normal"/>
    <w:next w:val="Normal"/>
    <w:uiPriority w:val="37"/>
    <w:semiHidden/>
    <w:unhideWhenUsed/>
    <w:rsid w:val="00484A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wlaw-omeka.s3.us-east-2.amazonaws.com/original/743364440abfc4cf48fc1505704fbdefa3eb2af2.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64</TotalTime>
  <Pages>5</Pages>
  <Words>1647</Words>
  <Characters>9393</Characters>
  <Application>Microsoft Office Word</Application>
  <DocSecurity>0</DocSecurity>
  <Lines>78</Lines>
  <Paragraphs>22</Paragraphs>
  <ScaleCrop>false</ScaleCrop>
  <Company/>
  <LinksUpToDate>false</LinksUpToDate>
  <CharactersWithSpaces>11018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Jones</dc:creator>
  <cp:keywords/>
  <dc:description/>
  <cp:lastModifiedBy>Angharad Jones</cp:lastModifiedBy>
  <cp:revision>45</cp:revision>
  <cp:lastPrinted>2026-05-14T08:45:00Z</cp:lastPrinted>
  <dcterms:created xsi:type="dcterms:W3CDTF">2026-05-10T07:51:00Z</dcterms:created>
  <dcterms:modified xsi:type="dcterms:W3CDTF">2026-05-14T10:40:00Z</dcterms:modified>
</cp:coreProperties>
</file>