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7A46D" w14:textId="29283237" w:rsidR="004D78D7" w:rsidRDefault="00A54C7D">
      <w:pPr>
        <w:rPr>
          <w:sz w:val="40"/>
          <w:szCs w:val="40"/>
        </w:rPr>
      </w:pPr>
      <w:r w:rsidRPr="00A54C7D">
        <w:rPr>
          <w:sz w:val="40"/>
          <w:szCs w:val="40"/>
        </w:rPr>
        <w:t>The roman legion and the Macedonian phalanx</w:t>
      </w:r>
    </w:p>
    <w:p w14:paraId="061B3F6D" w14:textId="5E5CEB19" w:rsidR="00A54C7D" w:rsidRDefault="00A54C7D">
      <w:pPr>
        <w:rPr>
          <w:sz w:val="40"/>
          <w:szCs w:val="40"/>
        </w:rPr>
      </w:pPr>
    </w:p>
    <w:p w14:paraId="2DB40842" w14:textId="5CFF7F9A" w:rsidR="00A54C7D" w:rsidRDefault="002303EC">
      <w:r>
        <w:t>The topic of the phalanx versus the legion is highly discussed and debated topic. The usual first thought is that the Roman legion was superior because they conquered both Macedon and Greece and had defeated their phalanx. However in actuality the two styles of combat were more evenly matched than some would assume.</w:t>
      </w:r>
      <w:r w:rsidR="00FF2AE6">
        <w:t xml:space="preserve"> The differences between these two systems become most apparent during the conflicts between Rome and Pyrrhus and then again when they fight against Philip V. </w:t>
      </w:r>
    </w:p>
    <w:p w14:paraId="38F99D7E" w14:textId="77777777" w:rsidR="00780D1C" w:rsidRDefault="002303EC">
      <w:r>
        <w:t xml:space="preserve">First a look at the Roman legion. The roman army was formed mostly by </w:t>
      </w:r>
      <w:proofErr w:type="spellStart"/>
      <w:r>
        <w:t>well trained</w:t>
      </w:r>
      <w:proofErr w:type="spellEnd"/>
      <w:r>
        <w:t xml:space="preserve"> soldiers that were equipped with a sword and shield in heavy armour that fought in groups called maniples. These maniples were still in a structured formation</w:t>
      </w:r>
      <w:r w:rsidR="00FF2AE6">
        <w:t xml:space="preserve"> but had the freedom to move individually. This system also allowed the individual soldiers the freedom to move and even pursue enemies that were fleeing (Taylor, 2014. Pg 306). Since the maniples could move separately this mean that the front order formation of the Roman army could be more flexible than others. This can be demonstrated by the fact that they could close up when facing ranged attacks, defending each other in a shield wall, and then becoming a more open formation when reaching melee so that they are the same width as the enemy. In the event that the enemy had a wider front line the Roman maniple could also increase the gaps between them that were normally only a couple metres to as much as 20 metres</w:t>
      </w:r>
      <w:r w:rsidR="00780D1C">
        <w:t>, although that much was very uncommon (Taylor, 2014. Pg. 318 – 319).</w:t>
      </w:r>
      <w:r>
        <w:t xml:space="preserve"> The roman shields were wide enough to cover the hole body and would not require assistance from another to help shield them while in combat, allowing for a looser grouping</w:t>
      </w:r>
      <w:r w:rsidR="00780D1C">
        <w:t xml:space="preserve"> and further assisting to strengthen the maniple system</w:t>
      </w:r>
      <w:r>
        <w:t xml:space="preserve">. The gladius that was used by Roman legionaries was also longer than most swords at the time and so this </w:t>
      </w:r>
      <w:r w:rsidR="00780D1C">
        <w:t xml:space="preserve">made the spacing between soldier not only a decision made out of a tactical choice but possibly out of necessity. This would have been because the length of the sword means that if they were in a close formation then it would be likely that they would cut each other because they were primarily attacking with slashes that may have a wide swing (Taylor, 2014. Pg 306). </w:t>
      </w:r>
    </w:p>
    <w:p w14:paraId="40F496CD" w14:textId="77777777" w:rsidR="00245C29" w:rsidRDefault="00780D1C">
      <w:r>
        <w:t xml:space="preserve">The spacing in the Roman army may also have allowed for the integration of other troops to have been placed within. In the wide spaces that were left </w:t>
      </w:r>
      <w:r w:rsidR="00245C29">
        <w:t>between the legionaries there may have been light infantry or auxiliary troops that to fill in and take away from the disadvantage of having to big a gap. In battles where elephants were used, they may also have been placed here (Taylor, 2014. Pg 319). The disadvantage of having gaps in the front line of the army were also solved by the fluidity that the Romans gave themselves. This would be because if an enemy did push into this area then the free soldiers on either side of the maniples could turn to attack them while not weakening the fighting power of the front rank. Moreover the since the Romans split their forces into 3 lines the reserves that were behind the first line could also attack anyone who entered the gaps or could move up through them to provide support (Taylor, 2014. Pg 319).</w:t>
      </w:r>
    </w:p>
    <w:p w14:paraId="7252622F" w14:textId="77777777" w:rsidR="001E3D07" w:rsidRDefault="008D12B4">
      <w:r>
        <w:t xml:space="preserve">The Macedonian Phalanx was almost the opposite of the Roman legion. It was comprised of a very close formation that used spears to kill the enemy at a distance they could not hit back from. The main weapon of the phalanx was the </w:t>
      </w:r>
      <w:proofErr w:type="spellStart"/>
      <w:r>
        <w:t>sarissa</w:t>
      </w:r>
      <w:proofErr w:type="spellEnd"/>
      <w:r>
        <w:t xml:space="preserve"> that was a </w:t>
      </w:r>
      <w:proofErr w:type="gramStart"/>
      <w:r>
        <w:t>6 metre long</w:t>
      </w:r>
      <w:proofErr w:type="gramEnd"/>
      <w:r>
        <w:t xml:space="preserve"> pike. This enabled them to attack from out of range of most other forces, except other phalanxes with the same weapon. The two key tactics of the Macedonian phalanx was to</w:t>
      </w:r>
      <w:r w:rsidR="00245C29">
        <w:t xml:space="preserve"> </w:t>
      </w:r>
      <w:r>
        <w:t xml:space="preserve">stay closely grouped so that the soldiers were almost touching each other and the spacing of the spears tips would also have been tightly, which made their second tactic of having a wall of spear tips that stopped enemy approach (Taylor, 2020. </w:t>
      </w:r>
      <w:r>
        <w:lastRenderedPageBreak/>
        <w:t>pg. 329). The major disadvantage that was seem with the phalanx was that it was difficult to take up and maintain this formation on terrain that flat and open</w:t>
      </w:r>
      <w:r w:rsidR="001E3D07">
        <w:t>, however Taylor argues that this idea has been overly popularised in modern scholarship and is not completely evidenced with battles or ancient literature (Taylor, 2020. Pg. 346 – 349). To further add to the success of the phalanx many ancient authors called it invincible and pointless to charge against when in pitched battles (Taylor, 2020. Pg. 351 – 353).</w:t>
      </w:r>
    </w:p>
    <w:p w14:paraId="1976A6E7" w14:textId="77777777" w:rsidR="00373A97" w:rsidRDefault="002D62D5">
      <w:r>
        <w:t xml:space="preserve">The first major clash of the Macedonian phalanx and the roman legion was during the war with Pyrrhus. In this conflict the Romans won the war but of the three battles that were fought they only achieved victory in one and of this there is very little surviving material. However with the invention of the moniker a Pyrrhic victory it can be inferred that it was not a dominating win just like the two victories of Pyrrhus (Meiklejohn, 1938. Pg. 171). For all three battles the literature is sparce but it is known that for the first two the Romans were forced into fighting pitched battles </w:t>
      </w:r>
      <w:r w:rsidR="006E3F7A">
        <w:t xml:space="preserve">that gave the advantage to the phalanx. Pyrrhus was also a smart tactician and knew that deploying the phalanx alone would open up its potential weaknesses and so put elephants and cavalry on either side and light infantry to support the phalanx (Meiklejohn, 1938. Pg. 176 – 177). This first encounter between the two forces shows that the superiority of the two could be either way as when the Macedonians were in proper placement it became almost impossible to win when they were assisted by proper tactics but that without some of these in place the Romans could defeat them even if not completely, can only be presumed because of lack of source material. However the overall victory of war and their final victory in battle would have also been assisted by the fact that Pyrrhus was unable to replenish his forces like the Romans could and so would have been at an additional disadvantage. With this in mind a clear comparison of the two cannot be completely achieved but </w:t>
      </w:r>
      <w:r w:rsidR="00373A97">
        <w:t>that will most likely never have happened as there is always and outside factor or one side at some kind of disadvantage in war.</w:t>
      </w:r>
    </w:p>
    <w:p w14:paraId="4AA86959" w14:textId="375ED364" w:rsidR="00582CDF" w:rsidRDefault="00373A97">
      <w:r>
        <w:t xml:space="preserve">Several decades after these clashes the Romans fought against Philip V in the Second Macedonian War and the major battle that ended the conflict was at Cynoscephalae with a Roman victory. This battle was fought across several ridges with some flat areas spaced about. Both armies had set up camp but were unable to see each other and so sent out reconnaissance to look for the other. To begin with the Macedonians started to route the Roman troops but </w:t>
      </w:r>
      <w:proofErr w:type="spellStart"/>
      <w:r>
        <w:t>Flamininus</w:t>
      </w:r>
      <w:proofErr w:type="spellEnd"/>
      <w:r>
        <w:t xml:space="preserve"> sent reinforcements that pushed back the Macedonians and them started to deploy his full force to the field. </w:t>
      </w:r>
      <w:r w:rsidR="00582CDF">
        <w:t xml:space="preserve">In response to the reports Philip V started to move his forces out but many of them he had sent to gather food and so were delayed in getting to the battlefield. Philip’s forces arrived first and set into phalanx formation and charged into the Romans, but the left side of his forces were still marching there (Hammond, 1988. Pg 71 – 73). </w:t>
      </w:r>
    </w:p>
    <w:p w14:paraId="1FBD6756" w14:textId="77777777" w:rsidR="00B9656C" w:rsidRDefault="00582CDF">
      <w:r>
        <w:t xml:space="preserve">This is the point where the phalanx and the legion showed their differences. The Macedonians started to easily push back the Romans on the right since they had charged in full formation and were using flat open ground to their full advantage. However on the other side of the fighting the eft of the Macedonian forces were not fully prepared and on even ground when they were charged at by the Romans elephants and infantry. This caused a quick retreat  but instead of all of the Romans pursuing one of the Tribunes got his men to turn around and attack the back of the Macedonian phalanx that was winning. With this they were able to easily kill the Macedonians as the phalanx does not have good manoeuvrability and so could not respond to the rear assault properly (Hammond, 1988. Pg. 74 – 76).  This battle displays the advantages </w:t>
      </w:r>
      <w:r w:rsidR="00B9656C">
        <w:t xml:space="preserve">of both styles of warfare with the front facing superiority of the phalanx and the superior freedom of the legion. Even though it is a Roman victory in the end it does not mean that this style is superior because if Philip V had chosen </w:t>
      </w:r>
      <w:r w:rsidR="00B9656C">
        <w:lastRenderedPageBreak/>
        <w:t xml:space="preserve">to wait for the other half of his force to prepare before deploying then it may well have ended very differently. </w:t>
      </w:r>
    </w:p>
    <w:p w14:paraId="5F4DCAA1" w14:textId="77777777" w:rsidR="008560EC" w:rsidRDefault="00B9656C">
      <w:r>
        <w:t xml:space="preserve">In conclusion it </w:t>
      </w:r>
      <w:proofErr w:type="spellStart"/>
      <w:r w:rsidR="008560EC">
        <w:t>can not</w:t>
      </w:r>
      <w:proofErr w:type="spellEnd"/>
      <w:r w:rsidR="008560EC">
        <w:t xml:space="preserve"> truly be</w:t>
      </w:r>
      <w:r>
        <w:t xml:space="preserve"> said that one is completely superior to the other</w:t>
      </w:r>
      <w:r w:rsidR="008560EC">
        <w:t xml:space="preserve"> in terms of an even battle between just the two of them</w:t>
      </w:r>
      <w:r>
        <w:t>. However with the mind of how often or in majority situational circumstances</w:t>
      </w:r>
      <w:r w:rsidR="008560EC">
        <w:t xml:space="preserve"> victory would happen,</w:t>
      </w:r>
      <w:r>
        <w:t xml:space="preserve"> the Roman legion would seem to be the greater force. This is because they have the higher ability to adapt to different styles of battle and terrain while the phalanx relies on an open battlefield and starts to crumble in other terrain. There are further advantages like the ability to have freer actions on the battlefield, like what the Tribune who flanked Philip V did, since this allows for quicker reactions to the battle and doe not rely on the general to issue orders for everything</w:t>
      </w:r>
      <w:r w:rsidR="008560EC">
        <w:t>. Another supporting point for the legion is that in the future they were able to incorporate other troops with there style of fighting and could also further adapt their own legionary style while the Macedonian phalanx had been stuck as the same from when it was improved by Phillip II until its defeat by the Romans.</w:t>
      </w:r>
    </w:p>
    <w:p w14:paraId="70606B94" w14:textId="77777777" w:rsidR="008560EC" w:rsidRDefault="008560EC"/>
    <w:p w14:paraId="1559EA09" w14:textId="77777777" w:rsidR="008560EC" w:rsidRDefault="008560EC">
      <w:pPr>
        <w:rPr>
          <w:sz w:val="32"/>
          <w:szCs w:val="32"/>
        </w:rPr>
      </w:pPr>
      <w:r w:rsidRPr="008560EC">
        <w:rPr>
          <w:sz w:val="32"/>
          <w:szCs w:val="32"/>
        </w:rPr>
        <w:t xml:space="preserve">Bibliography:  </w:t>
      </w:r>
      <w:r w:rsidR="00582CDF" w:rsidRPr="008560EC">
        <w:rPr>
          <w:sz w:val="32"/>
          <w:szCs w:val="32"/>
        </w:rPr>
        <w:t xml:space="preserve">  </w:t>
      </w:r>
      <w:r w:rsidR="001E3D07" w:rsidRPr="008560EC">
        <w:rPr>
          <w:sz w:val="32"/>
          <w:szCs w:val="32"/>
        </w:rPr>
        <w:t xml:space="preserve"> </w:t>
      </w:r>
    </w:p>
    <w:p w14:paraId="7C4832AC" w14:textId="77777777" w:rsidR="008560EC" w:rsidRDefault="008560EC" w:rsidP="008560EC">
      <w:pPr>
        <w:spacing w:after="0" w:line="240" w:lineRule="auto"/>
        <w:rPr>
          <w:rFonts w:ascii="Times New Roman" w:eastAsia="Times New Roman" w:hAnsi="Times New Roman" w:cs="Times New Roman"/>
          <w:sz w:val="24"/>
          <w:szCs w:val="24"/>
          <w:lang w:eastAsia="en-GB"/>
        </w:rPr>
      </w:pPr>
      <w:r w:rsidRPr="00541732">
        <w:rPr>
          <w:rFonts w:ascii="Times New Roman" w:eastAsia="Times New Roman" w:hAnsi="Times New Roman" w:cs="Times New Roman"/>
          <w:sz w:val="24"/>
          <w:szCs w:val="24"/>
          <w:lang w:eastAsia="en-GB"/>
        </w:rPr>
        <w:t xml:space="preserve">N. G. L. Hammond. 1988. The Campaign and the Battle of Cynoscephalae in 197 BC. </w:t>
      </w:r>
      <w:r w:rsidRPr="00541732">
        <w:rPr>
          <w:rFonts w:ascii="Times New Roman" w:eastAsia="Times New Roman" w:hAnsi="Times New Roman" w:cs="Times New Roman"/>
          <w:i/>
          <w:iCs/>
          <w:sz w:val="24"/>
          <w:szCs w:val="24"/>
          <w:lang w:eastAsia="en-GB"/>
        </w:rPr>
        <w:t>The Journal of Hellenic Studies</w:t>
      </w:r>
      <w:r w:rsidRPr="00541732">
        <w:rPr>
          <w:rFonts w:ascii="Times New Roman" w:eastAsia="Times New Roman" w:hAnsi="Times New Roman" w:cs="Times New Roman"/>
          <w:sz w:val="24"/>
          <w:szCs w:val="24"/>
          <w:lang w:eastAsia="en-GB"/>
        </w:rPr>
        <w:t xml:space="preserve">, </w:t>
      </w:r>
      <w:r w:rsidRPr="00541732">
        <w:rPr>
          <w:rFonts w:ascii="Times New Roman" w:eastAsia="Times New Roman" w:hAnsi="Times New Roman" w:cs="Times New Roman"/>
          <w:i/>
          <w:iCs/>
          <w:sz w:val="24"/>
          <w:szCs w:val="24"/>
          <w:lang w:eastAsia="en-GB"/>
        </w:rPr>
        <w:t>108</w:t>
      </w:r>
      <w:r w:rsidRPr="00541732">
        <w:rPr>
          <w:rFonts w:ascii="Times New Roman" w:eastAsia="Times New Roman" w:hAnsi="Times New Roman" w:cs="Times New Roman"/>
          <w:sz w:val="24"/>
          <w:szCs w:val="24"/>
          <w:lang w:eastAsia="en-GB"/>
        </w:rPr>
        <w:t xml:space="preserve">, 60–82. </w:t>
      </w:r>
      <w:hyperlink r:id="rId4" w:history="1">
        <w:r w:rsidRPr="00541732">
          <w:rPr>
            <w:rStyle w:val="Hyperlink"/>
            <w:rFonts w:ascii="Times New Roman" w:eastAsia="Times New Roman" w:hAnsi="Times New Roman" w:cs="Times New Roman"/>
            <w:sz w:val="24"/>
            <w:szCs w:val="24"/>
            <w:lang w:eastAsia="en-GB"/>
          </w:rPr>
          <w:t>https://doi.org/10.2307/632631</w:t>
        </w:r>
      </w:hyperlink>
    </w:p>
    <w:p w14:paraId="6C93AEDC" w14:textId="77777777" w:rsidR="008560EC" w:rsidRDefault="008560EC" w:rsidP="008560EC">
      <w:pPr>
        <w:spacing w:after="0" w:line="240" w:lineRule="auto"/>
        <w:rPr>
          <w:rFonts w:ascii="Times New Roman" w:eastAsia="Times New Roman" w:hAnsi="Times New Roman" w:cs="Times New Roman"/>
          <w:sz w:val="24"/>
          <w:szCs w:val="24"/>
          <w:lang w:eastAsia="en-GB"/>
        </w:rPr>
      </w:pPr>
    </w:p>
    <w:p w14:paraId="66AAF732" w14:textId="77777777" w:rsidR="008560EC" w:rsidRDefault="008560EC" w:rsidP="008560E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Taylor, R., 2020. </w:t>
      </w:r>
      <w:r>
        <w:rPr>
          <w:rFonts w:ascii="Arial" w:hAnsi="Arial" w:cs="Arial"/>
          <w:i/>
          <w:iCs/>
          <w:color w:val="222222"/>
          <w:sz w:val="20"/>
          <w:szCs w:val="20"/>
          <w:shd w:val="clear" w:color="auto" w:fill="FFFFFF"/>
        </w:rPr>
        <w:t>The Macedonian Phalanx: Equipment, organization and tactics from Philip and Alexander to the Roman conquest</w:t>
      </w:r>
      <w:r>
        <w:rPr>
          <w:rFonts w:ascii="Arial" w:hAnsi="Arial" w:cs="Arial"/>
          <w:color w:val="222222"/>
          <w:sz w:val="20"/>
          <w:szCs w:val="20"/>
          <w:shd w:val="clear" w:color="auto" w:fill="FFFFFF"/>
        </w:rPr>
        <w:t>. Pen and Sword Military.</w:t>
      </w:r>
    </w:p>
    <w:p w14:paraId="16C9C000" w14:textId="77777777" w:rsidR="008560EC" w:rsidRDefault="008560EC" w:rsidP="008560EC">
      <w:pPr>
        <w:spacing w:after="0" w:line="240" w:lineRule="auto"/>
        <w:rPr>
          <w:sz w:val="32"/>
          <w:szCs w:val="32"/>
        </w:rPr>
      </w:pPr>
    </w:p>
    <w:p w14:paraId="366D2213" w14:textId="12E32909" w:rsidR="008560EC" w:rsidRDefault="008560EC" w:rsidP="008560EC">
      <w:pPr>
        <w:spacing w:after="0" w:line="240" w:lineRule="auto"/>
        <w:rPr>
          <w:rFonts w:ascii="Helvetica" w:hAnsi="Helvetica" w:cs="Helvetica"/>
          <w:color w:val="000000"/>
          <w:spacing w:val="-5"/>
        </w:rPr>
      </w:pPr>
      <w:r>
        <w:rPr>
          <w:rFonts w:ascii="Helvetica" w:hAnsi="Helvetica" w:cs="Helvetica"/>
          <w:color w:val="000000"/>
          <w:spacing w:val="-5"/>
        </w:rPr>
        <w:t>Taylor, M. J. 2014. ROMAN INFANTRY TACTICS IN THE MID-REPUBLIC: A REASSESSMENT. </w:t>
      </w:r>
      <w:r>
        <w:rPr>
          <w:rFonts w:ascii="Helvetica" w:hAnsi="Helvetica" w:cs="Helvetica"/>
          <w:i/>
          <w:iCs/>
          <w:color w:val="000000"/>
          <w:spacing w:val="-5"/>
        </w:rPr>
        <w:t xml:space="preserve">Historia: </w:t>
      </w:r>
      <w:proofErr w:type="spellStart"/>
      <w:r>
        <w:rPr>
          <w:rFonts w:ascii="Helvetica" w:hAnsi="Helvetica" w:cs="Helvetica"/>
          <w:i/>
          <w:iCs/>
          <w:color w:val="000000"/>
          <w:spacing w:val="-5"/>
        </w:rPr>
        <w:t>Zeitschrift</w:t>
      </w:r>
      <w:proofErr w:type="spellEnd"/>
      <w:r>
        <w:rPr>
          <w:rFonts w:ascii="Helvetica" w:hAnsi="Helvetica" w:cs="Helvetica"/>
          <w:i/>
          <w:iCs/>
          <w:color w:val="000000"/>
          <w:spacing w:val="-5"/>
        </w:rPr>
        <w:t xml:space="preserve"> Für Alte </w:t>
      </w:r>
      <w:proofErr w:type="spellStart"/>
      <w:r>
        <w:rPr>
          <w:rFonts w:ascii="Helvetica" w:hAnsi="Helvetica" w:cs="Helvetica"/>
          <w:i/>
          <w:iCs/>
          <w:color w:val="000000"/>
          <w:spacing w:val="-5"/>
        </w:rPr>
        <w:t>Geschichte</w:t>
      </w:r>
      <w:proofErr w:type="spellEnd"/>
      <w:r>
        <w:rPr>
          <w:rFonts w:ascii="Helvetica" w:hAnsi="Helvetica" w:cs="Helvetica"/>
          <w:color w:val="000000"/>
          <w:spacing w:val="-5"/>
        </w:rPr>
        <w:t>, </w:t>
      </w:r>
      <w:r>
        <w:rPr>
          <w:rFonts w:ascii="Helvetica" w:hAnsi="Helvetica" w:cs="Helvetica"/>
          <w:i/>
          <w:iCs/>
          <w:color w:val="000000"/>
          <w:spacing w:val="-5"/>
        </w:rPr>
        <w:t>63</w:t>
      </w:r>
      <w:r>
        <w:rPr>
          <w:rFonts w:ascii="Helvetica" w:hAnsi="Helvetica" w:cs="Helvetica"/>
          <w:color w:val="000000"/>
          <w:spacing w:val="-5"/>
        </w:rPr>
        <w:t xml:space="preserve">(3), 301–322. </w:t>
      </w:r>
      <w:hyperlink r:id="rId5" w:history="1">
        <w:r w:rsidRPr="00FF0DF3">
          <w:rPr>
            <w:rStyle w:val="Hyperlink"/>
            <w:rFonts w:ascii="Helvetica" w:hAnsi="Helvetica" w:cs="Helvetica"/>
            <w:spacing w:val="-5"/>
          </w:rPr>
          <w:t>http://www.jstor.org/stable/24432811</w:t>
        </w:r>
      </w:hyperlink>
    </w:p>
    <w:p w14:paraId="13C1027B" w14:textId="77777777" w:rsidR="008560EC" w:rsidRDefault="008560EC" w:rsidP="008560EC">
      <w:pPr>
        <w:spacing w:after="0" w:line="240" w:lineRule="auto"/>
        <w:rPr>
          <w:rFonts w:ascii="Helvetica" w:hAnsi="Helvetica" w:cs="Helvetica"/>
          <w:color w:val="000000"/>
          <w:spacing w:val="-5"/>
        </w:rPr>
      </w:pPr>
    </w:p>
    <w:p w14:paraId="7B112058" w14:textId="25331965" w:rsidR="008560EC" w:rsidRDefault="008560EC" w:rsidP="008560EC">
      <w:pPr>
        <w:spacing w:after="0" w:line="240" w:lineRule="auto"/>
        <w:rPr>
          <w:rFonts w:ascii="Helvetica" w:hAnsi="Helvetica" w:cs="Helvetica"/>
          <w:color w:val="000000"/>
          <w:spacing w:val="-5"/>
        </w:rPr>
      </w:pPr>
      <w:r w:rsidRPr="008560EC">
        <w:rPr>
          <w:rFonts w:ascii="Helvetica" w:hAnsi="Helvetica" w:cs="Helvetica"/>
          <w:color w:val="000000"/>
          <w:spacing w:val="-5"/>
        </w:rPr>
        <w:t>Meiklejohn, K. W. 1938. Roman Strategy and Tactics from 509 to 202 B. C. </w:t>
      </w:r>
      <w:r w:rsidRPr="008560EC">
        <w:rPr>
          <w:rFonts w:ascii="Helvetica" w:hAnsi="Helvetica" w:cs="Helvetica"/>
          <w:i/>
          <w:iCs/>
          <w:color w:val="000000"/>
          <w:spacing w:val="-5"/>
        </w:rPr>
        <w:t>Greece &amp; Rome</w:t>
      </w:r>
      <w:r w:rsidRPr="008560EC">
        <w:rPr>
          <w:rFonts w:ascii="Helvetica" w:hAnsi="Helvetica" w:cs="Helvetica"/>
          <w:color w:val="000000"/>
          <w:spacing w:val="-5"/>
        </w:rPr>
        <w:t>, </w:t>
      </w:r>
      <w:r w:rsidRPr="008560EC">
        <w:rPr>
          <w:rFonts w:ascii="Helvetica" w:hAnsi="Helvetica" w:cs="Helvetica"/>
          <w:i/>
          <w:iCs/>
          <w:color w:val="000000"/>
          <w:spacing w:val="-5"/>
        </w:rPr>
        <w:t>7</w:t>
      </w:r>
      <w:r w:rsidRPr="008560EC">
        <w:rPr>
          <w:rFonts w:ascii="Helvetica" w:hAnsi="Helvetica" w:cs="Helvetica"/>
          <w:color w:val="000000"/>
          <w:spacing w:val="-5"/>
        </w:rPr>
        <w:t xml:space="preserve">(21), 170–178. </w:t>
      </w:r>
      <w:hyperlink r:id="rId6" w:history="1">
        <w:r w:rsidRPr="008560EC">
          <w:rPr>
            <w:rStyle w:val="Hyperlink"/>
            <w:rFonts w:ascii="Helvetica" w:hAnsi="Helvetica" w:cs="Helvetica"/>
            <w:spacing w:val="-5"/>
          </w:rPr>
          <w:t>http://www.jstor.org/stable/641877</w:t>
        </w:r>
      </w:hyperlink>
    </w:p>
    <w:p w14:paraId="3461FD3A" w14:textId="2E3C6320" w:rsidR="008560EC" w:rsidRDefault="008560EC" w:rsidP="008560EC">
      <w:pPr>
        <w:spacing w:after="0" w:line="240" w:lineRule="auto"/>
        <w:rPr>
          <w:rFonts w:ascii="Helvetica" w:hAnsi="Helvetica" w:cs="Helvetica"/>
          <w:color w:val="000000"/>
          <w:spacing w:val="-5"/>
        </w:rPr>
      </w:pPr>
    </w:p>
    <w:p w14:paraId="5DB3A049" w14:textId="4F18EC4E" w:rsidR="008560EC" w:rsidRDefault="008560EC" w:rsidP="008560EC">
      <w:pPr>
        <w:spacing w:after="0" w:line="240" w:lineRule="auto"/>
        <w:rPr>
          <w:rFonts w:ascii="Helvetica" w:hAnsi="Helvetica" w:cs="Helvetica"/>
          <w:color w:val="000000"/>
          <w:spacing w:val="-5"/>
        </w:rPr>
      </w:pPr>
    </w:p>
    <w:p w14:paraId="5A96FA03" w14:textId="77777777" w:rsidR="008560EC" w:rsidRDefault="008560EC" w:rsidP="008560EC">
      <w:pPr>
        <w:spacing w:after="0" w:line="240" w:lineRule="auto"/>
        <w:rPr>
          <w:rFonts w:ascii="Helvetica" w:hAnsi="Helvetica" w:cs="Helvetica"/>
          <w:color w:val="000000"/>
          <w:spacing w:val="-5"/>
        </w:rPr>
      </w:pPr>
    </w:p>
    <w:p w14:paraId="0A2E59BC" w14:textId="3EAEFFC5" w:rsidR="008560EC" w:rsidRPr="008560EC" w:rsidRDefault="008560EC" w:rsidP="008560EC">
      <w:pPr>
        <w:spacing w:after="0" w:line="240" w:lineRule="auto"/>
        <w:rPr>
          <w:rFonts w:ascii="Helvetica" w:hAnsi="Helvetica" w:cs="Helvetica"/>
          <w:color w:val="000000"/>
          <w:spacing w:val="-5"/>
        </w:rPr>
      </w:pPr>
      <w:r>
        <w:rPr>
          <w:rFonts w:ascii="Helvetica" w:hAnsi="Helvetica" w:cs="Helvetica"/>
          <w:color w:val="000000"/>
          <w:spacing w:val="-5"/>
        </w:rPr>
        <w:t xml:space="preserve">Sorry that this is really under the word count and not well written and also late again. I just lost all motivation for it and got stressed and then sort of gave up. This isn’t an </w:t>
      </w:r>
      <w:proofErr w:type="gramStart"/>
      <w:r>
        <w:rPr>
          <w:rFonts w:ascii="Helvetica" w:hAnsi="Helvetica" w:cs="Helvetica"/>
          <w:color w:val="000000"/>
          <w:spacing w:val="-5"/>
        </w:rPr>
        <w:t>excuse</w:t>
      </w:r>
      <w:proofErr w:type="gramEnd"/>
      <w:r>
        <w:rPr>
          <w:rFonts w:ascii="Helvetica" w:hAnsi="Helvetica" w:cs="Helvetica"/>
          <w:color w:val="000000"/>
          <w:spacing w:val="-5"/>
        </w:rPr>
        <w:t xml:space="preserve"> but I just felt like putting it</w:t>
      </w:r>
    </w:p>
    <w:p w14:paraId="3B41CAE1" w14:textId="2AFBF052" w:rsidR="002303EC" w:rsidRPr="008560EC" w:rsidRDefault="002303EC" w:rsidP="008560EC">
      <w:pPr>
        <w:spacing w:after="0" w:line="240" w:lineRule="auto"/>
        <w:rPr>
          <w:rFonts w:ascii="Times New Roman" w:eastAsia="Times New Roman" w:hAnsi="Times New Roman" w:cs="Times New Roman"/>
          <w:sz w:val="24"/>
          <w:szCs w:val="24"/>
          <w:lang w:eastAsia="en-GB"/>
        </w:rPr>
      </w:pPr>
    </w:p>
    <w:sectPr w:rsidR="002303EC" w:rsidRPr="008560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7D"/>
    <w:rsid w:val="001E3D07"/>
    <w:rsid w:val="002303EC"/>
    <w:rsid w:val="00245C29"/>
    <w:rsid w:val="002D62D5"/>
    <w:rsid w:val="00373A97"/>
    <w:rsid w:val="004D78D7"/>
    <w:rsid w:val="00582CDF"/>
    <w:rsid w:val="006E3F7A"/>
    <w:rsid w:val="00780D1C"/>
    <w:rsid w:val="008560EC"/>
    <w:rsid w:val="008D12B4"/>
    <w:rsid w:val="00A54C7D"/>
    <w:rsid w:val="00B9656C"/>
    <w:rsid w:val="00FF2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73D84"/>
  <w15:chartTrackingRefBased/>
  <w15:docId w15:val="{EFE2B407-D038-4084-8729-A11103CF6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0EC"/>
    <w:rPr>
      <w:color w:val="0563C1" w:themeColor="hyperlink"/>
      <w:u w:val="single"/>
    </w:rPr>
  </w:style>
  <w:style w:type="paragraph" w:styleId="ListParagraph">
    <w:name w:val="List Paragraph"/>
    <w:basedOn w:val="Normal"/>
    <w:uiPriority w:val="34"/>
    <w:qFormat/>
    <w:rsid w:val="00856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641877" TargetMode="External"/><Relationship Id="rId5" Type="http://schemas.openxmlformats.org/officeDocument/2006/relationships/hyperlink" Target="http://www.jstor.org/stable/24432811" TargetMode="External"/><Relationship Id="rId4" Type="http://schemas.openxmlformats.org/officeDocument/2006/relationships/hyperlink" Target="https://doi.org/10.2307/6326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3</Pages>
  <Words>1532</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1</cp:revision>
  <dcterms:created xsi:type="dcterms:W3CDTF">2023-03-24T23:13:00Z</dcterms:created>
  <dcterms:modified xsi:type="dcterms:W3CDTF">2023-03-25T02:00:00Z</dcterms:modified>
</cp:coreProperties>
</file>