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531D9" w14:textId="25BE1E9B" w:rsidR="001106FA" w:rsidRDefault="00781A09" w:rsidP="001106FA">
      <w:pPr>
        <w:jc w:val="center"/>
        <w:rPr>
          <w:rFonts w:eastAsia="Times New Roman" w:cs="Times New Roman"/>
          <w:b/>
          <w:bCs/>
          <w:sz w:val="32"/>
          <w:szCs w:val="24"/>
          <w:lang w:val="en-GB"/>
        </w:rPr>
      </w:pPr>
      <w:r w:rsidRPr="003E49C0">
        <w:rPr>
          <w:rFonts w:ascii="Arial" w:hAnsi="Arial"/>
          <w:b/>
          <w:bCs/>
          <w:noProof/>
          <w:sz w:val="32"/>
          <w:szCs w:val="32"/>
          <w:lang w:eastAsia="en-GB"/>
        </w:rPr>
        <w:drawing>
          <wp:anchor distT="0" distB="0" distL="114300" distR="114300" simplePos="0" relativeHeight="251658240" behindDoc="1" locked="0" layoutInCell="1" allowOverlap="1" wp14:anchorId="45BD6E78" wp14:editId="2E3047EA">
            <wp:simplePos x="0" y="0"/>
            <wp:positionH relativeFrom="column">
              <wp:posOffset>1417320</wp:posOffset>
            </wp:positionH>
            <wp:positionV relativeFrom="paragraph">
              <wp:posOffset>76200</wp:posOffset>
            </wp:positionV>
            <wp:extent cx="3084195" cy="942975"/>
            <wp:effectExtent l="0" t="0" r="1905" b="0"/>
            <wp:wrapTight wrapText="bothSides">
              <wp:wrapPolygon edited="0">
                <wp:start x="133" y="873"/>
                <wp:lineTo x="133" y="10473"/>
                <wp:lineTo x="934" y="15709"/>
                <wp:lineTo x="1201" y="18327"/>
                <wp:lineTo x="3202" y="19200"/>
                <wp:lineTo x="8939" y="20073"/>
                <wp:lineTo x="9739" y="20073"/>
                <wp:lineTo x="17344" y="19200"/>
                <wp:lineTo x="17477" y="15709"/>
                <wp:lineTo x="21347" y="15273"/>
                <wp:lineTo x="21480" y="12218"/>
                <wp:lineTo x="18678" y="8727"/>
                <wp:lineTo x="19479" y="3055"/>
                <wp:lineTo x="18945" y="2182"/>
                <wp:lineTo x="14943" y="873"/>
                <wp:lineTo x="133" y="873"/>
              </wp:wrapPolygon>
            </wp:wrapTight>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3084195" cy="942975"/>
                    </a:xfrm>
                    <a:prstGeom prst="rect">
                      <a:avLst/>
                    </a:prstGeom>
                    <a:ln/>
                  </pic:spPr>
                </pic:pic>
              </a:graphicData>
            </a:graphic>
          </wp:anchor>
        </w:drawing>
      </w:r>
    </w:p>
    <w:p w14:paraId="5EC158D5" w14:textId="77777777" w:rsidR="001106FA" w:rsidRDefault="001106FA" w:rsidP="00781A09">
      <w:pPr>
        <w:rPr>
          <w:rFonts w:eastAsia="Times New Roman" w:cs="Times New Roman"/>
          <w:b/>
          <w:bCs/>
          <w:sz w:val="32"/>
          <w:szCs w:val="24"/>
          <w:lang w:val="en-GB"/>
        </w:rPr>
      </w:pPr>
    </w:p>
    <w:p w14:paraId="78F79F43" w14:textId="77777777" w:rsidR="00781A09" w:rsidRDefault="00781A09" w:rsidP="00781A09">
      <w:pPr>
        <w:rPr>
          <w:rFonts w:eastAsia="Times New Roman" w:cs="Times New Roman"/>
          <w:sz w:val="32"/>
          <w:szCs w:val="24"/>
          <w:lang w:val="en-GB"/>
        </w:rPr>
      </w:pPr>
    </w:p>
    <w:p w14:paraId="25926452" w14:textId="77777777" w:rsidR="00781A09" w:rsidRPr="00781A09" w:rsidRDefault="00781A09" w:rsidP="00781A09">
      <w:pPr>
        <w:rPr>
          <w:rFonts w:eastAsia="Times New Roman" w:cs="Times New Roman"/>
          <w:sz w:val="32"/>
          <w:szCs w:val="24"/>
          <w:lang w:val="en-GB"/>
        </w:rPr>
      </w:pPr>
    </w:p>
    <w:p w14:paraId="3A79C396" w14:textId="77777777" w:rsidR="00E7394B" w:rsidRPr="00781A09" w:rsidRDefault="00FA4025" w:rsidP="001106FA">
      <w:pPr>
        <w:jc w:val="center"/>
        <w:rPr>
          <w:rFonts w:eastAsia="Times New Roman" w:cs="Times New Roman"/>
          <w:sz w:val="32"/>
          <w:szCs w:val="24"/>
          <w:lang w:val="en-GB"/>
        </w:rPr>
      </w:pPr>
      <w:r w:rsidRPr="00781A09">
        <w:rPr>
          <w:rFonts w:eastAsia="Times New Roman" w:cs="Times New Roman"/>
          <w:b/>
          <w:bCs/>
          <w:sz w:val="32"/>
          <w:szCs w:val="24"/>
          <w:lang w:val="en-GB"/>
        </w:rPr>
        <w:t>Module</w:t>
      </w:r>
      <w:r w:rsidRPr="00781A09">
        <w:rPr>
          <w:rFonts w:eastAsia="Times New Roman" w:cs="Times New Roman"/>
          <w:sz w:val="32"/>
          <w:szCs w:val="24"/>
          <w:lang w:val="en-GB"/>
        </w:rPr>
        <w:t>: Strategic Management</w:t>
      </w:r>
    </w:p>
    <w:p w14:paraId="6C513405" w14:textId="77777777" w:rsidR="00E7394B" w:rsidRPr="00781A09" w:rsidRDefault="00FA4025" w:rsidP="001106FA">
      <w:pPr>
        <w:jc w:val="center"/>
        <w:rPr>
          <w:rFonts w:eastAsia="Times New Roman" w:cs="Times New Roman"/>
          <w:sz w:val="32"/>
          <w:szCs w:val="24"/>
          <w:lang w:val="en-GB"/>
        </w:rPr>
      </w:pPr>
      <w:r w:rsidRPr="001106FA">
        <w:rPr>
          <w:rFonts w:eastAsia="Times New Roman" w:cs="Times New Roman"/>
          <w:b/>
          <w:bCs/>
          <w:sz w:val="32"/>
          <w:szCs w:val="24"/>
          <w:lang w:val="en-GB"/>
        </w:rPr>
        <w:t>Module code</w:t>
      </w:r>
      <w:r w:rsidRPr="00781A09">
        <w:rPr>
          <w:rFonts w:eastAsia="Times New Roman" w:cs="Times New Roman"/>
          <w:sz w:val="32"/>
          <w:szCs w:val="24"/>
          <w:lang w:val="en-GB"/>
        </w:rPr>
        <w:t>: LCMB7003</w:t>
      </w:r>
    </w:p>
    <w:p w14:paraId="02459E8E" w14:textId="77777777" w:rsidR="00E7394B" w:rsidRPr="001106FA" w:rsidRDefault="00FA4025" w:rsidP="001106FA">
      <w:pPr>
        <w:jc w:val="center"/>
        <w:rPr>
          <w:rFonts w:eastAsia="Times New Roman" w:cs="Times New Roman"/>
          <w:b/>
          <w:bCs/>
          <w:sz w:val="32"/>
          <w:szCs w:val="24"/>
          <w:lang w:val="en-GB"/>
        </w:rPr>
      </w:pPr>
      <w:r w:rsidRPr="001106FA">
        <w:rPr>
          <w:rFonts w:eastAsia="Times New Roman" w:cs="Times New Roman"/>
          <w:b/>
          <w:bCs/>
          <w:sz w:val="32"/>
          <w:szCs w:val="24"/>
          <w:lang w:val="en-GB"/>
        </w:rPr>
        <w:t xml:space="preserve">Assignment Title: </w:t>
      </w:r>
      <w:r w:rsidRPr="00781A09">
        <w:rPr>
          <w:rFonts w:eastAsia="Times New Roman" w:cs="Times New Roman"/>
          <w:sz w:val="32"/>
          <w:szCs w:val="24"/>
          <w:lang w:val="en-GB"/>
        </w:rPr>
        <w:t>Individual report on Heineken</w:t>
      </w:r>
    </w:p>
    <w:p w14:paraId="43E04F14" w14:textId="1E4D7650" w:rsidR="00E7394B" w:rsidRPr="001106FA" w:rsidRDefault="00FA4025" w:rsidP="001106FA">
      <w:pPr>
        <w:jc w:val="center"/>
        <w:rPr>
          <w:rFonts w:eastAsia="Times New Roman" w:cs="Times New Roman"/>
          <w:b/>
          <w:bCs/>
          <w:szCs w:val="24"/>
          <w:lang w:val="en-GB"/>
        </w:rPr>
      </w:pPr>
      <w:r w:rsidRPr="001106FA">
        <w:rPr>
          <w:rFonts w:eastAsia="Times New Roman" w:cs="Times New Roman"/>
          <w:b/>
          <w:bCs/>
          <w:szCs w:val="24"/>
          <w:lang w:val="en-GB"/>
        </w:rPr>
        <w:t>Student Name:</w:t>
      </w:r>
      <w:r w:rsidR="00781A09">
        <w:rPr>
          <w:rFonts w:eastAsia="Times New Roman" w:cs="Times New Roman"/>
          <w:b/>
          <w:bCs/>
          <w:szCs w:val="24"/>
          <w:lang w:val="en-GB"/>
        </w:rPr>
        <w:t xml:space="preserve"> </w:t>
      </w:r>
      <w:r w:rsidR="00781A09" w:rsidRPr="00781A09">
        <w:rPr>
          <w:rFonts w:eastAsia="Times New Roman" w:cs="Times New Roman"/>
          <w:szCs w:val="24"/>
          <w:lang w:val="en-GB"/>
        </w:rPr>
        <w:t>Chandru subbaiah</w:t>
      </w:r>
    </w:p>
    <w:p w14:paraId="187D11BC" w14:textId="77777777" w:rsidR="00781A09" w:rsidRDefault="00FA4025" w:rsidP="001106FA">
      <w:pPr>
        <w:jc w:val="center"/>
        <w:rPr>
          <w:rFonts w:eastAsia="Times New Roman" w:cs="Times New Roman"/>
          <w:szCs w:val="24"/>
          <w:lang w:val="en-GB"/>
        </w:rPr>
      </w:pPr>
      <w:r w:rsidRPr="001106FA">
        <w:rPr>
          <w:rFonts w:eastAsia="Times New Roman" w:cs="Times New Roman"/>
          <w:b/>
          <w:bCs/>
          <w:szCs w:val="24"/>
          <w:lang w:val="en-GB"/>
        </w:rPr>
        <w:t>Student ID:</w:t>
      </w:r>
      <w:r w:rsidR="00781A09">
        <w:rPr>
          <w:rFonts w:eastAsia="Times New Roman" w:cs="Times New Roman"/>
          <w:b/>
          <w:bCs/>
          <w:szCs w:val="24"/>
          <w:lang w:val="en-GB"/>
        </w:rPr>
        <w:t xml:space="preserve"> </w:t>
      </w:r>
      <w:r w:rsidR="00781A09" w:rsidRPr="00781A09">
        <w:rPr>
          <w:rFonts w:eastAsia="Times New Roman" w:cs="Times New Roman"/>
          <w:szCs w:val="24"/>
          <w:lang w:val="en-GB"/>
        </w:rPr>
        <w:t>2507406</w:t>
      </w:r>
    </w:p>
    <w:p w14:paraId="47C5075A" w14:textId="77777777" w:rsidR="00781A09" w:rsidRDefault="00781A09" w:rsidP="001106FA">
      <w:pPr>
        <w:jc w:val="center"/>
        <w:rPr>
          <w:rFonts w:eastAsia="Times New Roman" w:cs="Times New Roman"/>
          <w:szCs w:val="24"/>
          <w:lang w:val="en-GB"/>
        </w:rPr>
      </w:pPr>
      <w:r w:rsidRPr="00781A09">
        <w:rPr>
          <w:rFonts w:eastAsia="Times New Roman" w:cs="Times New Roman"/>
          <w:b/>
          <w:bCs/>
          <w:szCs w:val="24"/>
          <w:lang w:val="en-GB"/>
        </w:rPr>
        <w:t>Lecturer name:</w:t>
      </w:r>
      <w:r>
        <w:rPr>
          <w:rFonts w:eastAsia="Times New Roman" w:cs="Times New Roman"/>
          <w:szCs w:val="24"/>
          <w:lang w:val="en-GB"/>
        </w:rPr>
        <w:t xml:space="preserve"> Hoang Dang Nguyen</w:t>
      </w:r>
    </w:p>
    <w:p w14:paraId="0F469387" w14:textId="67C2041B" w:rsidR="00E7394B" w:rsidRPr="001E6AFD" w:rsidRDefault="00781A09" w:rsidP="001106FA">
      <w:pPr>
        <w:jc w:val="center"/>
        <w:rPr>
          <w:rFonts w:eastAsia="Times New Roman" w:cs="Times New Roman"/>
          <w:b/>
          <w:bCs/>
          <w:szCs w:val="24"/>
          <w:lang w:val="en-GB"/>
        </w:rPr>
      </w:pPr>
      <w:proofErr w:type="gramStart"/>
      <w:r w:rsidRPr="00781A09">
        <w:rPr>
          <w:rFonts w:eastAsia="Times New Roman" w:cs="Times New Roman"/>
          <w:b/>
          <w:bCs/>
          <w:szCs w:val="24"/>
          <w:lang w:val="en-GB"/>
        </w:rPr>
        <w:t>Term</w:t>
      </w:r>
      <w:r>
        <w:rPr>
          <w:rFonts w:eastAsia="Times New Roman" w:cs="Times New Roman"/>
          <w:szCs w:val="24"/>
          <w:lang w:val="en-GB"/>
        </w:rPr>
        <w:t xml:space="preserve"> :</w:t>
      </w:r>
      <w:proofErr w:type="gramEnd"/>
      <w:r>
        <w:rPr>
          <w:rFonts w:eastAsia="Times New Roman" w:cs="Times New Roman"/>
          <w:szCs w:val="24"/>
          <w:lang w:val="en-GB"/>
        </w:rPr>
        <w:t xml:space="preserve"> 02</w:t>
      </w:r>
      <w:r w:rsidR="00FA4025" w:rsidRPr="001E6AFD">
        <w:rPr>
          <w:lang w:val="en-GB"/>
        </w:rPr>
        <w:br w:type="page"/>
      </w:r>
    </w:p>
    <w:sdt>
      <w:sdtPr>
        <w:rPr>
          <w:rFonts w:ascii="Arial" w:eastAsia="Arial" w:hAnsi="Arial" w:cs="Arial"/>
          <w:color w:val="auto"/>
          <w:sz w:val="22"/>
          <w:szCs w:val="22"/>
          <w:lang w:val=""/>
        </w:rPr>
        <w:id w:val="-1510512140"/>
        <w:docPartObj>
          <w:docPartGallery w:val="Table of Contents"/>
          <w:docPartUnique/>
        </w:docPartObj>
      </w:sdtPr>
      <w:sdtEndPr>
        <w:rPr>
          <w:rFonts w:ascii="Times New Roman" w:hAnsi="Times New Roman"/>
          <w:b/>
          <w:bCs/>
          <w:noProof/>
          <w:sz w:val="24"/>
        </w:rPr>
      </w:sdtEndPr>
      <w:sdtContent>
        <w:p w14:paraId="219663AF" w14:textId="77777777" w:rsidR="00CE10E0" w:rsidRPr="00CE10E0" w:rsidRDefault="00CE10E0" w:rsidP="00CE10E0">
          <w:pPr>
            <w:pStyle w:val="TOCHeading"/>
            <w:spacing w:line="360" w:lineRule="auto"/>
            <w:jc w:val="center"/>
            <w:rPr>
              <w:rFonts w:ascii="Times New Roman" w:hAnsi="Times New Roman" w:cs="Times New Roman"/>
              <w:b/>
              <w:color w:val="000000" w:themeColor="text1"/>
              <w:sz w:val="28"/>
              <w:szCs w:val="24"/>
            </w:rPr>
          </w:pPr>
          <w:r w:rsidRPr="00CE10E0">
            <w:rPr>
              <w:rFonts w:ascii="Times New Roman" w:hAnsi="Times New Roman" w:cs="Times New Roman"/>
              <w:b/>
              <w:color w:val="000000" w:themeColor="text1"/>
              <w:sz w:val="28"/>
              <w:szCs w:val="24"/>
            </w:rPr>
            <w:t>Table of Contents</w:t>
          </w:r>
        </w:p>
        <w:p w14:paraId="290C09CA" w14:textId="710D7D58" w:rsidR="00534997" w:rsidRDefault="00CE10E0">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r w:rsidRPr="00CE10E0">
            <w:rPr>
              <w:rFonts w:cs="Times New Roman"/>
              <w:color w:val="000000" w:themeColor="text1"/>
              <w:szCs w:val="24"/>
            </w:rPr>
            <w:fldChar w:fldCharType="begin"/>
          </w:r>
          <w:r w:rsidRPr="00CE10E0">
            <w:rPr>
              <w:rFonts w:cs="Times New Roman"/>
              <w:color w:val="000000" w:themeColor="text1"/>
              <w:szCs w:val="24"/>
            </w:rPr>
            <w:instrText xml:space="preserve"> TOC \o "1-3" \h \z \u </w:instrText>
          </w:r>
          <w:r w:rsidRPr="00CE10E0">
            <w:rPr>
              <w:rFonts w:cs="Times New Roman"/>
              <w:color w:val="000000" w:themeColor="text1"/>
              <w:szCs w:val="24"/>
            </w:rPr>
            <w:fldChar w:fldCharType="separate"/>
          </w:r>
          <w:hyperlink w:anchor="_Toc225279092" w:history="1">
            <w:r w:rsidR="00534997" w:rsidRPr="0079565A">
              <w:rPr>
                <w:rStyle w:val="Hyperlink"/>
                <w:noProof/>
                <w:lang w:val="en-GB"/>
              </w:rPr>
              <w:t>Section 1</w:t>
            </w:r>
            <w:r w:rsidR="00534997">
              <w:rPr>
                <w:noProof/>
                <w:webHidden/>
              </w:rPr>
              <w:tab/>
            </w:r>
            <w:r w:rsidR="00534997">
              <w:rPr>
                <w:noProof/>
                <w:webHidden/>
              </w:rPr>
              <w:fldChar w:fldCharType="begin"/>
            </w:r>
            <w:r w:rsidR="00534997">
              <w:rPr>
                <w:noProof/>
                <w:webHidden/>
              </w:rPr>
              <w:instrText xml:space="preserve"> PAGEREF _Toc225279092 \h </w:instrText>
            </w:r>
            <w:r w:rsidR="00534997">
              <w:rPr>
                <w:noProof/>
                <w:webHidden/>
              </w:rPr>
            </w:r>
            <w:r w:rsidR="00534997">
              <w:rPr>
                <w:noProof/>
                <w:webHidden/>
              </w:rPr>
              <w:fldChar w:fldCharType="separate"/>
            </w:r>
            <w:r w:rsidR="00534997">
              <w:rPr>
                <w:noProof/>
                <w:webHidden/>
              </w:rPr>
              <w:t>4</w:t>
            </w:r>
            <w:r w:rsidR="00534997">
              <w:rPr>
                <w:noProof/>
                <w:webHidden/>
              </w:rPr>
              <w:fldChar w:fldCharType="end"/>
            </w:r>
          </w:hyperlink>
        </w:p>
        <w:p w14:paraId="4DE04C65" w14:textId="4F7AC2A1"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093" w:history="1">
            <w:r w:rsidRPr="0079565A">
              <w:rPr>
                <w:rStyle w:val="Hyperlink"/>
                <w:noProof/>
                <w:lang w:val="en-GB"/>
              </w:rPr>
              <w:t>1. Organisational Context and Overview</w:t>
            </w:r>
            <w:r>
              <w:rPr>
                <w:noProof/>
                <w:webHidden/>
              </w:rPr>
              <w:tab/>
            </w:r>
            <w:r>
              <w:rPr>
                <w:noProof/>
                <w:webHidden/>
              </w:rPr>
              <w:fldChar w:fldCharType="begin"/>
            </w:r>
            <w:r>
              <w:rPr>
                <w:noProof/>
                <w:webHidden/>
              </w:rPr>
              <w:instrText xml:space="preserve"> PAGEREF _Toc225279093 \h </w:instrText>
            </w:r>
            <w:r>
              <w:rPr>
                <w:noProof/>
                <w:webHidden/>
              </w:rPr>
            </w:r>
            <w:r>
              <w:rPr>
                <w:noProof/>
                <w:webHidden/>
              </w:rPr>
              <w:fldChar w:fldCharType="separate"/>
            </w:r>
            <w:r>
              <w:rPr>
                <w:noProof/>
                <w:webHidden/>
              </w:rPr>
              <w:t>4</w:t>
            </w:r>
            <w:r>
              <w:rPr>
                <w:noProof/>
                <w:webHidden/>
              </w:rPr>
              <w:fldChar w:fldCharType="end"/>
            </w:r>
          </w:hyperlink>
        </w:p>
        <w:p w14:paraId="30DF9981" w14:textId="3BDEA513"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094" w:history="1">
            <w:r w:rsidRPr="0079565A">
              <w:rPr>
                <w:rStyle w:val="Hyperlink"/>
                <w:noProof/>
                <w:lang w:val="en-GB"/>
              </w:rPr>
              <w:t>1.1 Summary of the chosen organisation</w:t>
            </w:r>
            <w:r>
              <w:rPr>
                <w:noProof/>
                <w:webHidden/>
              </w:rPr>
              <w:tab/>
            </w:r>
            <w:r>
              <w:rPr>
                <w:noProof/>
                <w:webHidden/>
              </w:rPr>
              <w:fldChar w:fldCharType="begin"/>
            </w:r>
            <w:r>
              <w:rPr>
                <w:noProof/>
                <w:webHidden/>
              </w:rPr>
              <w:instrText xml:space="preserve"> PAGEREF _Toc225279094 \h </w:instrText>
            </w:r>
            <w:r>
              <w:rPr>
                <w:noProof/>
                <w:webHidden/>
              </w:rPr>
            </w:r>
            <w:r>
              <w:rPr>
                <w:noProof/>
                <w:webHidden/>
              </w:rPr>
              <w:fldChar w:fldCharType="separate"/>
            </w:r>
            <w:r>
              <w:rPr>
                <w:noProof/>
                <w:webHidden/>
              </w:rPr>
              <w:t>4</w:t>
            </w:r>
            <w:r>
              <w:rPr>
                <w:noProof/>
                <w:webHidden/>
              </w:rPr>
              <w:fldChar w:fldCharType="end"/>
            </w:r>
          </w:hyperlink>
        </w:p>
        <w:p w14:paraId="0D10C966" w14:textId="415F5C65"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095" w:history="1">
            <w:r w:rsidRPr="0079565A">
              <w:rPr>
                <w:rStyle w:val="Hyperlink"/>
                <w:noProof/>
                <w:lang w:val="en-GB"/>
              </w:rPr>
              <w:t>1.2 Discussion of the industry</w:t>
            </w:r>
            <w:r>
              <w:rPr>
                <w:noProof/>
                <w:webHidden/>
              </w:rPr>
              <w:tab/>
            </w:r>
            <w:r>
              <w:rPr>
                <w:noProof/>
                <w:webHidden/>
              </w:rPr>
              <w:fldChar w:fldCharType="begin"/>
            </w:r>
            <w:r>
              <w:rPr>
                <w:noProof/>
                <w:webHidden/>
              </w:rPr>
              <w:instrText xml:space="preserve"> PAGEREF _Toc225279095 \h </w:instrText>
            </w:r>
            <w:r>
              <w:rPr>
                <w:noProof/>
                <w:webHidden/>
              </w:rPr>
            </w:r>
            <w:r>
              <w:rPr>
                <w:noProof/>
                <w:webHidden/>
              </w:rPr>
              <w:fldChar w:fldCharType="separate"/>
            </w:r>
            <w:r>
              <w:rPr>
                <w:noProof/>
                <w:webHidden/>
              </w:rPr>
              <w:t>6</w:t>
            </w:r>
            <w:r>
              <w:rPr>
                <w:noProof/>
                <w:webHidden/>
              </w:rPr>
              <w:fldChar w:fldCharType="end"/>
            </w:r>
          </w:hyperlink>
        </w:p>
        <w:p w14:paraId="580B183C" w14:textId="781AB69F"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096" w:history="1">
            <w:r w:rsidRPr="0079565A">
              <w:rPr>
                <w:rStyle w:val="Hyperlink"/>
                <w:noProof/>
                <w:lang w:val="en-GB"/>
              </w:rPr>
              <w:t>2. External and Internal Environment Analysis</w:t>
            </w:r>
            <w:r>
              <w:rPr>
                <w:noProof/>
                <w:webHidden/>
              </w:rPr>
              <w:tab/>
            </w:r>
            <w:r>
              <w:rPr>
                <w:noProof/>
                <w:webHidden/>
              </w:rPr>
              <w:fldChar w:fldCharType="begin"/>
            </w:r>
            <w:r>
              <w:rPr>
                <w:noProof/>
                <w:webHidden/>
              </w:rPr>
              <w:instrText xml:space="preserve"> PAGEREF _Toc225279096 \h </w:instrText>
            </w:r>
            <w:r>
              <w:rPr>
                <w:noProof/>
                <w:webHidden/>
              </w:rPr>
            </w:r>
            <w:r>
              <w:rPr>
                <w:noProof/>
                <w:webHidden/>
              </w:rPr>
              <w:fldChar w:fldCharType="separate"/>
            </w:r>
            <w:r>
              <w:rPr>
                <w:noProof/>
                <w:webHidden/>
              </w:rPr>
              <w:t>7</w:t>
            </w:r>
            <w:r>
              <w:rPr>
                <w:noProof/>
                <w:webHidden/>
              </w:rPr>
              <w:fldChar w:fldCharType="end"/>
            </w:r>
          </w:hyperlink>
        </w:p>
        <w:p w14:paraId="3CAD88E5" w14:textId="3D7AE225"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097" w:history="1">
            <w:r w:rsidRPr="0079565A">
              <w:rPr>
                <w:rStyle w:val="Hyperlink"/>
                <w:noProof/>
                <w:lang w:val="en-GB"/>
              </w:rPr>
              <w:t>2.1 External Environment: PESTLE Analysis</w:t>
            </w:r>
            <w:r>
              <w:rPr>
                <w:noProof/>
                <w:webHidden/>
              </w:rPr>
              <w:tab/>
            </w:r>
            <w:r>
              <w:rPr>
                <w:noProof/>
                <w:webHidden/>
              </w:rPr>
              <w:fldChar w:fldCharType="begin"/>
            </w:r>
            <w:r>
              <w:rPr>
                <w:noProof/>
                <w:webHidden/>
              </w:rPr>
              <w:instrText xml:space="preserve"> PAGEREF _Toc225279097 \h </w:instrText>
            </w:r>
            <w:r>
              <w:rPr>
                <w:noProof/>
                <w:webHidden/>
              </w:rPr>
            </w:r>
            <w:r>
              <w:rPr>
                <w:noProof/>
                <w:webHidden/>
              </w:rPr>
              <w:fldChar w:fldCharType="separate"/>
            </w:r>
            <w:r>
              <w:rPr>
                <w:noProof/>
                <w:webHidden/>
              </w:rPr>
              <w:t>7</w:t>
            </w:r>
            <w:r>
              <w:rPr>
                <w:noProof/>
                <w:webHidden/>
              </w:rPr>
              <w:fldChar w:fldCharType="end"/>
            </w:r>
          </w:hyperlink>
        </w:p>
        <w:p w14:paraId="68697D86" w14:textId="48DA562A"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098" w:history="1">
            <w:r w:rsidRPr="0079565A">
              <w:rPr>
                <w:rStyle w:val="Hyperlink"/>
                <w:noProof/>
                <w:lang w:val="en-GB"/>
              </w:rPr>
              <w:t>2.2 Critical Success Factors and Strategic Challenges from the External Environment</w:t>
            </w:r>
            <w:r>
              <w:rPr>
                <w:noProof/>
                <w:webHidden/>
              </w:rPr>
              <w:tab/>
            </w:r>
            <w:r>
              <w:rPr>
                <w:noProof/>
                <w:webHidden/>
              </w:rPr>
              <w:fldChar w:fldCharType="begin"/>
            </w:r>
            <w:r>
              <w:rPr>
                <w:noProof/>
                <w:webHidden/>
              </w:rPr>
              <w:instrText xml:space="preserve"> PAGEREF _Toc225279098 \h </w:instrText>
            </w:r>
            <w:r>
              <w:rPr>
                <w:noProof/>
                <w:webHidden/>
              </w:rPr>
            </w:r>
            <w:r>
              <w:rPr>
                <w:noProof/>
                <w:webHidden/>
              </w:rPr>
              <w:fldChar w:fldCharType="separate"/>
            </w:r>
            <w:r>
              <w:rPr>
                <w:noProof/>
                <w:webHidden/>
              </w:rPr>
              <w:t>9</w:t>
            </w:r>
            <w:r>
              <w:rPr>
                <w:noProof/>
                <w:webHidden/>
              </w:rPr>
              <w:fldChar w:fldCharType="end"/>
            </w:r>
          </w:hyperlink>
        </w:p>
        <w:p w14:paraId="320170B2" w14:textId="563AF597" w:rsidR="00534997" w:rsidRDefault="00534997">
          <w:pPr>
            <w:pStyle w:val="TOC3"/>
            <w:tabs>
              <w:tab w:val="right" w:leader="dot" w:pos="9019"/>
            </w:tabs>
            <w:rPr>
              <w:noProof/>
            </w:rPr>
          </w:pPr>
          <w:hyperlink w:anchor="_Toc225279099" w:history="1">
            <w:r w:rsidRPr="0079565A">
              <w:rPr>
                <w:rStyle w:val="Hyperlink"/>
                <w:noProof/>
              </w:rPr>
              <w:t>2.2.1 Critical Success Factors</w:t>
            </w:r>
            <w:r>
              <w:rPr>
                <w:noProof/>
                <w:webHidden/>
              </w:rPr>
              <w:tab/>
            </w:r>
            <w:r>
              <w:rPr>
                <w:noProof/>
                <w:webHidden/>
              </w:rPr>
              <w:fldChar w:fldCharType="begin"/>
            </w:r>
            <w:r>
              <w:rPr>
                <w:noProof/>
                <w:webHidden/>
              </w:rPr>
              <w:instrText xml:space="preserve"> PAGEREF _Toc225279099 \h </w:instrText>
            </w:r>
            <w:r>
              <w:rPr>
                <w:noProof/>
                <w:webHidden/>
              </w:rPr>
            </w:r>
            <w:r>
              <w:rPr>
                <w:noProof/>
                <w:webHidden/>
              </w:rPr>
              <w:fldChar w:fldCharType="separate"/>
            </w:r>
            <w:r>
              <w:rPr>
                <w:noProof/>
                <w:webHidden/>
              </w:rPr>
              <w:t>9</w:t>
            </w:r>
            <w:r>
              <w:rPr>
                <w:noProof/>
                <w:webHidden/>
              </w:rPr>
              <w:fldChar w:fldCharType="end"/>
            </w:r>
          </w:hyperlink>
        </w:p>
        <w:p w14:paraId="7C4D2F88" w14:textId="441B0D43" w:rsidR="00534997" w:rsidRDefault="00534997">
          <w:pPr>
            <w:pStyle w:val="TOC3"/>
            <w:tabs>
              <w:tab w:val="right" w:leader="dot" w:pos="9019"/>
            </w:tabs>
            <w:rPr>
              <w:noProof/>
            </w:rPr>
          </w:pPr>
          <w:hyperlink w:anchor="_Toc225279100" w:history="1">
            <w:r w:rsidRPr="0079565A">
              <w:rPr>
                <w:rStyle w:val="Hyperlink"/>
                <w:noProof/>
                <w:lang w:val="en-GB"/>
              </w:rPr>
              <w:t>2.2.2 Strategic Challenges</w:t>
            </w:r>
            <w:r>
              <w:rPr>
                <w:noProof/>
                <w:webHidden/>
              </w:rPr>
              <w:tab/>
            </w:r>
            <w:r>
              <w:rPr>
                <w:noProof/>
                <w:webHidden/>
              </w:rPr>
              <w:fldChar w:fldCharType="begin"/>
            </w:r>
            <w:r>
              <w:rPr>
                <w:noProof/>
                <w:webHidden/>
              </w:rPr>
              <w:instrText xml:space="preserve"> PAGEREF _Toc225279100 \h </w:instrText>
            </w:r>
            <w:r>
              <w:rPr>
                <w:noProof/>
                <w:webHidden/>
              </w:rPr>
            </w:r>
            <w:r>
              <w:rPr>
                <w:noProof/>
                <w:webHidden/>
              </w:rPr>
              <w:fldChar w:fldCharType="separate"/>
            </w:r>
            <w:r>
              <w:rPr>
                <w:noProof/>
                <w:webHidden/>
              </w:rPr>
              <w:t>10</w:t>
            </w:r>
            <w:r>
              <w:rPr>
                <w:noProof/>
                <w:webHidden/>
              </w:rPr>
              <w:fldChar w:fldCharType="end"/>
            </w:r>
          </w:hyperlink>
        </w:p>
        <w:p w14:paraId="38257090" w14:textId="7F12685C"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1" w:history="1">
            <w:r w:rsidRPr="0079565A">
              <w:rPr>
                <w:rStyle w:val="Hyperlink"/>
                <w:noProof/>
                <w:lang w:val="en-GB"/>
              </w:rPr>
              <w:t>2.3 Internal Environment: VRIO Analysis</w:t>
            </w:r>
            <w:r>
              <w:rPr>
                <w:noProof/>
                <w:webHidden/>
              </w:rPr>
              <w:tab/>
            </w:r>
            <w:r>
              <w:rPr>
                <w:noProof/>
                <w:webHidden/>
              </w:rPr>
              <w:fldChar w:fldCharType="begin"/>
            </w:r>
            <w:r>
              <w:rPr>
                <w:noProof/>
                <w:webHidden/>
              </w:rPr>
              <w:instrText xml:space="preserve"> PAGEREF _Toc225279101 \h </w:instrText>
            </w:r>
            <w:r>
              <w:rPr>
                <w:noProof/>
                <w:webHidden/>
              </w:rPr>
            </w:r>
            <w:r>
              <w:rPr>
                <w:noProof/>
                <w:webHidden/>
              </w:rPr>
              <w:fldChar w:fldCharType="separate"/>
            </w:r>
            <w:r>
              <w:rPr>
                <w:noProof/>
                <w:webHidden/>
              </w:rPr>
              <w:t>11</w:t>
            </w:r>
            <w:r>
              <w:rPr>
                <w:noProof/>
                <w:webHidden/>
              </w:rPr>
              <w:fldChar w:fldCharType="end"/>
            </w:r>
          </w:hyperlink>
        </w:p>
        <w:p w14:paraId="0F5C1D68" w14:textId="612E01AA"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2" w:history="1">
            <w:r w:rsidRPr="0079565A">
              <w:rPr>
                <w:rStyle w:val="Hyperlink"/>
                <w:noProof/>
                <w:lang w:val="en-GB"/>
              </w:rPr>
              <w:t>2.4 Heineken's Internal Strengths Contribution to its Competitive Advantage</w:t>
            </w:r>
            <w:r>
              <w:rPr>
                <w:noProof/>
                <w:webHidden/>
              </w:rPr>
              <w:tab/>
            </w:r>
            <w:r>
              <w:rPr>
                <w:noProof/>
                <w:webHidden/>
              </w:rPr>
              <w:fldChar w:fldCharType="begin"/>
            </w:r>
            <w:r>
              <w:rPr>
                <w:noProof/>
                <w:webHidden/>
              </w:rPr>
              <w:instrText xml:space="preserve"> PAGEREF _Toc225279102 \h </w:instrText>
            </w:r>
            <w:r>
              <w:rPr>
                <w:noProof/>
                <w:webHidden/>
              </w:rPr>
            </w:r>
            <w:r>
              <w:rPr>
                <w:noProof/>
                <w:webHidden/>
              </w:rPr>
              <w:fldChar w:fldCharType="separate"/>
            </w:r>
            <w:r>
              <w:rPr>
                <w:noProof/>
                <w:webHidden/>
              </w:rPr>
              <w:t>13</w:t>
            </w:r>
            <w:r>
              <w:rPr>
                <w:noProof/>
                <w:webHidden/>
              </w:rPr>
              <w:fldChar w:fldCharType="end"/>
            </w:r>
          </w:hyperlink>
        </w:p>
        <w:p w14:paraId="5BE0D122" w14:textId="2DF83E37"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3" w:history="1">
            <w:r w:rsidRPr="0079565A">
              <w:rPr>
                <w:rStyle w:val="Hyperlink"/>
                <w:noProof/>
                <w:lang w:val="en-GB"/>
              </w:rPr>
              <w:t>3. CSR and Sustainability Objectives</w:t>
            </w:r>
            <w:r>
              <w:rPr>
                <w:noProof/>
                <w:webHidden/>
              </w:rPr>
              <w:tab/>
            </w:r>
            <w:r>
              <w:rPr>
                <w:noProof/>
                <w:webHidden/>
              </w:rPr>
              <w:fldChar w:fldCharType="begin"/>
            </w:r>
            <w:r>
              <w:rPr>
                <w:noProof/>
                <w:webHidden/>
              </w:rPr>
              <w:instrText xml:space="preserve"> PAGEREF _Toc225279103 \h </w:instrText>
            </w:r>
            <w:r>
              <w:rPr>
                <w:noProof/>
                <w:webHidden/>
              </w:rPr>
            </w:r>
            <w:r>
              <w:rPr>
                <w:noProof/>
                <w:webHidden/>
              </w:rPr>
              <w:fldChar w:fldCharType="separate"/>
            </w:r>
            <w:r>
              <w:rPr>
                <w:noProof/>
                <w:webHidden/>
              </w:rPr>
              <w:t>13</w:t>
            </w:r>
            <w:r>
              <w:rPr>
                <w:noProof/>
                <w:webHidden/>
              </w:rPr>
              <w:fldChar w:fldCharType="end"/>
            </w:r>
          </w:hyperlink>
        </w:p>
        <w:p w14:paraId="5AC3E196" w14:textId="318CC2DF"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4" w:history="1">
            <w:r w:rsidRPr="0079565A">
              <w:rPr>
                <w:rStyle w:val="Hyperlink"/>
                <w:noProof/>
                <w:lang w:val="en-GB"/>
              </w:rPr>
              <w:t>3.1 Company's CSR Strategy and its Alignment with Business Objectives</w:t>
            </w:r>
            <w:r>
              <w:rPr>
                <w:noProof/>
                <w:webHidden/>
              </w:rPr>
              <w:tab/>
            </w:r>
            <w:r>
              <w:rPr>
                <w:noProof/>
                <w:webHidden/>
              </w:rPr>
              <w:fldChar w:fldCharType="begin"/>
            </w:r>
            <w:r>
              <w:rPr>
                <w:noProof/>
                <w:webHidden/>
              </w:rPr>
              <w:instrText xml:space="preserve"> PAGEREF _Toc225279104 \h </w:instrText>
            </w:r>
            <w:r>
              <w:rPr>
                <w:noProof/>
                <w:webHidden/>
              </w:rPr>
            </w:r>
            <w:r>
              <w:rPr>
                <w:noProof/>
                <w:webHidden/>
              </w:rPr>
              <w:fldChar w:fldCharType="separate"/>
            </w:r>
            <w:r>
              <w:rPr>
                <w:noProof/>
                <w:webHidden/>
              </w:rPr>
              <w:t>13</w:t>
            </w:r>
            <w:r>
              <w:rPr>
                <w:noProof/>
                <w:webHidden/>
              </w:rPr>
              <w:fldChar w:fldCharType="end"/>
            </w:r>
          </w:hyperlink>
        </w:p>
        <w:p w14:paraId="27B22856" w14:textId="653AD7C2"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5" w:history="1">
            <w:r w:rsidRPr="0079565A">
              <w:rPr>
                <w:rStyle w:val="Hyperlink"/>
                <w:noProof/>
                <w:lang w:val="en-GB"/>
              </w:rPr>
              <w:t>4.1 The Balanced Scorecard</w:t>
            </w:r>
            <w:r>
              <w:rPr>
                <w:noProof/>
                <w:webHidden/>
              </w:rPr>
              <w:tab/>
            </w:r>
            <w:r>
              <w:rPr>
                <w:noProof/>
                <w:webHidden/>
              </w:rPr>
              <w:fldChar w:fldCharType="begin"/>
            </w:r>
            <w:r>
              <w:rPr>
                <w:noProof/>
                <w:webHidden/>
              </w:rPr>
              <w:instrText xml:space="preserve"> PAGEREF _Toc225279105 \h </w:instrText>
            </w:r>
            <w:r>
              <w:rPr>
                <w:noProof/>
                <w:webHidden/>
              </w:rPr>
            </w:r>
            <w:r>
              <w:rPr>
                <w:noProof/>
                <w:webHidden/>
              </w:rPr>
              <w:fldChar w:fldCharType="separate"/>
            </w:r>
            <w:r>
              <w:rPr>
                <w:noProof/>
                <w:webHidden/>
              </w:rPr>
              <w:t>14</w:t>
            </w:r>
            <w:r>
              <w:rPr>
                <w:noProof/>
                <w:webHidden/>
              </w:rPr>
              <w:fldChar w:fldCharType="end"/>
            </w:r>
          </w:hyperlink>
        </w:p>
        <w:p w14:paraId="78C233D8" w14:textId="0C993151"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6" w:history="1">
            <w:r w:rsidRPr="0079565A">
              <w:rPr>
                <w:rStyle w:val="Hyperlink"/>
                <w:noProof/>
                <w:lang w:val="en-GB"/>
              </w:rPr>
              <w:t>4.2 Analysis of Objectives, Key Performance Indicators (KPIs), Targets, and Initiatives</w:t>
            </w:r>
            <w:r>
              <w:rPr>
                <w:noProof/>
                <w:webHidden/>
              </w:rPr>
              <w:tab/>
            </w:r>
            <w:r>
              <w:rPr>
                <w:noProof/>
                <w:webHidden/>
              </w:rPr>
              <w:fldChar w:fldCharType="begin"/>
            </w:r>
            <w:r>
              <w:rPr>
                <w:noProof/>
                <w:webHidden/>
              </w:rPr>
              <w:instrText xml:space="preserve"> PAGEREF _Toc225279106 \h </w:instrText>
            </w:r>
            <w:r>
              <w:rPr>
                <w:noProof/>
                <w:webHidden/>
              </w:rPr>
            </w:r>
            <w:r>
              <w:rPr>
                <w:noProof/>
                <w:webHidden/>
              </w:rPr>
              <w:fldChar w:fldCharType="separate"/>
            </w:r>
            <w:r>
              <w:rPr>
                <w:noProof/>
                <w:webHidden/>
              </w:rPr>
              <w:t>16</w:t>
            </w:r>
            <w:r>
              <w:rPr>
                <w:noProof/>
                <w:webHidden/>
              </w:rPr>
              <w:fldChar w:fldCharType="end"/>
            </w:r>
          </w:hyperlink>
        </w:p>
        <w:p w14:paraId="4D4BE60C" w14:textId="2FBB4319"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7" w:history="1">
            <w:r w:rsidRPr="0079565A">
              <w:rPr>
                <w:rStyle w:val="Hyperlink"/>
                <w:noProof/>
                <w:lang w:val="en-GB"/>
              </w:rPr>
              <w:t>5. Strategic Choices and Implementation</w:t>
            </w:r>
            <w:r>
              <w:rPr>
                <w:noProof/>
                <w:webHidden/>
              </w:rPr>
              <w:tab/>
            </w:r>
            <w:r>
              <w:rPr>
                <w:noProof/>
                <w:webHidden/>
              </w:rPr>
              <w:fldChar w:fldCharType="begin"/>
            </w:r>
            <w:r>
              <w:rPr>
                <w:noProof/>
                <w:webHidden/>
              </w:rPr>
              <w:instrText xml:space="preserve"> PAGEREF _Toc225279107 \h </w:instrText>
            </w:r>
            <w:r>
              <w:rPr>
                <w:noProof/>
                <w:webHidden/>
              </w:rPr>
            </w:r>
            <w:r>
              <w:rPr>
                <w:noProof/>
                <w:webHidden/>
              </w:rPr>
              <w:fldChar w:fldCharType="separate"/>
            </w:r>
            <w:r>
              <w:rPr>
                <w:noProof/>
                <w:webHidden/>
              </w:rPr>
              <w:t>16</w:t>
            </w:r>
            <w:r>
              <w:rPr>
                <w:noProof/>
                <w:webHidden/>
              </w:rPr>
              <w:fldChar w:fldCharType="end"/>
            </w:r>
          </w:hyperlink>
        </w:p>
        <w:p w14:paraId="73C52882" w14:textId="1ECA3C76"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8" w:history="1">
            <w:r w:rsidRPr="0079565A">
              <w:rPr>
                <w:rStyle w:val="Hyperlink"/>
                <w:noProof/>
                <w:lang w:val="en-GB"/>
              </w:rPr>
              <w:t>5.1 Evaluation of the Strategic Choices at the Business Level and Corporate Level, and the Justification of the Selection</w:t>
            </w:r>
            <w:r>
              <w:rPr>
                <w:noProof/>
                <w:webHidden/>
              </w:rPr>
              <w:tab/>
            </w:r>
            <w:r>
              <w:rPr>
                <w:noProof/>
                <w:webHidden/>
              </w:rPr>
              <w:fldChar w:fldCharType="begin"/>
            </w:r>
            <w:r>
              <w:rPr>
                <w:noProof/>
                <w:webHidden/>
              </w:rPr>
              <w:instrText xml:space="preserve"> PAGEREF _Toc225279108 \h </w:instrText>
            </w:r>
            <w:r>
              <w:rPr>
                <w:noProof/>
                <w:webHidden/>
              </w:rPr>
            </w:r>
            <w:r>
              <w:rPr>
                <w:noProof/>
                <w:webHidden/>
              </w:rPr>
              <w:fldChar w:fldCharType="separate"/>
            </w:r>
            <w:r>
              <w:rPr>
                <w:noProof/>
                <w:webHidden/>
              </w:rPr>
              <w:t>16</w:t>
            </w:r>
            <w:r>
              <w:rPr>
                <w:noProof/>
                <w:webHidden/>
              </w:rPr>
              <w:fldChar w:fldCharType="end"/>
            </w:r>
          </w:hyperlink>
        </w:p>
        <w:p w14:paraId="6DAFEE5F" w14:textId="3709B48A"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09" w:history="1">
            <w:r w:rsidRPr="0079565A">
              <w:rPr>
                <w:rStyle w:val="Hyperlink"/>
                <w:noProof/>
                <w:lang w:val="en-GB"/>
              </w:rPr>
              <w:t>5.2 Change Management and its Impact on Strategic Implementation</w:t>
            </w:r>
            <w:r>
              <w:rPr>
                <w:noProof/>
                <w:webHidden/>
              </w:rPr>
              <w:tab/>
            </w:r>
            <w:r>
              <w:rPr>
                <w:noProof/>
                <w:webHidden/>
              </w:rPr>
              <w:fldChar w:fldCharType="begin"/>
            </w:r>
            <w:r>
              <w:rPr>
                <w:noProof/>
                <w:webHidden/>
              </w:rPr>
              <w:instrText xml:space="preserve"> PAGEREF _Toc225279109 \h </w:instrText>
            </w:r>
            <w:r>
              <w:rPr>
                <w:noProof/>
                <w:webHidden/>
              </w:rPr>
            </w:r>
            <w:r>
              <w:rPr>
                <w:noProof/>
                <w:webHidden/>
              </w:rPr>
              <w:fldChar w:fldCharType="separate"/>
            </w:r>
            <w:r>
              <w:rPr>
                <w:noProof/>
                <w:webHidden/>
              </w:rPr>
              <w:t>17</w:t>
            </w:r>
            <w:r>
              <w:rPr>
                <w:noProof/>
                <w:webHidden/>
              </w:rPr>
              <w:fldChar w:fldCharType="end"/>
            </w:r>
          </w:hyperlink>
        </w:p>
        <w:p w14:paraId="1158A920" w14:textId="19886830"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10" w:history="1">
            <w:r w:rsidRPr="0079565A">
              <w:rPr>
                <w:rStyle w:val="Hyperlink"/>
                <w:noProof/>
                <w:lang w:val="en-GB"/>
              </w:rPr>
              <w:t>6. Strategic Evaluation and Recommendations</w:t>
            </w:r>
            <w:r>
              <w:rPr>
                <w:noProof/>
                <w:webHidden/>
              </w:rPr>
              <w:tab/>
            </w:r>
            <w:r>
              <w:rPr>
                <w:noProof/>
                <w:webHidden/>
              </w:rPr>
              <w:fldChar w:fldCharType="begin"/>
            </w:r>
            <w:r>
              <w:rPr>
                <w:noProof/>
                <w:webHidden/>
              </w:rPr>
              <w:instrText xml:space="preserve"> PAGEREF _Toc225279110 \h </w:instrText>
            </w:r>
            <w:r>
              <w:rPr>
                <w:noProof/>
                <w:webHidden/>
              </w:rPr>
            </w:r>
            <w:r>
              <w:rPr>
                <w:noProof/>
                <w:webHidden/>
              </w:rPr>
              <w:fldChar w:fldCharType="separate"/>
            </w:r>
            <w:r>
              <w:rPr>
                <w:noProof/>
                <w:webHidden/>
              </w:rPr>
              <w:t>18</w:t>
            </w:r>
            <w:r>
              <w:rPr>
                <w:noProof/>
                <w:webHidden/>
              </w:rPr>
              <w:fldChar w:fldCharType="end"/>
            </w:r>
          </w:hyperlink>
        </w:p>
        <w:p w14:paraId="115CF8C9" w14:textId="409BC23A"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11" w:history="1">
            <w:r w:rsidRPr="0079565A">
              <w:rPr>
                <w:rStyle w:val="Hyperlink"/>
                <w:noProof/>
                <w:lang w:val="en-GB"/>
              </w:rPr>
              <w:t>6.1 Current Strategy</w:t>
            </w:r>
            <w:r>
              <w:rPr>
                <w:noProof/>
                <w:webHidden/>
              </w:rPr>
              <w:tab/>
            </w:r>
            <w:r>
              <w:rPr>
                <w:noProof/>
                <w:webHidden/>
              </w:rPr>
              <w:fldChar w:fldCharType="begin"/>
            </w:r>
            <w:r>
              <w:rPr>
                <w:noProof/>
                <w:webHidden/>
              </w:rPr>
              <w:instrText xml:space="preserve"> PAGEREF _Toc225279111 \h </w:instrText>
            </w:r>
            <w:r>
              <w:rPr>
                <w:noProof/>
                <w:webHidden/>
              </w:rPr>
            </w:r>
            <w:r>
              <w:rPr>
                <w:noProof/>
                <w:webHidden/>
              </w:rPr>
              <w:fldChar w:fldCharType="separate"/>
            </w:r>
            <w:r>
              <w:rPr>
                <w:noProof/>
                <w:webHidden/>
              </w:rPr>
              <w:t>18</w:t>
            </w:r>
            <w:r>
              <w:rPr>
                <w:noProof/>
                <w:webHidden/>
              </w:rPr>
              <w:fldChar w:fldCharType="end"/>
            </w:r>
          </w:hyperlink>
        </w:p>
        <w:p w14:paraId="36C0E76D" w14:textId="1D0F58C8"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12" w:history="1">
            <w:r w:rsidRPr="0079565A">
              <w:rPr>
                <w:rStyle w:val="Hyperlink"/>
                <w:noProof/>
                <w:lang w:val="en-GB"/>
              </w:rPr>
              <w:t>6.2 Recommendations for Improving Strategy and Boosting Competitive Advantage</w:t>
            </w:r>
            <w:r>
              <w:rPr>
                <w:noProof/>
                <w:webHidden/>
              </w:rPr>
              <w:tab/>
            </w:r>
            <w:r>
              <w:rPr>
                <w:noProof/>
                <w:webHidden/>
              </w:rPr>
              <w:fldChar w:fldCharType="begin"/>
            </w:r>
            <w:r>
              <w:rPr>
                <w:noProof/>
                <w:webHidden/>
              </w:rPr>
              <w:instrText xml:space="preserve"> PAGEREF _Toc225279112 \h </w:instrText>
            </w:r>
            <w:r>
              <w:rPr>
                <w:noProof/>
                <w:webHidden/>
              </w:rPr>
            </w:r>
            <w:r>
              <w:rPr>
                <w:noProof/>
                <w:webHidden/>
              </w:rPr>
              <w:fldChar w:fldCharType="separate"/>
            </w:r>
            <w:r>
              <w:rPr>
                <w:noProof/>
                <w:webHidden/>
              </w:rPr>
              <w:t>19</w:t>
            </w:r>
            <w:r>
              <w:rPr>
                <w:noProof/>
                <w:webHidden/>
              </w:rPr>
              <w:fldChar w:fldCharType="end"/>
            </w:r>
          </w:hyperlink>
        </w:p>
        <w:p w14:paraId="217B011D" w14:textId="1EA2610F"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13" w:history="1">
            <w:r w:rsidRPr="0079565A">
              <w:rPr>
                <w:rStyle w:val="Hyperlink"/>
                <w:noProof/>
                <w:lang w:val="en-GB"/>
              </w:rPr>
              <w:t>6.3 Justification of Recommendations</w:t>
            </w:r>
            <w:r>
              <w:rPr>
                <w:noProof/>
                <w:webHidden/>
              </w:rPr>
              <w:tab/>
            </w:r>
            <w:r>
              <w:rPr>
                <w:noProof/>
                <w:webHidden/>
              </w:rPr>
              <w:fldChar w:fldCharType="begin"/>
            </w:r>
            <w:r>
              <w:rPr>
                <w:noProof/>
                <w:webHidden/>
              </w:rPr>
              <w:instrText xml:space="preserve"> PAGEREF _Toc225279113 \h </w:instrText>
            </w:r>
            <w:r>
              <w:rPr>
                <w:noProof/>
                <w:webHidden/>
              </w:rPr>
            </w:r>
            <w:r>
              <w:rPr>
                <w:noProof/>
                <w:webHidden/>
              </w:rPr>
              <w:fldChar w:fldCharType="separate"/>
            </w:r>
            <w:r>
              <w:rPr>
                <w:noProof/>
                <w:webHidden/>
              </w:rPr>
              <w:t>19</w:t>
            </w:r>
            <w:r>
              <w:rPr>
                <w:noProof/>
                <w:webHidden/>
              </w:rPr>
              <w:fldChar w:fldCharType="end"/>
            </w:r>
          </w:hyperlink>
        </w:p>
        <w:p w14:paraId="06E67813" w14:textId="753DED6C"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14" w:history="1">
            <w:r w:rsidRPr="0079565A">
              <w:rPr>
                <w:rStyle w:val="Hyperlink"/>
                <w:noProof/>
                <w:lang w:val="en-GB"/>
              </w:rPr>
              <w:t>Section 2</w:t>
            </w:r>
            <w:r>
              <w:rPr>
                <w:noProof/>
                <w:webHidden/>
              </w:rPr>
              <w:tab/>
            </w:r>
            <w:r>
              <w:rPr>
                <w:noProof/>
                <w:webHidden/>
              </w:rPr>
              <w:fldChar w:fldCharType="begin"/>
            </w:r>
            <w:r>
              <w:rPr>
                <w:noProof/>
                <w:webHidden/>
              </w:rPr>
              <w:instrText xml:space="preserve"> PAGEREF _Toc225279114 \h </w:instrText>
            </w:r>
            <w:r>
              <w:rPr>
                <w:noProof/>
                <w:webHidden/>
              </w:rPr>
            </w:r>
            <w:r>
              <w:rPr>
                <w:noProof/>
                <w:webHidden/>
              </w:rPr>
              <w:fldChar w:fldCharType="separate"/>
            </w:r>
            <w:r>
              <w:rPr>
                <w:noProof/>
                <w:webHidden/>
              </w:rPr>
              <w:t>20</w:t>
            </w:r>
            <w:r>
              <w:rPr>
                <w:noProof/>
                <w:webHidden/>
              </w:rPr>
              <w:fldChar w:fldCharType="end"/>
            </w:r>
          </w:hyperlink>
        </w:p>
        <w:p w14:paraId="52992FC4" w14:textId="61750C01" w:rsidR="00534997" w:rsidRDefault="0053499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15" w:history="1">
            <w:r w:rsidRPr="0079565A">
              <w:rPr>
                <w:rStyle w:val="Hyperlink"/>
                <w:noProof/>
                <w:lang w:val="en-GB"/>
              </w:rPr>
              <w:t>Gibbs Reflective Cycle</w:t>
            </w:r>
            <w:r>
              <w:rPr>
                <w:noProof/>
                <w:webHidden/>
              </w:rPr>
              <w:tab/>
            </w:r>
            <w:r>
              <w:rPr>
                <w:noProof/>
                <w:webHidden/>
              </w:rPr>
              <w:fldChar w:fldCharType="begin"/>
            </w:r>
            <w:r>
              <w:rPr>
                <w:noProof/>
                <w:webHidden/>
              </w:rPr>
              <w:instrText xml:space="preserve"> PAGEREF _Toc225279115 \h </w:instrText>
            </w:r>
            <w:r>
              <w:rPr>
                <w:noProof/>
                <w:webHidden/>
              </w:rPr>
            </w:r>
            <w:r>
              <w:rPr>
                <w:noProof/>
                <w:webHidden/>
              </w:rPr>
              <w:fldChar w:fldCharType="separate"/>
            </w:r>
            <w:r>
              <w:rPr>
                <w:noProof/>
                <w:webHidden/>
              </w:rPr>
              <w:t>20</w:t>
            </w:r>
            <w:r>
              <w:rPr>
                <w:noProof/>
                <w:webHidden/>
              </w:rPr>
              <w:fldChar w:fldCharType="end"/>
            </w:r>
          </w:hyperlink>
        </w:p>
        <w:p w14:paraId="59CA5B40" w14:textId="403F60AD" w:rsidR="00534997" w:rsidRDefault="0053499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25279116" w:history="1">
            <w:r w:rsidRPr="0079565A">
              <w:rPr>
                <w:rStyle w:val="Hyperlink"/>
                <w:noProof/>
                <w:lang w:val="en-GB"/>
              </w:rPr>
              <w:t>References</w:t>
            </w:r>
            <w:r>
              <w:rPr>
                <w:noProof/>
                <w:webHidden/>
              </w:rPr>
              <w:tab/>
            </w:r>
            <w:r>
              <w:rPr>
                <w:noProof/>
                <w:webHidden/>
              </w:rPr>
              <w:fldChar w:fldCharType="begin"/>
            </w:r>
            <w:r>
              <w:rPr>
                <w:noProof/>
                <w:webHidden/>
              </w:rPr>
              <w:instrText xml:space="preserve"> PAGEREF _Toc225279116 \h </w:instrText>
            </w:r>
            <w:r>
              <w:rPr>
                <w:noProof/>
                <w:webHidden/>
              </w:rPr>
            </w:r>
            <w:r>
              <w:rPr>
                <w:noProof/>
                <w:webHidden/>
              </w:rPr>
              <w:fldChar w:fldCharType="separate"/>
            </w:r>
            <w:r>
              <w:rPr>
                <w:noProof/>
                <w:webHidden/>
              </w:rPr>
              <w:t>23</w:t>
            </w:r>
            <w:r>
              <w:rPr>
                <w:noProof/>
                <w:webHidden/>
              </w:rPr>
              <w:fldChar w:fldCharType="end"/>
            </w:r>
          </w:hyperlink>
        </w:p>
        <w:p w14:paraId="451045EE" w14:textId="431B996A" w:rsidR="00CE10E0" w:rsidRDefault="00CE10E0" w:rsidP="00CE10E0">
          <w:r w:rsidRPr="00CE10E0">
            <w:rPr>
              <w:rFonts w:cs="Times New Roman"/>
              <w:b/>
              <w:bCs/>
              <w:noProof/>
              <w:color w:val="000000" w:themeColor="text1"/>
              <w:szCs w:val="24"/>
            </w:rPr>
            <w:fldChar w:fldCharType="end"/>
          </w:r>
        </w:p>
      </w:sdtContent>
    </w:sdt>
    <w:p w14:paraId="66160782" w14:textId="4CE93AA4" w:rsidR="00E7394B" w:rsidRPr="00781A09" w:rsidRDefault="00FA4025" w:rsidP="00781A09">
      <w:pPr>
        <w:rPr>
          <w:b/>
          <w:color w:val="000000" w:themeColor="text1"/>
          <w:sz w:val="28"/>
          <w:szCs w:val="40"/>
          <w:lang w:val="en-GB"/>
        </w:rPr>
      </w:pPr>
      <w:bookmarkStart w:id="0" w:name="_Toc225279092"/>
      <w:r w:rsidRPr="00853D06">
        <w:rPr>
          <w:b/>
          <w:bCs/>
          <w:lang w:val="en-GB"/>
        </w:rPr>
        <w:t>Section</w:t>
      </w:r>
      <w:r w:rsidRPr="001E6AFD">
        <w:rPr>
          <w:lang w:val="en-GB"/>
        </w:rPr>
        <w:t xml:space="preserve"> 1</w:t>
      </w:r>
      <w:bookmarkEnd w:id="0"/>
    </w:p>
    <w:p w14:paraId="762AE083" w14:textId="77777777" w:rsidR="00E7394B" w:rsidRPr="001E6AFD" w:rsidRDefault="00FA4025" w:rsidP="007028F8">
      <w:pPr>
        <w:pStyle w:val="Heading1"/>
        <w:rPr>
          <w:lang w:val="en-GB"/>
        </w:rPr>
      </w:pPr>
      <w:bookmarkStart w:id="1" w:name="_Toc225279093"/>
      <w:r w:rsidRPr="001E6AFD">
        <w:rPr>
          <w:lang w:val="en-GB"/>
        </w:rPr>
        <w:t>1. Organisational Context and Overview</w:t>
      </w:r>
      <w:bookmarkEnd w:id="1"/>
    </w:p>
    <w:p w14:paraId="65F3FD12" w14:textId="77777777" w:rsidR="00E7394B" w:rsidRPr="001E6AFD" w:rsidRDefault="00FA4025" w:rsidP="007028F8">
      <w:pPr>
        <w:pStyle w:val="Heading2"/>
        <w:rPr>
          <w:lang w:val="en-GB"/>
        </w:rPr>
      </w:pPr>
      <w:bookmarkStart w:id="2" w:name="_Toc225279094"/>
      <w:r w:rsidRPr="001E6AFD">
        <w:rPr>
          <w:lang w:val="en-GB"/>
        </w:rPr>
        <w:t>1.1 Summary of the chosen organisation</w:t>
      </w:r>
      <w:bookmarkEnd w:id="2"/>
    </w:p>
    <w:p w14:paraId="5C408290"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Heineken N.V. is a Dutch multinational brewery that was created in 1864 by Gerard Adriaan Heineken in Amsterdam. Its historical growth is marked by the internationalisation strategy, the combination of the acquisition and the domestic production. This has allowed it to be on the global stage of the 70 countries' presence, 300 brands in the portfolio (Heineken, 2025). The company has a mission of brewing the happiness of real togetherness in order to create a better world, which shows that the company has changed from product-oriented brewing to experience-based branding and sustainability positioning. The vision is congruent with premiumisation and responsible consumption, especially with low and no-alcohol products like Heineken 0.0. This has demonstrated a growth into the double digits in terms of growth and strategic significance of the product in diversifying the demand. </w:t>
      </w:r>
    </w:p>
    <w:p w14:paraId="31DDC526"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noProof/>
          <w:szCs w:val="24"/>
          <w:lang w:val="en-GB" w:eastAsia="en-GB"/>
        </w:rPr>
        <w:drawing>
          <wp:inline distT="114300" distB="114300" distL="114300" distR="114300" wp14:anchorId="466F20CA" wp14:editId="3049C524">
            <wp:extent cx="5731200" cy="37211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731200" cy="3721100"/>
                    </a:xfrm>
                    <a:prstGeom prst="rect">
                      <a:avLst/>
                    </a:prstGeom>
                    <a:ln w="12700">
                      <a:solidFill>
                        <a:srgbClr val="000000"/>
                      </a:solidFill>
                      <a:prstDash val="solid"/>
                    </a:ln>
                  </pic:spPr>
                </pic:pic>
              </a:graphicData>
            </a:graphic>
          </wp:inline>
        </w:drawing>
      </w:r>
    </w:p>
    <w:p w14:paraId="23E11FCB"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szCs w:val="24"/>
          <w:lang w:val="en-GB"/>
        </w:rPr>
        <w:t xml:space="preserve">Figure 1: Revenue of Heineken </w:t>
      </w:r>
    </w:p>
    <w:p w14:paraId="0E8D722F" w14:textId="77777777" w:rsidR="00E7394B" w:rsidRPr="001E6AFD" w:rsidRDefault="00FA4025">
      <w:pPr>
        <w:jc w:val="center"/>
        <w:rPr>
          <w:rFonts w:eastAsia="Times New Roman" w:cs="Times New Roman"/>
          <w:szCs w:val="24"/>
          <w:lang w:val="en-GB"/>
        </w:rPr>
      </w:pPr>
      <w:r w:rsidRPr="001E6AFD">
        <w:rPr>
          <w:rFonts w:eastAsia="Times New Roman" w:cs="Times New Roman"/>
          <w:szCs w:val="24"/>
          <w:lang w:val="en-GB"/>
        </w:rPr>
        <w:t>(Source: Statista, 2024)</w:t>
      </w:r>
    </w:p>
    <w:p w14:paraId="63623AD5" w14:textId="77777777" w:rsidR="00E7394B" w:rsidRPr="001E6AFD" w:rsidRDefault="00FA4025">
      <w:pPr>
        <w:rPr>
          <w:rFonts w:eastAsia="Times New Roman" w:cs="Times New Roman"/>
          <w:szCs w:val="24"/>
          <w:lang w:val="en-GB"/>
        </w:rPr>
      </w:pPr>
      <w:r w:rsidRPr="001E6AFD">
        <w:rPr>
          <w:rFonts w:eastAsia="Times New Roman" w:cs="Times New Roman"/>
          <w:b/>
          <w:bCs/>
          <w:i/>
          <w:iCs/>
          <w:szCs w:val="24"/>
          <w:lang w:val="en-GB"/>
        </w:rPr>
        <w:t>Figure 1</w:t>
      </w:r>
      <w:r w:rsidRPr="001E6AFD">
        <w:rPr>
          <w:rFonts w:eastAsia="Times New Roman" w:cs="Times New Roman"/>
          <w:szCs w:val="24"/>
          <w:lang w:val="en-GB"/>
        </w:rPr>
        <w:t xml:space="preserve"> shows the revenue of Heineken over the years; in 2024, the company generated 36 billion Euros, which is slightly less than the previous year's revenue.  </w:t>
      </w:r>
    </w:p>
    <w:p w14:paraId="4A77DB57"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noProof/>
          <w:szCs w:val="24"/>
          <w:lang w:val="en-GB" w:eastAsia="en-GB"/>
        </w:rPr>
        <w:drawing>
          <wp:inline distT="114300" distB="114300" distL="114300" distR="114300" wp14:anchorId="191CD52A" wp14:editId="022A72FF">
            <wp:extent cx="5731200" cy="37084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a:stretch>
                      <a:fillRect/>
                    </a:stretch>
                  </pic:blipFill>
                  <pic:spPr>
                    <a:xfrm>
                      <a:off x="0" y="0"/>
                      <a:ext cx="5731200" cy="3708400"/>
                    </a:xfrm>
                    <a:prstGeom prst="rect">
                      <a:avLst/>
                    </a:prstGeom>
                    <a:ln w="12700">
                      <a:solidFill>
                        <a:srgbClr val="000000"/>
                      </a:solidFill>
                      <a:prstDash val="solid"/>
                    </a:ln>
                  </pic:spPr>
                </pic:pic>
              </a:graphicData>
            </a:graphic>
          </wp:inline>
        </w:drawing>
      </w:r>
    </w:p>
    <w:p w14:paraId="732669E6"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szCs w:val="24"/>
          <w:lang w:val="en-GB"/>
        </w:rPr>
        <w:t xml:space="preserve">Figure 2: Number of employees of Heineken </w:t>
      </w:r>
    </w:p>
    <w:p w14:paraId="23B99FD5" w14:textId="77777777" w:rsidR="00E7394B" w:rsidRPr="001E6AFD" w:rsidRDefault="00FA4025">
      <w:pPr>
        <w:jc w:val="center"/>
        <w:rPr>
          <w:rFonts w:eastAsia="Times New Roman" w:cs="Times New Roman"/>
          <w:szCs w:val="24"/>
          <w:lang w:val="en-GB"/>
        </w:rPr>
      </w:pPr>
      <w:r w:rsidRPr="001E6AFD">
        <w:rPr>
          <w:rFonts w:eastAsia="Times New Roman" w:cs="Times New Roman"/>
          <w:szCs w:val="24"/>
          <w:lang w:val="en-GB"/>
        </w:rPr>
        <w:t>(Source: Statista, 2024a)</w:t>
      </w:r>
    </w:p>
    <w:p w14:paraId="23356AD9" w14:textId="77777777" w:rsidR="00E7394B" w:rsidRPr="001E6AFD" w:rsidRDefault="00FA4025">
      <w:pPr>
        <w:rPr>
          <w:rFonts w:eastAsia="Times New Roman" w:cs="Times New Roman"/>
          <w:szCs w:val="24"/>
          <w:lang w:val="en-GB"/>
        </w:rPr>
      </w:pPr>
      <w:r w:rsidRPr="001E6AFD">
        <w:rPr>
          <w:rFonts w:eastAsia="Times New Roman" w:cs="Times New Roman"/>
          <w:b/>
          <w:bCs/>
          <w:i/>
          <w:iCs/>
          <w:szCs w:val="24"/>
          <w:lang w:val="en-GB"/>
        </w:rPr>
        <w:t>Figure 2</w:t>
      </w:r>
      <w:r w:rsidRPr="001E6AFD">
        <w:rPr>
          <w:rFonts w:eastAsia="Times New Roman" w:cs="Times New Roman"/>
          <w:szCs w:val="24"/>
          <w:lang w:val="en-GB"/>
        </w:rPr>
        <w:t xml:space="preserve"> shows the number of employees of Heineken in the different regions they operate. The firm has the largest number of employees in America, and it employs more than 28,000 people globally.   </w:t>
      </w:r>
    </w:p>
    <w:p w14:paraId="5350D0B6"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noProof/>
          <w:szCs w:val="24"/>
          <w:lang w:val="en-GB" w:eastAsia="en-GB"/>
        </w:rPr>
        <w:drawing>
          <wp:inline distT="114300" distB="114300" distL="114300" distR="114300" wp14:anchorId="318A3FBC" wp14:editId="1F4D0168">
            <wp:extent cx="5288915" cy="3482340"/>
            <wp:effectExtent l="0" t="0" r="6985" b="381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5289218" cy="3482540"/>
                    </a:xfrm>
                    <a:prstGeom prst="rect">
                      <a:avLst/>
                    </a:prstGeom>
                  </pic:spPr>
                </pic:pic>
              </a:graphicData>
            </a:graphic>
          </wp:inline>
        </w:drawing>
      </w:r>
    </w:p>
    <w:p w14:paraId="5E63B3B3"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szCs w:val="24"/>
          <w:lang w:val="en-GB"/>
        </w:rPr>
        <w:t>Figure 3: Business model canvas</w:t>
      </w:r>
    </w:p>
    <w:p w14:paraId="31F1D536" w14:textId="77777777" w:rsidR="00E7394B" w:rsidRPr="001E6AFD" w:rsidRDefault="00FA4025">
      <w:pPr>
        <w:jc w:val="center"/>
        <w:rPr>
          <w:rFonts w:eastAsia="Times New Roman" w:cs="Times New Roman"/>
          <w:szCs w:val="24"/>
          <w:lang w:val="en-GB"/>
        </w:rPr>
      </w:pPr>
      <w:r w:rsidRPr="001E6AFD">
        <w:rPr>
          <w:rFonts w:eastAsia="Times New Roman" w:cs="Times New Roman"/>
          <w:szCs w:val="24"/>
          <w:lang w:val="en-GB"/>
        </w:rPr>
        <w:t>(Source: Self-developed)</w:t>
      </w:r>
    </w:p>
    <w:p w14:paraId="258D43C6"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Value creation relies on the premium beer positioning, a good network of distribution and collaborating with the retail and other hospitality industries. A multi-brand portfolio of premium, mainstream and non-alcoholic lines of revenue drives the company (Heineken, 2025a). Cost structure is intensive in the capital-based structure as it relates to brewing infrastructure and supply chain investment. </w:t>
      </w:r>
    </w:p>
    <w:p w14:paraId="376DBD86" w14:textId="77777777" w:rsidR="00E7394B" w:rsidRPr="001E6AFD" w:rsidRDefault="00FA4025" w:rsidP="007028F8">
      <w:pPr>
        <w:pStyle w:val="Heading2"/>
        <w:rPr>
          <w:lang w:val="en-GB"/>
        </w:rPr>
      </w:pPr>
      <w:bookmarkStart w:id="3" w:name="_Toc225279095"/>
      <w:r w:rsidRPr="001E6AFD">
        <w:rPr>
          <w:lang w:val="en-GB"/>
        </w:rPr>
        <w:t>1.2 Discussion of the industry</w:t>
      </w:r>
      <w:bookmarkEnd w:id="3"/>
      <w:r w:rsidRPr="001E6AFD">
        <w:rPr>
          <w:lang w:val="en-GB"/>
        </w:rPr>
        <w:t xml:space="preserve"> </w:t>
      </w:r>
    </w:p>
    <w:p w14:paraId="3BF9FDA9" w14:textId="3AC79CB0" w:rsidR="00E7394B" w:rsidRDefault="00FA4025">
      <w:pPr>
        <w:rPr>
          <w:rFonts w:eastAsia="Times New Roman" w:cs="Times New Roman"/>
          <w:szCs w:val="24"/>
          <w:lang w:val="en-GB"/>
        </w:rPr>
      </w:pPr>
      <w:r w:rsidRPr="001E6AFD">
        <w:rPr>
          <w:rFonts w:eastAsia="Times New Roman" w:cs="Times New Roman"/>
          <w:szCs w:val="24"/>
          <w:lang w:val="en-GB"/>
        </w:rPr>
        <w:t xml:space="preserve">Heineken has been in the international alcoholic beverage market, where beer is the dominant market segment, consuming a large portion of the alcohol consumption expenditure. Europe and North America are experiencing structural deterioration, whereas emerging markets like India, Brazil and Vietnam have been enjoying rising demands. </w:t>
      </w:r>
      <w:r w:rsidRPr="001E6AFD">
        <w:rPr>
          <w:rFonts w:eastAsia="Times New Roman" w:cs="Times New Roman"/>
          <w:b/>
          <w:bCs/>
          <w:i/>
          <w:iCs/>
          <w:szCs w:val="24"/>
          <w:lang w:val="en-GB"/>
        </w:rPr>
        <w:t>Figure 4</w:t>
      </w:r>
      <w:r w:rsidRPr="001E6AFD">
        <w:rPr>
          <w:rFonts w:eastAsia="Times New Roman" w:cs="Times New Roman"/>
          <w:szCs w:val="24"/>
          <w:lang w:val="en-GB"/>
        </w:rPr>
        <w:t xml:space="preserve"> shows Heineken is the second-largest brewer globally with a market share of about 11% and follows behind Anheuser-Busch InBev, but surpasses Carlsberg and Molson Coors. This ranking represents a great international presence but also shows a scale drawback when compared to AB InBev, which makes approximately twice the volume and is more profitable.</w:t>
      </w:r>
    </w:p>
    <w:p w14:paraId="5B85B29D" w14:textId="77777777" w:rsidR="003271D0" w:rsidRPr="001E6AFD" w:rsidRDefault="003271D0" w:rsidP="003271D0">
      <w:pPr>
        <w:jc w:val="center"/>
        <w:rPr>
          <w:rFonts w:eastAsia="Times New Roman" w:cs="Times New Roman"/>
          <w:szCs w:val="24"/>
          <w:lang w:val="en-GB"/>
        </w:rPr>
      </w:pPr>
      <w:r w:rsidRPr="001E6AFD">
        <w:rPr>
          <w:rFonts w:eastAsia="Times New Roman" w:cs="Times New Roman"/>
          <w:noProof/>
          <w:szCs w:val="24"/>
          <w:lang w:val="en-GB" w:eastAsia="en-GB"/>
        </w:rPr>
        <w:drawing>
          <wp:inline distT="114300" distB="114300" distL="114300" distR="114300" wp14:anchorId="53B10134" wp14:editId="48880FF7">
            <wp:extent cx="4107335" cy="4100513"/>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4107335" cy="4100513"/>
                    </a:xfrm>
                    <a:prstGeom prst="rect">
                      <a:avLst/>
                    </a:prstGeom>
                    <a:ln w="12700">
                      <a:solidFill>
                        <a:srgbClr val="000000"/>
                      </a:solidFill>
                      <a:prstDash val="solid"/>
                    </a:ln>
                  </pic:spPr>
                </pic:pic>
              </a:graphicData>
            </a:graphic>
          </wp:inline>
        </w:drawing>
      </w:r>
    </w:p>
    <w:p w14:paraId="3322100C" w14:textId="77777777" w:rsidR="003271D0" w:rsidRPr="001E6AFD" w:rsidRDefault="003271D0" w:rsidP="003271D0">
      <w:pPr>
        <w:jc w:val="center"/>
        <w:rPr>
          <w:rFonts w:eastAsia="Times New Roman" w:cs="Times New Roman"/>
          <w:b/>
          <w:bCs/>
          <w:szCs w:val="24"/>
          <w:lang w:val="en-GB"/>
        </w:rPr>
      </w:pPr>
      <w:r w:rsidRPr="001E6AFD">
        <w:rPr>
          <w:rFonts w:eastAsia="Times New Roman" w:cs="Times New Roman"/>
          <w:b/>
          <w:bCs/>
          <w:szCs w:val="24"/>
          <w:lang w:val="en-GB"/>
        </w:rPr>
        <w:t>Figure 4: Largest Beer Companies Globally</w:t>
      </w:r>
    </w:p>
    <w:p w14:paraId="31F9E9A8" w14:textId="26D95C09" w:rsidR="003271D0" w:rsidRPr="001E6AFD" w:rsidRDefault="003271D0" w:rsidP="003271D0">
      <w:pPr>
        <w:jc w:val="center"/>
        <w:rPr>
          <w:rFonts w:eastAsia="Times New Roman" w:cs="Times New Roman"/>
          <w:szCs w:val="24"/>
          <w:lang w:val="en-GB"/>
        </w:rPr>
      </w:pPr>
      <w:r w:rsidRPr="001E6AFD">
        <w:rPr>
          <w:rFonts w:eastAsia="Times New Roman" w:cs="Times New Roman"/>
          <w:szCs w:val="24"/>
          <w:lang w:val="en-GB"/>
        </w:rPr>
        <w:t xml:space="preserve">(Source: </w:t>
      </w:r>
      <w:proofErr w:type="spellStart"/>
      <w:r w:rsidRPr="001E6AFD">
        <w:rPr>
          <w:rFonts w:eastAsia="Times New Roman" w:cs="Times New Roman"/>
          <w:szCs w:val="24"/>
          <w:lang w:val="en-GB"/>
        </w:rPr>
        <w:t>Businessbar</w:t>
      </w:r>
      <w:proofErr w:type="spellEnd"/>
      <w:r w:rsidRPr="001E6AFD">
        <w:rPr>
          <w:rFonts w:eastAsia="Times New Roman" w:cs="Times New Roman"/>
          <w:szCs w:val="24"/>
          <w:lang w:val="en-GB"/>
        </w:rPr>
        <w:t>, 2021)</w:t>
      </w:r>
    </w:p>
    <w:p w14:paraId="00850767"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Other competitors like Carlsberg are diversifying into non-beer beverages, thus enhancing their resilience and margins, and craft breweries and local brands are taking away market share by targeting niche and premium segments (Erl and Kiesel, 2021). The competitive strength of Heineken is the premium products positioning and geographic diversification.</w:t>
      </w:r>
    </w:p>
    <w:p w14:paraId="780B67A1" w14:textId="09C57D21" w:rsidR="00E7394B" w:rsidRPr="003271D0" w:rsidRDefault="00FA4025" w:rsidP="003271D0">
      <w:pPr>
        <w:pStyle w:val="Heading1"/>
        <w:rPr>
          <w:rFonts w:eastAsia="Times New Roman" w:cs="Times New Roman"/>
          <w:bCs/>
          <w:szCs w:val="24"/>
          <w:lang w:val="en-GB"/>
        </w:rPr>
      </w:pPr>
      <w:bookmarkStart w:id="4" w:name="_Toc225279096"/>
      <w:r w:rsidRPr="001E6AFD">
        <w:rPr>
          <w:lang w:val="en-GB"/>
        </w:rPr>
        <w:t>2. External and Internal Environment Analysis</w:t>
      </w:r>
      <w:bookmarkEnd w:id="4"/>
    </w:p>
    <w:p w14:paraId="68938E20" w14:textId="0C002BA6" w:rsidR="007028F8" w:rsidRPr="007028F8" w:rsidRDefault="00FA4025" w:rsidP="007028F8">
      <w:pPr>
        <w:pStyle w:val="Heading2"/>
        <w:rPr>
          <w:lang w:val="en-GB"/>
        </w:rPr>
      </w:pPr>
      <w:bookmarkStart w:id="5" w:name="_Toc225279097"/>
      <w:r w:rsidRPr="001E6AFD">
        <w:rPr>
          <w:lang w:val="en-GB"/>
        </w:rPr>
        <w:t xml:space="preserve">2.1 </w:t>
      </w:r>
      <w:r w:rsidR="003271D0">
        <w:rPr>
          <w:lang w:val="en-GB"/>
        </w:rPr>
        <w:t>External Environment: PESTLE Analysis</w:t>
      </w:r>
      <w:bookmarkEnd w:id="5"/>
    </w:p>
    <w:tbl>
      <w:tblPr>
        <w:tblStyle w:val="Table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7"/>
        <w:gridCol w:w="6067"/>
        <w:gridCol w:w="1315"/>
      </w:tblGrid>
      <w:tr w:rsidR="00E7394B" w:rsidRPr="001E6AFD" w14:paraId="5DAF10CB" w14:textId="77777777" w:rsidTr="006473F9">
        <w:tc>
          <w:tcPr>
            <w:tcW w:w="0" w:type="auto"/>
            <w:shd w:val="clear" w:color="auto" w:fill="C2D69B" w:themeFill="accent3" w:themeFillTint="99"/>
            <w:tcMar>
              <w:top w:w="100" w:type="dxa"/>
              <w:left w:w="100" w:type="dxa"/>
              <w:bottom w:w="100" w:type="dxa"/>
              <w:right w:w="100" w:type="dxa"/>
            </w:tcMar>
          </w:tcPr>
          <w:p w14:paraId="7FC042CE" w14:textId="77777777" w:rsidR="00E7394B" w:rsidRPr="001E6AFD" w:rsidRDefault="00FA4025">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 xml:space="preserve">Factors </w:t>
            </w:r>
          </w:p>
        </w:tc>
        <w:tc>
          <w:tcPr>
            <w:tcW w:w="0" w:type="auto"/>
            <w:shd w:val="clear" w:color="auto" w:fill="C2D69B" w:themeFill="accent3" w:themeFillTint="99"/>
            <w:tcMar>
              <w:top w:w="100" w:type="dxa"/>
              <w:left w:w="100" w:type="dxa"/>
              <w:bottom w:w="100" w:type="dxa"/>
              <w:right w:w="100" w:type="dxa"/>
            </w:tcMar>
          </w:tcPr>
          <w:p w14:paraId="0DCFC93B" w14:textId="77777777" w:rsidR="00E7394B" w:rsidRPr="001E6AFD" w:rsidRDefault="00FA4025">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Description</w:t>
            </w:r>
          </w:p>
        </w:tc>
        <w:tc>
          <w:tcPr>
            <w:tcW w:w="0" w:type="auto"/>
            <w:shd w:val="clear" w:color="auto" w:fill="C2D69B" w:themeFill="accent3" w:themeFillTint="99"/>
            <w:tcMar>
              <w:top w:w="100" w:type="dxa"/>
              <w:left w:w="100" w:type="dxa"/>
              <w:bottom w:w="100" w:type="dxa"/>
              <w:right w:w="100" w:type="dxa"/>
            </w:tcMar>
          </w:tcPr>
          <w:p w14:paraId="7767A197" w14:textId="77777777" w:rsidR="00E7394B" w:rsidRPr="001E6AFD" w:rsidRDefault="00FA4025">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Impact</w:t>
            </w:r>
          </w:p>
        </w:tc>
      </w:tr>
      <w:tr w:rsidR="00E7394B" w:rsidRPr="001E6AFD" w14:paraId="6E4D3930" w14:textId="77777777" w:rsidTr="006473F9">
        <w:tc>
          <w:tcPr>
            <w:tcW w:w="0" w:type="auto"/>
            <w:shd w:val="clear" w:color="auto" w:fill="CCC0D9" w:themeFill="accent4" w:themeFillTint="66"/>
            <w:tcMar>
              <w:top w:w="100" w:type="dxa"/>
              <w:left w:w="100" w:type="dxa"/>
              <w:bottom w:w="100" w:type="dxa"/>
              <w:right w:w="100" w:type="dxa"/>
            </w:tcMar>
          </w:tcPr>
          <w:p w14:paraId="20242E2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Political </w:t>
            </w:r>
          </w:p>
        </w:tc>
        <w:tc>
          <w:tcPr>
            <w:tcW w:w="0" w:type="auto"/>
            <w:tcMar>
              <w:top w:w="100" w:type="dxa"/>
              <w:left w:w="100" w:type="dxa"/>
              <w:bottom w:w="100" w:type="dxa"/>
              <w:right w:w="100" w:type="dxa"/>
            </w:tcMar>
          </w:tcPr>
          <w:p w14:paraId="270BC2BF"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The political stability index of the Netherlands is 0.43 in 2024, which is down from 0.61 in the previous year (The Global Economy, 2024).    </w:t>
            </w:r>
          </w:p>
          <w:p w14:paraId="093AE9C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Trade policies and taxation have less uncertainty in terms of cross-border distribution.  </w:t>
            </w:r>
          </w:p>
        </w:tc>
        <w:tc>
          <w:tcPr>
            <w:tcW w:w="0" w:type="auto"/>
            <w:tcMar>
              <w:top w:w="100" w:type="dxa"/>
              <w:left w:w="100" w:type="dxa"/>
              <w:bottom w:w="100" w:type="dxa"/>
              <w:right w:w="100" w:type="dxa"/>
            </w:tcMar>
          </w:tcPr>
          <w:p w14:paraId="34279A0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High</w:t>
            </w:r>
          </w:p>
        </w:tc>
      </w:tr>
      <w:tr w:rsidR="00E7394B" w:rsidRPr="001E6AFD" w14:paraId="1E09401D" w14:textId="77777777" w:rsidTr="006473F9">
        <w:tc>
          <w:tcPr>
            <w:tcW w:w="0" w:type="auto"/>
            <w:shd w:val="clear" w:color="auto" w:fill="CCC0D9" w:themeFill="accent4" w:themeFillTint="66"/>
            <w:tcMar>
              <w:top w:w="100" w:type="dxa"/>
              <w:left w:w="100" w:type="dxa"/>
              <w:bottom w:w="100" w:type="dxa"/>
              <w:right w:w="100" w:type="dxa"/>
            </w:tcMar>
          </w:tcPr>
          <w:p w14:paraId="2397D230"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Economical </w:t>
            </w:r>
          </w:p>
        </w:tc>
        <w:tc>
          <w:tcPr>
            <w:tcW w:w="0" w:type="auto"/>
            <w:tcMar>
              <w:top w:w="100" w:type="dxa"/>
              <w:left w:w="100" w:type="dxa"/>
              <w:bottom w:w="100" w:type="dxa"/>
              <w:right w:w="100" w:type="dxa"/>
            </w:tcMar>
          </w:tcPr>
          <w:p w14:paraId="126736B5"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The GDP of the country is more than 1200 billion USD, which has improved from last year (Trading Economics, 2024). </w:t>
            </w:r>
          </w:p>
          <w:p w14:paraId="1CAA8B3B"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The inflation rate of the Netherlands is about 2.4%, which forces consumer prices up to 1% (Trading Economics, 2024b).</w:t>
            </w:r>
          </w:p>
          <w:p w14:paraId="55AC293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Unemployment rate has increased from 4% to 4.1%, though the labour market stays relatively strong (Trading Economics, 2024c).  </w:t>
            </w:r>
          </w:p>
        </w:tc>
        <w:tc>
          <w:tcPr>
            <w:tcW w:w="0" w:type="auto"/>
            <w:tcMar>
              <w:top w:w="100" w:type="dxa"/>
              <w:left w:w="100" w:type="dxa"/>
              <w:bottom w:w="100" w:type="dxa"/>
              <w:right w:w="100" w:type="dxa"/>
            </w:tcMar>
          </w:tcPr>
          <w:p w14:paraId="48B68B42"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High</w:t>
            </w:r>
          </w:p>
        </w:tc>
      </w:tr>
      <w:tr w:rsidR="00E7394B" w:rsidRPr="001E6AFD" w14:paraId="4D343E60" w14:textId="77777777" w:rsidTr="006473F9">
        <w:tc>
          <w:tcPr>
            <w:tcW w:w="0" w:type="auto"/>
            <w:shd w:val="clear" w:color="auto" w:fill="CCC0D9" w:themeFill="accent4" w:themeFillTint="66"/>
            <w:tcMar>
              <w:top w:w="100" w:type="dxa"/>
              <w:left w:w="100" w:type="dxa"/>
              <w:bottom w:w="100" w:type="dxa"/>
              <w:right w:w="100" w:type="dxa"/>
            </w:tcMar>
          </w:tcPr>
          <w:p w14:paraId="63ED69E8"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Social </w:t>
            </w:r>
          </w:p>
        </w:tc>
        <w:tc>
          <w:tcPr>
            <w:tcW w:w="0" w:type="auto"/>
            <w:tcMar>
              <w:top w:w="100" w:type="dxa"/>
              <w:left w:w="100" w:type="dxa"/>
              <w:bottom w:w="100" w:type="dxa"/>
              <w:right w:w="100" w:type="dxa"/>
            </w:tcMar>
          </w:tcPr>
          <w:p w14:paraId="2604CD2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The demand is being restructured in a more structural way due to social factors. </w:t>
            </w:r>
          </w:p>
          <w:p w14:paraId="213F7C9B"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The growing ageing population and the rise in health </w:t>
            </w:r>
            <w:r w:rsidRPr="001E6AFD">
              <w:rPr>
                <w:rFonts w:eastAsia="Times New Roman" w:cs="Times New Roman"/>
                <w:szCs w:val="24"/>
                <w:lang w:val="en-GB"/>
              </w:rPr>
              <w:lastRenderedPageBreak/>
              <w:t>awareness in the Netherlands and Europe at large lower the per capita consumption of alcohol (</w:t>
            </w:r>
            <w:proofErr w:type="spellStart"/>
            <w:r w:rsidRPr="001E6AFD">
              <w:rPr>
                <w:rFonts w:eastAsia="Times New Roman" w:cs="Times New Roman"/>
                <w:szCs w:val="24"/>
                <w:lang w:val="en-GB"/>
              </w:rPr>
              <w:t>Listabarth</w:t>
            </w:r>
            <w:proofErr w:type="spellEnd"/>
            <w:r w:rsidRPr="001E6AFD">
              <w:rPr>
                <w:rFonts w:eastAsia="Times New Roman" w:cs="Times New Roman"/>
                <w:szCs w:val="24"/>
                <w:lang w:val="en-GB"/>
              </w:rPr>
              <w:t xml:space="preserve"> </w:t>
            </w:r>
            <w:r w:rsidRPr="001E6AFD">
              <w:rPr>
                <w:rFonts w:eastAsia="Times New Roman" w:cs="Times New Roman"/>
                <w:i/>
                <w:iCs/>
                <w:szCs w:val="24"/>
                <w:lang w:val="en-GB"/>
              </w:rPr>
              <w:t>et al.</w:t>
            </w:r>
            <w:r w:rsidRPr="001E6AFD">
              <w:rPr>
                <w:rFonts w:eastAsia="Times New Roman" w:cs="Times New Roman"/>
                <w:szCs w:val="24"/>
                <w:lang w:val="en-GB"/>
              </w:rPr>
              <w:t>, 2022).</w:t>
            </w:r>
          </w:p>
        </w:tc>
        <w:tc>
          <w:tcPr>
            <w:tcW w:w="0" w:type="auto"/>
            <w:tcMar>
              <w:top w:w="100" w:type="dxa"/>
              <w:left w:w="100" w:type="dxa"/>
              <w:bottom w:w="100" w:type="dxa"/>
              <w:right w:w="100" w:type="dxa"/>
            </w:tcMar>
          </w:tcPr>
          <w:p w14:paraId="1B9C1091"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lastRenderedPageBreak/>
              <w:t>Low</w:t>
            </w:r>
          </w:p>
        </w:tc>
      </w:tr>
      <w:tr w:rsidR="00E7394B" w:rsidRPr="001E6AFD" w14:paraId="66347468" w14:textId="77777777" w:rsidTr="006473F9">
        <w:tc>
          <w:tcPr>
            <w:tcW w:w="0" w:type="auto"/>
            <w:shd w:val="clear" w:color="auto" w:fill="CCC0D9" w:themeFill="accent4" w:themeFillTint="66"/>
            <w:tcMar>
              <w:top w:w="100" w:type="dxa"/>
              <w:left w:w="100" w:type="dxa"/>
              <w:bottom w:w="100" w:type="dxa"/>
              <w:right w:w="100" w:type="dxa"/>
            </w:tcMar>
          </w:tcPr>
          <w:p w14:paraId="6849CF73"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Technological </w:t>
            </w:r>
          </w:p>
        </w:tc>
        <w:tc>
          <w:tcPr>
            <w:tcW w:w="0" w:type="auto"/>
            <w:tcMar>
              <w:top w:w="100" w:type="dxa"/>
              <w:left w:w="100" w:type="dxa"/>
              <w:bottom w:w="100" w:type="dxa"/>
              <w:right w:w="100" w:type="dxa"/>
            </w:tcMar>
          </w:tcPr>
          <w:p w14:paraId="72A8622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Efficiency and competitive differentiation are aided by technological change. </w:t>
            </w:r>
          </w:p>
          <w:p w14:paraId="40CADAF8"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Use of digital marketing and use of data-driven distribution enhances targeting and customer interaction. </w:t>
            </w:r>
          </w:p>
          <w:p w14:paraId="413F43B8"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Heineken has made more investments in marketing and digital, which means that the company relies on technology to maintain brand equity and channel optimisation (Oliveira, 2024).</w:t>
            </w:r>
          </w:p>
        </w:tc>
        <w:tc>
          <w:tcPr>
            <w:tcW w:w="0" w:type="auto"/>
            <w:tcMar>
              <w:top w:w="100" w:type="dxa"/>
              <w:left w:w="100" w:type="dxa"/>
              <w:bottom w:w="100" w:type="dxa"/>
              <w:right w:w="100" w:type="dxa"/>
            </w:tcMar>
          </w:tcPr>
          <w:p w14:paraId="3315CBB4"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Moderate</w:t>
            </w:r>
          </w:p>
        </w:tc>
      </w:tr>
      <w:tr w:rsidR="00E7394B" w:rsidRPr="001E6AFD" w14:paraId="6788A4DC" w14:textId="77777777" w:rsidTr="006473F9">
        <w:tc>
          <w:tcPr>
            <w:tcW w:w="0" w:type="auto"/>
            <w:shd w:val="clear" w:color="auto" w:fill="CCC0D9" w:themeFill="accent4" w:themeFillTint="66"/>
            <w:tcMar>
              <w:top w:w="100" w:type="dxa"/>
              <w:left w:w="100" w:type="dxa"/>
              <w:bottom w:w="100" w:type="dxa"/>
              <w:right w:w="100" w:type="dxa"/>
            </w:tcMar>
          </w:tcPr>
          <w:p w14:paraId="0562A695"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Environmental </w:t>
            </w:r>
          </w:p>
        </w:tc>
        <w:tc>
          <w:tcPr>
            <w:tcW w:w="0" w:type="auto"/>
            <w:tcMar>
              <w:top w:w="100" w:type="dxa"/>
              <w:left w:w="100" w:type="dxa"/>
              <w:bottom w:w="100" w:type="dxa"/>
              <w:right w:w="100" w:type="dxa"/>
            </w:tcMar>
          </w:tcPr>
          <w:p w14:paraId="349D4BB7"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The Netherlands has stringent rules regarding sustainability in emissions, use of water and circular packaging. </w:t>
            </w:r>
          </w:p>
          <w:p w14:paraId="116E7E0E"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These drive the costs of operations up, yet encourage Heineken to become more innovative in renewable energy and sustainable brewing (Serviss </w:t>
            </w:r>
            <w:r w:rsidRPr="001E6AFD">
              <w:rPr>
                <w:rFonts w:eastAsia="Times New Roman" w:cs="Times New Roman"/>
                <w:i/>
                <w:iCs/>
                <w:szCs w:val="24"/>
                <w:lang w:val="en-GB"/>
              </w:rPr>
              <w:t>et al.</w:t>
            </w:r>
            <w:r w:rsidRPr="001E6AFD">
              <w:rPr>
                <w:rFonts w:eastAsia="Times New Roman" w:cs="Times New Roman"/>
                <w:szCs w:val="24"/>
                <w:lang w:val="en-GB"/>
              </w:rPr>
              <w:t>, 2025).</w:t>
            </w:r>
          </w:p>
        </w:tc>
        <w:tc>
          <w:tcPr>
            <w:tcW w:w="0" w:type="auto"/>
            <w:tcMar>
              <w:top w:w="100" w:type="dxa"/>
              <w:left w:w="100" w:type="dxa"/>
              <w:bottom w:w="100" w:type="dxa"/>
              <w:right w:w="100" w:type="dxa"/>
            </w:tcMar>
          </w:tcPr>
          <w:p w14:paraId="56E69901"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Moderate</w:t>
            </w:r>
          </w:p>
        </w:tc>
      </w:tr>
      <w:tr w:rsidR="00E7394B" w:rsidRPr="001E6AFD" w14:paraId="3F5CCCC3" w14:textId="77777777" w:rsidTr="006473F9">
        <w:tc>
          <w:tcPr>
            <w:tcW w:w="0" w:type="auto"/>
            <w:shd w:val="clear" w:color="auto" w:fill="CCC0D9" w:themeFill="accent4" w:themeFillTint="66"/>
            <w:tcMar>
              <w:top w:w="100" w:type="dxa"/>
              <w:left w:w="100" w:type="dxa"/>
              <w:bottom w:w="100" w:type="dxa"/>
              <w:right w:w="100" w:type="dxa"/>
            </w:tcMar>
          </w:tcPr>
          <w:p w14:paraId="0029828A"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 xml:space="preserve">Legal </w:t>
            </w:r>
          </w:p>
        </w:tc>
        <w:tc>
          <w:tcPr>
            <w:tcW w:w="0" w:type="auto"/>
            <w:tcMar>
              <w:top w:w="100" w:type="dxa"/>
              <w:left w:w="100" w:type="dxa"/>
              <w:bottom w:w="100" w:type="dxa"/>
              <w:right w:w="100" w:type="dxa"/>
            </w:tcMar>
          </w:tcPr>
          <w:p w14:paraId="538189D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Promotional flexibility is restricted by strict advertising limits, minimum drinking age legislation, and labelling requirements. </w:t>
            </w:r>
          </w:p>
          <w:p w14:paraId="2B923FFF"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These costs of compliance rise, and more importantly, limit expansion strategies in the market, especially in Europe, where regulation is becoming stricter.</w:t>
            </w:r>
          </w:p>
        </w:tc>
        <w:tc>
          <w:tcPr>
            <w:tcW w:w="0" w:type="auto"/>
            <w:tcMar>
              <w:top w:w="100" w:type="dxa"/>
              <w:left w:w="100" w:type="dxa"/>
              <w:bottom w:w="100" w:type="dxa"/>
              <w:right w:w="100" w:type="dxa"/>
            </w:tcMar>
          </w:tcPr>
          <w:p w14:paraId="24ADECA9"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Low to moderate</w:t>
            </w:r>
          </w:p>
        </w:tc>
      </w:tr>
    </w:tbl>
    <w:p w14:paraId="6628259C"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szCs w:val="24"/>
          <w:lang w:val="en-GB"/>
        </w:rPr>
        <w:t>Table 1: PESTEL analysis</w:t>
      </w:r>
    </w:p>
    <w:p w14:paraId="2D37CA88" w14:textId="77777777" w:rsidR="00E7394B" w:rsidRPr="001E6AFD" w:rsidRDefault="00FA4025">
      <w:pPr>
        <w:jc w:val="center"/>
        <w:rPr>
          <w:rFonts w:eastAsia="Times New Roman" w:cs="Times New Roman"/>
          <w:szCs w:val="24"/>
          <w:lang w:val="en-GB"/>
        </w:rPr>
      </w:pPr>
      <w:r w:rsidRPr="001E6AFD">
        <w:rPr>
          <w:rFonts w:eastAsia="Times New Roman" w:cs="Times New Roman"/>
          <w:szCs w:val="24"/>
          <w:lang w:val="en-GB"/>
        </w:rPr>
        <w:t>(Source: Self-developed)</w:t>
      </w:r>
    </w:p>
    <w:p w14:paraId="50619CB8" w14:textId="61131275" w:rsidR="00E7394B" w:rsidRPr="001E6AFD" w:rsidRDefault="00FA4025" w:rsidP="007028F8">
      <w:pPr>
        <w:pStyle w:val="Heading2"/>
        <w:rPr>
          <w:lang w:val="en-GB"/>
        </w:rPr>
      </w:pPr>
      <w:bookmarkStart w:id="6" w:name="_Toc225279098"/>
      <w:r w:rsidRPr="001E6AFD">
        <w:rPr>
          <w:lang w:val="en-GB"/>
        </w:rPr>
        <w:t xml:space="preserve">2.2 Critical </w:t>
      </w:r>
      <w:r w:rsidR="003271D0" w:rsidRPr="001E6AFD">
        <w:rPr>
          <w:lang w:val="en-GB"/>
        </w:rPr>
        <w:t xml:space="preserve">Success Factors </w:t>
      </w:r>
      <w:r w:rsidRPr="001E6AFD">
        <w:rPr>
          <w:lang w:val="en-GB"/>
        </w:rPr>
        <w:t xml:space="preserve">and </w:t>
      </w:r>
      <w:r w:rsidR="003271D0" w:rsidRPr="001E6AFD">
        <w:rPr>
          <w:lang w:val="en-GB"/>
        </w:rPr>
        <w:t xml:space="preserve">Strategic Challenges </w:t>
      </w:r>
      <w:r w:rsidR="003271D0">
        <w:rPr>
          <w:lang w:val="en-GB"/>
        </w:rPr>
        <w:t>from the External Environment</w:t>
      </w:r>
      <w:bookmarkEnd w:id="6"/>
    </w:p>
    <w:p w14:paraId="4BC62C77" w14:textId="6B845DBD" w:rsidR="00E7394B" w:rsidRPr="003271D0" w:rsidRDefault="003271D0" w:rsidP="003271D0">
      <w:pPr>
        <w:pStyle w:val="Heading3"/>
      </w:pPr>
      <w:bookmarkStart w:id="7" w:name="_Toc225279099"/>
      <w:r w:rsidRPr="003271D0">
        <w:t xml:space="preserve">2.2.1 </w:t>
      </w:r>
      <w:r w:rsidR="00FA4025" w:rsidRPr="003271D0">
        <w:t>Critical Success Factors</w:t>
      </w:r>
      <w:bookmarkEnd w:id="7"/>
    </w:p>
    <w:p w14:paraId="0CA4A11C"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Premiumisation and brand equity</w:t>
      </w:r>
    </w:p>
    <w:p w14:paraId="22C5546A" w14:textId="77777777" w:rsidR="007028F8" w:rsidRPr="006473F9" w:rsidRDefault="00FA4025">
      <w:pPr>
        <w:rPr>
          <w:rFonts w:eastAsia="Times New Roman" w:cs="Times New Roman"/>
          <w:szCs w:val="24"/>
          <w:lang w:val="en-GB"/>
        </w:rPr>
      </w:pPr>
      <w:r w:rsidRPr="001E6AFD">
        <w:rPr>
          <w:rFonts w:eastAsia="Times New Roman" w:cs="Times New Roman"/>
          <w:szCs w:val="24"/>
          <w:lang w:val="en-GB"/>
        </w:rPr>
        <w:lastRenderedPageBreak/>
        <w:t>The capacity of Heineken to maintain a premium positioning is the key to profitability. The volumes of premium beer increased by approximately 5% in 2024, which is much higher than the total portfolio growth of 1.6%, with the flagship brand growing by nearly 9% (Arthur, 2025). Premium product earns a gross profit per hectolitre that is more than 50% higher than mainstream beer, and this means that the protection of margin requires further consumer willingness to purchase. The duty levels in the EU markets are still increasing, which has a direct impact on the pricing tactics, limiting them and compelling Heineken to focus more on premiumisation instead of volume growth. Success in any strategy is therefore dependent on brand equity being high through investing in marketing and global uniformity.</w:t>
      </w:r>
    </w:p>
    <w:p w14:paraId="0744248D"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Low and no-alcohol segment leadership</w:t>
      </w:r>
    </w:p>
    <w:p w14:paraId="5C3AF7FB"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Structural growth opportunities develop in the way consumption is shifting to moderation. Heineken 0.0 witnessed over 53% volume growth in 2020-24 and has a presence in more than 100 markets (Heineken International B.V, 2025). The non-alcoholic beer market in the world is estimated to be 13.7 billion dollars and is growing at a rate higher than the traditional beer markets. This segment already comprises more than 4% of the Heineken portfolio, so diversification into health-oriented products is an important capability, and not an extension of the niche.</w:t>
      </w:r>
    </w:p>
    <w:p w14:paraId="5D485251"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Geographical diversification and development of new markets</w:t>
      </w:r>
    </w:p>
    <w:p w14:paraId="3A8ACA1D"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The emerging economies like India, Vietnam, Brazil, and Nigeria, where the consumption of beer is on the increase, are causing growth. Heineken is distributed in more than 70 countries and will enable risk spread over the decreasing European demand and the growth regions (Euro Next, 2025). This geographical distribution assists in the strength of revenues and allows volume to grow in areas with more significant demographic expansion and urbanisation. The increasing input prices, especially on barley and packaging, squeeze margins, and it becomes impossible to compete with the cheaper brands.</w:t>
      </w:r>
    </w:p>
    <w:p w14:paraId="79788875"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Cost management and efficiency</w:t>
      </w:r>
    </w:p>
    <w:p w14:paraId="2017ED1D"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Necessary constant efficiency improvements are necessitated by growing production costs and inflation. Heineken saved more than 0.6 billion euros in 2024, which helped to maintain the margins in a stable situation despite the poor growth of volumes (Heineken, 2025a). The implementation of the strategic planning requires striking a balance between cost-saving and long-term investment in marketing and innovation.</w:t>
      </w:r>
    </w:p>
    <w:p w14:paraId="50F027B5"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lastRenderedPageBreak/>
        <w:t>Integrating sustainability into strategy</w:t>
      </w:r>
    </w:p>
    <w:p w14:paraId="2830311C"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Sustainability is a competitive requirement due to environmental regulations and pressure on stakeholders. Heineken boasts of a huge carbon emission cut and incorporates ESG targets into capital allocation decisions. This enhances the legitimacy in the long term and capital access and meets the regulatory requirements in European markets.</w:t>
      </w:r>
    </w:p>
    <w:p w14:paraId="5BD8B74B" w14:textId="65EAD9E5" w:rsidR="00E7394B" w:rsidRPr="001E6AFD" w:rsidRDefault="003271D0" w:rsidP="003271D0">
      <w:pPr>
        <w:pStyle w:val="Heading3"/>
        <w:rPr>
          <w:lang w:val="en-GB"/>
        </w:rPr>
      </w:pPr>
      <w:bookmarkStart w:id="8" w:name="_Toc225279100"/>
      <w:r>
        <w:rPr>
          <w:lang w:val="en-GB"/>
        </w:rPr>
        <w:t xml:space="preserve">2.2.2 </w:t>
      </w:r>
      <w:r w:rsidR="00FA4025" w:rsidRPr="001E6AFD">
        <w:rPr>
          <w:lang w:val="en-GB"/>
        </w:rPr>
        <w:t>Strategic Challenges</w:t>
      </w:r>
      <w:bookmarkEnd w:id="8"/>
    </w:p>
    <w:p w14:paraId="23FC93F6"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Falling consumption of beer in established markets</w:t>
      </w:r>
    </w:p>
    <w:p w14:paraId="2BC5046F"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The decline in structural demand is experienced in European markets because of the ageing population and healthy habits. The total beer volumes have been increasing slowly at 1.6%, which implies a lack of growth in core categories (Heineken, 2024). This restrains economies of scale and compels dependency on the price and premium segment, exposing it to the risks of elastic demand.</w:t>
      </w:r>
    </w:p>
    <w:p w14:paraId="4047D56A"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Brutal competition and saturation of the market</w:t>
      </w:r>
    </w:p>
    <w:p w14:paraId="1ED31B1A"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Differentiation goes down due to competition between international brewers and new craft producers. Competitors like AB InBev are also spending heavily on the same premium and non-alcoholic segments, which are increasing competition (Dunne </w:t>
      </w:r>
      <w:r w:rsidRPr="001E6AFD">
        <w:rPr>
          <w:rFonts w:eastAsia="Times New Roman" w:cs="Times New Roman"/>
          <w:i/>
          <w:iCs/>
          <w:szCs w:val="24"/>
          <w:lang w:val="en-GB"/>
        </w:rPr>
        <w:t>et al.</w:t>
      </w:r>
      <w:r w:rsidRPr="001E6AFD">
        <w:rPr>
          <w:rFonts w:eastAsia="Times New Roman" w:cs="Times New Roman"/>
          <w:szCs w:val="24"/>
          <w:lang w:val="en-GB"/>
        </w:rPr>
        <w:t>, 2023). The rise of Corona Cero and other such products indicates convergence in the strategic direction, making Heineken less superior in terms of first movers.</w:t>
      </w:r>
    </w:p>
    <w:p w14:paraId="23C374E3"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Inflation in costs and pressure on margins</w:t>
      </w:r>
    </w:p>
    <w:p w14:paraId="1C67E409"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Unpredictability of raw materials, energy and logistics costs limits profitability. Although a rise in prices will enhance revenue growth, it may decrease its demand in price-sensitive markets (</w:t>
      </w:r>
      <w:proofErr w:type="spellStart"/>
      <w:r w:rsidRPr="001E6AFD">
        <w:rPr>
          <w:rFonts w:eastAsia="Times New Roman" w:cs="Times New Roman"/>
          <w:szCs w:val="24"/>
          <w:lang w:val="en-GB"/>
        </w:rPr>
        <w:t>Gielens</w:t>
      </w:r>
      <w:proofErr w:type="spellEnd"/>
      <w:r w:rsidRPr="001E6AFD">
        <w:rPr>
          <w:rFonts w:eastAsia="Times New Roman" w:cs="Times New Roman"/>
          <w:szCs w:val="24"/>
          <w:lang w:val="en-GB"/>
        </w:rPr>
        <w:t xml:space="preserve"> </w:t>
      </w:r>
      <w:r w:rsidRPr="001E6AFD">
        <w:rPr>
          <w:rFonts w:eastAsia="Times New Roman" w:cs="Times New Roman"/>
          <w:i/>
          <w:iCs/>
          <w:szCs w:val="24"/>
          <w:lang w:val="en-GB"/>
        </w:rPr>
        <w:t>et al.</w:t>
      </w:r>
      <w:r w:rsidRPr="001E6AFD">
        <w:rPr>
          <w:rFonts w:eastAsia="Times New Roman" w:cs="Times New Roman"/>
          <w:szCs w:val="24"/>
          <w:lang w:val="en-GB"/>
        </w:rPr>
        <w:t>, 2021). This leads to a strategic conflict on the maintenance of margins and volumes, especially in emerging economies, where affordability is a crucial factor.</w:t>
      </w:r>
    </w:p>
    <w:p w14:paraId="58A3F041"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Taxation and regulatory limitations</w:t>
      </w:r>
    </w:p>
    <w:p w14:paraId="2444D64A"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Taxation and a ban on advertisements of alcohol will directly restrict growth potential. The high excise rates in most of the markets make retail prices higher and lower competitiveness compared to the non-alcoholic options. </w:t>
      </w:r>
      <w:proofErr w:type="spellStart"/>
      <w:r w:rsidRPr="001E6AFD">
        <w:rPr>
          <w:rFonts w:eastAsia="Times New Roman" w:cs="Times New Roman"/>
          <w:szCs w:val="24"/>
          <w:lang w:val="en-GB"/>
        </w:rPr>
        <w:t>Strictening</w:t>
      </w:r>
      <w:proofErr w:type="spellEnd"/>
      <w:r w:rsidRPr="001E6AFD">
        <w:rPr>
          <w:rFonts w:eastAsia="Times New Roman" w:cs="Times New Roman"/>
          <w:szCs w:val="24"/>
          <w:lang w:val="en-GB"/>
        </w:rPr>
        <w:t xml:space="preserve"> of the regulations also limits the freedom of promotions, reducing the brand communication strategy.</w:t>
      </w:r>
    </w:p>
    <w:p w14:paraId="7FDDA534"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Substitution risk and changing consumer preferences</w:t>
      </w:r>
    </w:p>
    <w:p w14:paraId="7517B14D"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lastRenderedPageBreak/>
        <w:t>The change in lifestyle to healthier living minimises the frequency of alcohol intake. Even though the non-alcoholic segment provides growth, it is still a minor part of the total volume in the world, being less than 2%, which means that the substitution is not completely compensating for the decreasing traditional beer demand (Heineken International B.V, 2025a). This poses a structural issue in the long term, in that portfolio transformation will have to be quicker than category decay.</w:t>
      </w:r>
    </w:p>
    <w:p w14:paraId="28F9C917" w14:textId="29867DA0" w:rsidR="00E7394B" w:rsidRPr="001E6AFD" w:rsidRDefault="00FA4025" w:rsidP="006473F9">
      <w:pPr>
        <w:pStyle w:val="Heading2"/>
        <w:rPr>
          <w:lang w:val="en-GB"/>
        </w:rPr>
      </w:pPr>
      <w:bookmarkStart w:id="9" w:name="_Toc225279101"/>
      <w:r w:rsidRPr="001E6AFD">
        <w:rPr>
          <w:lang w:val="en-GB"/>
        </w:rPr>
        <w:t xml:space="preserve">2.3 </w:t>
      </w:r>
      <w:r w:rsidR="003271D0">
        <w:rPr>
          <w:lang w:val="en-GB"/>
        </w:rPr>
        <w:t>Internal Environment: VRIO Analysis</w:t>
      </w:r>
      <w:bookmarkEnd w:id="9"/>
    </w:p>
    <w:tbl>
      <w:tblPr>
        <w:tblStyle w:val="Table2"/>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56"/>
        <w:gridCol w:w="1121"/>
        <w:gridCol w:w="707"/>
        <w:gridCol w:w="1267"/>
        <w:gridCol w:w="1267"/>
        <w:gridCol w:w="1463"/>
        <w:gridCol w:w="1728"/>
      </w:tblGrid>
      <w:tr w:rsidR="00E7394B" w:rsidRPr="001E6AFD" w14:paraId="177B648D" w14:textId="77777777" w:rsidTr="002B64E3">
        <w:tc>
          <w:tcPr>
            <w:tcW w:w="0" w:type="auto"/>
            <w:shd w:val="clear" w:color="auto" w:fill="FBD4B4" w:themeFill="accent6" w:themeFillTint="66"/>
            <w:tcMar>
              <w:top w:w="100" w:type="dxa"/>
              <w:left w:w="100" w:type="dxa"/>
              <w:bottom w:w="100" w:type="dxa"/>
              <w:right w:w="100" w:type="dxa"/>
            </w:tcMar>
          </w:tcPr>
          <w:p w14:paraId="11A44369" w14:textId="77777777" w:rsidR="00E7394B" w:rsidRPr="001E6AFD" w:rsidRDefault="00FA4025" w:rsidP="003771DD">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Capabilities</w:t>
            </w:r>
          </w:p>
        </w:tc>
        <w:tc>
          <w:tcPr>
            <w:tcW w:w="0" w:type="auto"/>
            <w:shd w:val="clear" w:color="auto" w:fill="FBD4B4" w:themeFill="accent6" w:themeFillTint="66"/>
            <w:tcMar>
              <w:top w:w="100" w:type="dxa"/>
              <w:left w:w="100" w:type="dxa"/>
              <w:bottom w:w="100" w:type="dxa"/>
              <w:right w:w="100" w:type="dxa"/>
            </w:tcMar>
          </w:tcPr>
          <w:p w14:paraId="65BAD4A1" w14:textId="77777777" w:rsidR="00E7394B" w:rsidRPr="001E6AFD" w:rsidRDefault="00FA4025" w:rsidP="003771DD">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Valuable</w:t>
            </w:r>
          </w:p>
        </w:tc>
        <w:tc>
          <w:tcPr>
            <w:tcW w:w="0" w:type="auto"/>
            <w:shd w:val="clear" w:color="auto" w:fill="FBD4B4" w:themeFill="accent6" w:themeFillTint="66"/>
            <w:tcMar>
              <w:top w:w="100" w:type="dxa"/>
              <w:left w:w="100" w:type="dxa"/>
              <w:bottom w:w="100" w:type="dxa"/>
              <w:right w:w="100" w:type="dxa"/>
            </w:tcMar>
          </w:tcPr>
          <w:p w14:paraId="4B7C1B40" w14:textId="77777777" w:rsidR="00E7394B" w:rsidRPr="001E6AFD" w:rsidRDefault="00FA4025" w:rsidP="003771DD">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Rare</w:t>
            </w:r>
          </w:p>
        </w:tc>
        <w:tc>
          <w:tcPr>
            <w:tcW w:w="0" w:type="auto"/>
            <w:shd w:val="clear" w:color="auto" w:fill="FBD4B4" w:themeFill="accent6" w:themeFillTint="66"/>
            <w:tcMar>
              <w:top w:w="100" w:type="dxa"/>
              <w:left w:w="100" w:type="dxa"/>
              <w:bottom w:w="100" w:type="dxa"/>
              <w:right w:w="100" w:type="dxa"/>
            </w:tcMar>
          </w:tcPr>
          <w:p w14:paraId="732E3C44" w14:textId="77777777" w:rsidR="00E7394B" w:rsidRPr="001E6AFD" w:rsidRDefault="00FA4025" w:rsidP="003771DD">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Inimitable</w:t>
            </w:r>
          </w:p>
        </w:tc>
        <w:tc>
          <w:tcPr>
            <w:tcW w:w="0" w:type="auto"/>
            <w:shd w:val="clear" w:color="auto" w:fill="FBD4B4" w:themeFill="accent6" w:themeFillTint="66"/>
            <w:tcMar>
              <w:top w:w="100" w:type="dxa"/>
              <w:left w:w="100" w:type="dxa"/>
              <w:bottom w:w="100" w:type="dxa"/>
              <w:right w:w="100" w:type="dxa"/>
            </w:tcMar>
          </w:tcPr>
          <w:p w14:paraId="4FCAEA9F" w14:textId="77777777" w:rsidR="00E7394B" w:rsidRPr="001E6AFD" w:rsidRDefault="00FA4025" w:rsidP="003771DD">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Organised</w:t>
            </w:r>
          </w:p>
        </w:tc>
        <w:tc>
          <w:tcPr>
            <w:tcW w:w="0" w:type="auto"/>
            <w:shd w:val="clear" w:color="auto" w:fill="FBD4B4" w:themeFill="accent6" w:themeFillTint="66"/>
            <w:tcMar>
              <w:top w:w="100" w:type="dxa"/>
              <w:left w:w="100" w:type="dxa"/>
              <w:bottom w:w="100" w:type="dxa"/>
              <w:right w:w="100" w:type="dxa"/>
            </w:tcMar>
          </w:tcPr>
          <w:p w14:paraId="3697C196" w14:textId="77777777" w:rsidR="00E7394B" w:rsidRPr="001E6AFD" w:rsidRDefault="00FA4025" w:rsidP="003771DD">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Competitive advantage</w:t>
            </w:r>
          </w:p>
        </w:tc>
        <w:tc>
          <w:tcPr>
            <w:tcW w:w="0" w:type="auto"/>
            <w:shd w:val="clear" w:color="auto" w:fill="FBD4B4" w:themeFill="accent6" w:themeFillTint="66"/>
            <w:tcMar>
              <w:top w:w="100" w:type="dxa"/>
              <w:left w:w="100" w:type="dxa"/>
              <w:bottom w:w="100" w:type="dxa"/>
              <w:right w:w="100" w:type="dxa"/>
            </w:tcMar>
          </w:tcPr>
          <w:p w14:paraId="76EA5993" w14:textId="77777777" w:rsidR="00E7394B" w:rsidRPr="001E6AFD" w:rsidRDefault="00FA4025" w:rsidP="003771DD">
            <w:pPr>
              <w:widowControl w:val="0"/>
              <w:pBdr>
                <w:top w:val="nil"/>
                <w:left w:val="nil"/>
                <w:bottom w:val="nil"/>
                <w:right w:val="nil"/>
                <w:between w:val="nil"/>
              </w:pBdr>
              <w:jc w:val="center"/>
              <w:rPr>
                <w:rFonts w:eastAsia="Times New Roman" w:cs="Times New Roman"/>
                <w:b/>
                <w:bCs/>
                <w:szCs w:val="24"/>
                <w:lang w:val="en-GB"/>
              </w:rPr>
            </w:pPr>
            <w:r w:rsidRPr="001E6AFD">
              <w:rPr>
                <w:rFonts w:eastAsia="Times New Roman" w:cs="Times New Roman"/>
                <w:b/>
                <w:bCs/>
                <w:szCs w:val="24"/>
                <w:lang w:val="en-GB"/>
              </w:rPr>
              <w:t>Outcomes</w:t>
            </w:r>
          </w:p>
        </w:tc>
      </w:tr>
      <w:tr w:rsidR="00E7394B" w:rsidRPr="001E6AFD" w14:paraId="212C9D66" w14:textId="77777777" w:rsidTr="002B64E3">
        <w:tc>
          <w:tcPr>
            <w:tcW w:w="0" w:type="auto"/>
            <w:shd w:val="clear" w:color="auto" w:fill="B6DDE8" w:themeFill="accent5" w:themeFillTint="66"/>
            <w:tcMar>
              <w:top w:w="100" w:type="dxa"/>
              <w:left w:w="100" w:type="dxa"/>
              <w:bottom w:w="100" w:type="dxa"/>
              <w:right w:w="100" w:type="dxa"/>
            </w:tcMar>
          </w:tcPr>
          <w:p w14:paraId="73CD2A58"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Brand portfolio</w:t>
            </w:r>
          </w:p>
        </w:tc>
        <w:tc>
          <w:tcPr>
            <w:tcW w:w="0" w:type="auto"/>
            <w:shd w:val="clear" w:color="auto" w:fill="B6DDE8" w:themeFill="accent5" w:themeFillTint="66"/>
            <w:tcMar>
              <w:top w:w="100" w:type="dxa"/>
              <w:left w:w="100" w:type="dxa"/>
              <w:bottom w:w="100" w:type="dxa"/>
              <w:right w:w="100" w:type="dxa"/>
            </w:tcMar>
          </w:tcPr>
          <w:p w14:paraId="20DE69DB"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0F8FC204"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1912C38F"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7FE50FF3"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11A1D6A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Sustainable </w:t>
            </w:r>
          </w:p>
        </w:tc>
        <w:tc>
          <w:tcPr>
            <w:tcW w:w="0" w:type="auto"/>
            <w:shd w:val="clear" w:color="auto" w:fill="B6DDE8" w:themeFill="accent5" w:themeFillTint="66"/>
            <w:tcMar>
              <w:top w:w="100" w:type="dxa"/>
              <w:left w:w="100" w:type="dxa"/>
              <w:bottom w:w="100" w:type="dxa"/>
              <w:right w:w="100" w:type="dxa"/>
            </w:tcMar>
          </w:tcPr>
          <w:p w14:paraId="08B4F521"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Growth supports margin expansion and resilience against demand decline. </w:t>
            </w:r>
          </w:p>
        </w:tc>
      </w:tr>
      <w:tr w:rsidR="00E7394B" w:rsidRPr="001E6AFD" w14:paraId="3C0A4B31" w14:textId="77777777" w:rsidTr="002B64E3">
        <w:tc>
          <w:tcPr>
            <w:tcW w:w="0" w:type="auto"/>
            <w:shd w:val="clear" w:color="auto" w:fill="B6DDE8" w:themeFill="accent5" w:themeFillTint="66"/>
            <w:tcMar>
              <w:top w:w="100" w:type="dxa"/>
              <w:left w:w="100" w:type="dxa"/>
              <w:bottom w:w="100" w:type="dxa"/>
              <w:right w:w="100" w:type="dxa"/>
            </w:tcMar>
          </w:tcPr>
          <w:p w14:paraId="479F248D"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Leadership in low and no-alcohol innovation</w:t>
            </w:r>
          </w:p>
        </w:tc>
        <w:tc>
          <w:tcPr>
            <w:tcW w:w="0" w:type="auto"/>
            <w:shd w:val="clear" w:color="auto" w:fill="B6DDE8" w:themeFill="accent5" w:themeFillTint="66"/>
            <w:tcMar>
              <w:top w:w="100" w:type="dxa"/>
              <w:left w:w="100" w:type="dxa"/>
              <w:bottom w:w="100" w:type="dxa"/>
              <w:right w:w="100" w:type="dxa"/>
            </w:tcMar>
          </w:tcPr>
          <w:p w14:paraId="3F4A0E8A"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171C8B64"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3D1C4B34"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No</w:t>
            </w:r>
          </w:p>
        </w:tc>
        <w:tc>
          <w:tcPr>
            <w:tcW w:w="0" w:type="auto"/>
            <w:shd w:val="clear" w:color="auto" w:fill="B6DDE8" w:themeFill="accent5" w:themeFillTint="66"/>
            <w:tcMar>
              <w:top w:w="100" w:type="dxa"/>
              <w:left w:w="100" w:type="dxa"/>
              <w:bottom w:w="100" w:type="dxa"/>
              <w:right w:w="100" w:type="dxa"/>
            </w:tcMar>
          </w:tcPr>
          <w:p w14:paraId="017DD57F"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5374272D"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Temporary </w:t>
            </w:r>
          </w:p>
        </w:tc>
        <w:tc>
          <w:tcPr>
            <w:tcW w:w="0" w:type="auto"/>
            <w:shd w:val="clear" w:color="auto" w:fill="B6DDE8" w:themeFill="accent5" w:themeFillTint="66"/>
            <w:tcMar>
              <w:top w:w="100" w:type="dxa"/>
              <w:left w:w="100" w:type="dxa"/>
              <w:bottom w:w="100" w:type="dxa"/>
              <w:right w:w="100" w:type="dxa"/>
            </w:tcMar>
          </w:tcPr>
          <w:p w14:paraId="2A0FD27A"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Heineken 0.0 focuses on double-digit growth, but it has higher competitor entry chances, which reduces the rarity of the product.  </w:t>
            </w:r>
          </w:p>
        </w:tc>
      </w:tr>
      <w:tr w:rsidR="00E7394B" w:rsidRPr="001E6AFD" w14:paraId="75D7AE11" w14:textId="77777777" w:rsidTr="002B64E3">
        <w:tc>
          <w:tcPr>
            <w:tcW w:w="0" w:type="auto"/>
            <w:shd w:val="clear" w:color="auto" w:fill="B6DDE8" w:themeFill="accent5" w:themeFillTint="66"/>
            <w:tcMar>
              <w:top w:w="100" w:type="dxa"/>
              <w:left w:w="100" w:type="dxa"/>
              <w:bottom w:w="100" w:type="dxa"/>
              <w:right w:w="100" w:type="dxa"/>
            </w:tcMar>
          </w:tcPr>
          <w:p w14:paraId="71F36B78"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Global distribution </w:t>
            </w:r>
            <w:r w:rsidRPr="001E6AFD">
              <w:rPr>
                <w:rFonts w:eastAsia="Times New Roman" w:cs="Times New Roman"/>
                <w:szCs w:val="24"/>
                <w:lang w:val="en-GB"/>
              </w:rPr>
              <w:lastRenderedPageBreak/>
              <w:t xml:space="preserve">network </w:t>
            </w:r>
          </w:p>
        </w:tc>
        <w:tc>
          <w:tcPr>
            <w:tcW w:w="0" w:type="auto"/>
            <w:shd w:val="clear" w:color="auto" w:fill="B6DDE8" w:themeFill="accent5" w:themeFillTint="66"/>
            <w:tcMar>
              <w:top w:w="100" w:type="dxa"/>
              <w:left w:w="100" w:type="dxa"/>
              <w:bottom w:w="100" w:type="dxa"/>
              <w:right w:w="100" w:type="dxa"/>
            </w:tcMar>
          </w:tcPr>
          <w:p w14:paraId="226EBE2D"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lastRenderedPageBreak/>
              <w:t>Yes</w:t>
            </w:r>
          </w:p>
        </w:tc>
        <w:tc>
          <w:tcPr>
            <w:tcW w:w="0" w:type="auto"/>
            <w:shd w:val="clear" w:color="auto" w:fill="B6DDE8" w:themeFill="accent5" w:themeFillTint="66"/>
            <w:tcMar>
              <w:top w:w="100" w:type="dxa"/>
              <w:left w:w="100" w:type="dxa"/>
              <w:bottom w:w="100" w:type="dxa"/>
              <w:right w:w="100" w:type="dxa"/>
            </w:tcMar>
          </w:tcPr>
          <w:p w14:paraId="0D828743"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No</w:t>
            </w:r>
          </w:p>
        </w:tc>
        <w:tc>
          <w:tcPr>
            <w:tcW w:w="0" w:type="auto"/>
            <w:shd w:val="clear" w:color="auto" w:fill="B6DDE8" w:themeFill="accent5" w:themeFillTint="66"/>
            <w:tcMar>
              <w:top w:w="100" w:type="dxa"/>
              <w:left w:w="100" w:type="dxa"/>
              <w:bottom w:w="100" w:type="dxa"/>
              <w:right w:w="100" w:type="dxa"/>
            </w:tcMar>
          </w:tcPr>
          <w:p w14:paraId="638BD0AE"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No</w:t>
            </w:r>
          </w:p>
        </w:tc>
        <w:tc>
          <w:tcPr>
            <w:tcW w:w="0" w:type="auto"/>
            <w:shd w:val="clear" w:color="auto" w:fill="B6DDE8" w:themeFill="accent5" w:themeFillTint="66"/>
            <w:tcMar>
              <w:top w:w="100" w:type="dxa"/>
              <w:left w:w="100" w:type="dxa"/>
              <w:bottom w:w="100" w:type="dxa"/>
              <w:right w:w="100" w:type="dxa"/>
            </w:tcMar>
          </w:tcPr>
          <w:p w14:paraId="05D19E06"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55A7F47D"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Temporary </w:t>
            </w:r>
          </w:p>
        </w:tc>
        <w:tc>
          <w:tcPr>
            <w:tcW w:w="0" w:type="auto"/>
            <w:shd w:val="clear" w:color="auto" w:fill="B6DDE8" w:themeFill="accent5" w:themeFillTint="66"/>
            <w:tcMar>
              <w:top w:w="100" w:type="dxa"/>
              <w:left w:w="100" w:type="dxa"/>
              <w:bottom w:w="100" w:type="dxa"/>
              <w:right w:w="100" w:type="dxa"/>
            </w:tcMar>
          </w:tcPr>
          <w:p w14:paraId="275B54F9"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Differentiation is limited due to </w:t>
            </w:r>
            <w:r w:rsidRPr="001E6AFD">
              <w:rPr>
                <w:rFonts w:eastAsia="Times New Roman" w:cs="Times New Roman"/>
                <w:szCs w:val="24"/>
                <w:lang w:val="en-GB"/>
              </w:rPr>
              <w:lastRenderedPageBreak/>
              <w:t xml:space="preserve">the similar market access of its competitors. </w:t>
            </w:r>
          </w:p>
        </w:tc>
      </w:tr>
      <w:tr w:rsidR="00E7394B" w:rsidRPr="001E6AFD" w14:paraId="4C8FD3E3" w14:textId="77777777" w:rsidTr="002B64E3">
        <w:tc>
          <w:tcPr>
            <w:tcW w:w="0" w:type="auto"/>
            <w:shd w:val="clear" w:color="auto" w:fill="B6DDE8" w:themeFill="accent5" w:themeFillTint="66"/>
            <w:tcMar>
              <w:top w:w="100" w:type="dxa"/>
              <w:left w:w="100" w:type="dxa"/>
              <w:bottom w:w="100" w:type="dxa"/>
              <w:right w:w="100" w:type="dxa"/>
            </w:tcMar>
          </w:tcPr>
          <w:p w14:paraId="6E3DCBAB"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lastRenderedPageBreak/>
              <w:t xml:space="preserve">Cost management and operations efficiency </w:t>
            </w:r>
          </w:p>
        </w:tc>
        <w:tc>
          <w:tcPr>
            <w:tcW w:w="0" w:type="auto"/>
            <w:shd w:val="clear" w:color="auto" w:fill="B6DDE8" w:themeFill="accent5" w:themeFillTint="66"/>
            <w:tcMar>
              <w:top w:w="100" w:type="dxa"/>
              <w:left w:w="100" w:type="dxa"/>
              <w:bottom w:w="100" w:type="dxa"/>
              <w:right w:w="100" w:type="dxa"/>
            </w:tcMar>
          </w:tcPr>
          <w:p w14:paraId="53BB44F3"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5250F26C"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No</w:t>
            </w:r>
          </w:p>
        </w:tc>
        <w:tc>
          <w:tcPr>
            <w:tcW w:w="0" w:type="auto"/>
            <w:shd w:val="clear" w:color="auto" w:fill="B6DDE8" w:themeFill="accent5" w:themeFillTint="66"/>
            <w:tcMar>
              <w:top w:w="100" w:type="dxa"/>
              <w:left w:w="100" w:type="dxa"/>
              <w:bottom w:w="100" w:type="dxa"/>
              <w:right w:w="100" w:type="dxa"/>
            </w:tcMar>
          </w:tcPr>
          <w:p w14:paraId="0670F267"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No</w:t>
            </w:r>
          </w:p>
        </w:tc>
        <w:tc>
          <w:tcPr>
            <w:tcW w:w="0" w:type="auto"/>
            <w:shd w:val="clear" w:color="auto" w:fill="B6DDE8" w:themeFill="accent5" w:themeFillTint="66"/>
            <w:tcMar>
              <w:top w:w="100" w:type="dxa"/>
              <w:left w:w="100" w:type="dxa"/>
              <w:bottom w:w="100" w:type="dxa"/>
              <w:right w:w="100" w:type="dxa"/>
            </w:tcMar>
          </w:tcPr>
          <w:p w14:paraId="361012BD" w14:textId="77777777" w:rsidR="00E7394B" w:rsidRPr="001E6AFD" w:rsidRDefault="00FA4025">
            <w:pPr>
              <w:widowControl w:val="0"/>
              <w:rPr>
                <w:rFonts w:eastAsia="Times New Roman" w:cs="Times New Roman"/>
                <w:szCs w:val="24"/>
                <w:lang w:val="en-GB"/>
              </w:rPr>
            </w:pPr>
            <w:r w:rsidRPr="001E6AFD">
              <w:rPr>
                <w:rFonts w:eastAsia="Times New Roman" w:cs="Times New Roman"/>
                <w:szCs w:val="24"/>
                <w:lang w:val="en-GB"/>
              </w:rPr>
              <w:t>Yes</w:t>
            </w:r>
          </w:p>
        </w:tc>
        <w:tc>
          <w:tcPr>
            <w:tcW w:w="0" w:type="auto"/>
            <w:shd w:val="clear" w:color="auto" w:fill="B6DDE8" w:themeFill="accent5" w:themeFillTint="66"/>
            <w:tcMar>
              <w:top w:w="100" w:type="dxa"/>
              <w:left w:w="100" w:type="dxa"/>
              <w:bottom w:w="100" w:type="dxa"/>
              <w:right w:w="100" w:type="dxa"/>
            </w:tcMar>
          </w:tcPr>
          <w:p w14:paraId="21ABB4C7"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Competitive parity </w:t>
            </w:r>
          </w:p>
        </w:tc>
        <w:tc>
          <w:tcPr>
            <w:tcW w:w="0" w:type="auto"/>
            <w:shd w:val="clear" w:color="auto" w:fill="B6DDE8" w:themeFill="accent5" w:themeFillTint="66"/>
            <w:tcMar>
              <w:top w:w="100" w:type="dxa"/>
              <w:left w:w="100" w:type="dxa"/>
              <w:bottom w:w="100" w:type="dxa"/>
              <w:right w:w="100" w:type="dxa"/>
            </w:tcMar>
          </w:tcPr>
          <w:p w14:paraId="53430125" w14:textId="77777777" w:rsidR="00E7394B" w:rsidRPr="001E6AFD" w:rsidRDefault="00FA4025">
            <w:pPr>
              <w:widowControl w:val="0"/>
              <w:pBdr>
                <w:top w:val="nil"/>
                <w:left w:val="nil"/>
                <w:bottom w:val="nil"/>
                <w:right w:val="nil"/>
                <w:between w:val="nil"/>
              </w:pBdr>
              <w:rPr>
                <w:rFonts w:eastAsia="Times New Roman" w:cs="Times New Roman"/>
                <w:szCs w:val="24"/>
                <w:lang w:val="en-GB"/>
              </w:rPr>
            </w:pPr>
            <w:r w:rsidRPr="001E6AFD">
              <w:rPr>
                <w:rFonts w:eastAsia="Times New Roman" w:cs="Times New Roman"/>
                <w:szCs w:val="24"/>
                <w:lang w:val="en-GB"/>
              </w:rPr>
              <w:t xml:space="preserve">Improved profit margin during inflation, but efficiency practices can be replicated. </w:t>
            </w:r>
          </w:p>
        </w:tc>
      </w:tr>
    </w:tbl>
    <w:p w14:paraId="44C09770" w14:textId="77777777" w:rsidR="006473F9" w:rsidRDefault="006473F9" w:rsidP="006473F9">
      <w:pPr>
        <w:jc w:val="center"/>
        <w:rPr>
          <w:rFonts w:eastAsia="Times New Roman" w:cs="Times New Roman"/>
          <w:b/>
          <w:bCs/>
          <w:szCs w:val="24"/>
          <w:lang w:val="en-GB"/>
        </w:rPr>
      </w:pPr>
      <w:r>
        <w:rPr>
          <w:rFonts w:eastAsia="Times New Roman" w:cs="Times New Roman"/>
          <w:b/>
          <w:bCs/>
          <w:szCs w:val="24"/>
          <w:lang w:val="en-GB"/>
        </w:rPr>
        <w:t>Table 2: VRIO analysis</w:t>
      </w:r>
    </w:p>
    <w:p w14:paraId="2B7E73B6" w14:textId="77777777" w:rsidR="006473F9" w:rsidRPr="006473F9" w:rsidRDefault="006473F9" w:rsidP="006473F9">
      <w:pPr>
        <w:jc w:val="center"/>
        <w:rPr>
          <w:rFonts w:eastAsia="Times New Roman" w:cs="Times New Roman"/>
          <w:bCs/>
          <w:szCs w:val="24"/>
          <w:lang w:val="en-GB"/>
        </w:rPr>
      </w:pPr>
      <w:r>
        <w:rPr>
          <w:rFonts w:eastAsia="Times New Roman" w:cs="Times New Roman"/>
          <w:bCs/>
          <w:szCs w:val="24"/>
          <w:lang w:val="en-GB"/>
        </w:rPr>
        <w:t>(Source: Self-developed)</w:t>
      </w:r>
    </w:p>
    <w:p w14:paraId="2D29E6A8" w14:textId="742FDB2E" w:rsidR="00E7394B" w:rsidRPr="001E6AFD" w:rsidRDefault="00FA4025" w:rsidP="00A3359D">
      <w:pPr>
        <w:pStyle w:val="Heading2"/>
        <w:rPr>
          <w:lang w:val="en-GB"/>
        </w:rPr>
      </w:pPr>
      <w:bookmarkStart w:id="10" w:name="_Toc225279102"/>
      <w:r w:rsidRPr="001E6AFD">
        <w:rPr>
          <w:lang w:val="en-GB"/>
        </w:rPr>
        <w:t xml:space="preserve">2.4 </w:t>
      </w:r>
      <w:r w:rsidR="003271D0">
        <w:rPr>
          <w:lang w:val="en-GB"/>
        </w:rPr>
        <w:t>Heineken</w:t>
      </w:r>
      <w:r w:rsidRPr="001E6AFD">
        <w:rPr>
          <w:lang w:val="en-GB"/>
        </w:rPr>
        <w:t xml:space="preserve">'s </w:t>
      </w:r>
      <w:r w:rsidR="003271D0" w:rsidRPr="001E6AFD">
        <w:rPr>
          <w:lang w:val="en-GB"/>
        </w:rPr>
        <w:t xml:space="preserve">Internal </w:t>
      </w:r>
      <w:r w:rsidR="003271D0">
        <w:rPr>
          <w:lang w:val="en-GB"/>
        </w:rPr>
        <w:t>Strengths</w:t>
      </w:r>
      <w:r w:rsidR="003271D0" w:rsidRPr="001E6AFD">
        <w:rPr>
          <w:lang w:val="en-GB"/>
        </w:rPr>
        <w:t xml:space="preserve"> Contribut</w:t>
      </w:r>
      <w:r w:rsidR="003271D0">
        <w:rPr>
          <w:lang w:val="en-GB"/>
        </w:rPr>
        <w:t xml:space="preserve">ion </w:t>
      </w:r>
      <w:r w:rsidRPr="001E6AFD">
        <w:rPr>
          <w:lang w:val="en-GB"/>
        </w:rPr>
        <w:t xml:space="preserve">to its </w:t>
      </w:r>
      <w:r w:rsidR="003271D0" w:rsidRPr="001E6AFD">
        <w:rPr>
          <w:lang w:val="en-GB"/>
        </w:rPr>
        <w:t>Competitive Advantage</w:t>
      </w:r>
      <w:bookmarkEnd w:id="10"/>
      <w:r w:rsidR="003271D0" w:rsidRPr="001E6AFD">
        <w:rPr>
          <w:lang w:val="en-GB"/>
        </w:rPr>
        <w:t xml:space="preserve"> </w:t>
      </w:r>
    </w:p>
    <w:p w14:paraId="3B829732"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The position of brand-led premiumisation is a core value of the competitive advantage of Heineken because it meets all the conditions of the VRIO and provides long-term value capture. Even with an overall beer volume growth in 2024 that is relatively weak, premium brands generated solid growth, thus showing that value creation is becoming decoupled with volume expansion (Scheel and Aguiñaga, 2025). This is an indication of a high brand equity, which is not easily nipped because of a long period of marketing investment and uniformity across the world. It is not possible to copy the accumulated symbolic value in the Heineken brand, as competitors are able to imitate the features of the product. The company is also organised in a way that allows it to harness this capability by having high marketing expenditure and global-local brand management systems.</w:t>
      </w:r>
    </w:p>
    <w:p w14:paraId="1BEF1CAD"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Low and no-alcohol beer innovation serves to enhance this strength and draw boundaries in rarity. Heineken 0.0 has recorded over 10% growth, and it is sold in over 100 countries, which puts the company ahead of changes in demand that are associated with healthy consumption (Heineken International B.V, 2025a). This is an asset which is highly prized and at first only available to a few competitors, but imitation is gaining pace as rivals upscale comparable products. The benefit then changes back to product innovation, to the quickness of product penetration and brand trust, and the sustainability of differentiation becomes less.</w:t>
      </w:r>
    </w:p>
    <w:p w14:paraId="3F2BE593"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lastRenderedPageBreak/>
        <w:t xml:space="preserve">The global distribution capability allows access to the market and scale economies, which strengthen revenue stability in the various regions. Efficiency that applies in the operations assists in margin protection during inflationary pressure (Bouis </w:t>
      </w:r>
      <w:r w:rsidRPr="001E6AFD">
        <w:rPr>
          <w:rFonts w:eastAsia="Times New Roman" w:cs="Times New Roman"/>
          <w:i/>
          <w:iCs/>
          <w:szCs w:val="24"/>
          <w:lang w:val="en-GB"/>
        </w:rPr>
        <w:t>et al.</w:t>
      </w:r>
      <w:r w:rsidRPr="001E6AFD">
        <w:rPr>
          <w:rFonts w:eastAsia="Times New Roman" w:cs="Times New Roman"/>
          <w:szCs w:val="24"/>
          <w:lang w:val="en-GB"/>
        </w:rPr>
        <w:t>, 2025). This is a useful ability, but replicable, which means that its strategic effect is constrained. Long-term benefit relies therefore on brand equity in conjunction with selective innovation, whilst other capabilities are the conditions of necessity but a state of insufficiency for brand differentiation.</w:t>
      </w:r>
    </w:p>
    <w:p w14:paraId="1213123F" w14:textId="32654DA1" w:rsidR="00E7394B" w:rsidRPr="001E6AFD" w:rsidRDefault="00FA4025" w:rsidP="00A3359D">
      <w:pPr>
        <w:pStyle w:val="Heading1"/>
        <w:rPr>
          <w:lang w:val="en-GB"/>
        </w:rPr>
      </w:pPr>
      <w:bookmarkStart w:id="11" w:name="_Toc225279103"/>
      <w:r w:rsidRPr="001E6AFD">
        <w:rPr>
          <w:lang w:val="en-GB"/>
        </w:rPr>
        <w:t xml:space="preserve">3. CSR and Sustainability </w:t>
      </w:r>
      <w:r w:rsidR="003271D0">
        <w:rPr>
          <w:lang w:val="en-GB"/>
        </w:rPr>
        <w:t>O</w:t>
      </w:r>
      <w:r w:rsidRPr="001E6AFD">
        <w:rPr>
          <w:lang w:val="en-GB"/>
        </w:rPr>
        <w:t>bjectives</w:t>
      </w:r>
      <w:bookmarkEnd w:id="11"/>
    </w:p>
    <w:p w14:paraId="00AFA633" w14:textId="230FBDC2" w:rsidR="00E7394B" w:rsidRPr="001E6AFD" w:rsidRDefault="00FA4025" w:rsidP="00A3359D">
      <w:pPr>
        <w:pStyle w:val="Heading2"/>
        <w:rPr>
          <w:lang w:val="en-GB"/>
        </w:rPr>
      </w:pPr>
      <w:bookmarkStart w:id="12" w:name="_Toc225279104"/>
      <w:r w:rsidRPr="001E6AFD">
        <w:rPr>
          <w:lang w:val="en-GB"/>
        </w:rPr>
        <w:t xml:space="preserve">3.1 Company's CSR </w:t>
      </w:r>
      <w:r w:rsidR="003271D0" w:rsidRPr="001E6AFD">
        <w:rPr>
          <w:lang w:val="en-GB"/>
        </w:rPr>
        <w:t xml:space="preserve">Strategy </w:t>
      </w:r>
      <w:r w:rsidRPr="001E6AFD">
        <w:rPr>
          <w:lang w:val="en-GB"/>
        </w:rPr>
        <w:t xml:space="preserve">and its </w:t>
      </w:r>
      <w:r w:rsidR="003271D0" w:rsidRPr="001E6AFD">
        <w:rPr>
          <w:lang w:val="en-GB"/>
        </w:rPr>
        <w:t xml:space="preserve">Alignment </w:t>
      </w:r>
      <w:r w:rsidRPr="001E6AFD">
        <w:rPr>
          <w:lang w:val="en-GB"/>
        </w:rPr>
        <w:t xml:space="preserve">with </w:t>
      </w:r>
      <w:r w:rsidR="003271D0" w:rsidRPr="001E6AFD">
        <w:rPr>
          <w:lang w:val="en-GB"/>
        </w:rPr>
        <w:t>Business Objectives</w:t>
      </w:r>
      <w:bookmarkEnd w:id="12"/>
    </w:p>
    <w:p w14:paraId="6D87A58D"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The CSR strategy of Heineken is incorporated in its Brew a Better World 2030 framework that incorporates goals of environmentally and socially responsible consumption into its business, but does not consider them as side issues. This is seen through the focus on carbon cut, resource optimisation, and transformation of the portfolio that directly contribute to cost management, reduction of risk and income increase. As of 2022, Heineken has been decreasing Scope 1 and 2 emissions by 34% and Scope 3 emissions by 14% since then, and raising the renewable electricity consumption to 84% in 2024 (Heineken, 2024b). These measures lower the future energy expenses and risks of having to pay taxes on carbon, which implies that ecological responsibilities make financial sense and are not ethical in nature. The 2030 net-zero operations and the 2040 net-zero value chain target further ensure that the company complies with the regulations in the EU sustainability frameworks, which enhances strategic resiliency (Heineken, 2024). Cost and supply chain stability are also in line with circular packaging and water effectiveness objectives. </w:t>
      </w:r>
    </w:p>
    <w:p w14:paraId="263F1D6E" w14:textId="77777777" w:rsidR="003271D0" w:rsidRDefault="00FA4025" w:rsidP="003271D0">
      <w:pPr>
        <w:rPr>
          <w:lang w:val="en-GB"/>
        </w:rPr>
      </w:pPr>
      <w:r w:rsidRPr="001E6AFD">
        <w:rPr>
          <w:rFonts w:eastAsia="Times New Roman" w:cs="Times New Roman"/>
          <w:szCs w:val="24"/>
          <w:lang w:val="en-GB"/>
        </w:rPr>
        <w:t>Approximately 39% of volume is sold in reusable packaging, and 98 percent of packaging is designed to be recycled. These actions lower the expenses of materials and reliance on unstable raw materials. Brewing is subject to a critical production constraint as its water efficiency goals of 2.6 per hl in the world and water-stressed areas have higher targets (Heineken, 2025d). This portrays a positive association between CSR and the continuity of operations. The social pillar is directly related to expanding the market and positioning the brand. Responsible consumption campaigns and low and no-alcohol growth targets are in line with the changing consumer interests. This will not only reduce the risk in regulation, but will also help to diversify revenues amidst a shrinking alcohol consumption climate.</w:t>
      </w:r>
      <w:r w:rsidRPr="001E6AFD">
        <w:rPr>
          <w:lang w:val="en-GB"/>
        </w:rPr>
        <w:t>4. Comprehensive and holistic view of the organisation</w:t>
      </w:r>
    </w:p>
    <w:p w14:paraId="40480C7D" w14:textId="7B6BD448" w:rsidR="00E7394B" w:rsidRPr="003271D0" w:rsidRDefault="00FA4025" w:rsidP="003271D0">
      <w:pPr>
        <w:pStyle w:val="Heading1"/>
        <w:rPr>
          <w:rFonts w:eastAsia="Times New Roman" w:cs="Times New Roman"/>
          <w:szCs w:val="24"/>
          <w:lang w:val="en-GB"/>
        </w:rPr>
      </w:pPr>
      <w:bookmarkStart w:id="13" w:name="_Toc225279105"/>
      <w:r w:rsidRPr="001E6AFD">
        <w:rPr>
          <w:lang w:val="en-GB"/>
        </w:rPr>
        <w:lastRenderedPageBreak/>
        <w:t xml:space="preserve">4.1 The </w:t>
      </w:r>
      <w:r w:rsidR="003271D0" w:rsidRPr="001E6AFD">
        <w:rPr>
          <w:lang w:val="en-GB"/>
        </w:rPr>
        <w:t>Balanced Scorecard</w:t>
      </w:r>
      <w:bookmarkEnd w:id="13"/>
      <w:r w:rsidR="003271D0" w:rsidRPr="001E6AFD">
        <w:rPr>
          <w:lang w:val="en-GB"/>
        </w:rPr>
        <w:t xml:space="preserve"> </w:t>
      </w:r>
    </w:p>
    <w:p w14:paraId="2713E377"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noProof/>
          <w:szCs w:val="24"/>
          <w:lang w:val="en-GB" w:eastAsia="en-GB"/>
        </w:rPr>
        <w:drawing>
          <wp:inline distT="114300" distB="114300" distL="114300" distR="114300" wp14:anchorId="37C6CD71" wp14:editId="3C7CF59D">
            <wp:extent cx="4699635" cy="3265170"/>
            <wp:effectExtent l="19050" t="19050" r="24765" b="1143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3"/>
                    <a:stretch>
                      <a:fillRect/>
                    </a:stretch>
                  </pic:blipFill>
                  <pic:spPr>
                    <a:xfrm>
                      <a:off x="0" y="0"/>
                      <a:ext cx="4699913" cy="3265363"/>
                    </a:xfrm>
                    <a:prstGeom prst="rect">
                      <a:avLst/>
                    </a:prstGeom>
                    <a:ln w="12700">
                      <a:solidFill>
                        <a:srgbClr val="000000"/>
                      </a:solidFill>
                      <a:prstDash val="solid"/>
                    </a:ln>
                  </pic:spPr>
                </pic:pic>
              </a:graphicData>
            </a:graphic>
          </wp:inline>
        </w:drawing>
      </w:r>
    </w:p>
    <w:p w14:paraId="410A0DB8" w14:textId="77777777" w:rsidR="00E7394B" w:rsidRPr="001E6AFD" w:rsidRDefault="00FA4025">
      <w:pPr>
        <w:jc w:val="center"/>
        <w:rPr>
          <w:rFonts w:eastAsia="Times New Roman" w:cs="Times New Roman"/>
          <w:b/>
          <w:bCs/>
          <w:szCs w:val="24"/>
          <w:lang w:val="en-GB"/>
        </w:rPr>
      </w:pPr>
      <w:r w:rsidRPr="001E6AFD">
        <w:rPr>
          <w:rFonts w:eastAsia="Times New Roman" w:cs="Times New Roman"/>
          <w:b/>
          <w:bCs/>
          <w:szCs w:val="24"/>
          <w:lang w:val="en-GB"/>
        </w:rPr>
        <w:t>Figure 5: Balance Scorecard of Heineken</w:t>
      </w:r>
    </w:p>
    <w:p w14:paraId="39BD1C3E" w14:textId="77777777" w:rsidR="00E7394B" w:rsidRPr="001E6AFD" w:rsidRDefault="00FA4025">
      <w:pPr>
        <w:jc w:val="center"/>
        <w:rPr>
          <w:rFonts w:eastAsia="Times New Roman" w:cs="Times New Roman"/>
          <w:szCs w:val="24"/>
          <w:lang w:val="en-GB"/>
        </w:rPr>
      </w:pPr>
      <w:r w:rsidRPr="001E6AFD">
        <w:rPr>
          <w:rFonts w:eastAsia="Times New Roman" w:cs="Times New Roman"/>
          <w:szCs w:val="24"/>
          <w:lang w:val="en-GB"/>
        </w:rPr>
        <w:t>(Source: Self-developed)</w:t>
      </w:r>
    </w:p>
    <w:p w14:paraId="26F14C8B"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Financial perspective</w:t>
      </w:r>
    </w:p>
    <w:p w14:paraId="1212380E"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The financial lens indicates a strategic change towards growing in volume to growing in value. The net revenue growth of Heineken stood at approximately 5% in 2024, even though the volume growth was poor, meaning that it has to rely on pricing and premiumisation to maintain margins. This is in line with the expectations of shareholders, but it exposes the company to the risks of demand elasticity in an inflationary environment (</w:t>
      </w:r>
      <w:proofErr w:type="spellStart"/>
      <w:r w:rsidRPr="001E6AFD">
        <w:rPr>
          <w:rFonts w:eastAsia="Times New Roman" w:cs="Times New Roman"/>
          <w:szCs w:val="24"/>
          <w:lang w:val="en-GB"/>
        </w:rPr>
        <w:t>Ropele</w:t>
      </w:r>
      <w:proofErr w:type="spellEnd"/>
      <w:r w:rsidRPr="001E6AFD">
        <w:rPr>
          <w:rFonts w:eastAsia="Times New Roman" w:cs="Times New Roman"/>
          <w:szCs w:val="24"/>
          <w:lang w:val="en-GB"/>
        </w:rPr>
        <w:t xml:space="preserve">, </w:t>
      </w:r>
      <w:proofErr w:type="spellStart"/>
      <w:r w:rsidRPr="001E6AFD">
        <w:rPr>
          <w:rFonts w:eastAsia="Times New Roman" w:cs="Times New Roman"/>
          <w:szCs w:val="24"/>
          <w:lang w:val="en-GB"/>
        </w:rPr>
        <w:t>Gorodnichenko</w:t>
      </w:r>
      <w:proofErr w:type="spellEnd"/>
      <w:r w:rsidRPr="001E6AFD">
        <w:rPr>
          <w:rFonts w:eastAsia="Times New Roman" w:cs="Times New Roman"/>
          <w:szCs w:val="24"/>
          <w:lang w:val="en-GB"/>
        </w:rPr>
        <w:t xml:space="preserve"> and </w:t>
      </w:r>
      <w:proofErr w:type="spellStart"/>
      <w:r w:rsidRPr="001E6AFD">
        <w:rPr>
          <w:rFonts w:eastAsia="Times New Roman" w:cs="Times New Roman"/>
          <w:szCs w:val="24"/>
          <w:lang w:val="en-GB"/>
        </w:rPr>
        <w:t>Coibion</w:t>
      </w:r>
      <w:proofErr w:type="spellEnd"/>
      <w:r w:rsidRPr="001E6AFD">
        <w:rPr>
          <w:rFonts w:eastAsia="Times New Roman" w:cs="Times New Roman"/>
          <w:szCs w:val="24"/>
          <w:lang w:val="en-GB"/>
        </w:rPr>
        <w:t>, 2022). Pricing power and affordability have to be balanced to make profits, especially in emerging markets where income sensitivity is more pronounced.</w:t>
      </w:r>
    </w:p>
    <w:p w14:paraId="5FFD3678"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Customer perspective</w:t>
      </w:r>
    </w:p>
    <w:p w14:paraId="101F7B14"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Customer attitude focuses on brand equity and the shifting consumption behaviour. Health-conscious consumers and the younger generation are important to the relevance of the premium brands and Heineken 0.0. The low and no-alcohol market is responsive to the changes in moderation, but consumer loyalty is becoming more divided with the help of craft substitutes and changed preferences (Anderson, 2023). Brand investment is also needed, but the differentiation is decreasing since the competitors are doing the same.</w:t>
      </w:r>
    </w:p>
    <w:p w14:paraId="22C16DCF"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lastRenderedPageBreak/>
        <w:t>Internal business perspective</w:t>
      </w:r>
    </w:p>
    <w:p w14:paraId="719E52DF"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Internal business processes pay attention to the operational efficiency and supply chain resilience. Inflationary pressure has shown good performance in terms of cost savings of more than 0.6 billion euros in 2024. The improvement of efficiencies helps in maintaining the stability of the margin; however, they do not contribute towards long-term benefit, as the competitors also employ the same cost optimisation approaches. </w:t>
      </w:r>
    </w:p>
    <w:p w14:paraId="61DE2973"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Learning perspective</w:t>
      </w:r>
    </w:p>
    <w:p w14:paraId="22E9051C"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Digital capabilities and innovation are the focus of learning and development. Portfolio transformation is supported with investment in product innovation, especially in the non-alcoholic drink category. Customer targeting and distribution are improved through digital marketing and data analytics (Theodorakopoulos and Theodoropoulou, 2024). Technological capabilities are highly ubiquitous throughout the industry, and therefore, they are restrained in their capabilities of creating long-term differentiation.</w:t>
      </w:r>
    </w:p>
    <w:p w14:paraId="6075BEF7" w14:textId="201EAF6D" w:rsidR="00E7394B" w:rsidRPr="001E6AFD" w:rsidRDefault="00FA4025" w:rsidP="00A3359D">
      <w:pPr>
        <w:pStyle w:val="Heading2"/>
        <w:rPr>
          <w:lang w:val="en-GB"/>
        </w:rPr>
      </w:pPr>
      <w:bookmarkStart w:id="14" w:name="_Toc225279106"/>
      <w:r w:rsidRPr="001E6AFD">
        <w:rPr>
          <w:lang w:val="en-GB"/>
        </w:rPr>
        <w:t xml:space="preserve">4.2 </w:t>
      </w:r>
      <w:r w:rsidR="003B0995">
        <w:rPr>
          <w:lang w:val="en-GB"/>
        </w:rPr>
        <w:t xml:space="preserve">Analysis of </w:t>
      </w:r>
      <w:r w:rsidR="003B0995" w:rsidRPr="001E6AFD">
        <w:rPr>
          <w:lang w:val="en-GB"/>
        </w:rPr>
        <w:t>Objectives</w:t>
      </w:r>
      <w:r w:rsidRPr="001E6AFD">
        <w:rPr>
          <w:lang w:val="en-GB"/>
        </w:rPr>
        <w:t xml:space="preserve">, </w:t>
      </w:r>
      <w:r w:rsidR="003B0995" w:rsidRPr="001E6AFD">
        <w:rPr>
          <w:lang w:val="en-GB"/>
        </w:rPr>
        <w:t xml:space="preserve">Key Performance Indicators </w:t>
      </w:r>
      <w:r w:rsidRPr="001E6AFD">
        <w:rPr>
          <w:lang w:val="en-GB"/>
        </w:rPr>
        <w:t xml:space="preserve">(KPIs), </w:t>
      </w:r>
      <w:r w:rsidR="003B0995" w:rsidRPr="001E6AFD">
        <w:rPr>
          <w:lang w:val="en-GB"/>
        </w:rPr>
        <w:t>Targets</w:t>
      </w:r>
      <w:r w:rsidRPr="001E6AFD">
        <w:rPr>
          <w:lang w:val="en-GB"/>
        </w:rPr>
        <w:t xml:space="preserve">, and </w:t>
      </w:r>
      <w:r w:rsidR="003B0995" w:rsidRPr="001E6AFD">
        <w:rPr>
          <w:lang w:val="en-GB"/>
        </w:rPr>
        <w:t>Initiatives</w:t>
      </w:r>
      <w:bookmarkEnd w:id="14"/>
      <w:r w:rsidR="003B0995" w:rsidRPr="001E6AFD">
        <w:rPr>
          <w:lang w:val="en-GB"/>
        </w:rPr>
        <w:t xml:space="preserve"> </w:t>
      </w:r>
    </w:p>
    <w:p w14:paraId="202BE1A0"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Financial goals give a focus on revenue increase by premiumisation and cost effectiveness. The key performance indicators are the net revenue growth, operating profit margin and savings of costs. Targets look into the increased growth in the middle of the single digits of revenue and the expansion of the margins (Hayden and Dasilva, 2022). Strategy initiatives comprise price optimisation, portfolio premiumisation and continuous cost reduction programmes. This is a change in scale to profitability, though it makes it more susceptible to consumer price resistance.</w:t>
      </w:r>
    </w:p>
    <w:p w14:paraId="4E7B6D13"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The objective of customers is to leverage brand commitment and penetration of health-conscious segments. KPIs entail brand market share, growth of the premium segment and the sales of non-alcoholic products (Kamińska, </w:t>
      </w:r>
      <w:proofErr w:type="spellStart"/>
      <w:r w:rsidRPr="001E6AFD">
        <w:rPr>
          <w:rFonts w:eastAsia="Times New Roman" w:cs="Times New Roman"/>
          <w:szCs w:val="24"/>
          <w:lang w:val="en-GB"/>
        </w:rPr>
        <w:t>Dmowsk</w:t>
      </w:r>
      <w:proofErr w:type="spellEnd"/>
      <w:r w:rsidRPr="001E6AFD">
        <w:rPr>
          <w:rFonts w:eastAsia="Times New Roman" w:cs="Times New Roman"/>
          <w:szCs w:val="24"/>
          <w:lang w:val="en-GB"/>
        </w:rPr>
        <w:t xml:space="preserve">, and </w:t>
      </w:r>
      <w:proofErr w:type="spellStart"/>
      <w:r w:rsidRPr="001E6AFD">
        <w:rPr>
          <w:rFonts w:eastAsia="Times New Roman" w:cs="Times New Roman"/>
          <w:szCs w:val="24"/>
          <w:lang w:val="en-GB"/>
        </w:rPr>
        <w:t>Marjańska</w:t>
      </w:r>
      <w:proofErr w:type="spellEnd"/>
      <w:r w:rsidRPr="001E6AFD">
        <w:rPr>
          <w:rFonts w:eastAsia="Times New Roman" w:cs="Times New Roman"/>
          <w:szCs w:val="24"/>
          <w:lang w:val="en-GB"/>
        </w:rPr>
        <w:t xml:space="preserve">, 2024). Goals include sustained growth in Heineken 0.0 in the doubles and a greater share in the premiums. Some of the initiatives are global marketing campaigns, sponsorships, and the growth of alcohol-free products. </w:t>
      </w:r>
    </w:p>
    <w:p w14:paraId="70144359"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Internal process goals look at efficiency, sustainability and resiliency of the supply chain. Some of the KPIs are the cost per hectolitre of production, carbon emissions, water use, and the rate of packaging recyclability. Targets are net-zero operations by 2030 and more use of renewable energy. The efforts include green energy investment, circular packaging, and logistics </w:t>
      </w:r>
      <w:r w:rsidRPr="001E6AFD">
        <w:rPr>
          <w:rFonts w:eastAsia="Times New Roman" w:cs="Times New Roman"/>
          <w:szCs w:val="24"/>
          <w:lang w:val="en-GB"/>
        </w:rPr>
        <w:lastRenderedPageBreak/>
        <w:t>optimisation. These are less risky in terms of regulations and operating expenses; however, they involve huge capital expenditure.</w:t>
      </w:r>
    </w:p>
    <w:p w14:paraId="5468982E"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Educational and development goals give more focus to innovation and labour ability. KPIs are investment in research and development, rates of product innovation, and productivity of the employees (Kwee, </w:t>
      </w:r>
      <w:proofErr w:type="spellStart"/>
      <w:r w:rsidRPr="001E6AFD">
        <w:rPr>
          <w:rFonts w:eastAsia="Times New Roman" w:cs="Times New Roman"/>
          <w:szCs w:val="24"/>
          <w:lang w:val="en-GB"/>
        </w:rPr>
        <w:t>Yaghmaei</w:t>
      </w:r>
      <w:proofErr w:type="spellEnd"/>
      <w:r w:rsidRPr="001E6AFD">
        <w:rPr>
          <w:rFonts w:eastAsia="Times New Roman" w:cs="Times New Roman"/>
          <w:szCs w:val="24"/>
          <w:lang w:val="en-GB"/>
        </w:rPr>
        <w:t xml:space="preserve"> and Flipse, 2021). The targets will be the development of the low and no-alcohol range and increasing the digital experience. The programs involve investing in innovation centres, online marketing, and training of employees. </w:t>
      </w:r>
    </w:p>
    <w:p w14:paraId="4BA2F773" w14:textId="77777777" w:rsidR="00E7394B" w:rsidRPr="001E6AFD" w:rsidRDefault="00FA4025" w:rsidP="00A3359D">
      <w:pPr>
        <w:pStyle w:val="Heading1"/>
        <w:rPr>
          <w:lang w:val="en-GB"/>
        </w:rPr>
      </w:pPr>
      <w:bookmarkStart w:id="15" w:name="_Toc225279107"/>
      <w:r w:rsidRPr="001E6AFD">
        <w:rPr>
          <w:lang w:val="en-GB"/>
        </w:rPr>
        <w:t>5. Strategic Choices and Implementation</w:t>
      </w:r>
      <w:bookmarkEnd w:id="15"/>
    </w:p>
    <w:p w14:paraId="45FBCF58" w14:textId="5C9FEA7A" w:rsidR="00E7394B" w:rsidRPr="001E6AFD" w:rsidRDefault="00FA4025" w:rsidP="00A3359D">
      <w:pPr>
        <w:pStyle w:val="Heading2"/>
        <w:rPr>
          <w:lang w:val="en-GB"/>
        </w:rPr>
      </w:pPr>
      <w:bookmarkStart w:id="16" w:name="_Toc225279108"/>
      <w:r w:rsidRPr="001E6AFD">
        <w:rPr>
          <w:lang w:val="en-GB"/>
        </w:rPr>
        <w:t xml:space="preserve">5.1 </w:t>
      </w:r>
      <w:r w:rsidR="003B0995">
        <w:rPr>
          <w:lang w:val="en-GB"/>
        </w:rPr>
        <w:t>Evaluation</w:t>
      </w:r>
      <w:r w:rsidRPr="001E6AFD">
        <w:rPr>
          <w:lang w:val="en-GB"/>
        </w:rPr>
        <w:t xml:space="preserve"> </w:t>
      </w:r>
      <w:r w:rsidR="003B0995">
        <w:rPr>
          <w:lang w:val="en-GB"/>
        </w:rPr>
        <w:t>of the</w:t>
      </w:r>
      <w:r w:rsidRPr="001E6AFD">
        <w:rPr>
          <w:lang w:val="en-GB"/>
        </w:rPr>
        <w:t xml:space="preserve"> </w:t>
      </w:r>
      <w:r w:rsidR="003B0995" w:rsidRPr="001E6AFD">
        <w:rPr>
          <w:lang w:val="en-GB"/>
        </w:rPr>
        <w:t xml:space="preserve">Strategic Choices </w:t>
      </w:r>
      <w:r w:rsidRPr="001E6AFD">
        <w:rPr>
          <w:lang w:val="en-GB"/>
        </w:rPr>
        <w:t xml:space="preserve">at the </w:t>
      </w:r>
      <w:r w:rsidR="003B0995" w:rsidRPr="001E6AFD">
        <w:rPr>
          <w:lang w:val="en-GB"/>
        </w:rPr>
        <w:t xml:space="preserve">Business Level </w:t>
      </w:r>
      <w:r w:rsidRPr="001E6AFD">
        <w:rPr>
          <w:lang w:val="en-GB"/>
        </w:rPr>
        <w:t xml:space="preserve">and </w:t>
      </w:r>
      <w:r w:rsidR="003B0995" w:rsidRPr="001E6AFD">
        <w:rPr>
          <w:lang w:val="en-GB"/>
        </w:rPr>
        <w:t>Corporate Level</w:t>
      </w:r>
      <w:r w:rsidRPr="001E6AFD">
        <w:rPr>
          <w:lang w:val="en-GB"/>
        </w:rPr>
        <w:t xml:space="preserve">, and the </w:t>
      </w:r>
      <w:r w:rsidR="003B0995" w:rsidRPr="001E6AFD">
        <w:rPr>
          <w:lang w:val="en-GB"/>
        </w:rPr>
        <w:t xml:space="preserve">Justification </w:t>
      </w:r>
      <w:r w:rsidRPr="001E6AFD">
        <w:rPr>
          <w:lang w:val="en-GB"/>
        </w:rPr>
        <w:t xml:space="preserve">of the </w:t>
      </w:r>
      <w:r w:rsidR="003B0995" w:rsidRPr="001E6AFD">
        <w:rPr>
          <w:lang w:val="en-GB"/>
        </w:rPr>
        <w:t>Selection</w:t>
      </w:r>
      <w:bookmarkEnd w:id="16"/>
    </w:p>
    <w:p w14:paraId="684E3144"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Business level</w:t>
      </w:r>
    </w:p>
    <w:p w14:paraId="1AC4F6CA"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Cost leadership can be structurally challenged at the business level. Brewing is a business that has high fixed costs and is susceptible to unpredictable input prices, including barley and energy. Heineken does not have the scale advantage of Anheuser-Busch InBev, which manufactures larger volumes and greater cost efficiencies (Voltz, 2023). Price competition would reduce the margins without volume increases, especially in the mature European markets where demand is plateauing. </w:t>
      </w:r>
    </w:p>
    <w:p w14:paraId="113C6B3E"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Premiumisation will enable Heineken to enjoy superior margins and less sensitivity to falling consumption. The strategy is supported by the development of high-quality brands and non-alcoholic products. Differentiation is, however, getting smaller with competitors copying premium positioning as well as growing alcohol-free portfolios (Furlan and Ren, 2025). It could be argued that this strategy can be sustained through constant brand investment and innovation, and not the uniqueness of the product alone. The business-level strategy that is recommended is the differentiation of premium branding in health-oriented innovation. </w:t>
      </w:r>
    </w:p>
    <w:p w14:paraId="55EAE46B"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Corporate level</w:t>
      </w:r>
    </w:p>
    <w:p w14:paraId="2F49ADDF"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International expansion and diversification at the corporate level have different trade-offs. The move to have non-alcoholic drinks and other related line-ups would minimise reliance on the waning beer sales. The world non-alcoholic market is growing more rapidly than conventional beer and has the potential to grow in the long term. Non-beverage diversification, however, is a threat to watering down the brand and focus of operation. </w:t>
      </w:r>
    </w:p>
    <w:p w14:paraId="38A0050D"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lastRenderedPageBreak/>
        <w:t>Justification of choice</w:t>
      </w:r>
    </w:p>
    <w:p w14:paraId="6DEE90AC"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Related diversification into low and no-alcohol products, thus, makes more sense than unrelated diversification. International expansion is always necessary but not exclusive. The emerging markets like India, Vietnam, and Brazil are focused on the growth opportunities where demographic trends are in favour of increasing consumption (Mahmood </w:t>
      </w:r>
      <w:r w:rsidRPr="001E6AFD">
        <w:rPr>
          <w:rFonts w:eastAsia="Times New Roman" w:cs="Times New Roman"/>
          <w:i/>
          <w:iCs/>
          <w:szCs w:val="24"/>
          <w:lang w:val="en-GB"/>
        </w:rPr>
        <w:t>et al.</w:t>
      </w:r>
      <w:r w:rsidRPr="001E6AFD">
        <w:rPr>
          <w:rFonts w:eastAsia="Times New Roman" w:cs="Times New Roman"/>
          <w:szCs w:val="24"/>
          <w:lang w:val="en-GB"/>
        </w:rPr>
        <w:t xml:space="preserve">, 2023). The proposed corporate approach includes geographic growth in the high-growth markets and associated diversification in the low and non-alcohol segments. This is the </w:t>
      </w:r>
      <w:proofErr w:type="spellStart"/>
      <w:r w:rsidRPr="001E6AFD">
        <w:rPr>
          <w:rFonts w:eastAsia="Times New Roman" w:cs="Times New Roman"/>
          <w:szCs w:val="24"/>
          <w:lang w:val="en-GB"/>
        </w:rPr>
        <w:t>tradeoff</w:t>
      </w:r>
      <w:proofErr w:type="spellEnd"/>
      <w:r w:rsidRPr="001E6AFD">
        <w:rPr>
          <w:rFonts w:eastAsia="Times New Roman" w:cs="Times New Roman"/>
          <w:szCs w:val="24"/>
          <w:lang w:val="en-GB"/>
        </w:rPr>
        <w:t xml:space="preserve"> between growth and managing risks, and is consistent with the current capabilities.</w:t>
      </w:r>
    </w:p>
    <w:p w14:paraId="7431053A" w14:textId="3CABE4C3" w:rsidR="00E7394B" w:rsidRPr="001E6AFD" w:rsidRDefault="00FA4025" w:rsidP="00A3359D">
      <w:pPr>
        <w:pStyle w:val="Heading2"/>
        <w:rPr>
          <w:lang w:val="en-GB"/>
        </w:rPr>
      </w:pPr>
      <w:bookmarkStart w:id="17" w:name="_Toc225279109"/>
      <w:r w:rsidRPr="001E6AFD">
        <w:rPr>
          <w:lang w:val="en-GB"/>
        </w:rPr>
        <w:t xml:space="preserve">5.2 Change </w:t>
      </w:r>
      <w:r w:rsidR="003B0995" w:rsidRPr="001E6AFD">
        <w:rPr>
          <w:lang w:val="en-GB"/>
        </w:rPr>
        <w:t xml:space="preserve">Management </w:t>
      </w:r>
      <w:r w:rsidRPr="001E6AFD">
        <w:rPr>
          <w:lang w:val="en-GB"/>
        </w:rPr>
        <w:t xml:space="preserve">and its </w:t>
      </w:r>
      <w:r w:rsidR="003B0995" w:rsidRPr="001E6AFD">
        <w:rPr>
          <w:lang w:val="en-GB"/>
        </w:rPr>
        <w:t xml:space="preserve">Impact </w:t>
      </w:r>
      <w:r w:rsidRPr="001E6AFD">
        <w:rPr>
          <w:lang w:val="en-GB"/>
        </w:rPr>
        <w:t xml:space="preserve">on </w:t>
      </w:r>
      <w:r w:rsidR="003B0995" w:rsidRPr="001E6AFD">
        <w:rPr>
          <w:lang w:val="en-GB"/>
        </w:rPr>
        <w:t>Strategic Implementation</w:t>
      </w:r>
      <w:bookmarkEnd w:id="17"/>
    </w:p>
    <w:p w14:paraId="17A26DE5"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Heineken has shown partial success in handling strategic change, especially changing its volume-based growth strategy to value-based strategies. Profitability has been stabilised through the shift to premiumisation and cost discipline, even in the face of inflationary pressure (Sanjeev and Yadav, 2026). The growth of Heineken 0.0 and wider alcohol-free products is a proactive measure to the falling alcohol demand. The company has scaled its products to over 100 markets, which means that the organisation is capable of doing innovation at scale and facilitates flexibility and responsiveness of strategy.</w:t>
      </w:r>
    </w:p>
    <w:p w14:paraId="4D5EAC5A"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Weaknesses arise in the pace and regularity of effecting changes. Volume stagnation clarifies the point that it is in the mature markets that premiumisation is not entirely compensating for dying demand. The other competitors, like Carlsberg Group, are also diversifying vigorously in related drinks segments, whilst Molson Coors Beverage Company has restructured itself beyond beer into an extensive drinks base. The comparatively smaller diversification of Heineken decreases exposure to new areas of growth and can limit the resilience in the long term (</w:t>
      </w:r>
      <w:proofErr w:type="spellStart"/>
      <w:r w:rsidRPr="001E6AFD">
        <w:rPr>
          <w:rFonts w:eastAsia="Times New Roman" w:cs="Times New Roman"/>
          <w:szCs w:val="24"/>
          <w:lang w:val="en-GB"/>
        </w:rPr>
        <w:t>Korálová</w:t>
      </w:r>
      <w:proofErr w:type="spellEnd"/>
      <w:r w:rsidRPr="001E6AFD">
        <w:rPr>
          <w:rFonts w:eastAsia="Times New Roman" w:cs="Times New Roman"/>
          <w:szCs w:val="24"/>
          <w:lang w:val="en-GB"/>
        </w:rPr>
        <w:t xml:space="preserve"> and Procházková, 2025). External dependencies are also a challenge to change management. Suppliers are a key element of transformation on sustainability, and a significant percentage of emissions exists in Scope 3. This restricts the control and reduces the implementation speed.</w:t>
      </w:r>
    </w:p>
    <w:p w14:paraId="4406E172"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Cost control and a portfolio focus have helped in enhancing organisational synchronisation, but strategic execution is not uniform across regions. The new markets bring the growth, and Europe still suffers a structural decline (Diemer </w:t>
      </w:r>
      <w:r w:rsidRPr="001E6AFD">
        <w:rPr>
          <w:rFonts w:eastAsia="Times New Roman" w:cs="Times New Roman"/>
          <w:i/>
          <w:iCs/>
          <w:szCs w:val="24"/>
          <w:lang w:val="en-GB"/>
        </w:rPr>
        <w:t>et al.</w:t>
      </w:r>
      <w:r w:rsidRPr="001E6AFD">
        <w:rPr>
          <w:rFonts w:eastAsia="Times New Roman" w:cs="Times New Roman"/>
          <w:szCs w:val="24"/>
          <w:lang w:val="en-GB"/>
        </w:rPr>
        <w:t xml:space="preserve">, 2022). This deviation needs increased regional diversification, but not global strategies. Heineken has been able to handle change well within the context of operational efficiency and incremental innovation, and poorly within the context of structural transformation. </w:t>
      </w:r>
    </w:p>
    <w:p w14:paraId="5703A9B4" w14:textId="77777777" w:rsidR="00E7394B" w:rsidRPr="001E6AFD" w:rsidRDefault="00FA4025" w:rsidP="00A3359D">
      <w:pPr>
        <w:pStyle w:val="Heading1"/>
        <w:rPr>
          <w:lang w:val="en-GB"/>
        </w:rPr>
      </w:pPr>
      <w:bookmarkStart w:id="18" w:name="_Toc225279110"/>
      <w:r w:rsidRPr="001E6AFD">
        <w:rPr>
          <w:lang w:val="en-GB"/>
        </w:rPr>
        <w:lastRenderedPageBreak/>
        <w:t>6. Strategic Evaluation and Recommendations</w:t>
      </w:r>
      <w:bookmarkEnd w:id="18"/>
    </w:p>
    <w:p w14:paraId="42924FAF" w14:textId="5D37A076" w:rsidR="00E7394B" w:rsidRPr="001E6AFD" w:rsidRDefault="00FA4025" w:rsidP="00A3359D">
      <w:pPr>
        <w:pStyle w:val="Heading2"/>
        <w:rPr>
          <w:lang w:val="en-GB"/>
        </w:rPr>
      </w:pPr>
      <w:bookmarkStart w:id="19" w:name="_Toc225279111"/>
      <w:r w:rsidRPr="001E6AFD">
        <w:rPr>
          <w:lang w:val="en-GB"/>
        </w:rPr>
        <w:t xml:space="preserve">6.1 Current </w:t>
      </w:r>
      <w:r w:rsidR="003B0995">
        <w:rPr>
          <w:lang w:val="en-GB"/>
        </w:rPr>
        <w:t>S</w:t>
      </w:r>
      <w:r w:rsidRPr="001E6AFD">
        <w:rPr>
          <w:lang w:val="en-GB"/>
        </w:rPr>
        <w:t>trategy</w:t>
      </w:r>
      <w:bookmarkEnd w:id="19"/>
      <w:r w:rsidRPr="001E6AFD">
        <w:rPr>
          <w:lang w:val="en-GB"/>
        </w:rPr>
        <w:t xml:space="preserve"> </w:t>
      </w:r>
    </w:p>
    <w:p w14:paraId="0207B8A1" w14:textId="77777777"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t>Application of BCG Matrix</w:t>
      </w:r>
    </w:p>
    <w:p w14:paraId="7D42B9F9"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The portfolio of Heineken indicates the absence of consistency in value creation in the opinion of the BCG Matrix. The core Heineken brand is a "Star" in the high-end segment with robust growth and relative market share. In 2024, high-end beer volumes grew at a higher rate than the total portfolio, which underlines the fact that it is the main contributor to profitability (Fernando </w:t>
      </w:r>
      <w:r w:rsidRPr="001E6AFD">
        <w:rPr>
          <w:rFonts w:eastAsia="Times New Roman" w:cs="Times New Roman"/>
          <w:i/>
          <w:iCs/>
          <w:szCs w:val="24"/>
          <w:lang w:val="en-GB"/>
        </w:rPr>
        <w:t>et al.</w:t>
      </w:r>
      <w:r w:rsidRPr="001E6AFD">
        <w:rPr>
          <w:rFonts w:eastAsia="Times New Roman" w:cs="Times New Roman"/>
          <w:szCs w:val="24"/>
          <w:lang w:val="en-GB"/>
        </w:rPr>
        <w:t>, 2023). On the contrary, mainstream lager brands are Cash Cows as they are able to produce stable cash flows but suffer structural deterioration in mature European markets where per capita consumption of alcohol is still decreasing.</w:t>
      </w:r>
    </w:p>
    <w:p w14:paraId="03E57C3A"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The low and non-alcoholic portfolio of Heineken 0.0 is a Question Mark. The segment is expanding at a very fast rate and is more than 13 billion dollars in the world, but the market share is a point of contention, as other competitors are ramping up similar products. Its long-term strategy requires long-term investment and brand differentiation (Farida and Setiawan, 2022). Some of the regional or heritage brands will run the risk of being dogs, especially in saturated markets where there is little growth and high competitive intensity. Holding these assets is a waste of capital with no major strategic payback. </w:t>
      </w:r>
    </w:p>
    <w:p w14:paraId="15DB5D5E" w14:textId="5586C0F9" w:rsidR="00E7394B" w:rsidRPr="001E6AFD" w:rsidRDefault="00FA4025" w:rsidP="00A3359D">
      <w:pPr>
        <w:pStyle w:val="Heading2"/>
        <w:rPr>
          <w:lang w:val="en-GB"/>
        </w:rPr>
      </w:pPr>
      <w:bookmarkStart w:id="20" w:name="_Toc225279112"/>
      <w:r w:rsidRPr="001E6AFD">
        <w:rPr>
          <w:lang w:val="en-GB"/>
        </w:rPr>
        <w:t xml:space="preserve">6.2 Recommendations </w:t>
      </w:r>
      <w:r w:rsidR="003B0995">
        <w:rPr>
          <w:lang w:val="en-GB"/>
        </w:rPr>
        <w:t>for</w:t>
      </w:r>
      <w:r w:rsidRPr="001E6AFD">
        <w:rPr>
          <w:lang w:val="en-GB"/>
        </w:rPr>
        <w:t xml:space="preserve"> </w:t>
      </w:r>
      <w:r w:rsidR="003B0995">
        <w:rPr>
          <w:lang w:val="en-GB"/>
        </w:rPr>
        <w:t>Improving</w:t>
      </w:r>
      <w:r w:rsidRPr="001E6AFD">
        <w:rPr>
          <w:lang w:val="en-GB"/>
        </w:rPr>
        <w:t xml:space="preserve"> </w:t>
      </w:r>
      <w:r w:rsidR="003B0995" w:rsidRPr="001E6AFD">
        <w:rPr>
          <w:lang w:val="en-GB"/>
        </w:rPr>
        <w:t xml:space="preserve">Strategy </w:t>
      </w:r>
      <w:r w:rsidR="003B0995">
        <w:rPr>
          <w:lang w:val="en-GB"/>
        </w:rPr>
        <w:t>and Boosting</w:t>
      </w:r>
      <w:r w:rsidR="003B0995" w:rsidRPr="001E6AFD">
        <w:rPr>
          <w:lang w:val="en-GB"/>
        </w:rPr>
        <w:t xml:space="preserve"> Competitive Advantage</w:t>
      </w:r>
      <w:bookmarkEnd w:id="20"/>
    </w:p>
    <w:p w14:paraId="1B999DA4"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Re 1: Invest in the low or no-alcohol market</w:t>
      </w:r>
    </w:p>
    <w:p w14:paraId="6F4162C9"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This strategy will involve diversifying the product beyond beer to functional and flavoured beverages. The strategy followed by the Carlsberg Group, which ventured into soft drinks. The energy drinks market in Asia can illustrate the capacity of the related category expansion in enhancing resiliency in the face of falling beer demand (Rostami </w:t>
      </w:r>
      <w:r w:rsidRPr="001E6AFD">
        <w:rPr>
          <w:rFonts w:eastAsia="Times New Roman" w:cs="Times New Roman"/>
          <w:i/>
          <w:iCs/>
          <w:szCs w:val="24"/>
          <w:lang w:val="en-GB"/>
        </w:rPr>
        <w:t>et al.</w:t>
      </w:r>
      <w:r w:rsidRPr="001E6AFD">
        <w:rPr>
          <w:rFonts w:eastAsia="Times New Roman" w:cs="Times New Roman"/>
          <w:szCs w:val="24"/>
          <w:lang w:val="en-GB"/>
        </w:rPr>
        <w:t>, 2024). There is a need to rationalise the portfolio to deal with Dog brands that are not performing well. Liquidating or rebranding of non-growing assets would free up capital to grow areas. This is in line with the principle of resource allocation, where high returns are considered.</w:t>
      </w:r>
    </w:p>
    <w:p w14:paraId="3A779A6D" w14:textId="77777777" w:rsidR="00E7394B" w:rsidRPr="001E6AFD" w:rsidRDefault="00FA4025">
      <w:pPr>
        <w:rPr>
          <w:rFonts w:eastAsia="Times New Roman" w:cs="Times New Roman"/>
          <w:b/>
          <w:bCs/>
          <w:i/>
          <w:iCs/>
          <w:szCs w:val="24"/>
          <w:lang w:val="en-GB"/>
        </w:rPr>
      </w:pPr>
      <w:r w:rsidRPr="001E6AFD">
        <w:rPr>
          <w:rFonts w:eastAsia="Times New Roman" w:cs="Times New Roman"/>
          <w:b/>
          <w:bCs/>
          <w:i/>
          <w:iCs/>
          <w:szCs w:val="24"/>
          <w:lang w:val="en-GB"/>
        </w:rPr>
        <w:t>Re 2: Penetration in emerging markets by using local products</w:t>
      </w:r>
    </w:p>
    <w:p w14:paraId="196C2689"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India and Vietnam demand is developing and requires affordability and premium positioning, which implies a dual approach of affordable and premium Indian products, as well as the local brands. The digital transformation must be focused not on marketing support, but value creation </w:t>
      </w:r>
      <w:r w:rsidRPr="001E6AFD">
        <w:rPr>
          <w:rFonts w:eastAsia="Times New Roman" w:cs="Times New Roman"/>
          <w:szCs w:val="24"/>
          <w:lang w:val="en-GB"/>
        </w:rPr>
        <w:lastRenderedPageBreak/>
        <w:t xml:space="preserve">by direct-to-consumer channels and data-driven pricing. This would help decrease the middleman dependence and increase margin capture. </w:t>
      </w:r>
    </w:p>
    <w:p w14:paraId="650F0E90" w14:textId="65BD78E5" w:rsidR="00E7394B" w:rsidRPr="001E6AFD" w:rsidRDefault="00FA4025" w:rsidP="00A3359D">
      <w:pPr>
        <w:pStyle w:val="Heading2"/>
        <w:rPr>
          <w:lang w:val="en-GB"/>
        </w:rPr>
      </w:pPr>
      <w:bookmarkStart w:id="21" w:name="_Toc225279113"/>
      <w:r w:rsidRPr="001E6AFD">
        <w:rPr>
          <w:lang w:val="en-GB"/>
        </w:rPr>
        <w:t xml:space="preserve">6.3 Justification of </w:t>
      </w:r>
      <w:r w:rsidR="003B0995">
        <w:rPr>
          <w:lang w:val="en-GB"/>
        </w:rPr>
        <w:t>R</w:t>
      </w:r>
      <w:r w:rsidRPr="001E6AFD">
        <w:rPr>
          <w:lang w:val="en-GB"/>
        </w:rPr>
        <w:t>ecommendations</w:t>
      </w:r>
      <w:bookmarkEnd w:id="21"/>
      <w:r w:rsidRPr="001E6AFD">
        <w:rPr>
          <w:lang w:val="en-GB"/>
        </w:rPr>
        <w:t xml:space="preserve"> </w:t>
      </w:r>
    </w:p>
    <w:p w14:paraId="0DAE9E61"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The recommendations are consistent with the Resource-Based View, which focuses on the redeployment of valuable and non-common capabilities to growth markets. The brand equity and distribution network of Heineken can be used to provide beyond the conventional beer to other related categories, where it yields more returns on the available resources (Martins, 2021). A good example comes in PepsiCo, in which the diversification of the beverages and snacks segments stabilises income streams and eliminates category-related risk. Ansoff Matrix justifies associated diversification in non-alcoholic drinks as a strategy of product development in the given markets. This minimises risk as opposed to unrelated diversification and meets the new demand. This can be justified by the fact that evidence indicates that the non-alcoholic segment is expanding more than the traditional beer segment. The BCG Matrix also lays more stress on capital diversion between the Cash Cows and the expansion segments. Unilever has already used this reasoning by selling low-growth brands and investing in health and sustainability-oriented products to enhance long-term growth opportunities (</w:t>
      </w:r>
      <w:proofErr w:type="spellStart"/>
      <w:r w:rsidRPr="001E6AFD">
        <w:rPr>
          <w:rFonts w:eastAsia="Times New Roman" w:cs="Times New Roman"/>
          <w:szCs w:val="24"/>
          <w:lang w:val="en-GB"/>
        </w:rPr>
        <w:t>Modreanu</w:t>
      </w:r>
      <w:proofErr w:type="spellEnd"/>
      <w:r w:rsidRPr="001E6AFD">
        <w:rPr>
          <w:rFonts w:eastAsia="Times New Roman" w:cs="Times New Roman"/>
          <w:szCs w:val="24"/>
          <w:lang w:val="en-GB"/>
        </w:rPr>
        <w:t xml:space="preserve"> </w:t>
      </w:r>
      <w:r w:rsidRPr="001E6AFD">
        <w:rPr>
          <w:rFonts w:eastAsia="Times New Roman" w:cs="Times New Roman"/>
          <w:i/>
          <w:iCs/>
          <w:szCs w:val="24"/>
          <w:lang w:val="en-GB"/>
        </w:rPr>
        <w:t>et al.</w:t>
      </w:r>
      <w:r w:rsidRPr="001E6AFD">
        <w:rPr>
          <w:rFonts w:eastAsia="Times New Roman" w:cs="Times New Roman"/>
          <w:szCs w:val="24"/>
          <w:lang w:val="en-GB"/>
        </w:rPr>
        <w:t>, 2022). Premium positioning is being copied by competitors, and uniqueness is being diminished.</w:t>
      </w:r>
    </w:p>
    <w:p w14:paraId="7EFEB092" w14:textId="77777777" w:rsidR="00E7394B" w:rsidRPr="001E6AFD" w:rsidRDefault="00FA4025" w:rsidP="00A3359D">
      <w:pPr>
        <w:pStyle w:val="Heading1"/>
        <w:rPr>
          <w:lang w:val="en-GB"/>
        </w:rPr>
      </w:pPr>
      <w:bookmarkStart w:id="22" w:name="_Toc225279114"/>
      <w:r w:rsidRPr="001E6AFD">
        <w:rPr>
          <w:lang w:val="en-GB"/>
        </w:rPr>
        <w:t>Section 2</w:t>
      </w:r>
      <w:bookmarkEnd w:id="22"/>
    </w:p>
    <w:p w14:paraId="0BC8E03B" w14:textId="47DCDE9F" w:rsidR="00E7394B" w:rsidRPr="001E6AFD" w:rsidRDefault="00FA4025" w:rsidP="003271D0">
      <w:pPr>
        <w:pStyle w:val="Heading2"/>
        <w:rPr>
          <w:lang w:val="en-GB"/>
        </w:rPr>
      </w:pPr>
      <w:bookmarkStart w:id="23" w:name="_Toc225279115"/>
      <w:r w:rsidRPr="001E6AFD">
        <w:rPr>
          <w:lang w:val="en-GB"/>
        </w:rPr>
        <w:t xml:space="preserve">Gibbs </w:t>
      </w:r>
      <w:r w:rsidR="003271D0" w:rsidRPr="001E6AFD">
        <w:rPr>
          <w:lang w:val="en-GB"/>
        </w:rPr>
        <w:t>Reflective Cycle</w:t>
      </w:r>
      <w:bookmarkEnd w:id="23"/>
      <w:r w:rsidR="003271D0" w:rsidRPr="001E6AFD">
        <w:rPr>
          <w:lang w:val="en-GB"/>
        </w:rPr>
        <w:t xml:space="preserve"> </w:t>
      </w:r>
    </w:p>
    <w:p w14:paraId="344EEF68" w14:textId="77777777"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t>Description</w:t>
      </w:r>
    </w:p>
    <w:p w14:paraId="5343368E"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My research is designed with a solid purpose to critically analyse the strategy of Heineken based on integrated rather than individual tools. I start with locating reputable academic materials through databases like ScienceDirect and Emerald, and company reports and presentations to investors. Industry reports, company annual reports and CSR reports are other materials that I have used to understand the current strategies of the firm. Use of methodological rigour and direct relevance to strategy filters to eliminate sources that are general commentary on the industry (</w:t>
      </w:r>
      <w:proofErr w:type="spellStart"/>
      <w:r w:rsidRPr="001E6AFD">
        <w:rPr>
          <w:rFonts w:eastAsia="Times New Roman" w:cs="Times New Roman"/>
          <w:szCs w:val="24"/>
          <w:lang w:val="en-GB"/>
        </w:rPr>
        <w:t>Annamalah</w:t>
      </w:r>
      <w:proofErr w:type="spellEnd"/>
      <w:r w:rsidRPr="001E6AFD">
        <w:rPr>
          <w:rFonts w:eastAsia="Times New Roman" w:cs="Times New Roman"/>
          <w:szCs w:val="24"/>
          <w:lang w:val="en-GB"/>
        </w:rPr>
        <w:t xml:space="preserve"> </w:t>
      </w:r>
      <w:r w:rsidRPr="001E6AFD">
        <w:rPr>
          <w:rFonts w:eastAsia="Times New Roman" w:cs="Times New Roman"/>
          <w:i/>
          <w:iCs/>
          <w:szCs w:val="24"/>
          <w:lang w:val="en-GB"/>
        </w:rPr>
        <w:t>et al.</w:t>
      </w:r>
      <w:r w:rsidRPr="001E6AFD">
        <w:rPr>
          <w:rFonts w:eastAsia="Times New Roman" w:cs="Times New Roman"/>
          <w:szCs w:val="24"/>
          <w:lang w:val="en-GB"/>
        </w:rPr>
        <w:t xml:space="preserve">, 2025). The application of PESTEL has determined external forces, including regulatory restrictions and changing consumer behaviour. I then use VRIO to evaluate the responsiveness of internal capabilities to these </w:t>
      </w:r>
      <w:r w:rsidRPr="001E6AFD">
        <w:rPr>
          <w:rFonts w:eastAsia="Times New Roman" w:cs="Times New Roman"/>
          <w:szCs w:val="24"/>
          <w:lang w:val="en-GB"/>
        </w:rPr>
        <w:lastRenderedPageBreak/>
        <w:t xml:space="preserve">pressures. I employ the Balanced Scorecard to relate strategy with quantifiable results and the BCG Matrix to identify balance in the portfolio.  </w:t>
      </w:r>
    </w:p>
    <w:p w14:paraId="5490D441" w14:textId="77777777"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t>Feeling</w:t>
      </w:r>
    </w:p>
    <w:p w14:paraId="532BA651"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I usually feel confused in the initial stage because of the amount of available information and the ability to maintain a critical focus. I am personally getting involved in overdoing the descriptive bits, thus reducing the analytical value. This is frustrating since the arguments are not precise and clear. The narrower I make my search to the good sources, the more confident I become. The combination of frameworks provides me with a better sense of direction, and I start to perceive how various tools of analysis are related to each other. I am conscious of constraints during the process. I doubt the accuracy of the information announced by the company, and I understand that it may be biased. This puts me on high alert for interpreting evidence. This warning proves beneficial with time because it improves my critical assessment instead of restraining it.</w:t>
      </w:r>
    </w:p>
    <w:p w14:paraId="4C98500F" w14:textId="77777777"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t>Evaluation</w:t>
      </w:r>
    </w:p>
    <w:p w14:paraId="0A44391A"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It is an effective process in the production of a structured and evidence-based analysis. The application of various frameworks can enable me to view the organisation from various perspectives, which enhances the level of evaluation. I have been able to associate external forces and inner abilities, and this makes the overall argument stronger. One of the strengths is to concentrate on the latest and most believable evidence (Holt‐</w:t>
      </w:r>
      <w:proofErr w:type="spellStart"/>
      <w:r w:rsidRPr="001E6AFD">
        <w:rPr>
          <w:rFonts w:eastAsia="Times New Roman" w:cs="Times New Roman"/>
          <w:szCs w:val="24"/>
          <w:lang w:val="en-GB"/>
        </w:rPr>
        <w:t>Lunstad</w:t>
      </w:r>
      <w:proofErr w:type="spellEnd"/>
      <w:r w:rsidRPr="001E6AFD">
        <w:rPr>
          <w:rFonts w:eastAsia="Times New Roman" w:cs="Times New Roman"/>
          <w:szCs w:val="24"/>
          <w:lang w:val="en-GB"/>
        </w:rPr>
        <w:t xml:space="preserve">, 2024). This also makes sure that the analysis is based on the existing industry dynamics, including premiumisation and the development of non-alcoholic beverages. It increases the applicability and validity of my conclusions. Some of the sections are limited in depth as I depend on secondary data, hence limiting my capacity to record real-time strategic decisions. There are frameworks that reduce the complex realities, with the BCG Matrix being one of them, which involves assumptions on market growth and share (García-Vidal </w:t>
      </w:r>
      <w:r w:rsidRPr="001E6AFD">
        <w:rPr>
          <w:rFonts w:eastAsia="Times New Roman" w:cs="Times New Roman"/>
          <w:i/>
          <w:iCs/>
          <w:szCs w:val="24"/>
          <w:lang w:val="en-GB"/>
        </w:rPr>
        <w:t>et al.</w:t>
      </w:r>
      <w:r w:rsidRPr="001E6AFD">
        <w:rPr>
          <w:rFonts w:eastAsia="Times New Roman" w:cs="Times New Roman"/>
          <w:szCs w:val="24"/>
          <w:lang w:val="en-GB"/>
        </w:rPr>
        <w:t xml:space="preserve">, 2023). I also realise that I am prone to focusing on evidence that confirms my stand and not venturing into opposing views. There is also a time factor that affects the degree of critical engagement. I am centred on accomplishing all the parts, but this limits the chances of delving deeper into other strategic choices. </w:t>
      </w:r>
    </w:p>
    <w:p w14:paraId="441A9DA0" w14:textId="77777777" w:rsidR="00781A09" w:rsidRDefault="00781A09">
      <w:pPr>
        <w:rPr>
          <w:rFonts w:eastAsia="Times New Roman" w:cs="Times New Roman"/>
          <w:b/>
          <w:bCs/>
          <w:szCs w:val="24"/>
          <w:lang w:val="en-GB"/>
        </w:rPr>
      </w:pPr>
    </w:p>
    <w:p w14:paraId="33228557" w14:textId="77777777" w:rsidR="00781A09" w:rsidRDefault="00781A09">
      <w:pPr>
        <w:rPr>
          <w:rFonts w:eastAsia="Times New Roman" w:cs="Times New Roman"/>
          <w:b/>
          <w:bCs/>
          <w:szCs w:val="24"/>
          <w:lang w:val="en-GB"/>
        </w:rPr>
      </w:pPr>
    </w:p>
    <w:p w14:paraId="764F5244" w14:textId="4C1DED39"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lastRenderedPageBreak/>
        <w:t>Analysis</w:t>
      </w:r>
    </w:p>
    <w:p w14:paraId="5C13E0E7"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I realise that the success of my work is determined by the ability to incorporate frames rather than the number of applied frameworks. PESTEL identifies the external limitations, such as regulation and shifting consumer behaviour. VRIO then evaluates whether the capabilities of Heineken have a long-term response. This shows that brand equity is long-term beneficial, and operational efficiency is not, and this congruency enhances the level of analysis (</w:t>
      </w:r>
      <w:proofErr w:type="spellStart"/>
      <w:r w:rsidRPr="001E6AFD">
        <w:rPr>
          <w:rFonts w:eastAsia="Times New Roman" w:cs="Times New Roman"/>
          <w:szCs w:val="24"/>
          <w:lang w:val="en-GB"/>
        </w:rPr>
        <w:t>Winit</w:t>
      </w:r>
      <w:proofErr w:type="spellEnd"/>
      <w:r w:rsidRPr="001E6AFD">
        <w:rPr>
          <w:rFonts w:eastAsia="Times New Roman" w:cs="Times New Roman"/>
          <w:szCs w:val="24"/>
          <w:lang w:val="en-GB"/>
        </w:rPr>
        <w:t xml:space="preserve"> and </w:t>
      </w:r>
      <w:proofErr w:type="spellStart"/>
      <w:r w:rsidRPr="001E6AFD">
        <w:rPr>
          <w:rFonts w:eastAsia="Times New Roman" w:cs="Times New Roman"/>
          <w:szCs w:val="24"/>
          <w:lang w:val="en-GB"/>
        </w:rPr>
        <w:t>Kantabutra</w:t>
      </w:r>
      <w:proofErr w:type="spellEnd"/>
      <w:r w:rsidRPr="001E6AFD">
        <w:rPr>
          <w:rFonts w:eastAsia="Times New Roman" w:cs="Times New Roman"/>
          <w:szCs w:val="24"/>
          <w:lang w:val="en-GB"/>
        </w:rPr>
        <w:t>, 2022). The Balanced Scorecard assists in linking strategy to performance indicators. I can see that pricing and not volume lead to financial growth, which is an indication that the strategy has changed. This knowledge only comes when I critically analyse information and do not perceive it at face value.</w:t>
      </w:r>
    </w:p>
    <w:p w14:paraId="01A7F4D5"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 xml:space="preserve">BCG Matrix gives a portfolio view, which reveals premium brand concentration risk. This is a reason why I recommend diversification. Simultaneously, I recognise the drawbacks of the framework. It makes the strategy less complicated and does not entirely reflect the dynamic market conditions. Becoming aware of these limitations will help me not to over-emphasise one model. My more critical attitude towards evidence has also developed. I do not make revenue growth a positive result on its own. I comparatively analyse it with weak volume growth, which means dependence on pricing strategies. This strategy enables the finding of deep-rooted strategic tensions and the integration of educational ideology and actual evidence. The source materials produced by academics give conceptual clarity, whereas the company reports present up-to-date information. </w:t>
      </w:r>
    </w:p>
    <w:p w14:paraId="23684CF9" w14:textId="77777777"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t xml:space="preserve">Conclusion </w:t>
      </w:r>
    </w:p>
    <w:p w14:paraId="735DABC5" w14:textId="77777777" w:rsidR="00E7394B" w:rsidRPr="001E6AFD" w:rsidRDefault="00FA4025">
      <w:pPr>
        <w:rPr>
          <w:rFonts w:eastAsia="Times New Roman" w:cs="Times New Roman"/>
          <w:szCs w:val="24"/>
          <w:lang w:val="en-GB"/>
        </w:rPr>
      </w:pPr>
      <w:r w:rsidRPr="001E6AFD">
        <w:rPr>
          <w:rFonts w:eastAsia="Times New Roman" w:cs="Times New Roman"/>
          <w:szCs w:val="24"/>
          <w:lang w:val="en-GB"/>
        </w:rPr>
        <w:t>I conclude that my strength is that of integration, selectivity and critical interpretation. The numerous frameworks used give a complete picture of the organisation, but it is the relationship that is valuable. The analytical relevance is enhanced by the fact that I focus on the new and authoritative evidence. I see weaknesses in the critique level and the use of secondary data. I also realise how I should become more active in challenging my own assumptions. The plan enhances my skill in using theoretical knowledge in practice and my capability to get out of descriptive writing.</w:t>
      </w:r>
    </w:p>
    <w:p w14:paraId="6097493D" w14:textId="77777777" w:rsidR="00781A09" w:rsidRDefault="00781A09">
      <w:pPr>
        <w:rPr>
          <w:rFonts w:eastAsia="Times New Roman" w:cs="Times New Roman"/>
          <w:b/>
          <w:bCs/>
          <w:szCs w:val="24"/>
          <w:lang w:val="en-GB"/>
        </w:rPr>
      </w:pPr>
    </w:p>
    <w:p w14:paraId="35208086" w14:textId="77777777" w:rsidR="00781A09" w:rsidRDefault="00781A09">
      <w:pPr>
        <w:rPr>
          <w:rFonts w:eastAsia="Times New Roman" w:cs="Times New Roman"/>
          <w:b/>
          <w:bCs/>
          <w:szCs w:val="24"/>
          <w:lang w:val="en-GB"/>
        </w:rPr>
      </w:pPr>
    </w:p>
    <w:p w14:paraId="0FB48761" w14:textId="77777777" w:rsidR="00781A09" w:rsidRDefault="00781A09">
      <w:pPr>
        <w:rPr>
          <w:rFonts w:eastAsia="Times New Roman" w:cs="Times New Roman"/>
          <w:b/>
          <w:bCs/>
          <w:szCs w:val="24"/>
          <w:lang w:val="en-GB"/>
        </w:rPr>
      </w:pPr>
    </w:p>
    <w:p w14:paraId="5380B31C" w14:textId="77777777" w:rsidR="00781A09" w:rsidRDefault="00781A09">
      <w:pPr>
        <w:rPr>
          <w:rFonts w:eastAsia="Times New Roman" w:cs="Times New Roman"/>
          <w:b/>
          <w:bCs/>
          <w:szCs w:val="24"/>
          <w:lang w:val="en-GB"/>
        </w:rPr>
      </w:pPr>
    </w:p>
    <w:p w14:paraId="1AB87A90" w14:textId="77777777" w:rsidR="00781A09" w:rsidRDefault="00781A09">
      <w:pPr>
        <w:rPr>
          <w:rFonts w:eastAsia="Times New Roman" w:cs="Times New Roman"/>
          <w:b/>
          <w:bCs/>
          <w:szCs w:val="24"/>
          <w:lang w:val="en-GB"/>
        </w:rPr>
      </w:pPr>
    </w:p>
    <w:p w14:paraId="6B939C90" w14:textId="0B641CFB"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t>Action plan</w:t>
      </w:r>
    </w:p>
    <w:p w14:paraId="18EA2971" w14:textId="77777777" w:rsidR="00E7394B" w:rsidRPr="001E6AFD" w:rsidRDefault="00FA4025">
      <w:pPr>
        <w:numPr>
          <w:ilvl w:val="0"/>
          <w:numId w:val="1"/>
        </w:numPr>
        <w:rPr>
          <w:rFonts w:eastAsia="Times New Roman" w:cs="Times New Roman"/>
          <w:szCs w:val="24"/>
          <w:lang w:val="en-GB"/>
        </w:rPr>
      </w:pPr>
      <w:r w:rsidRPr="001E6AFD">
        <w:rPr>
          <w:rFonts w:eastAsia="Times New Roman" w:cs="Times New Roman"/>
          <w:szCs w:val="24"/>
          <w:lang w:val="en-GB"/>
        </w:rPr>
        <w:t>I intend to enforce my reliance on academic literature by getting more involved in peer-reviewed journals. This will enhance the theoretical basis and minimise the use of data reported by companies.</w:t>
      </w:r>
    </w:p>
    <w:p w14:paraId="6A448188" w14:textId="77777777" w:rsidR="00E7394B" w:rsidRPr="001E6AFD" w:rsidRDefault="00FA4025">
      <w:pPr>
        <w:numPr>
          <w:ilvl w:val="0"/>
          <w:numId w:val="1"/>
        </w:numPr>
        <w:rPr>
          <w:rFonts w:eastAsia="Times New Roman" w:cs="Times New Roman"/>
          <w:szCs w:val="24"/>
          <w:lang w:val="en-GB"/>
        </w:rPr>
      </w:pPr>
      <w:r w:rsidRPr="001E6AFD">
        <w:rPr>
          <w:rFonts w:eastAsia="Times New Roman" w:cs="Times New Roman"/>
          <w:szCs w:val="24"/>
          <w:lang w:val="en-GB"/>
        </w:rPr>
        <w:t>I will utilise fewer frameworks but critically put them into practice. This will bring about clarity and enable one to analyse more than just go through the surface.</w:t>
      </w:r>
    </w:p>
    <w:p w14:paraId="612A220F" w14:textId="77777777" w:rsidR="00E7394B" w:rsidRPr="001E6AFD" w:rsidRDefault="00FA4025">
      <w:pPr>
        <w:numPr>
          <w:ilvl w:val="0"/>
          <w:numId w:val="1"/>
        </w:numPr>
        <w:rPr>
          <w:rFonts w:eastAsia="Times New Roman" w:cs="Times New Roman"/>
          <w:szCs w:val="24"/>
          <w:lang w:val="en-GB"/>
        </w:rPr>
      </w:pPr>
      <w:r w:rsidRPr="001E6AFD">
        <w:rPr>
          <w:rFonts w:eastAsia="Times New Roman" w:cs="Times New Roman"/>
          <w:szCs w:val="24"/>
          <w:lang w:val="en-GB"/>
        </w:rPr>
        <w:t>The second area I will work on is time management, where I will set designated periods of research, analysis and revision. This will provide more room for critical reflection and analysis of other views.</w:t>
      </w:r>
    </w:p>
    <w:p w14:paraId="2869899E" w14:textId="77777777" w:rsidR="00E7394B" w:rsidRPr="001E6AFD" w:rsidRDefault="00FA4025">
      <w:pPr>
        <w:numPr>
          <w:ilvl w:val="0"/>
          <w:numId w:val="1"/>
        </w:numPr>
        <w:rPr>
          <w:rFonts w:eastAsia="Times New Roman" w:cs="Times New Roman"/>
          <w:szCs w:val="24"/>
          <w:lang w:val="en-GB"/>
        </w:rPr>
      </w:pPr>
      <w:r w:rsidRPr="001E6AFD">
        <w:rPr>
          <w:rFonts w:eastAsia="Times New Roman" w:cs="Times New Roman"/>
          <w:szCs w:val="24"/>
          <w:lang w:val="en-GB"/>
        </w:rPr>
        <w:t>I will also be vigorous in finding compelling evidence to refute my points. This will minimise prejudice and enhance the strength of my findings.</w:t>
      </w:r>
    </w:p>
    <w:p w14:paraId="73D14903" w14:textId="77777777" w:rsidR="00E7394B" w:rsidRPr="001E6AFD" w:rsidRDefault="00FA4025">
      <w:pPr>
        <w:numPr>
          <w:ilvl w:val="0"/>
          <w:numId w:val="1"/>
        </w:numPr>
        <w:rPr>
          <w:rFonts w:eastAsia="Times New Roman" w:cs="Times New Roman"/>
          <w:szCs w:val="24"/>
          <w:lang w:val="en-GB"/>
        </w:rPr>
      </w:pPr>
      <w:r w:rsidRPr="001E6AFD">
        <w:rPr>
          <w:rFonts w:eastAsia="Times New Roman" w:cs="Times New Roman"/>
          <w:szCs w:val="24"/>
          <w:lang w:val="en-GB"/>
        </w:rPr>
        <w:t>I will look forward to avenues of using primary data or case-based information to increase the knowledge on strategic decision-making.</w:t>
      </w:r>
    </w:p>
    <w:p w14:paraId="3EEAF765" w14:textId="77777777" w:rsidR="00E7394B" w:rsidRPr="001E6AFD" w:rsidRDefault="00FA4025">
      <w:pPr>
        <w:numPr>
          <w:ilvl w:val="0"/>
          <w:numId w:val="1"/>
        </w:numPr>
        <w:rPr>
          <w:rFonts w:eastAsia="Times New Roman" w:cs="Times New Roman"/>
          <w:szCs w:val="24"/>
          <w:lang w:val="en-GB"/>
        </w:rPr>
      </w:pPr>
      <w:r w:rsidRPr="001E6AFD">
        <w:rPr>
          <w:rFonts w:eastAsia="Times New Roman" w:cs="Times New Roman"/>
          <w:szCs w:val="24"/>
          <w:lang w:val="en-GB"/>
        </w:rPr>
        <w:t>I will also keep enhancing my writing skills, and one way of doing it is to be precise and critical in depth with each point, adding value to the argument.</w:t>
      </w:r>
    </w:p>
    <w:p w14:paraId="5721A88B" w14:textId="77777777" w:rsidR="00E7394B" w:rsidRPr="001E6AFD" w:rsidRDefault="00FA4025">
      <w:pPr>
        <w:rPr>
          <w:rFonts w:eastAsia="Times New Roman" w:cs="Times New Roman"/>
          <w:b/>
          <w:bCs/>
          <w:szCs w:val="24"/>
          <w:lang w:val="en-GB"/>
        </w:rPr>
      </w:pPr>
      <w:r w:rsidRPr="001E6AFD">
        <w:rPr>
          <w:rFonts w:eastAsia="Times New Roman" w:cs="Times New Roman"/>
          <w:b/>
          <w:bCs/>
          <w:szCs w:val="24"/>
          <w:lang w:val="en-GB"/>
        </w:rPr>
        <w:t xml:space="preserve"> </w:t>
      </w:r>
      <w:r w:rsidRPr="001E6AFD">
        <w:rPr>
          <w:lang w:val="en-GB"/>
        </w:rPr>
        <w:br w:type="page"/>
      </w:r>
    </w:p>
    <w:p w14:paraId="414BC7F2" w14:textId="77777777" w:rsidR="00E7394B" w:rsidRPr="001E6AFD" w:rsidRDefault="00FA4025" w:rsidP="00081E58">
      <w:pPr>
        <w:pStyle w:val="Heading1"/>
        <w:rPr>
          <w:lang w:val="en-GB"/>
        </w:rPr>
      </w:pPr>
      <w:bookmarkStart w:id="24" w:name="_Toc225279116"/>
      <w:r w:rsidRPr="001E6AFD">
        <w:rPr>
          <w:lang w:val="en-GB"/>
        </w:rPr>
        <w:lastRenderedPageBreak/>
        <w:t>References</w:t>
      </w:r>
      <w:bookmarkEnd w:id="24"/>
    </w:p>
    <w:p w14:paraId="13425487" w14:textId="663FC5D6"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Anderson, K. (2023) ‘The emergence of lower-alcohol beverages: The case of beer’, </w:t>
      </w:r>
      <w:r w:rsidRPr="001E6AFD">
        <w:rPr>
          <w:rFonts w:eastAsia="Times New Roman" w:cs="Times New Roman"/>
          <w:i/>
          <w:iCs/>
          <w:szCs w:val="24"/>
          <w:lang w:val="en-GB"/>
        </w:rPr>
        <w:t>Journal of Wine Economics</w:t>
      </w:r>
      <w:r w:rsidRPr="001E6AFD">
        <w:rPr>
          <w:rFonts w:eastAsia="Times New Roman" w:cs="Times New Roman"/>
          <w:szCs w:val="24"/>
          <w:lang w:val="en-GB"/>
        </w:rPr>
        <w:t xml:space="preserve">, 18(1), pp. 66–86. Available at: </w:t>
      </w:r>
      <w:hyperlink r:id="rId14" w:history="1">
        <w:r w:rsidR="003B0995" w:rsidRPr="00293D44">
          <w:rPr>
            <w:rStyle w:val="Hyperlink"/>
            <w:rFonts w:eastAsia="Times New Roman" w:cs="Times New Roman"/>
            <w:szCs w:val="24"/>
            <w:lang w:val="en-GB"/>
          </w:rPr>
          <w:t>https://doi.org/10.1017/jwe.2023.8</w:t>
        </w:r>
      </w:hyperlink>
      <w:r w:rsidRPr="001E6AFD">
        <w:rPr>
          <w:rFonts w:eastAsia="Times New Roman" w:cs="Times New Roman"/>
          <w:szCs w:val="24"/>
          <w:lang w:val="en-GB"/>
        </w:rPr>
        <w:t>.</w:t>
      </w:r>
      <w:r w:rsidR="003B0995">
        <w:rPr>
          <w:rFonts w:eastAsia="Times New Roman" w:cs="Times New Roman"/>
          <w:szCs w:val="24"/>
          <w:lang w:val="en-GB"/>
        </w:rPr>
        <w:t xml:space="preserve"> </w:t>
      </w:r>
    </w:p>
    <w:p w14:paraId="72B168B3" w14:textId="7765D68E"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t>Annamalah</w:t>
      </w:r>
      <w:proofErr w:type="spellEnd"/>
      <w:r w:rsidRPr="001E6AFD">
        <w:rPr>
          <w:rFonts w:eastAsia="Times New Roman" w:cs="Times New Roman"/>
          <w:szCs w:val="24"/>
          <w:lang w:val="en-GB"/>
        </w:rPr>
        <w:t xml:space="preserve">, S., Aravindan, K.L., Ahmed, S. and Sentosa, I. (2025) ‘Exploring the relevance and rigour of case study research in business: A contemporary perspective’, </w:t>
      </w:r>
      <w:r w:rsidRPr="001E6AFD">
        <w:rPr>
          <w:rFonts w:eastAsia="Times New Roman" w:cs="Times New Roman"/>
          <w:i/>
          <w:iCs/>
          <w:szCs w:val="24"/>
          <w:lang w:val="en-GB"/>
        </w:rPr>
        <w:t>Journal of Sustainability Research</w:t>
      </w:r>
      <w:r w:rsidRPr="001E6AFD">
        <w:rPr>
          <w:rFonts w:eastAsia="Times New Roman" w:cs="Times New Roman"/>
          <w:szCs w:val="24"/>
          <w:lang w:val="en-GB"/>
        </w:rPr>
        <w:t xml:space="preserve">, 7(2). Available at: </w:t>
      </w:r>
      <w:hyperlink r:id="rId15" w:history="1">
        <w:r w:rsidR="003B0995" w:rsidRPr="00293D44">
          <w:rPr>
            <w:rStyle w:val="Hyperlink"/>
            <w:rFonts w:eastAsia="Times New Roman" w:cs="Times New Roman"/>
            <w:szCs w:val="24"/>
            <w:lang w:val="en-GB"/>
          </w:rPr>
          <w:t>https://doi.org/10.20900/jsr20250032</w:t>
        </w:r>
      </w:hyperlink>
      <w:r w:rsidRPr="001E6AFD">
        <w:rPr>
          <w:rFonts w:eastAsia="Times New Roman" w:cs="Times New Roman"/>
          <w:szCs w:val="24"/>
          <w:lang w:val="en-GB"/>
        </w:rPr>
        <w:t>.</w:t>
      </w:r>
      <w:r w:rsidR="003B0995">
        <w:rPr>
          <w:rFonts w:eastAsia="Times New Roman" w:cs="Times New Roman"/>
          <w:szCs w:val="24"/>
          <w:lang w:val="en-GB"/>
        </w:rPr>
        <w:t xml:space="preserve"> </w:t>
      </w:r>
    </w:p>
    <w:p w14:paraId="1B0A9AEF" w14:textId="1896F066"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Arthur, R. (2025). </w:t>
      </w:r>
      <w:r w:rsidRPr="001E6AFD">
        <w:rPr>
          <w:rFonts w:eastAsia="Times New Roman" w:cs="Times New Roman"/>
          <w:i/>
          <w:iCs/>
          <w:szCs w:val="24"/>
          <w:lang w:val="en-GB"/>
        </w:rPr>
        <w:t>Premium brands continue to shine for Heineken</w:t>
      </w:r>
      <w:r w:rsidRPr="001E6AFD">
        <w:rPr>
          <w:rFonts w:eastAsia="Times New Roman" w:cs="Times New Roman"/>
          <w:szCs w:val="24"/>
          <w:lang w:val="en-GB"/>
        </w:rPr>
        <w:t xml:space="preserve">, </w:t>
      </w:r>
      <w:r w:rsidRPr="001E6AFD">
        <w:rPr>
          <w:rFonts w:eastAsia="Times New Roman" w:cs="Times New Roman"/>
          <w:i/>
          <w:iCs/>
          <w:szCs w:val="24"/>
          <w:lang w:val="en-GB"/>
        </w:rPr>
        <w:t>BeverageDaily.com</w:t>
      </w:r>
      <w:r w:rsidRPr="001E6AFD">
        <w:rPr>
          <w:rFonts w:eastAsia="Times New Roman" w:cs="Times New Roman"/>
          <w:szCs w:val="24"/>
          <w:lang w:val="en-GB"/>
        </w:rPr>
        <w:t xml:space="preserve">. Available at: </w:t>
      </w:r>
      <w:hyperlink r:id="rId16" w:history="1">
        <w:r w:rsidR="008D5F3D" w:rsidRPr="00293D44">
          <w:rPr>
            <w:rStyle w:val="Hyperlink"/>
            <w:rFonts w:eastAsia="Times New Roman" w:cs="Times New Roman"/>
            <w:szCs w:val="24"/>
            <w:lang w:val="en-GB"/>
          </w:rPr>
          <w:t>https://www.beveragedaily.com/Article/2025/02/13/premium-brands-continue-to-shine-for-heineken/</w:t>
        </w:r>
      </w:hyperlink>
      <w:r w:rsidR="008D5F3D">
        <w:rPr>
          <w:rFonts w:eastAsia="Times New Roman" w:cs="Times New Roman"/>
          <w:szCs w:val="24"/>
          <w:lang w:val="en-GB"/>
        </w:rPr>
        <w:t xml:space="preserve"> </w:t>
      </w:r>
      <w:r w:rsidRPr="001E6AFD">
        <w:rPr>
          <w:rFonts w:eastAsia="Times New Roman" w:cs="Times New Roman"/>
          <w:szCs w:val="24"/>
          <w:lang w:val="en-GB"/>
        </w:rPr>
        <w:t>(Accessed: 16 March 2026).</w:t>
      </w:r>
    </w:p>
    <w:p w14:paraId="00E678B4" w14:textId="0E5EE537"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Bouis, R., Capelle, D., Dell' </w:t>
      </w:r>
      <w:proofErr w:type="spellStart"/>
      <w:r w:rsidRPr="001E6AFD">
        <w:rPr>
          <w:rFonts w:eastAsia="Times New Roman" w:cs="Times New Roman"/>
          <w:szCs w:val="24"/>
          <w:lang w:val="en-GB"/>
        </w:rPr>
        <w:t>Ariccia</w:t>
      </w:r>
      <w:proofErr w:type="spellEnd"/>
      <w:r w:rsidRPr="001E6AFD">
        <w:rPr>
          <w:rFonts w:eastAsia="Times New Roman" w:cs="Times New Roman"/>
          <w:szCs w:val="24"/>
          <w:lang w:val="en-GB"/>
        </w:rPr>
        <w:t xml:space="preserve">, G., Erceg, C., Martinez, M., Sy, M., Teoh, K. and Vandenbussche, J. (2025) </w:t>
      </w:r>
      <w:r w:rsidRPr="001E6AFD">
        <w:rPr>
          <w:rFonts w:eastAsia="Times New Roman" w:cs="Times New Roman"/>
          <w:i/>
          <w:iCs/>
          <w:szCs w:val="24"/>
          <w:lang w:val="en-GB"/>
        </w:rPr>
        <w:t>SUERF Policy Brief Navigating Trade-Offs between Price and Financial Stability in Times of High Inflation Navigating Trade-Offs between Price and Financial Stability in Times of High Inflation</w:t>
      </w:r>
      <w:r w:rsidRPr="001E6AFD">
        <w:rPr>
          <w:rFonts w:eastAsia="Times New Roman" w:cs="Times New Roman"/>
          <w:szCs w:val="24"/>
          <w:lang w:val="en-GB"/>
        </w:rPr>
        <w:t xml:space="preserve">. Available at: </w:t>
      </w:r>
      <w:hyperlink r:id="rId17" w:history="1">
        <w:r w:rsidR="008D5F3D" w:rsidRPr="00293D44">
          <w:rPr>
            <w:rStyle w:val="Hyperlink"/>
            <w:rFonts w:eastAsia="Times New Roman" w:cs="Times New Roman"/>
            <w:szCs w:val="24"/>
            <w:lang w:val="en-GB"/>
          </w:rPr>
          <w:t>https://www.suerf.org/wp-content/uploads/2025/06/SUERF-Policy-Brief-1196_Bouis_Capelle-et-al.pdf</w:t>
        </w:r>
      </w:hyperlink>
      <w:r w:rsidR="008D5F3D">
        <w:rPr>
          <w:rFonts w:eastAsia="Times New Roman" w:cs="Times New Roman"/>
          <w:szCs w:val="24"/>
          <w:lang w:val="en-GB"/>
        </w:rPr>
        <w:t xml:space="preserve"> </w:t>
      </w:r>
      <w:r w:rsidRPr="001E6AFD">
        <w:rPr>
          <w:rFonts w:eastAsia="Times New Roman" w:cs="Times New Roman"/>
          <w:szCs w:val="24"/>
          <w:lang w:val="en-GB"/>
        </w:rPr>
        <w:t>(Accessed: 14 March 2026).</w:t>
      </w:r>
    </w:p>
    <w:p w14:paraId="24B13582" w14:textId="0BE756A7"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t>Businessbar</w:t>
      </w:r>
      <w:proofErr w:type="spellEnd"/>
      <w:r w:rsidRPr="001E6AFD">
        <w:rPr>
          <w:rFonts w:eastAsia="Times New Roman" w:cs="Times New Roman"/>
          <w:szCs w:val="24"/>
          <w:lang w:val="en-GB"/>
        </w:rPr>
        <w:t xml:space="preserve"> (2021) </w:t>
      </w:r>
      <w:r w:rsidRPr="001E6AFD">
        <w:rPr>
          <w:rFonts w:eastAsia="Times New Roman" w:cs="Times New Roman"/>
          <w:i/>
          <w:iCs/>
          <w:szCs w:val="24"/>
          <w:lang w:val="en-GB"/>
        </w:rPr>
        <w:t xml:space="preserve">What’s brewing in the Beer business? | </w:t>
      </w:r>
      <w:proofErr w:type="spellStart"/>
      <w:r w:rsidRPr="001E6AFD">
        <w:rPr>
          <w:rFonts w:eastAsia="Times New Roman" w:cs="Times New Roman"/>
          <w:i/>
          <w:iCs/>
          <w:szCs w:val="24"/>
          <w:lang w:val="en-GB"/>
        </w:rPr>
        <w:t>BusinessBar</w:t>
      </w:r>
      <w:proofErr w:type="spellEnd"/>
      <w:r w:rsidRPr="001E6AFD">
        <w:rPr>
          <w:rFonts w:eastAsia="Times New Roman" w:cs="Times New Roman"/>
          <w:szCs w:val="24"/>
          <w:lang w:val="en-GB"/>
        </w:rPr>
        <w:t xml:space="preserve">, </w:t>
      </w:r>
      <w:proofErr w:type="spellStart"/>
      <w:r w:rsidRPr="001E6AFD">
        <w:rPr>
          <w:rFonts w:eastAsia="Times New Roman" w:cs="Times New Roman"/>
          <w:i/>
          <w:iCs/>
          <w:szCs w:val="24"/>
          <w:lang w:val="en-GB"/>
        </w:rPr>
        <w:t>BusinessBar</w:t>
      </w:r>
      <w:proofErr w:type="spellEnd"/>
      <w:r w:rsidRPr="001E6AFD">
        <w:rPr>
          <w:rFonts w:eastAsia="Times New Roman" w:cs="Times New Roman"/>
          <w:i/>
          <w:iCs/>
          <w:szCs w:val="24"/>
          <w:lang w:val="en-GB"/>
        </w:rPr>
        <w:t xml:space="preserve"> | Find stories where business meets casual and numbers meet narratives!</w:t>
      </w:r>
      <w:r w:rsidRPr="001E6AFD">
        <w:rPr>
          <w:rFonts w:eastAsia="Times New Roman" w:cs="Times New Roman"/>
          <w:szCs w:val="24"/>
          <w:lang w:val="en-GB"/>
        </w:rPr>
        <w:t xml:space="preserve"> Available at: </w:t>
      </w:r>
      <w:hyperlink r:id="rId18" w:history="1">
        <w:r w:rsidR="008D5F3D" w:rsidRPr="00293D44">
          <w:rPr>
            <w:rStyle w:val="Hyperlink"/>
            <w:rFonts w:eastAsia="Times New Roman" w:cs="Times New Roman"/>
            <w:szCs w:val="24"/>
            <w:lang w:val="en-GB"/>
          </w:rPr>
          <w:t>https://businessbar.net/all/whats-brewing-in-the-beer-business/</w:t>
        </w:r>
      </w:hyperlink>
      <w:r w:rsidR="008D5F3D">
        <w:rPr>
          <w:rFonts w:eastAsia="Times New Roman" w:cs="Times New Roman"/>
          <w:szCs w:val="24"/>
          <w:lang w:val="en-GB"/>
        </w:rPr>
        <w:t xml:space="preserve"> </w:t>
      </w:r>
      <w:r w:rsidRPr="001E6AFD">
        <w:rPr>
          <w:rFonts w:eastAsia="Times New Roman" w:cs="Times New Roman"/>
          <w:szCs w:val="24"/>
          <w:lang w:val="en-GB"/>
        </w:rPr>
        <w:t>(Accessed: 21 March 2026).</w:t>
      </w:r>
    </w:p>
    <w:p w14:paraId="3D5E84D5" w14:textId="0BAC6BDC"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Diemer, A., Iammarino, S., Rodríguez-Pose, A. and Storper, M. (2022) ‘The Regional Development Trap in Europe’, </w:t>
      </w:r>
      <w:r w:rsidRPr="001E6AFD">
        <w:rPr>
          <w:rFonts w:eastAsia="Times New Roman" w:cs="Times New Roman"/>
          <w:i/>
          <w:iCs/>
          <w:szCs w:val="24"/>
          <w:lang w:val="en-GB"/>
        </w:rPr>
        <w:t>Economic Geography</w:t>
      </w:r>
      <w:r w:rsidRPr="001E6AFD">
        <w:rPr>
          <w:rFonts w:eastAsia="Times New Roman" w:cs="Times New Roman"/>
          <w:szCs w:val="24"/>
          <w:lang w:val="en-GB"/>
        </w:rPr>
        <w:t xml:space="preserve">, 98(5), pp. 1–23. Available at: </w:t>
      </w:r>
      <w:hyperlink r:id="rId19" w:history="1">
        <w:r w:rsidR="008D5F3D" w:rsidRPr="00293D44">
          <w:rPr>
            <w:rStyle w:val="Hyperlink"/>
            <w:rFonts w:eastAsia="Times New Roman" w:cs="Times New Roman"/>
            <w:szCs w:val="24"/>
            <w:lang w:val="en-GB"/>
          </w:rPr>
          <w:t>https://doi.org/10.1080/00130095.2022.2080655</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6E1AC517" w14:textId="336FDB69"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Dunne, A., Malec, P., Shank, A., Foral, E. and Rethmeier, H. (2023) </w:t>
      </w:r>
      <w:r w:rsidRPr="001E6AFD">
        <w:rPr>
          <w:rFonts w:eastAsia="Times New Roman" w:cs="Times New Roman"/>
          <w:i/>
          <w:iCs/>
          <w:szCs w:val="24"/>
          <w:lang w:val="en-GB"/>
        </w:rPr>
        <w:t xml:space="preserve">A strategic audit of a company in the alcoholic beverages A strategic audit of a company in the alcoholic beverages industry: Anheuser-Busch </w:t>
      </w:r>
      <w:proofErr w:type="spellStart"/>
      <w:r w:rsidRPr="001E6AFD">
        <w:rPr>
          <w:rFonts w:eastAsia="Times New Roman" w:cs="Times New Roman"/>
          <w:i/>
          <w:iCs/>
          <w:szCs w:val="24"/>
          <w:lang w:val="en-GB"/>
        </w:rPr>
        <w:t>inbev</w:t>
      </w:r>
      <w:proofErr w:type="spellEnd"/>
      <w:r w:rsidRPr="001E6AFD">
        <w:rPr>
          <w:rFonts w:eastAsia="Times New Roman" w:cs="Times New Roman"/>
          <w:i/>
          <w:iCs/>
          <w:szCs w:val="24"/>
          <w:lang w:val="en-GB"/>
        </w:rPr>
        <w:t xml:space="preserve"> industry: Anheuser-Busch </w:t>
      </w:r>
      <w:proofErr w:type="spellStart"/>
      <w:r w:rsidRPr="001E6AFD">
        <w:rPr>
          <w:rFonts w:eastAsia="Times New Roman" w:cs="Times New Roman"/>
          <w:i/>
          <w:iCs/>
          <w:szCs w:val="24"/>
          <w:lang w:val="en-GB"/>
        </w:rPr>
        <w:t>inbev</w:t>
      </w:r>
      <w:proofErr w:type="spellEnd"/>
      <w:r w:rsidRPr="001E6AFD">
        <w:rPr>
          <w:rFonts w:eastAsia="Times New Roman" w:cs="Times New Roman"/>
          <w:i/>
          <w:iCs/>
          <w:szCs w:val="24"/>
          <w:lang w:val="en-GB"/>
        </w:rPr>
        <w:t xml:space="preserve"> part of the strategic management policy commons</w:t>
      </w:r>
      <w:r w:rsidRPr="001E6AFD">
        <w:rPr>
          <w:rFonts w:eastAsia="Times New Roman" w:cs="Times New Roman"/>
          <w:szCs w:val="24"/>
          <w:lang w:val="en-GB"/>
        </w:rPr>
        <w:t xml:space="preserve">. Available at: </w:t>
      </w:r>
      <w:hyperlink r:id="rId20" w:history="1">
        <w:r w:rsidR="008D5F3D" w:rsidRPr="00293D44">
          <w:rPr>
            <w:rStyle w:val="Hyperlink"/>
            <w:rFonts w:eastAsia="Times New Roman" w:cs="Times New Roman"/>
            <w:szCs w:val="24"/>
            <w:lang w:val="en-GB"/>
          </w:rPr>
          <w:t>https://digitalcommons.unl.edu/cgi/viewcontent.cgi?article=1643&amp;context=honorstheses</w:t>
        </w:r>
      </w:hyperlink>
      <w:r w:rsidR="008D5F3D">
        <w:rPr>
          <w:rFonts w:eastAsia="Times New Roman" w:cs="Times New Roman"/>
          <w:szCs w:val="24"/>
          <w:lang w:val="en-GB"/>
        </w:rPr>
        <w:t xml:space="preserve"> </w:t>
      </w:r>
      <w:r w:rsidRPr="001E6AFD">
        <w:rPr>
          <w:rFonts w:eastAsia="Times New Roman" w:cs="Times New Roman"/>
          <w:szCs w:val="24"/>
          <w:lang w:val="en-GB"/>
        </w:rPr>
        <w:t>(Accessed: 16 March 2026).</w:t>
      </w:r>
    </w:p>
    <w:p w14:paraId="1408067C" w14:textId="61648A8B" w:rsidR="00E7394B" w:rsidRPr="001E6AFD" w:rsidRDefault="00FA4025">
      <w:pPr>
        <w:spacing w:before="200" w:after="240"/>
        <w:rPr>
          <w:rFonts w:eastAsia="Times New Roman" w:cs="Times New Roman"/>
          <w:szCs w:val="24"/>
          <w:lang w:val="en-GB"/>
        </w:rPr>
      </w:pPr>
      <w:proofErr w:type="gramStart"/>
      <w:r w:rsidRPr="001E6AFD">
        <w:rPr>
          <w:rFonts w:eastAsia="Times New Roman" w:cs="Times New Roman"/>
          <w:szCs w:val="24"/>
          <w:lang w:val="en-GB"/>
        </w:rPr>
        <w:lastRenderedPageBreak/>
        <w:t>Erl ,</w:t>
      </w:r>
      <w:proofErr w:type="gramEnd"/>
      <w:r w:rsidRPr="001E6AFD">
        <w:rPr>
          <w:rFonts w:eastAsia="Times New Roman" w:cs="Times New Roman"/>
          <w:szCs w:val="24"/>
          <w:lang w:val="en-GB"/>
        </w:rPr>
        <w:t xml:space="preserve"> L. and Kiesel, F. (2021) </w:t>
      </w:r>
      <w:r w:rsidRPr="001E6AFD">
        <w:rPr>
          <w:rFonts w:eastAsia="Times New Roman" w:cs="Times New Roman"/>
          <w:i/>
          <w:iCs/>
          <w:szCs w:val="24"/>
          <w:lang w:val="en-GB"/>
        </w:rPr>
        <w:t>Divestiture and Its Market Reaction in a Consolidating Industry: The Global Brewing Industry</w:t>
      </w:r>
      <w:r w:rsidRPr="001E6AFD">
        <w:rPr>
          <w:rFonts w:eastAsia="Times New Roman" w:cs="Times New Roman"/>
          <w:szCs w:val="24"/>
          <w:lang w:val="en-GB"/>
        </w:rPr>
        <w:t xml:space="preserve">. Available at: </w:t>
      </w:r>
      <w:hyperlink r:id="rId21" w:history="1">
        <w:r w:rsidR="008D5F3D" w:rsidRPr="00293D44">
          <w:rPr>
            <w:rStyle w:val="Hyperlink"/>
            <w:rFonts w:eastAsia="Times New Roman" w:cs="Times New Roman"/>
            <w:szCs w:val="24"/>
            <w:lang w:val="en-GB"/>
          </w:rPr>
          <w:t>https://bia.unibz.it/esploro/fulltext/journalArticle/Divestiture-and-Its-Market-Reaction-in/991006568798701241?repId=12300128870001241&amp;mId=13300108770001241&amp;institution=39UBZ_INST</w:t>
        </w:r>
      </w:hyperlink>
      <w:r w:rsidR="008D5F3D">
        <w:rPr>
          <w:rFonts w:eastAsia="Times New Roman" w:cs="Times New Roman"/>
          <w:szCs w:val="24"/>
          <w:lang w:val="en-GB"/>
        </w:rPr>
        <w:t xml:space="preserve"> </w:t>
      </w:r>
      <w:r w:rsidRPr="001E6AFD">
        <w:rPr>
          <w:rFonts w:eastAsia="Times New Roman" w:cs="Times New Roman"/>
          <w:szCs w:val="24"/>
          <w:lang w:val="en-GB"/>
        </w:rPr>
        <w:t>(Accessed: 20 March 2026).</w:t>
      </w:r>
    </w:p>
    <w:p w14:paraId="12ED71BB" w14:textId="274CE67B"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Euro Next (2025) </w:t>
      </w:r>
      <w:r w:rsidRPr="001E6AFD">
        <w:rPr>
          <w:rFonts w:eastAsia="Times New Roman" w:cs="Times New Roman"/>
          <w:i/>
          <w:iCs/>
          <w:szCs w:val="24"/>
          <w:lang w:val="en-GB"/>
        </w:rPr>
        <w:t>Heineken Holding N.V. reports 2024 full year results</w:t>
      </w:r>
      <w:r w:rsidRPr="001E6AFD">
        <w:rPr>
          <w:rFonts w:eastAsia="Times New Roman" w:cs="Times New Roman"/>
          <w:szCs w:val="24"/>
          <w:lang w:val="en-GB"/>
        </w:rPr>
        <w:t xml:space="preserve">, </w:t>
      </w:r>
      <w:r w:rsidRPr="001E6AFD">
        <w:rPr>
          <w:rFonts w:eastAsia="Times New Roman" w:cs="Times New Roman"/>
          <w:i/>
          <w:iCs/>
          <w:szCs w:val="24"/>
          <w:lang w:val="en-GB"/>
        </w:rPr>
        <w:t>Euronext.com</w:t>
      </w:r>
      <w:r w:rsidRPr="001E6AFD">
        <w:rPr>
          <w:rFonts w:eastAsia="Times New Roman" w:cs="Times New Roman"/>
          <w:szCs w:val="24"/>
          <w:lang w:val="en-GB"/>
        </w:rPr>
        <w:t xml:space="preserve">. Available at: </w:t>
      </w:r>
      <w:hyperlink r:id="rId22" w:history="1">
        <w:r w:rsidR="008D5F3D" w:rsidRPr="00293D44">
          <w:rPr>
            <w:rStyle w:val="Hyperlink"/>
            <w:rFonts w:eastAsia="Times New Roman" w:cs="Times New Roman"/>
            <w:szCs w:val="24"/>
            <w:lang w:val="en-GB"/>
          </w:rPr>
          <w:t>https://live.euronext.com/en/products/equities/company-news/2025-02-12-heineken-holding-nv-reports-2024-full-year-results</w:t>
        </w:r>
      </w:hyperlink>
      <w:r w:rsidR="008D5F3D">
        <w:rPr>
          <w:rFonts w:eastAsia="Times New Roman" w:cs="Times New Roman"/>
          <w:szCs w:val="24"/>
          <w:lang w:val="en-GB"/>
        </w:rPr>
        <w:t xml:space="preserve"> </w:t>
      </w:r>
      <w:r w:rsidRPr="001E6AFD">
        <w:rPr>
          <w:rFonts w:eastAsia="Times New Roman" w:cs="Times New Roman"/>
          <w:szCs w:val="24"/>
          <w:lang w:val="en-GB"/>
        </w:rPr>
        <w:t>(Accessed: 18 March 2026).</w:t>
      </w:r>
    </w:p>
    <w:p w14:paraId="3A30CCA1" w14:textId="2F97E5F9"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Farida, I. and Setiawan, D. (2022) ‘Business Strategies and Competitive advantage: the Role of Performance and Innovation’, </w:t>
      </w:r>
      <w:r w:rsidRPr="001E6AFD">
        <w:rPr>
          <w:rFonts w:eastAsia="Times New Roman" w:cs="Times New Roman"/>
          <w:i/>
          <w:iCs/>
          <w:szCs w:val="24"/>
          <w:lang w:val="en-GB"/>
        </w:rPr>
        <w:t>Journal of Open Innovation: Technology, Market, and Complexity</w:t>
      </w:r>
      <w:r w:rsidRPr="001E6AFD">
        <w:rPr>
          <w:rFonts w:eastAsia="Times New Roman" w:cs="Times New Roman"/>
          <w:szCs w:val="24"/>
          <w:lang w:val="en-GB"/>
        </w:rPr>
        <w:t xml:space="preserve">, 8(3), p. 163. Available at: </w:t>
      </w:r>
      <w:hyperlink r:id="rId23" w:history="1">
        <w:r w:rsidR="008D5F3D" w:rsidRPr="00293D44">
          <w:rPr>
            <w:rStyle w:val="Hyperlink"/>
            <w:rFonts w:eastAsia="Times New Roman" w:cs="Times New Roman"/>
            <w:szCs w:val="24"/>
            <w:lang w:val="en-GB"/>
          </w:rPr>
          <w:t>https://doi.org/10.3390/joitmc8030163</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7D271114" w14:textId="3CC385AE"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Fernando, J., De, A., Marques, Q., Ribeiro and Gomes, E. (2023) </w:t>
      </w:r>
      <w:r w:rsidRPr="001E6AFD">
        <w:rPr>
          <w:rFonts w:eastAsia="Times New Roman" w:cs="Times New Roman"/>
          <w:i/>
          <w:iCs/>
          <w:szCs w:val="24"/>
          <w:lang w:val="en-GB"/>
        </w:rPr>
        <w:t>INTERNATIONALIZATION PROJECT OF COCKTAIL TEAM. AN IN-DEPTH ANALYSIS OF THE UK AND LITERATURE REVIEW ON ENTRY MODES OF SMALL AND MEDIUM ENTERPRISES Work project carried out under the supervision of</w:t>
      </w:r>
      <w:r w:rsidRPr="001E6AFD">
        <w:rPr>
          <w:rFonts w:eastAsia="Times New Roman" w:cs="Times New Roman"/>
          <w:szCs w:val="24"/>
          <w:lang w:val="en-GB"/>
        </w:rPr>
        <w:t xml:space="preserve">. Available at: </w:t>
      </w:r>
      <w:hyperlink r:id="rId24" w:history="1">
        <w:r w:rsidR="008D5F3D" w:rsidRPr="00293D44">
          <w:rPr>
            <w:rStyle w:val="Hyperlink"/>
            <w:rFonts w:eastAsia="Times New Roman" w:cs="Times New Roman"/>
            <w:szCs w:val="24"/>
            <w:lang w:val="en-GB"/>
          </w:rPr>
          <w:t>https://run.unl.pt/bitstream/10362/171148/1/Internationalization_project_Cocktail_team_Fall_FernandoRibeiro.pdf</w:t>
        </w:r>
      </w:hyperlink>
      <w:r w:rsidR="008D5F3D">
        <w:rPr>
          <w:rFonts w:eastAsia="Times New Roman" w:cs="Times New Roman"/>
          <w:szCs w:val="24"/>
          <w:lang w:val="en-GB"/>
        </w:rPr>
        <w:t xml:space="preserve"> </w:t>
      </w:r>
      <w:r w:rsidRPr="001E6AFD">
        <w:rPr>
          <w:rFonts w:eastAsia="Times New Roman" w:cs="Times New Roman"/>
          <w:szCs w:val="24"/>
          <w:lang w:val="en-GB"/>
        </w:rPr>
        <w:t>(Accessed: 21 March 2026).</w:t>
      </w:r>
    </w:p>
    <w:p w14:paraId="5EC72F3D" w14:textId="5342A8DA"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Furlan, P. and Ren, A. (2025) ‘RAISING THE BAR, LOWERING THE ABV: Strategic Future Planning for the Spirit-Free Industry - Open Research Repository’, </w:t>
      </w:r>
      <w:r w:rsidRPr="001E6AFD">
        <w:rPr>
          <w:rFonts w:eastAsia="Times New Roman" w:cs="Times New Roman"/>
          <w:i/>
          <w:iCs/>
          <w:szCs w:val="24"/>
          <w:lang w:val="en-GB"/>
        </w:rPr>
        <w:t>Ocadu.ca</w:t>
      </w:r>
      <w:r w:rsidRPr="001E6AFD">
        <w:rPr>
          <w:rFonts w:eastAsia="Times New Roman" w:cs="Times New Roman"/>
          <w:szCs w:val="24"/>
          <w:lang w:val="en-GB"/>
        </w:rPr>
        <w:t xml:space="preserve"> [Preprint]. Available at: </w:t>
      </w:r>
      <w:hyperlink r:id="rId25" w:history="1">
        <w:r w:rsidR="008D5F3D" w:rsidRPr="00293D44">
          <w:rPr>
            <w:rStyle w:val="Hyperlink"/>
            <w:rFonts w:eastAsia="Times New Roman" w:cs="Times New Roman"/>
            <w:szCs w:val="24"/>
            <w:lang w:val="en-GB"/>
          </w:rPr>
          <w:t>https://openresearch.ocadu.ca/id/eprint/4669/1/Furlan_Paige_Ren_Allison_2025_MDES_SFI_MRP_.pdf</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1A6C247C" w14:textId="553D02F0"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García-Vidal, G., Sánchez-Rodríguez, A., Pérez-</w:t>
      </w:r>
      <w:proofErr w:type="spellStart"/>
      <w:r w:rsidRPr="001E6AFD">
        <w:rPr>
          <w:rFonts w:eastAsia="Times New Roman" w:cs="Times New Roman"/>
          <w:szCs w:val="24"/>
          <w:lang w:val="en-GB"/>
        </w:rPr>
        <w:t>Campdesuñer</w:t>
      </w:r>
      <w:proofErr w:type="spellEnd"/>
      <w:r w:rsidRPr="001E6AFD">
        <w:rPr>
          <w:rFonts w:eastAsia="Times New Roman" w:cs="Times New Roman"/>
          <w:szCs w:val="24"/>
          <w:lang w:val="en-GB"/>
        </w:rPr>
        <w:t xml:space="preserve">, R. and Martínez-Vivar, R. (2023) ‘Contribution margin and quantity matrix to </w:t>
      </w:r>
      <w:proofErr w:type="spellStart"/>
      <w:r w:rsidRPr="001E6AFD">
        <w:rPr>
          <w:rFonts w:eastAsia="Times New Roman" w:cs="Times New Roman"/>
          <w:szCs w:val="24"/>
          <w:lang w:val="en-GB"/>
        </w:rPr>
        <w:t>analyze</w:t>
      </w:r>
      <w:proofErr w:type="spellEnd"/>
      <w:r w:rsidRPr="001E6AFD">
        <w:rPr>
          <w:rFonts w:eastAsia="Times New Roman" w:cs="Times New Roman"/>
          <w:szCs w:val="24"/>
          <w:lang w:val="en-GB"/>
        </w:rPr>
        <w:t xml:space="preserve"> the product portfolio in the context of SMEs. Criticism of the BCG matrix and its alternatives’, </w:t>
      </w:r>
      <w:r w:rsidRPr="001E6AFD">
        <w:rPr>
          <w:rFonts w:eastAsia="Times New Roman" w:cs="Times New Roman"/>
          <w:i/>
          <w:iCs/>
          <w:szCs w:val="24"/>
          <w:lang w:val="en-GB"/>
        </w:rPr>
        <w:t>Cogent Business &amp; Management</w:t>
      </w:r>
      <w:r w:rsidRPr="001E6AFD">
        <w:rPr>
          <w:rFonts w:eastAsia="Times New Roman" w:cs="Times New Roman"/>
          <w:szCs w:val="24"/>
          <w:lang w:val="en-GB"/>
        </w:rPr>
        <w:t xml:space="preserve">, 10(3). Available at: </w:t>
      </w:r>
      <w:hyperlink r:id="rId26" w:history="1">
        <w:r w:rsidR="008D5F3D" w:rsidRPr="00293D44">
          <w:rPr>
            <w:rStyle w:val="Hyperlink"/>
            <w:rFonts w:eastAsia="Times New Roman" w:cs="Times New Roman"/>
            <w:szCs w:val="24"/>
            <w:lang w:val="en-GB"/>
          </w:rPr>
          <w:t>https://doi.org/10.1080/23311975.2023.2233272</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41C05D0C" w14:textId="58C692AD"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t>Gielens</w:t>
      </w:r>
      <w:proofErr w:type="spellEnd"/>
      <w:r w:rsidRPr="001E6AFD">
        <w:rPr>
          <w:rFonts w:eastAsia="Times New Roman" w:cs="Times New Roman"/>
          <w:szCs w:val="24"/>
          <w:lang w:val="en-GB"/>
        </w:rPr>
        <w:t xml:space="preserve">, K., Ma, Y., </w:t>
      </w:r>
      <w:proofErr w:type="spellStart"/>
      <w:r w:rsidRPr="001E6AFD">
        <w:rPr>
          <w:rFonts w:eastAsia="Times New Roman" w:cs="Times New Roman"/>
          <w:szCs w:val="24"/>
          <w:lang w:val="en-GB"/>
        </w:rPr>
        <w:t>Namin</w:t>
      </w:r>
      <w:proofErr w:type="spellEnd"/>
      <w:r w:rsidRPr="001E6AFD">
        <w:rPr>
          <w:rFonts w:eastAsia="Times New Roman" w:cs="Times New Roman"/>
          <w:szCs w:val="24"/>
          <w:lang w:val="en-GB"/>
        </w:rPr>
        <w:t xml:space="preserve">, A., Sethuraman, R., Smith, R.J., Bachtel, R.C. and Jervis, S. (2021) ‘The Future of Private Labels: Towards a Smart Private Label Strategy’, </w:t>
      </w:r>
      <w:r w:rsidRPr="001E6AFD">
        <w:rPr>
          <w:rFonts w:eastAsia="Times New Roman" w:cs="Times New Roman"/>
          <w:i/>
          <w:iCs/>
          <w:szCs w:val="24"/>
          <w:lang w:val="en-GB"/>
        </w:rPr>
        <w:t>Journal of Retailing</w:t>
      </w:r>
      <w:r w:rsidRPr="001E6AFD">
        <w:rPr>
          <w:rFonts w:eastAsia="Times New Roman" w:cs="Times New Roman"/>
          <w:szCs w:val="24"/>
          <w:lang w:val="en-GB"/>
        </w:rPr>
        <w:t xml:space="preserve">, 97(1), pp. 99–115. Available at: </w:t>
      </w:r>
      <w:hyperlink r:id="rId27" w:history="1">
        <w:r w:rsidR="008D5F3D" w:rsidRPr="00293D44">
          <w:rPr>
            <w:rStyle w:val="Hyperlink"/>
            <w:rFonts w:eastAsia="Times New Roman" w:cs="Times New Roman"/>
            <w:szCs w:val="24"/>
            <w:lang w:val="en-GB"/>
          </w:rPr>
          <w:t>https://doi.org/10.1016/j.jretai.2020.10.007</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0BBE7173" w14:textId="7FF6B376"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lastRenderedPageBreak/>
        <w:t xml:space="preserve">Hayden, A. and Dasilva, C. (2022) ‘The wellbeing economy: Possibilities and limits in bringing sufficiency from the margins into the mainstream’, </w:t>
      </w:r>
      <w:r w:rsidRPr="001E6AFD">
        <w:rPr>
          <w:rFonts w:eastAsia="Times New Roman" w:cs="Times New Roman"/>
          <w:i/>
          <w:iCs/>
          <w:szCs w:val="24"/>
          <w:lang w:val="en-GB"/>
        </w:rPr>
        <w:t>Frontiers in Sustainability</w:t>
      </w:r>
      <w:r w:rsidRPr="001E6AFD">
        <w:rPr>
          <w:rFonts w:eastAsia="Times New Roman" w:cs="Times New Roman"/>
          <w:szCs w:val="24"/>
          <w:lang w:val="en-GB"/>
        </w:rPr>
        <w:t xml:space="preserve">, 3. Available at: </w:t>
      </w:r>
      <w:hyperlink r:id="rId28" w:history="1">
        <w:r w:rsidR="008D5F3D" w:rsidRPr="00293D44">
          <w:rPr>
            <w:rStyle w:val="Hyperlink"/>
            <w:rFonts w:eastAsia="Times New Roman" w:cs="Times New Roman"/>
            <w:szCs w:val="24"/>
            <w:lang w:val="en-GB"/>
          </w:rPr>
          <w:t>https://doi.org/10.3389/frsus.2022.966876</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24130552" w14:textId="351EA9F9"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(2024a) </w:t>
      </w:r>
      <w:r w:rsidRPr="001E6AFD">
        <w:rPr>
          <w:rFonts w:eastAsia="Times New Roman" w:cs="Times New Roman"/>
          <w:i/>
          <w:iCs/>
          <w:szCs w:val="24"/>
          <w:lang w:val="en-GB"/>
        </w:rPr>
        <w:t>2030 Strategy Booklet</w:t>
      </w:r>
      <w:r w:rsidRPr="001E6AFD">
        <w:rPr>
          <w:rFonts w:eastAsia="Times New Roman" w:cs="Times New Roman"/>
          <w:szCs w:val="24"/>
          <w:lang w:val="en-GB"/>
        </w:rPr>
        <w:t xml:space="preserve">, </w:t>
      </w:r>
      <w:r w:rsidRPr="001E6AFD">
        <w:rPr>
          <w:rFonts w:eastAsia="Times New Roman" w:cs="Times New Roman"/>
          <w:i/>
          <w:iCs/>
          <w:szCs w:val="24"/>
          <w:lang w:val="en-GB"/>
        </w:rPr>
        <w:t>The HEINEKEN Company</w:t>
      </w:r>
      <w:r w:rsidRPr="001E6AFD">
        <w:rPr>
          <w:rFonts w:eastAsia="Times New Roman" w:cs="Times New Roman"/>
          <w:szCs w:val="24"/>
          <w:lang w:val="en-GB"/>
        </w:rPr>
        <w:t xml:space="preserve">. Available at: </w:t>
      </w:r>
      <w:hyperlink r:id="rId29" w:history="1">
        <w:r w:rsidR="008D5F3D" w:rsidRPr="00293D44">
          <w:rPr>
            <w:rStyle w:val="Hyperlink"/>
            <w:rFonts w:eastAsia="Times New Roman" w:cs="Times New Roman"/>
            <w:szCs w:val="24"/>
            <w:lang w:val="en-GB"/>
          </w:rPr>
          <w:t>https://www.theheinekencompany.com/sites/heineken-corp/files/2024-06/BABW%202030%20Strategy%20Booklet%20-%20June%202024.pdf</w:t>
        </w:r>
      </w:hyperlink>
      <w:r w:rsidR="008D5F3D">
        <w:rPr>
          <w:rFonts w:eastAsia="Times New Roman" w:cs="Times New Roman"/>
          <w:szCs w:val="24"/>
          <w:lang w:val="en-GB"/>
        </w:rPr>
        <w:t xml:space="preserve"> </w:t>
      </w:r>
      <w:r w:rsidRPr="001E6AFD">
        <w:rPr>
          <w:rFonts w:eastAsia="Times New Roman" w:cs="Times New Roman"/>
          <w:szCs w:val="24"/>
          <w:lang w:val="en-GB"/>
        </w:rPr>
        <w:t>(Accessed: 18 March 2026).</w:t>
      </w:r>
    </w:p>
    <w:p w14:paraId="08BFEBA4" w14:textId="55EB7C32"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(2024b) </w:t>
      </w:r>
      <w:r w:rsidRPr="001E6AFD">
        <w:rPr>
          <w:rFonts w:eastAsia="Times New Roman" w:cs="Times New Roman"/>
          <w:i/>
          <w:iCs/>
          <w:szCs w:val="24"/>
          <w:lang w:val="en-GB"/>
        </w:rPr>
        <w:t>Report of the Executive Board</w:t>
      </w:r>
      <w:r w:rsidRPr="001E6AFD">
        <w:rPr>
          <w:rFonts w:eastAsia="Times New Roman" w:cs="Times New Roman"/>
          <w:szCs w:val="24"/>
          <w:lang w:val="en-GB"/>
        </w:rPr>
        <w:t xml:space="preserve">. Available at: </w:t>
      </w:r>
      <w:hyperlink r:id="rId30" w:history="1">
        <w:r w:rsidR="008D5F3D" w:rsidRPr="00293D44">
          <w:rPr>
            <w:rStyle w:val="Hyperlink"/>
            <w:rFonts w:eastAsia="Times New Roman" w:cs="Times New Roman"/>
            <w:szCs w:val="24"/>
            <w:lang w:val="en-GB"/>
          </w:rPr>
          <w:t>https://www.theheinekencompany.com/sites/heineken-corp/files/2025-02/heineken_n_v_annual_report_2024_final_20feb2025.pdf</w:t>
        </w:r>
      </w:hyperlink>
      <w:r w:rsidR="008D5F3D">
        <w:rPr>
          <w:rFonts w:eastAsia="Times New Roman" w:cs="Times New Roman"/>
          <w:szCs w:val="24"/>
          <w:lang w:val="en-GB"/>
        </w:rPr>
        <w:t xml:space="preserve"> </w:t>
      </w:r>
      <w:r w:rsidRPr="001E6AFD">
        <w:rPr>
          <w:rFonts w:eastAsia="Times New Roman" w:cs="Times New Roman"/>
          <w:szCs w:val="24"/>
          <w:lang w:val="en-GB"/>
        </w:rPr>
        <w:t>(Accessed: 24 March 2026).</w:t>
      </w:r>
    </w:p>
    <w:p w14:paraId="45BFA5AE" w14:textId="1100E106"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(2025a) </w:t>
      </w:r>
      <w:r w:rsidRPr="001E6AFD">
        <w:rPr>
          <w:rFonts w:eastAsia="Times New Roman" w:cs="Times New Roman"/>
          <w:i/>
          <w:iCs/>
          <w:szCs w:val="24"/>
          <w:lang w:val="en-GB"/>
        </w:rPr>
        <w:t>Heineken Media release</w:t>
      </w:r>
      <w:r w:rsidRPr="001E6AFD">
        <w:rPr>
          <w:rFonts w:eastAsia="Times New Roman" w:cs="Times New Roman"/>
          <w:szCs w:val="24"/>
          <w:lang w:val="en-GB"/>
        </w:rPr>
        <w:t xml:space="preserve">, </w:t>
      </w:r>
      <w:r w:rsidRPr="001E6AFD">
        <w:rPr>
          <w:rFonts w:eastAsia="Times New Roman" w:cs="Times New Roman"/>
          <w:i/>
          <w:iCs/>
          <w:szCs w:val="24"/>
          <w:lang w:val="en-GB"/>
        </w:rPr>
        <w:t>Otcmarkets.com</w:t>
      </w:r>
      <w:r w:rsidRPr="001E6AFD">
        <w:rPr>
          <w:rFonts w:eastAsia="Times New Roman" w:cs="Times New Roman"/>
          <w:szCs w:val="24"/>
          <w:lang w:val="en-GB"/>
        </w:rPr>
        <w:t xml:space="preserve">. Available at: </w:t>
      </w:r>
      <w:hyperlink r:id="rId31" w:history="1">
        <w:r w:rsidR="008D5F3D" w:rsidRPr="00293D44">
          <w:rPr>
            <w:rStyle w:val="Hyperlink"/>
            <w:rFonts w:eastAsia="Times New Roman" w:cs="Times New Roman"/>
            <w:szCs w:val="24"/>
            <w:lang w:val="en-GB"/>
          </w:rPr>
          <w:t>https://www.otcmarkets.com/file/company/financial-report/421740/content</w:t>
        </w:r>
      </w:hyperlink>
      <w:r w:rsidR="008D5F3D">
        <w:rPr>
          <w:rFonts w:eastAsia="Times New Roman" w:cs="Times New Roman"/>
          <w:szCs w:val="24"/>
          <w:lang w:val="en-GB"/>
        </w:rPr>
        <w:t xml:space="preserve"> </w:t>
      </w:r>
      <w:r w:rsidRPr="001E6AFD">
        <w:rPr>
          <w:rFonts w:eastAsia="Times New Roman" w:cs="Times New Roman"/>
          <w:szCs w:val="24"/>
          <w:lang w:val="en-GB"/>
        </w:rPr>
        <w:t>(Accessed: 24 March 2026).</w:t>
      </w:r>
    </w:p>
    <w:p w14:paraId="6443D967" w14:textId="6C47D9B9"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(2025b) </w:t>
      </w:r>
      <w:r w:rsidRPr="001E6AFD">
        <w:rPr>
          <w:rFonts w:eastAsia="Times New Roman" w:cs="Times New Roman"/>
          <w:i/>
          <w:iCs/>
          <w:szCs w:val="24"/>
          <w:lang w:val="en-GB"/>
        </w:rPr>
        <w:t>Heineken N. V. Investor Presentation</w:t>
      </w:r>
      <w:r w:rsidRPr="001E6AFD">
        <w:rPr>
          <w:rFonts w:eastAsia="Times New Roman" w:cs="Times New Roman"/>
          <w:szCs w:val="24"/>
          <w:lang w:val="en-GB"/>
        </w:rPr>
        <w:t xml:space="preserve">. Available at: </w:t>
      </w:r>
      <w:hyperlink r:id="rId32" w:history="1">
        <w:r w:rsidR="008D5F3D" w:rsidRPr="00293D44">
          <w:rPr>
            <w:rStyle w:val="Hyperlink"/>
            <w:rFonts w:eastAsia="Times New Roman" w:cs="Times New Roman"/>
            <w:szCs w:val="24"/>
            <w:lang w:val="en-GB"/>
          </w:rPr>
          <w:t>https://www.theheinekencompany.com/sites/heineken-corp/files/heineken-corp/investors/results-reports-webcasts-presentations/2025/heineken-investor-presentation-may-2025.pdf</w:t>
        </w:r>
      </w:hyperlink>
      <w:r w:rsidR="008D5F3D">
        <w:rPr>
          <w:rFonts w:eastAsia="Times New Roman" w:cs="Times New Roman"/>
          <w:szCs w:val="24"/>
          <w:lang w:val="en-GB"/>
        </w:rPr>
        <w:t xml:space="preserve"> </w:t>
      </w:r>
      <w:r w:rsidRPr="001E6AFD">
        <w:rPr>
          <w:rFonts w:eastAsia="Times New Roman" w:cs="Times New Roman"/>
          <w:szCs w:val="24"/>
          <w:lang w:val="en-GB"/>
        </w:rPr>
        <w:t>(Accessed: 15 March 2026).</w:t>
      </w:r>
    </w:p>
    <w:p w14:paraId="19F8326A" w14:textId="0E57431F"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(2025c) </w:t>
      </w:r>
      <w:r w:rsidRPr="001E6AFD">
        <w:rPr>
          <w:rFonts w:eastAsia="Times New Roman" w:cs="Times New Roman"/>
          <w:i/>
          <w:iCs/>
          <w:szCs w:val="24"/>
          <w:lang w:val="en-GB"/>
        </w:rPr>
        <w:t>Heineken N.V. Annual Report 2025</w:t>
      </w:r>
      <w:r w:rsidRPr="001E6AFD">
        <w:rPr>
          <w:rFonts w:eastAsia="Times New Roman" w:cs="Times New Roman"/>
          <w:szCs w:val="24"/>
          <w:lang w:val="en-GB"/>
        </w:rPr>
        <w:t xml:space="preserve">. Available at: </w:t>
      </w:r>
      <w:hyperlink r:id="rId33" w:history="1">
        <w:r w:rsidR="008D5F3D" w:rsidRPr="00293D44">
          <w:rPr>
            <w:rStyle w:val="Hyperlink"/>
            <w:rFonts w:eastAsia="Times New Roman" w:cs="Times New Roman"/>
            <w:szCs w:val="24"/>
            <w:lang w:val="en-GB"/>
          </w:rPr>
          <w:t>https://www.theheinekencompany.com/sites/heineken-corp/files/2026-02/2025_Heineken_NV_Annual_Report_Interactive_100226_FINAL.pdf</w:t>
        </w:r>
      </w:hyperlink>
      <w:r w:rsidR="008D5F3D">
        <w:rPr>
          <w:rFonts w:eastAsia="Times New Roman" w:cs="Times New Roman"/>
          <w:szCs w:val="24"/>
          <w:lang w:val="en-GB"/>
        </w:rPr>
        <w:t xml:space="preserve"> </w:t>
      </w:r>
      <w:r w:rsidRPr="001E6AFD">
        <w:rPr>
          <w:rFonts w:eastAsia="Times New Roman" w:cs="Times New Roman"/>
          <w:szCs w:val="24"/>
          <w:lang w:val="en-GB"/>
        </w:rPr>
        <w:t>(Accessed: 16 March 2026).</w:t>
      </w:r>
    </w:p>
    <w:p w14:paraId="61B2D8DC" w14:textId="1F835514"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(2025d) </w:t>
      </w:r>
      <w:r w:rsidRPr="001E6AFD">
        <w:rPr>
          <w:rFonts w:eastAsia="Times New Roman" w:cs="Times New Roman"/>
          <w:i/>
          <w:iCs/>
          <w:szCs w:val="24"/>
          <w:lang w:val="en-GB"/>
        </w:rPr>
        <w:t>Heineken simplifies sustainability goals</w:t>
      </w:r>
      <w:r w:rsidRPr="001E6AFD">
        <w:rPr>
          <w:rFonts w:eastAsia="Times New Roman" w:cs="Times New Roman"/>
          <w:szCs w:val="24"/>
          <w:lang w:val="en-GB"/>
        </w:rPr>
        <w:t xml:space="preserve">, </w:t>
      </w:r>
      <w:r w:rsidRPr="001E6AFD">
        <w:rPr>
          <w:rFonts w:eastAsia="Times New Roman" w:cs="Times New Roman"/>
          <w:i/>
          <w:iCs/>
          <w:szCs w:val="24"/>
          <w:lang w:val="en-GB"/>
        </w:rPr>
        <w:t>Foodservice Footprint</w:t>
      </w:r>
      <w:r w:rsidRPr="001E6AFD">
        <w:rPr>
          <w:rFonts w:eastAsia="Times New Roman" w:cs="Times New Roman"/>
          <w:szCs w:val="24"/>
          <w:lang w:val="en-GB"/>
        </w:rPr>
        <w:t xml:space="preserve">. Available at: </w:t>
      </w:r>
      <w:hyperlink r:id="rId34" w:history="1">
        <w:r w:rsidR="008D5F3D" w:rsidRPr="00293D44">
          <w:rPr>
            <w:rStyle w:val="Hyperlink"/>
            <w:rFonts w:eastAsia="Times New Roman" w:cs="Times New Roman"/>
            <w:szCs w:val="24"/>
            <w:lang w:val="en-GB"/>
          </w:rPr>
          <w:t>https://foodservicefootprint.com/heineken-simplifies-sustainability-goals/</w:t>
        </w:r>
      </w:hyperlink>
      <w:r w:rsidR="008D5F3D">
        <w:rPr>
          <w:rFonts w:eastAsia="Times New Roman" w:cs="Times New Roman"/>
          <w:szCs w:val="24"/>
          <w:lang w:val="en-GB"/>
        </w:rPr>
        <w:t xml:space="preserve"> </w:t>
      </w:r>
      <w:r w:rsidRPr="001E6AFD">
        <w:rPr>
          <w:rFonts w:eastAsia="Times New Roman" w:cs="Times New Roman"/>
          <w:szCs w:val="24"/>
          <w:lang w:val="en-GB"/>
        </w:rPr>
        <w:t>(Accessed: 24 March 2026).</w:t>
      </w:r>
    </w:p>
    <w:p w14:paraId="25364D49" w14:textId="73650427"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International B.V (2025a) </w:t>
      </w:r>
      <w:r w:rsidRPr="001E6AFD">
        <w:rPr>
          <w:rFonts w:eastAsia="Times New Roman" w:cs="Times New Roman"/>
          <w:i/>
          <w:iCs/>
          <w:szCs w:val="24"/>
          <w:lang w:val="en-GB"/>
        </w:rPr>
        <w:t>2025 OUTLOOK FOR 0.0 CATEGORY LOOKS POSITIVE, BUT STILL SOME SOCIAL BARRIERS TO OVERCOME</w:t>
      </w:r>
      <w:r w:rsidRPr="001E6AFD">
        <w:rPr>
          <w:rFonts w:eastAsia="Times New Roman" w:cs="Times New Roman"/>
          <w:szCs w:val="24"/>
          <w:lang w:val="en-GB"/>
        </w:rPr>
        <w:t xml:space="preserve">, </w:t>
      </w:r>
      <w:r w:rsidRPr="001E6AFD">
        <w:rPr>
          <w:rFonts w:eastAsia="Times New Roman" w:cs="Times New Roman"/>
          <w:i/>
          <w:iCs/>
          <w:szCs w:val="24"/>
          <w:lang w:val="en-GB"/>
        </w:rPr>
        <w:t>2025 OUTLOOK FOR 0.0 CATEGORY LOOKS POSITIVE, BUT STILL SOME SOCIAL BARRIERS TO OVERCOME</w:t>
      </w:r>
      <w:r w:rsidR="008D5F3D">
        <w:rPr>
          <w:rFonts w:eastAsia="Times New Roman" w:cs="Times New Roman"/>
          <w:i/>
          <w:iCs/>
          <w:szCs w:val="24"/>
          <w:lang w:val="en-GB"/>
        </w:rPr>
        <w:t xml:space="preserve">. </w:t>
      </w:r>
      <w:r w:rsidRPr="001E6AFD">
        <w:rPr>
          <w:rFonts w:eastAsia="Times New Roman" w:cs="Times New Roman"/>
          <w:szCs w:val="24"/>
          <w:lang w:val="en-GB"/>
        </w:rPr>
        <w:t xml:space="preserve">Heineken International B.V. Available at: </w:t>
      </w:r>
      <w:hyperlink r:id="rId35" w:history="1">
        <w:r w:rsidR="008D5F3D" w:rsidRPr="00293D44">
          <w:rPr>
            <w:rStyle w:val="Hyperlink"/>
            <w:rFonts w:eastAsia="Times New Roman" w:cs="Times New Roman"/>
            <w:szCs w:val="24"/>
            <w:lang w:val="en-GB"/>
          </w:rPr>
          <w:t>https://www.theheinekencompany.com/newsroom/2025-outlook-for-00-category-looks-positive-but-still-some-social-barriers-to-overcome/</w:t>
        </w:r>
      </w:hyperlink>
      <w:r w:rsidR="008D5F3D">
        <w:rPr>
          <w:rFonts w:eastAsia="Times New Roman" w:cs="Times New Roman"/>
          <w:szCs w:val="24"/>
          <w:lang w:val="en-GB"/>
        </w:rPr>
        <w:t xml:space="preserve"> </w:t>
      </w:r>
      <w:r w:rsidRPr="001E6AFD">
        <w:rPr>
          <w:rFonts w:eastAsia="Times New Roman" w:cs="Times New Roman"/>
          <w:szCs w:val="24"/>
          <w:lang w:val="en-GB"/>
        </w:rPr>
        <w:t>(Accessed: 23 March 2026).</w:t>
      </w:r>
    </w:p>
    <w:p w14:paraId="2F3FA96F" w14:textId="44F142C8"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Heineken International B.V (2025b) </w:t>
      </w:r>
      <w:r w:rsidRPr="001E6AFD">
        <w:rPr>
          <w:rFonts w:eastAsia="Times New Roman" w:cs="Times New Roman"/>
          <w:i/>
          <w:iCs/>
          <w:szCs w:val="24"/>
          <w:lang w:val="en-GB"/>
        </w:rPr>
        <w:t>Festive freedom: Why saying ‘no thanks’ to alcohol is the new normal</w:t>
      </w:r>
      <w:r w:rsidRPr="001E6AFD">
        <w:rPr>
          <w:rFonts w:eastAsia="Times New Roman" w:cs="Times New Roman"/>
          <w:szCs w:val="24"/>
          <w:lang w:val="en-GB"/>
        </w:rPr>
        <w:t xml:space="preserve">, </w:t>
      </w:r>
      <w:r w:rsidRPr="001E6AFD">
        <w:rPr>
          <w:rFonts w:eastAsia="Times New Roman" w:cs="Times New Roman"/>
          <w:i/>
          <w:iCs/>
          <w:szCs w:val="24"/>
          <w:lang w:val="en-GB"/>
        </w:rPr>
        <w:t xml:space="preserve">Festive freedom: Why saying ‘no thanks’ to alcohol is the new </w:t>
      </w:r>
      <w:proofErr w:type="gramStart"/>
      <w:r w:rsidRPr="001E6AFD">
        <w:rPr>
          <w:rFonts w:eastAsia="Times New Roman" w:cs="Times New Roman"/>
          <w:i/>
          <w:iCs/>
          <w:szCs w:val="24"/>
          <w:lang w:val="en-GB"/>
        </w:rPr>
        <w:t xml:space="preserve">normal </w:t>
      </w:r>
      <w:r w:rsidRPr="001E6AFD">
        <w:rPr>
          <w:rFonts w:eastAsia="Times New Roman" w:cs="Times New Roman"/>
          <w:szCs w:val="24"/>
          <w:lang w:val="en-GB"/>
        </w:rPr>
        <w:t>.</w:t>
      </w:r>
      <w:proofErr w:type="gramEnd"/>
      <w:r w:rsidRPr="001E6AFD">
        <w:rPr>
          <w:rFonts w:eastAsia="Times New Roman" w:cs="Times New Roman"/>
          <w:szCs w:val="24"/>
          <w:lang w:val="en-GB"/>
        </w:rPr>
        <w:t xml:space="preserve"> Heineken International B.V. Available at: </w:t>
      </w:r>
      <w:hyperlink r:id="rId36" w:history="1">
        <w:r w:rsidR="008D5F3D" w:rsidRPr="00293D44">
          <w:rPr>
            <w:rStyle w:val="Hyperlink"/>
            <w:rFonts w:eastAsia="Times New Roman" w:cs="Times New Roman"/>
            <w:szCs w:val="24"/>
            <w:lang w:val="en-GB"/>
          </w:rPr>
          <w:t>https://www.theheinekencompany.com/newsroom/festive-freedom-why-saying-no-thanks-to-alcohol-is-the-new-normal</w:t>
        </w:r>
      </w:hyperlink>
      <w:r w:rsidR="008D5F3D">
        <w:rPr>
          <w:rFonts w:eastAsia="Times New Roman" w:cs="Times New Roman"/>
          <w:szCs w:val="24"/>
          <w:lang w:val="en-GB"/>
        </w:rPr>
        <w:t xml:space="preserve"> </w:t>
      </w:r>
      <w:r w:rsidRPr="001E6AFD">
        <w:rPr>
          <w:rFonts w:eastAsia="Times New Roman" w:cs="Times New Roman"/>
          <w:szCs w:val="24"/>
          <w:lang w:val="en-GB"/>
        </w:rPr>
        <w:t>(Accessed: 24 March 2026).</w:t>
      </w:r>
    </w:p>
    <w:p w14:paraId="3853DED7" w14:textId="4817285B"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Holt‐</w:t>
      </w:r>
      <w:proofErr w:type="spellStart"/>
      <w:r w:rsidRPr="001E6AFD">
        <w:rPr>
          <w:rFonts w:eastAsia="Times New Roman" w:cs="Times New Roman"/>
          <w:szCs w:val="24"/>
          <w:lang w:val="en-GB"/>
        </w:rPr>
        <w:t>Lunstad</w:t>
      </w:r>
      <w:proofErr w:type="spellEnd"/>
      <w:r w:rsidRPr="001E6AFD">
        <w:rPr>
          <w:rFonts w:eastAsia="Times New Roman" w:cs="Times New Roman"/>
          <w:szCs w:val="24"/>
          <w:lang w:val="en-GB"/>
        </w:rPr>
        <w:t xml:space="preserve">, J. (2024) ‘Social connection as a critical factor for mental and physical health: evidence, trends, challenges, and future implications’, </w:t>
      </w:r>
      <w:r w:rsidRPr="001E6AFD">
        <w:rPr>
          <w:rFonts w:eastAsia="Times New Roman" w:cs="Times New Roman"/>
          <w:i/>
          <w:iCs/>
          <w:szCs w:val="24"/>
          <w:lang w:val="en-GB"/>
        </w:rPr>
        <w:t>World Psychiatry</w:t>
      </w:r>
      <w:r w:rsidRPr="001E6AFD">
        <w:rPr>
          <w:rFonts w:eastAsia="Times New Roman" w:cs="Times New Roman"/>
          <w:szCs w:val="24"/>
          <w:lang w:val="en-GB"/>
        </w:rPr>
        <w:t xml:space="preserve">, 23(3), pp. 312–332. Available at: </w:t>
      </w:r>
      <w:hyperlink r:id="rId37" w:history="1">
        <w:r w:rsidR="008D5F3D" w:rsidRPr="00293D44">
          <w:rPr>
            <w:rStyle w:val="Hyperlink"/>
            <w:rFonts w:eastAsia="Times New Roman" w:cs="Times New Roman"/>
            <w:szCs w:val="24"/>
            <w:lang w:val="en-GB"/>
          </w:rPr>
          <w:t>https://doi.org/10.1002/wps.21224</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0498BDF1" w14:textId="56B20489"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KAMIŃSKA, A., DMOWSK, P. and MARJAŃSKA, E. (2024) ‘Availability conditions as a critical factor in product category management in shaping the offer of non-alcoholic equivalents of alcoholic beverages’, </w:t>
      </w:r>
      <w:r w:rsidRPr="001E6AFD">
        <w:rPr>
          <w:rFonts w:eastAsia="Times New Roman" w:cs="Times New Roman"/>
          <w:i/>
          <w:iCs/>
          <w:szCs w:val="24"/>
          <w:lang w:val="en-GB"/>
        </w:rPr>
        <w:t>Scientific Papers of Silesian University of Technology Organization and Management Series</w:t>
      </w:r>
      <w:r w:rsidRPr="001E6AFD">
        <w:rPr>
          <w:rFonts w:eastAsia="Times New Roman" w:cs="Times New Roman"/>
          <w:szCs w:val="24"/>
          <w:lang w:val="en-GB"/>
        </w:rPr>
        <w:t xml:space="preserve">, 2024(207). Available at: </w:t>
      </w:r>
      <w:hyperlink r:id="rId38" w:history="1">
        <w:r w:rsidR="008D5F3D" w:rsidRPr="00293D44">
          <w:rPr>
            <w:rStyle w:val="Hyperlink"/>
            <w:rFonts w:eastAsia="Times New Roman" w:cs="Times New Roman"/>
            <w:szCs w:val="24"/>
            <w:lang w:val="en-GB"/>
          </w:rPr>
          <w:t>https://doi.org/10.29119/1641-3466.2024.207.12</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72BB863D" w14:textId="64FDBE4A"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t>Korálová</w:t>
      </w:r>
      <w:proofErr w:type="spellEnd"/>
      <w:r w:rsidRPr="001E6AFD">
        <w:rPr>
          <w:rFonts w:eastAsia="Times New Roman" w:cs="Times New Roman"/>
          <w:szCs w:val="24"/>
          <w:lang w:val="en-GB"/>
        </w:rPr>
        <w:t xml:space="preserve">, E. and Procházková, P.T. (2025) ‘Sustainable Finance and Carbon Neutrality in the Brewery Industry: Challenges and Opportunities’, </w:t>
      </w:r>
      <w:r w:rsidRPr="001E6AFD">
        <w:rPr>
          <w:rFonts w:eastAsia="Times New Roman" w:cs="Times New Roman"/>
          <w:i/>
          <w:iCs/>
          <w:szCs w:val="24"/>
          <w:lang w:val="en-GB"/>
        </w:rPr>
        <w:t>ACC JOURNAL</w:t>
      </w:r>
      <w:r w:rsidRPr="001E6AFD">
        <w:rPr>
          <w:rFonts w:eastAsia="Times New Roman" w:cs="Times New Roman"/>
          <w:szCs w:val="24"/>
          <w:lang w:val="en-GB"/>
        </w:rPr>
        <w:t xml:space="preserve">, 31(2), pp. 43–58. Available at: </w:t>
      </w:r>
      <w:hyperlink r:id="rId39" w:history="1">
        <w:r w:rsidR="008D5F3D" w:rsidRPr="00293D44">
          <w:rPr>
            <w:rStyle w:val="Hyperlink"/>
            <w:rFonts w:eastAsia="Times New Roman" w:cs="Times New Roman"/>
            <w:szCs w:val="24"/>
            <w:lang w:val="en-GB"/>
          </w:rPr>
          <w:t>https://doi.org/10.2478/acc-2025-0009</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1F19BB23" w14:textId="350B5EA9"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Kwee, Z., Yaghmaei, E. and Flipse, S. (2021) ‘Responsible research and innovation in practice an exploratory assessment of Key Performance Indicators (KPIs) in a Nanomedicine Project’, </w:t>
      </w:r>
      <w:r w:rsidRPr="001E6AFD">
        <w:rPr>
          <w:rFonts w:eastAsia="Times New Roman" w:cs="Times New Roman"/>
          <w:i/>
          <w:iCs/>
          <w:szCs w:val="24"/>
          <w:lang w:val="en-GB"/>
        </w:rPr>
        <w:t>Journal of Responsible Technology</w:t>
      </w:r>
      <w:r w:rsidRPr="001E6AFD">
        <w:rPr>
          <w:rFonts w:eastAsia="Times New Roman" w:cs="Times New Roman"/>
          <w:szCs w:val="24"/>
          <w:lang w:val="en-GB"/>
        </w:rPr>
        <w:t xml:space="preserve">, 5, p. 100008. Available at: </w:t>
      </w:r>
      <w:hyperlink r:id="rId40" w:history="1">
        <w:r w:rsidR="008D5F3D" w:rsidRPr="00293D44">
          <w:rPr>
            <w:rStyle w:val="Hyperlink"/>
            <w:rFonts w:eastAsia="Times New Roman" w:cs="Times New Roman"/>
            <w:szCs w:val="24"/>
            <w:lang w:val="en-GB"/>
          </w:rPr>
          <w:t>https://doi.org/10.1016/j.jrt.2021.100008</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392CF3A0" w14:textId="2F8AF88D"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t>Listabarth</w:t>
      </w:r>
      <w:proofErr w:type="spellEnd"/>
      <w:r w:rsidRPr="001E6AFD">
        <w:rPr>
          <w:rFonts w:eastAsia="Times New Roman" w:cs="Times New Roman"/>
          <w:szCs w:val="24"/>
          <w:lang w:val="en-GB"/>
        </w:rPr>
        <w:t xml:space="preserve">, S., </w:t>
      </w:r>
      <w:proofErr w:type="spellStart"/>
      <w:r w:rsidRPr="001E6AFD">
        <w:rPr>
          <w:rFonts w:eastAsia="Times New Roman" w:cs="Times New Roman"/>
          <w:szCs w:val="24"/>
          <w:lang w:val="en-GB"/>
        </w:rPr>
        <w:t>Grömer</w:t>
      </w:r>
      <w:proofErr w:type="spellEnd"/>
      <w:r w:rsidRPr="001E6AFD">
        <w:rPr>
          <w:rFonts w:eastAsia="Times New Roman" w:cs="Times New Roman"/>
          <w:szCs w:val="24"/>
          <w:lang w:val="en-GB"/>
        </w:rPr>
        <w:t xml:space="preserve">, M., </w:t>
      </w:r>
      <w:proofErr w:type="spellStart"/>
      <w:r w:rsidRPr="001E6AFD">
        <w:rPr>
          <w:rFonts w:eastAsia="Times New Roman" w:cs="Times New Roman"/>
          <w:szCs w:val="24"/>
          <w:lang w:val="en-GB"/>
        </w:rPr>
        <w:t>Waldhoer</w:t>
      </w:r>
      <w:proofErr w:type="spellEnd"/>
      <w:r w:rsidRPr="001E6AFD">
        <w:rPr>
          <w:rFonts w:eastAsia="Times New Roman" w:cs="Times New Roman"/>
          <w:szCs w:val="24"/>
          <w:lang w:val="en-GB"/>
        </w:rPr>
        <w:t xml:space="preserve">, T., </w:t>
      </w:r>
      <w:proofErr w:type="spellStart"/>
      <w:r w:rsidRPr="001E6AFD">
        <w:rPr>
          <w:rFonts w:eastAsia="Times New Roman" w:cs="Times New Roman"/>
          <w:szCs w:val="24"/>
          <w:lang w:val="en-GB"/>
        </w:rPr>
        <w:t>Vyssoki</w:t>
      </w:r>
      <w:proofErr w:type="spellEnd"/>
      <w:r w:rsidRPr="001E6AFD">
        <w:rPr>
          <w:rFonts w:eastAsia="Times New Roman" w:cs="Times New Roman"/>
          <w:szCs w:val="24"/>
          <w:lang w:val="en-GB"/>
        </w:rPr>
        <w:t xml:space="preserve">, B., Pruckner, N., </w:t>
      </w:r>
      <w:proofErr w:type="spellStart"/>
      <w:r w:rsidRPr="001E6AFD">
        <w:rPr>
          <w:rFonts w:eastAsia="Times New Roman" w:cs="Times New Roman"/>
          <w:szCs w:val="24"/>
          <w:lang w:val="en-GB"/>
        </w:rPr>
        <w:t>Vyssoki</w:t>
      </w:r>
      <w:proofErr w:type="spellEnd"/>
      <w:r w:rsidRPr="001E6AFD">
        <w:rPr>
          <w:rFonts w:eastAsia="Times New Roman" w:cs="Times New Roman"/>
          <w:szCs w:val="24"/>
          <w:lang w:val="en-GB"/>
        </w:rPr>
        <w:t xml:space="preserve">, S., Glahn, A., Deirdre Maria König-Castillo and König, D. (2022) ‘Cognitive decline and alcohol consumption in the aging population—A longitudinal analysis of the Survey of Health, Ageing and Retirement in Europe’, </w:t>
      </w:r>
      <w:r w:rsidRPr="001E6AFD">
        <w:rPr>
          <w:rFonts w:eastAsia="Times New Roman" w:cs="Times New Roman"/>
          <w:i/>
          <w:iCs/>
          <w:szCs w:val="24"/>
          <w:lang w:val="en-GB"/>
        </w:rPr>
        <w:t>European Psychiatry</w:t>
      </w:r>
      <w:r w:rsidRPr="001E6AFD">
        <w:rPr>
          <w:rFonts w:eastAsia="Times New Roman" w:cs="Times New Roman"/>
          <w:szCs w:val="24"/>
          <w:lang w:val="en-GB"/>
        </w:rPr>
        <w:t xml:space="preserve">, 65(1). Available at: </w:t>
      </w:r>
      <w:hyperlink r:id="rId41" w:history="1">
        <w:r w:rsidR="008D5F3D" w:rsidRPr="00293D44">
          <w:rPr>
            <w:rStyle w:val="Hyperlink"/>
            <w:rFonts w:eastAsia="Times New Roman" w:cs="Times New Roman"/>
            <w:szCs w:val="24"/>
            <w:lang w:val="en-GB"/>
          </w:rPr>
          <w:t>https://doi.org/10.1192/j.eurpsy.2022.2344</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0C8B06A9" w14:textId="026406FC"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Mahmood, A., Farooq, A., Akbar, H., Ghani, H.U. and Gheewala, S.H. (2023) ‘An Integrated Approach to </w:t>
      </w:r>
      <w:proofErr w:type="spellStart"/>
      <w:r w:rsidRPr="001E6AFD">
        <w:rPr>
          <w:rFonts w:eastAsia="Times New Roman" w:cs="Times New Roman"/>
          <w:szCs w:val="24"/>
          <w:lang w:val="en-GB"/>
        </w:rPr>
        <w:t>Analyze</w:t>
      </w:r>
      <w:proofErr w:type="spellEnd"/>
      <w:r w:rsidRPr="001E6AFD">
        <w:rPr>
          <w:rFonts w:eastAsia="Times New Roman" w:cs="Times New Roman"/>
          <w:szCs w:val="24"/>
          <w:lang w:val="en-GB"/>
        </w:rPr>
        <w:t xml:space="preserve"> the Progress of Developing Economies in Asia toward the Sustainable </w:t>
      </w:r>
      <w:r w:rsidRPr="001E6AFD">
        <w:rPr>
          <w:rFonts w:eastAsia="Times New Roman" w:cs="Times New Roman"/>
          <w:szCs w:val="24"/>
          <w:lang w:val="en-GB"/>
        </w:rPr>
        <w:lastRenderedPageBreak/>
        <w:t xml:space="preserve">Development Goals’, </w:t>
      </w:r>
      <w:r w:rsidRPr="001E6AFD">
        <w:rPr>
          <w:rFonts w:eastAsia="Times New Roman" w:cs="Times New Roman"/>
          <w:i/>
          <w:iCs/>
          <w:szCs w:val="24"/>
          <w:lang w:val="en-GB"/>
        </w:rPr>
        <w:t>Sustainability</w:t>
      </w:r>
      <w:r w:rsidRPr="001E6AFD">
        <w:rPr>
          <w:rFonts w:eastAsia="Times New Roman" w:cs="Times New Roman"/>
          <w:szCs w:val="24"/>
          <w:lang w:val="en-GB"/>
        </w:rPr>
        <w:t xml:space="preserve">, 15(18), p. 13645. Available at: </w:t>
      </w:r>
      <w:hyperlink r:id="rId42" w:history="1">
        <w:r w:rsidR="008D5F3D" w:rsidRPr="00293D44">
          <w:rPr>
            <w:rStyle w:val="Hyperlink"/>
            <w:rFonts w:eastAsia="Times New Roman" w:cs="Times New Roman"/>
            <w:szCs w:val="24"/>
            <w:lang w:val="en-GB"/>
          </w:rPr>
          <w:t>https://doi.org/10.3390/su151813645</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4C8B4A73" w14:textId="640706F6"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Martins, F. (2021) </w:t>
      </w:r>
      <w:r w:rsidRPr="001E6AFD">
        <w:rPr>
          <w:rFonts w:eastAsia="Times New Roman" w:cs="Times New Roman"/>
          <w:i/>
          <w:iCs/>
          <w:szCs w:val="24"/>
          <w:lang w:val="en-GB"/>
        </w:rPr>
        <w:t>EQUITY RESEARCH HEINEKEN N.V. BREWING FOR THE FUTURE!</w:t>
      </w:r>
      <w:r w:rsidRPr="001E6AFD">
        <w:rPr>
          <w:rFonts w:eastAsia="Times New Roman" w:cs="Times New Roman"/>
          <w:szCs w:val="24"/>
          <w:lang w:val="en-GB"/>
        </w:rPr>
        <w:t xml:space="preserve"> Available at: </w:t>
      </w:r>
      <w:hyperlink r:id="rId43" w:history="1">
        <w:r w:rsidR="008D5F3D" w:rsidRPr="00293D44">
          <w:rPr>
            <w:rStyle w:val="Hyperlink"/>
            <w:rFonts w:eastAsia="Times New Roman" w:cs="Times New Roman"/>
            <w:szCs w:val="24"/>
            <w:lang w:val="en-GB"/>
          </w:rPr>
          <w:t>https://run.unl.pt/bitstream/10362/144700/1/27608_gon_alo_miguel_martins_duarte_dos_santos_2020-21_fall_44039_goncalo_santos_211803_679711189-1.pdf</w:t>
        </w:r>
      </w:hyperlink>
      <w:r w:rsidR="008D5F3D">
        <w:rPr>
          <w:rFonts w:eastAsia="Times New Roman" w:cs="Times New Roman"/>
          <w:szCs w:val="24"/>
          <w:lang w:val="en-GB"/>
        </w:rPr>
        <w:t xml:space="preserve"> </w:t>
      </w:r>
      <w:r w:rsidRPr="001E6AFD">
        <w:rPr>
          <w:rFonts w:eastAsia="Times New Roman" w:cs="Times New Roman"/>
          <w:szCs w:val="24"/>
          <w:lang w:val="en-GB"/>
        </w:rPr>
        <w:t>(Accessed: 24 March 2026).</w:t>
      </w:r>
    </w:p>
    <w:p w14:paraId="16B3FB71" w14:textId="6F9E1289"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t>Modreanu</w:t>
      </w:r>
      <w:proofErr w:type="spellEnd"/>
      <w:r w:rsidRPr="001E6AFD">
        <w:rPr>
          <w:rFonts w:eastAsia="Times New Roman" w:cs="Times New Roman"/>
          <w:szCs w:val="24"/>
          <w:lang w:val="en-GB"/>
        </w:rPr>
        <w:t xml:space="preserve">, A., </w:t>
      </w:r>
      <w:proofErr w:type="spellStart"/>
      <w:r w:rsidRPr="001E6AFD">
        <w:rPr>
          <w:rFonts w:eastAsia="Times New Roman" w:cs="Times New Roman"/>
          <w:szCs w:val="24"/>
          <w:lang w:val="en-GB"/>
        </w:rPr>
        <w:t>Andrișan</w:t>
      </w:r>
      <w:proofErr w:type="spellEnd"/>
      <w:r w:rsidRPr="001E6AFD">
        <w:rPr>
          <w:rFonts w:eastAsia="Times New Roman" w:cs="Times New Roman"/>
          <w:szCs w:val="24"/>
          <w:lang w:val="en-GB"/>
        </w:rPr>
        <w:t xml:space="preserve">, G.N., Sârbu, A.-M. and </w:t>
      </w:r>
      <w:proofErr w:type="spellStart"/>
      <w:r w:rsidRPr="001E6AFD">
        <w:rPr>
          <w:rFonts w:eastAsia="Times New Roman" w:cs="Times New Roman"/>
          <w:szCs w:val="24"/>
          <w:lang w:val="en-GB"/>
        </w:rPr>
        <w:t>Grădinaru</w:t>
      </w:r>
      <w:proofErr w:type="spellEnd"/>
      <w:r w:rsidRPr="001E6AFD">
        <w:rPr>
          <w:rFonts w:eastAsia="Times New Roman" w:cs="Times New Roman"/>
          <w:szCs w:val="24"/>
          <w:lang w:val="en-GB"/>
        </w:rPr>
        <w:t xml:space="preserve">, C. (2022) ‘Corporate Social Responsibility, a Strategic Tool for Sustainable Value Creation: </w:t>
      </w:r>
      <w:proofErr w:type="gramStart"/>
      <w:r w:rsidRPr="001E6AFD">
        <w:rPr>
          <w:rFonts w:eastAsia="Times New Roman" w:cs="Times New Roman"/>
          <w:szCs w:val="24"/>
          <w:lang w:val="en-GB"/>
        </w:rPr>
        <w:t>a</w:t>
      </w:r>
      <w:proofErr w:type="gramEnd"/>
      <w:r w:rsidRPr="001E6AFD">
        <w:rPr>
          <w:rFonts w:eastAsia="Times New Roman" w:cs="Times New Roman"/>
          <w:szCs w:val="24"/>
          <w:lang w:val="en-GB"/>
        </w:rPr>
        <w:t xml:space="preserve"> Case Study of Unilever’s Sustainable Living Plan’, </w:t>
      </w:r>
      <w:r w:rsidRPr="001E6AFD">
        <w:rPr>
          <w:rFonts w:eastAsia="Times New Roman" w:cs="Times New Roman"/>
          <w:i/>
          <w:iCs/>
          <w:szCs w:val="24"/>
          <w:lang w:val="en-GB"/>
        </w:rPr>
        <w:t>New Trends in Sustainable Business and Consumption</w:t>
      </w:r>
      <w:r w:rsidRPr="001E6AFD">
        <w:rPr>
          <w:rFonts w:eastAsia="Times New Roman" w:cs="Times New Roman"/>
          <w:szCs w:val="24"/>
          <w:lang w:val="en-GB"/>
        </w:rPr>
        <w:t xml:space="preserve"> [Preprint]. Available at: </w:t>
      </w:r>
      <w:hyperlink r:id="rId44" w:history="1">
        <w:r w:rsidR="008D5F3D" w:rsidRPr="00293D44">
          <w:rPr>
            <w:rStyle w:val="Hyperlink"/>
            <w:rFonts w:eastAsia="Times New Roman" w:cs="Times New Roman"/>
            <w:szCs w:val="24"/>
            <w:lang w:val="en-GB"/>
          </w:rPr>
          <w:t>https://www.academia.edu/download/118779697/076.pdf</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19</w:t>
      </w:r>
      <w:r w:rsidRPr="001E6AFD">
        <w:rPr>
          <w:rFonts w:eastAsia="Times New Roman" w:cs="Times New Roman"/>
          <w:szCs w:val="24"/>
          <w:lang w:val="en-GB"/>
        </w:rPr>
        <w:t xml:space="preserve"> March 2026).</w:t>
      </w:r>
    </w:p>
    <w:p w14:paraId="11C1D37A" w14:textId="3E22480D"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Oliveira, L. (2024) </w:t>
      </w:r>
      <w:r w:rsidRPr="001E6AFD">
        <w:rPr>
          <w:rFonts w:eastAsia="Times New Roman" w:cs="Times New Roman"/>
          <w:i/>
          <w:iCs/>
          <w:szCs w:val="24"/>
          <w:lang w:val="en-GB"/>
        </w:rPr>
        <w:t xml:space="preserve">The World Connected Brewer Equity Research in the beer </w:t>
      </w:r>
      <w:proofErr w:type="spellStart"/>
      <w:r w:rsidRPr="001E6AFD">
        <w:rPr>
          <w:rFonts w:eastAsia="Times New Roman" w:cs="Times New Roman"/>
          <w:i/>
          <w:iCs/>
          <w:szCs w:val="24"/>
          <w:lang w:val="en-GB"/>
        </w:rPr>
        <w:t>IndustryHeineken</w:t>
      </w:r>
      <w:proofErr w:type="spellEnd"/>
      <w:r w:rsidRPr="001E6AFD">
        <w:rPr>
          <w:rFonts w:eastAsia="Times New Roman" w:cs="Times New Roman"/>
          <w:i/>
          <w:iCs/>
          <w:szCs w:val="24"/>
          <w:lang w:val="en-GB"/>
        </w:rPr>
        <w:t xml:space="preserve"> N.V.</w:t>
      </w:r>
      <w:r w:rsidRPr="001E6AFD">
        <w:rPr>
          <w:rFonts w:eastAsia="Times New Roman" w:cs="Times New Roman"/>
          <w:szCs w:val="24"/>
          <w:lang w:val="en-GB"/>
        </w:rPr>
        <w:t xml:space="preserve"> Available at: </w:t>
      </w:r>
      <w:hyperlink r:id="rId45" w:history="1">
        <w:r w:rsidR="008D5F3D" w:rsidRPr="00293D44">
          <w:rPr>
            <w:rStyle w:val="Hyperlink"/>
            <w:rFonts w:eastAsia="Times New Roman" w:cs="Times New Roman"/>
            <w:szCs w:val="24"/>
            <w:lang w:val="en-GB"/>
          </w:rPr>
          <w:t>https://run.unl.pt/bitstreams/fbf30c76-c61d-424b-92c7-6b2cafd45ef8/download</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17</w:t>
      </w:r>
      <w:r w:rsidRPr="001E6AFD">
        <w:rPr>
          <w:rFonts w:eastAsia="Times New Roman" w:cs="Times New Roman"/>
          <w:szCs w:val="24"/>
          <w:lang w:val="en-GB"/>
        </w:rPr>
        <w:t xml:space="preserve"> March 2026).</w:t>
      </w:r>
    </w:p>
    <w:p w14:paraId="53DAB65A" w14:textId="1B5923D7"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t>Ropele</w:t>
      </w:r>
      <w:proofErr w:type="spellEnd"/>
      <w:r w:rsidRPr="001E6AFD">
        <w:rPr>
          <w:rFonts w:eastAsia="Times New Roman" w:cs="Times New Roman"/>
          <w:szCs w:val="24"/>
          <w:lang w:val="en-GB"/>
        </w:rPr>
        <w:t xml:space="preserve">, T., </w:t>
      </w:r>
      <w:proofErr w:type="spellStart"/>
      <w:r w:rsidRPr="001E6AFD">
        <w:rPr>
          <w:rFonts w:eastAsia="Times New Roman" w:cs="Times New Roman"/>
          <w:szCs w:val="24"/>
          <w:lang w:val="en-GB"/>
        </w:rPr>
        <w:t>Gorodnichenko</w:t>
      </w:r>
      <w:proofErr w:type="spellEnd"/>
      <w:r w:rsidRPr="001E6AFD">
        <w:rPr>
          <w:rFonts w:eastAsia="Times New Roman" w:cs="Times New Roman"/>
          <w:szCs w:val="24"/>
          <w:lang w:val="en-GB"/>
        </w:rPr>
        <w:t xml:space="preserve">, Y. and </w:t>
      </w:r>
      <w:proofErr w:type="spellStart"/>
      <w:r w:rsidRPr="001E6AFD">
        <w:rPr>
          <w:rFonts w:eastAsia="Times New Roman" w:cs="Times New Roman"/>
          <w:szCs w:val="24"/>
          <w:lang w:val="en-GB"/>
        </w:rPr>
        <w:t>Coibion</w:t>
      </w:r>
      <w:proofErr w:type="spellEnd"/>
      <w:r w:rsidRPr="001E6AFD">
        <w:rPr>
          <w:rFonts w:eastAsia="Times New Roman" w:cs="Times New Roman"/>
          <w:szCs w:val="24"/>
          <w:lang w:val="en-GB"/>
        </w:rPr>
        <w:t xml:space="preserve">, O. (2022) ‘Inflation Expectations and Corporate Borrowing Decisions: New Causal Evidence’, </w:t>
      </w:r>
      <w:r w:rsidRPr="001E6AFD">
        <w:rPr>
          <w:rFonts w:eastAsia="Times New Roman" w:cs="Times New Roman"/>
          <w:i/>
          <w:iCs/>
          <w:szCs w:val="24"/>
          <w:lang w:val="en-GB"/>
        </w:rPr>
        <w:t>SSRN Electronic Journal</w:t>
      </w:r>
      <w:r w:rsidRPr="001E6AFD">
        <w:rPr>
          <w:rFonts w:eastAsia="Times New Roman" w:cs="Times New Roman"/>
          <w:szCs w:val="24"/>
          <w:lang w:val="en-GB"/>
        </w:rPr>
        <w:t xml:space="preserve"> [Preprint]. Available at: </w:t>
      </w:r>
      <w:hyperlink r:id="rId46" w:history="1">
        <w:r w:rsidR="008D5F3D" w:rsidRPr="00293D44">
          <w:rPr>
            <w:rStyle w:val="Hyperlink"/>
            <w:rFonts w:eastAsia="Times New Roman" w:cs="Times New Roman"/>
            <w:szCs w:val="24"/>
            <w:lang w:val="en-GB"/>
          </w:rPr>
          <w:t>https://doi.org/10.2139/ssrn.4241593</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08927C08" w14:textId="4A315F7C"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Rostami, M., </w:t>
      </w:r>
      <w:proofErr w:type="spellStart"/>
      <w:r w:rsidRPr="001E6AFD">
        <w:rPr>
          <w:rFonts w:eastAsia="Times New Roman" w:cs="Times New Roman"/>
          <w:szCs w:val="24"/>
          <w:lang w:val="en-GB"/>
        </w:rPr>
        <w:t>Babashahi</w:t>
      </w:r>
      <w:proofErr w:type="spellEnd"/>
      <w:r w:rsidRPr="001E6AFD">
        <w:rPr>
          <w:rFonts w:eastAsia="Times New Roman" w:cs="Times New Roman"/>
          <w:szCs w:val="24"/>
          <w:lang w:val="en-GB"/>
        </w:rPr>
        <w:t xml:space="preserve">, M., Ramezani, S. and Hadis </w:t>
      </w:r>
      <w:proofErr w:type="spellStart"/>
      <w:r w:rsidRPr="001E6AFD">
        <w:rPr>
          <w:rFonts w:eastAsia="Times New Roman" w:cs="Times New Roman"/>
          <w:szCs w:val="24"/>
          <w:lang w:val="en-GB"/>
        </w:rPr>
        <w:t>Dastgerdizad</w:t>
      </w:r>
      <w:proofErr w:type="spellEnd"/>
      <w:r w:rsidRPr="001E6AFD">
        <w:rPr>
          <w:rFonts w:eastAsia="Times New Roman" w:cs="Times New Roman"/>
          <w:szCs w:val="24"/>
          <w:lang w:val="en-GB"/>
        </w:rPr>
        <w:t xml:space="preserve"> (2024) ‘A scoping review of policies related to reducing energy drink consumption in children’, </w:t>
      </w:r>
      <w:r w:rsidRPr="001E6AFD">
        <w:rPr>
          <w:rFonts w:eastAsia="Times New Roman" w:cs="Times New Roman"/>
          <w:i/>
          <w:iCs/>
          <w:szCs w:val="24"/>
          <w:lang w:val="en-GB"/>
        </w:rPr>
        <w:t>BMC Public Health</w:t>
      </w:r>
      <w:r w:rsidRPr="001E6AFD">
        <w:rPr>
          <w:rFonts w:eastAsia="Times New Roman" w:cs="Times New Roman"/>
          <w:szCs w:val="24"/>
          <w:lang w:val="en-GB"/>
        </w:rPr>
        <w:t xml:space="preserve">, 24(1). Available at: </w:t>
      </w:r>
      <w:hyperlink r:id="rId47" w:history="1">
        <w:r w:rsidR="008D5F3D" w:rsidRPr="00293D44">
          <w:rPr>
            <w:rStyle w:val="Hyperlink"/>
            <w:rFonts w:eastAsia="Times New Roman" w:cs="Times New Roman"/>
            <w:szCs w:val="24"/>
            <w:lang w:val="en-GB"/>
          </w:rPr>
          <w:t>https://doi.org/10.1186/s12889-024-19724-y</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76ACF081" w14:textId="2CB1FC3F"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Sanjeev, K. and Yadav (2026) </w:t>
      </w:r>
      <w:r w:rsidRPr="001E6AFD">
        <w:rPr>
          <w:rFonts w:eastAsia="Times New Roman" w:cs="Times New Roman"/>
          <w:i/>
          <w:iCs/>
          <w:szCs w:val="24"/>
          <w:lang w:val="en-GB"/>
        </w:rPr>
        <w:t>The Effect of Inflation and Interest Rate Changes on Corporate Financial Performance</w:t>
      </w:r>
      <w:r w:rsidRPr="001E6AFD">
        <w:rPr>
          <w:rFonts w:eastAsia="Times New Roman" w:cs="Times New Roman"/>
          <w:szCs w:val="24"/>
          <w:lang w:val="en-GB"/>
        </w:rPr>
        <w:t xml:space="preserve">. Available at: </w:t>
      </w:r>
      <w:hyperlink r:id="rId48" w:history="1">
        <w:r w:rsidR="008D5F3D" w:rsidRPr="00293D44">
          <w:rPr>
            <w:rStyle w:val="Hyperlink"/>
            <w:rFonts w:eastAsia="Times New Roman" w:cs="Times New Roman"/>
            <w:szCs w:val="24"/>
            <w:lang w:val="en-GB"/>
          </w:rPr>
          <w:t>https://www.a-fl-insight.com/vol-15/91.pdf</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22</w:t>
      </w:r>
      <w:r w:rsidRPr="001E6AFD">
        <w:rPr>
          <w:rFonts w:eastAsia="Times New Roman" w:cs="Times New Roman"/>
          <w:szCs w:val="24"/>
          <w:lang w:val="en-GB"/>
        </w:rPr>
        <w:t xml:space="preserve"> March 2026).</w:t>
      </w:r>
    </w:p>
    <w:p w14:paraId="63938E81" w14:textId="71792462"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Scheel, C. and Aguiñaga, E. (2025) ‘A Systems View of Circular Economy’, </w:t>
      </w:r>
      <w:r w:rsidRPr="001E6AFD">
        <w:rPr>
          <w:rFonts w:eastAsia="Times New Roman" w:cs="Times New Roman"/>
          <w:i/>
          <w:iCs/>
          <w:szCs w:val="24"/>
          <w:lang w:val="en-GB"/>
        </w:rPr>
        <w:t>Sustainability</w:t>
      </w:r>
      <w:r w:rsidRPr="001E6AFD">
        <w:rPr>
          <w:rFonts w:eastAsia="Times New Roman" w:cs="Times New Roman"/>
          <w:szCs w:val="24"/>
          <w:lang w:val="en-GB"/>
        </w:rPr>
        <w:t xml:space="preserve">, 17(3), p. 1268. Available at: </w:t>
      </w:r>
      <w:hyperlink r:id="rId49" w:history="1">
        <w:r w:rsidR="008D5F3D" w:rsidRPr="00293D44">
          <w:rPr>
            <w:rStyle w:val="Hyperlink"/>
            <w:rFonts w:eastAsia="Times New Roman" w:cs="Times New Roman"/>
            <w:szCs w:val="24"/>
            <w:lang w:val="en-GB"/>
          </w:rPr>
          <w:t>https://doi.org/10.3390/su17031268</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2ECEDEA1" w14:textId="7ED03425"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Serviss, M.T., Hout, D.V., Britton, S.J. and MacIntosh, A.J. (2025) ‘Brewing for the Future: Balancing Tradition and Sustainability’, </w:t>
      </w:r>
      <w:r w:rsidRPr="001E6AFD">
        <w:rPr>
          <w:rFonts w:eastAsia="Times New Roman" w:cs="Times New Roman"/>
          <w:i/>
          <w:iCs/>
          <w:szCs w:val="24"/>
          <w:lang w:val="en-GB"/>
        </w:rPr>
        <w:t>Journal of the American Society of Brewing Chemists</w:t>
      </w:r>
      <w:r w:rsidRPr="001E6AFD">
        <w:rPr>
          <w:rFonts w:eastAsia="Times New Roman" w:cs="Times New Roman"/>
          <w:szCs w:val="24"/>
          <w:lang w:val="en-GB"/>
        </w:rPr>
        <w:t xml:space="preserve">, pp. 1–19. Available at: </w:t>
      </w:r>
      <w:hyperlink r:id="rId50" w:history="1">
        <w:r w:rsidR="008D5F3D" w:rsidRPr="00293D44">
          <w:rPr>
            <w:rStyle w:val="Hyperlink"/>
            <w:rFonts w:eastAsia="Times New Roman" w:cs="Times New Roman"/>
            <w:szCs w:val="24"/>
            <w:lang w:val="en-GB"/>
          </w:rPr>
          <w:t>https://doi.org/10.1080/03610470.2025.2509059</w:t>
        </w:r>
      </w:hyperlink>
      <w:r w:rsidRPr="001E6AFD">
        <w:rPr>
          <w:rFonts w:eastAsia="Times New Roman" w:cs="Times New Roman"/>
          <w:szCs w:val="24"/>
          <w:lang w:val="en-GB"/>
        </w:rPr>
        <w:t>.</w:t>
      </w:r>
      <w:r w:rsidR="008D5F3D">
        <w:rPr>
          <w:rFonts w:eastAsia="Times New Roman" w:cs="Times New Roman"/>
          <w:szCs w:val="24"/>
          <w:lang w:val="en-GB"/>
        </w:rPr>
        <w:t xml:space="preserve"> </w:t>
      </w:r>
    </w:p>
    <w:p w14:paraId="513F9251" w14:textId="710D4BFE"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lastRenderedPageBreak/>
        <w:t xml:space="preserve">Statista (2024a) </w:t>
      </w:r>
      <w:r w:rsidRPr="001E6AFD">
        <w:rPr>
          <w:rFonts w:eastAsia="Times New Roman" w:cs="Times New Roman"/>
          <w:i/>
          <w:iCs/>
          <w:szCs w:val="24"/>
          <w:lang w:val="en-GB"/>
        </w:rPr>
        <w:t>Employees of Heineken by region 2024| Statista</w:t>
      </w:r>
      <w:r w:rsidRPr="001E6AFD">
        <w:rPr>
          <w:rFonts w:eastAsia="Times New Roman" w:cs="Times New Roman"/>
          <w:szCs w:val="24"/>
          <w:lang w:val="en-GB"/>
        </w:rPr>
        <w:t xml:space="preserve">, </w:t>
      </w:r>
      <w:r w:rsidRPr="001E6AFD">
        <w:rPr>
          <w:rFonts w:eastAsia="Times New Roman" w:cs="Times New Roman"/>
          <w:i/>
          <w:iCs/>
          <w:szCs w:val="24"/>
          <w:lang w:val="en-GB"/>
        </w:rPr>
        <w:t>Statista</w:t>
      </w:r>
      <w:r w:rsidRPr="001E6AFD">
        <w:rPr>
          <w:rFonts w:eastAsia="Times New Roman" w:cs="Times New Roman"/>
          <w:szCs w:val="24"/>
          <w:lang w:val="en-GB"/>
        </w:rPr>
        <w:t xml:space="preserve">. Available at: </w:t>
      </w:r>
      <w:hyperlink r:id="rId51" w:history="1">
        <w:r w:rsidR="008D5F3D" w:rsidRPr="00293D44">
          <w:rPr>
            <w:rStyle w:val="Hyperlink"/>
            <w:rFonts w:eastAsia="Times New Roman" w:cs="Times New Roman"/>
            <w:szCs w:val="24"/>
            <w:lang w:val="en-GB"/>
          </w:rPr>
          <w:t>https://www.statista.com/statistics/269136/employees-of-the-heineken-group-by-region/?srsltid=AfmBOopD8z77sVpq5uORpI-tKGdOHznovjEiisUwbjDd34EFaqs8W5h_</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16</w:t>
      </w:r>
      <w:r w:rsidRPr="001E6AFD">
        <w:rPr>
          <w:rFonts w:eastAsia="Times New Roman" w:cs="Times New Roman"/>
          <w:szCs w:val="24"/>
          <w:lang w:val="en-GB"/>
        </w:rPr>
        <w:t xml:space="preserve"> March 2026).</w:t>
      </w:r>
    </w:p>
    <w:p w14:paraId="0EDD0060" w14:textId="50BD8DA8"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Statista (2024b) </w:t>
      </w:r>
      <w:r w:rsidRPr="001E6AFD">
        <w:rPr>
          <w:rFonts w:eastAsia="Times New Roman" w:cs="Times New Roman"/>
          <w:i/>
          <w:iCs/>
          <w:szCs w:val="24"/>
          <w:lang w:val="en-GB"/>
        </w:rPr>
        <w:t>Heineken N.V. revenue 2024| Statista</w:t>
      </w:r>
      <w:r w:rsidRPr="001E6AFD">
        <w:rPr>
          <w:rFonts w:eastAsia="Times New Roman" w:cs="Times New Roman"/>
          <w:szCs w:val="24"/>
          <w:lang w:val="en-GB"/>
        </w:rPr>
        <w:t xml:space="preserve">, </w:t>
      </w:r>
      <w:r w:rsidRPr="001E6AFD">
        <w:rPr>
          <w:rFonts w:eastAsia="Times New Roman" w:cs="Times New Roman"/>
          <w:i/>
          <w:iCs/>
          <w:szCs w:val="24"/>
          <w:lang w:val="en-GB"/>
        </w:rPr>
        <w:t>Statista</w:t>
      </w:r>
      <w:r w:rsidRPr="001E6AFD">
        <w:rPr>
          <w:rFonts w:eastAsia="Times New Roman" w:cs="Times New Roman"/>
          <w:szCs w:val="24"/>
          <w:lang w:val="en-GB"/>
        </w:rPr>
        <w:t xml:space="preserve">. Available at: </w:t>
      </w:r>
      <w:hyperlink r:id="rId52" w:history="1">
        <w:r w:rsidR="008D5F3D" w:rsidRPr="00293D44">
          <w:rPr>
            <w:rStyle w:val="Hyperlink"/>
            <w:rFonts w:eastAsia="Times New Roman" w:cs="Times New Roman"/>
            <w:szCs w:val="24"/>
            <w:lang w:val="en-GB"/>
          </w:rPr>
          <w:t>https://www.statista.com/statistics/516457/heineken-revenue-worldwide/?srsltid=AfmBOopewMLOtM7egmDZtyRsudX8UYUYt6smoue0tSiwEwgaxMSGBA0W</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18</w:t>
      </w:r>
      <w:r w:rsidRPr="001E6AFD">
        <w:rPr>
          <w:rFonts w:eastAsia="Times New Roman" w:cs="Times New Roman"/>
          <w:szCs w:val="24"/>
          <w:lang w:val="en-GB"/>
        </w:rPr>
        <w:t xml:space="preserve"> March 2026).</w:t>
      </w:r>
    </w:p>
    <w:p w14:paraId="4F641946" w14:textId="70F892A5"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The Global Economy (2024) </w:t>
      </w:r>
      <w:r w:rsidRPr="001E6AFD">
        <w:rPr>
          <w:rFonts w:eastAsia="Times New Roman" w:cs="Times New Roman"/>
          <w:i/>
          <w:iCs/>
          <w:szCs w:val="24"/>
          <w:lang w:val="en-GB"/>
        </w:rPr>
        <w:t>Netherlands Political stability - data, chart</w:t>
      </w:r>
      <w:r w:rsidRPr="001E6AFD">
        <w:rPr>
          <w:rFonts w:eastAsia="Times New Roman" w:cs="Times New Roman"/>
          <w:szCs w:val="24"/>
          <w:lang w:val="en-GB"/>
        </w:rPr>
        <w:t xml:space="preserve">, </w:t>
      </w:r>
      <w:r w:rsidRPr="001E6AFD">
        <w:rPr>
          <w:rFonts w:eastAsia="Times New Roman" w:cs="Times New Roman"/>
          <w:i/>
          <w:iCs/>
          <w:szCs w:val="24"/>
          <w:lang w:val="en-GB"/>
        </w:rPr>
        <w:t>TheGlobalEconomy.com</w:t>
      </w:r>
      <w:r w:rsidRPr="001E6AFD">
        <w:rPr>
          <w:rFonts w:eastAsia="Times New Roman" w:cs="Times New Roman"/>
          <w:szCs w:val="24"/>
          <w:lang w:val="en-GB"/>
        </w:rPr>
        <w:t xml:space="preserve">. Available at: </w:t>
      </w:r>
      <w:hyperlink r:id="rId53" w:history="1">
        <w:r w:rsidR="008D5F3D" w:rsidRPr="00293D44">
          <w:rPr>
            <w:rStyle w:val="Hyperlink"/>
            <w:rFonts w:eastAsia="Times New Roman" w:cs="Times New Roman"/>
            <w:szCs w:val="24"/>
            <w:lang w:val="en-GB"/>
          </w:rPr>
          <w:t>https://www.theglobaleconomy.com/Netherlands/wb_political_stability/</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14</w:t>
      </w:r>
      <w:r w:rsidRPr="001E6AFD">
        <w:rPr>
          <w:rFonts w:eastAsia="Times New Roman" w:cs="Times New Roman"/>
          <w:szCs w:val="24"/>
          <w:lang w:val="en-GB"/>
        </w:rPr>
        <w:t xml:space="preserve"> March 2026).</w:t>
      </w:r>
    </w:p>
    <w:p w14:paraId="4E2A6753" w14:textId="12292D3B"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Theodorakopoulos, L. and Theodoropoulou, A. (2024) ‘Leveraging Big Data Analytics for Understanding Consumer </w:t>
      </w:r>
      <w:proofErr w:type="spellStart"/>
      <w:r w:rsidRPr="001E6AFD">
        <w:rPr>
          <w:rFonts w:eastAsia="Times New Roman" w:cs="Times New Roman"/>
          <w:szCs w:val="24"/>
          <w:lang w:val="en-GB"/>
        </w:rPr>
        <w:t>Behavior</w:t>
      </w:r>
      <w:proofErr w:type="spellEnd"/>
      <w:r w:rsidRPr="001E6AFD">
        <w:rPr>
          <w:rFonts w:eastAsia="Times New Roman" w:cs="Times New Roman"/>
          <w:szCs w:val="24"/>
          <w:lang w:val="en-GB"/>
        </w:rPr>
        <w:t xml:space="preserve"> in Digital Marketing: </w:t>
      </w:r>
      <w:proofErr w:type="gramStart"/>
      <w:r w:rsidRPr="001E6AFD">
        <w:rPr>
          <w:rFonts w:eastAsia="Times New Roman" w:cs="Times New Roman"/>
          <w:szCs w:val="24"/>
          <w:lang w:val="en-GB"/>
        </w:rPr>
        <w:t>a</w:t>
      </w:r>
      <w:proofErr w:type="gramEnd"/>
      <w:r w:rsidRPr="001E6AFD">
        <w:rPr>
          <w:rFonts w:eastAsia="Times New Roman" w:cs="Times New Roman"/>
          <w:szCs w:val="24"/>
          <w:lang w:val="en-GB"/>
        </w:rPr>
        <w:t xml:space="preserve"> Systematic Review’, </w:t>
      </w:r>
      <w:r w:rsidRPr="001E6AFD">
        <w:rPr>
          <w:rFonts w:eastAsia="Times New Roman" w:cs="Times New Roman"/>
          <w:i/>
          <w:iCs/>
          <w:szCs w:val="24"/>
          <w:lang w:val="en-GB"/>
        </w:rPr>
        <w:t xml:space="preserve">Human </w:t>
      </w:r>
      <w:proofErr w:type="spellStart"/>
      <w:r w:rsidRPr="001E6AFD">
        <w:rPr>
          <w:rFonts w:eastAsia="Times New Roman" w:cs="Times New Roman"/>
          <w:i/>
          <w:iCs/>
          <w:szCs w:val="24"/>
          <w:lang w:val="en-GB"/>
        </w:rPr>
        <w:t>Behavior</w:t>
      </w:r>
      <w:proofErr w:type="spellEnd"/>
      <w:r w:rsidRPr="001E6AFD">
        <w:rPr>
          <w:rFonts w:eastAsia="Times New Roman" w:cs="Times New Roman"/>
          <w:i/>
          <w:iCs/>
          <w:szCs w:val="24"/>
          <w:lang w:val="en-GB"/>
        </w:rPr>
        <w:t xml:space="preserve"> and Emerging Technologies</w:t>
      </w:r>
      <w:r w:rsidRPr="001E6AFD">
        <w:rPr>
          <w:rFonts w:eastAsia="Times New Roman" w:cs="Times New Roman"/>
          <w:szCs w:val="24"/>
          <w:lang w:val="en-GB"/>
        </w:rPr>
        <w:t xml:space="preserve">, 2024(1), pp. 1–21. Available at: </w:t>
      </w:r>
      <w:hyperlink r:id="rId54" w:history="1">
        <w:r w:rsidR="008D5F3D" w:rsidRPr="00293D44">
          <w:rPr>
            <w:rStyle w:val="Hyperlink"/>
            <w:rFonts w:eastAsia="Times New Roman" w:cs="Times New Roman"/>
            <w:szCs w:val="24"/>
            <w:lang w:val="en-GB"/>
          </w:rPr>
          <w:t>https://onlinelibrary.wiley.com/doi/full/10.1155/2024/3641502?msockid=2a94fca733156bef1b09e8bc32696a91</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19</w:t>
      </w:r>
      <w:r w:rsidRPr="001E6AFD">
        <w:rPr>
          <w:rFonts w:eastAsia="Times New Roman" w:cs="Times New Roman"/>
          <w:szCs w:val="24"/>
          <w:lang w:val="en-GB"/>
        </w:rPr>
        <w:t xml:space="preserve"> March 2026).</w:t>
      </w:r>
    </w:p>
    <w:p w14:paraId="4BCAAD46" w14:textId="1D8B4624"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Trading Economics (2024a) </w:t>
      </w:r>
      <w:r w:rsidRPr="001E6AFD">
        <w:rPr>
          <w:rFonts w:eastAsia="Times New Roman" w:cs="Times New Roman"/>
          <w:i/>
          <w:iCs/>
          <w:szCs w:val="24"/>
          <w:lang w:val="en-GB"/>
        </w:rPr>
        <w:t>Netherlands GDP</w:t>
      </w:r>
      <w:r w:rsidRPr="001E6AFD">
        <w:rPr>
          <w:rFonts w:eastAsia="Times New Roman" w:cs="Times New Roman"/>
          <w:szCs w:val="24"/>
          <w:lang w:val="en-GB"/>
        </w:rPr>
        <w:t xml:space="preserve">, </w:t>
      </w:r>
      <w:r w:rsidRPr="001E6AFD">
        <w:rPr>
          <w:rFonts w:eastAsia="Times New Roman" w:cs="Times New Roman"/>
          <w:i/>
          <w:iCs/>
          <w:szCs w:val="24"/>
          <w:lang w:val="en-GB"/>
        </w:rPr>
        <w:t>Tradingeconomics.com</w:t>
      </w:r>
      <w:r w:rsidRPr="001E6AFD">
        <w:rPr>
          <w:rFonts w:eastAsia="Times New Roman" w:cs="Times New Roman"/>
          <w:szCs w:val="24"/>
          <w:lang w:val="en-GB"/>
        </w:rPr>
        <w:t xml:space="preserve">. TRADING ECONOMICS. Available at: </w:t>
      </w:r>
      <w:hyperlink r:id="rId55" w:history="1">
        <w:r w:rsidR="008D5F3D" w:rsidRPr="00293D44">
          <w:rPr>
            <w:rStyle w:val="Hyperlink"/>
            <w:rFonts w:eastAsia="Times New Roman" w:cs="Times New Roman"/>
            <w:szCs w:val="24"/>
            <w:lang w:val="en-GB"/>
          </w:rPr>
          <w:t>https://tradingeconomics.com/netherlands/gdp</w:t>
        </w:r>
      </w:hyperlink>
      <w:r w:rsidR="008D5F3D">
        <w:rPr>
          <w:rFonts w:eastAsia="Times New Roman" w:cs="Times New Roman"/>
          <w:szCs w:val="24"/>
          <w:lang w:val="en-GB"/>
        </w:rPr>
        <w:t xml:space="preserve"> </w:t>
      </w:r>
      <w:r w:rsidRPr="001E6AFD">
        <w:rPr>
          <w:rFonts w:eastAsia="Times New Roman" w:cs="Times New Roman"/>
          <w:szCs w:val="24"/>
          <w:lang w:val="en-GB"/>
        </w:rPr>
        <w:t xml:space="preserve">(Accessed: </w:t>
      </w:r>
      <w:r w:rsidR="008D5F3D">
        <w:rPr>
          <w:rFonts w:eastAsia="Times New Roman" w:cs="Times New Roman"/>
          <w:szCs w:val="24"/>
          <w:lang w:val="en-GB"/>
        </w:rPr>
        <w:t>20</w:t>
      </w:r>
      <w:r w:rsidRPr="001E6AFD">
        <w:rPr>
          <w:rFonts w:eastAsia="Times New Roman" w:cs="Times New Roman"/>
          <w:szCs w:val="24"/>
          <w:lang w:val="en-GB"/>
        </w:rPr>
        <w:t xml:space="preserve"> March 2026).</w:t>
      </w:r>
    </w:p>
    <w:p w14:paraId="39663344" w14:textId="2C0408DC"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Trading Economics (2024b) </w:t>
      </w:r>
      <w:r w:rsidRPr="001E6AFD">
        <w:rPr>
          <w:rFonts w:eastAsia="Times New Roman" w:cs="Times New Roman"/>
          <w:i/>
          <w:iCs/>
          <w:szCs w:val="24"/>
          <w:lang w:val="en-GB"/>
        </w:rPr>
        <w:t>Netherlands Inflation Rate</w:t>
      </w:r>
      <w:r w:rsidRPr="001E6AFD">
        <w:rPr>
          <w:rFonts w:eastAsia="Times New Roman" w:cs="Times New Roman"/>
          <w:szCs w:val="24"/>
          <w:lang w:val="en-GB"/>
        </w:rPr>
        <w:t xml:space="preserve">, </w:t>
      </w:r>
      <w:r w:rsidRPr="001E6AFD">
        <w:rPr>
          <w:rFonts w:eastAsia="Times New Roman" w:cs="Times New Roman"/>
          <w:i/>
          <w:iCs/>
          <w:szCs w:val="24"/>
          <w:lang w:val="en-GB"/>
        </w:rPr>
        <w:t>Tradingeconomics.com</w:t>
      </w:r>
      <w:r w:rsidRPr="001E6AFD">
        <w:rPr>
          <w:rFonts w:eastAsia="Times New Roman" w:cs="Times New Roman"/>
          <w:szCs w:val="24"/>
          <w:lang w:val="en-GB"/>
        </w:rPr>
        <w:t xml:space="preserve">. TRADING ECONOMICS. Available at: </w:t>
      </w:r>
      <w:hyperlink r:id="rId56" w:history="1">
        <w:r w:rsidR="008D5F3D" w:rsidRPr="00293D44">
          <w:rPr>
            <w:rStyle w:val="Hyperlink"/>
            <w:rFonts w:eastAsia="Times New Roman" w:cs="Times New Roman"/>
            <w:szCs w:val="24"/>
            <w:lang w:val="en-GB"/>
          </w:rPr>
          <w:t>https://tradingeconomics.com/netherlands/inflation-cpi</w:t>
        </w:r>
      </w:hyperlink>
      <w:r w:rsidR="008D5F3D">
        <w:rPr>
          <w:rFonts w:eastAsia="Times New Roman" w:cs="Times New Roman"/>
          <w:szCs w:val="24"/>
          <w:lang w:val="en-GB"/>
        </w:rPr>
        <w:t xml:space="preserve"> </w:t>
      </w:r>
      <w:r w:rsidRPr="001E6AFD">
        <w:rPr>
          <w:rFonts w:eastAsia="Times New Roman" w:cs="Times New Roman"/>
          <w:szCs w:val="24"/>
          <w:lang w:val="en-GB"/>
        </w:rPr>
        <w:t>(Accessed: 18 March 2026).</w:t>
      </w:r>
    </w:p>
    <w:p w14:paraId="20C99391" w14:textId="7A798DB8"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Trading Economics (2024c) </w:t>
      </w:r>
      <w:r w:rsidRPr="001E6AFD">
        <w:rPr>
          <w:rFonts w:eastAsia="Times New Roman" w:cs="Times New Roman"/>
          <w:i/>
          <w:iCs/>
          <w:szCs w:val="24"/>
          <w:lang w:val="en-GB"/>
        </w:rPr>
        <w:t>Netherlands unemployment rate</w:t>
      </w:r>
      <w:r w:rsidRPr="001E6AFD">
        <w:rPr>
          <w:rFonts w:eastAsia="Times New Roman" w:cs="Times New Roman"/>
          <w:szCs w:val="24"/>
          <w:lang w:val="en-GB"/>
        </w:rPr>
        <w:t xml:space="preserve">, </w:t>
      </w:r>
      <w:r w:rsidRPr="001E6AFD">
        <w:rPr>
          <w:rFonts w:eastAsia="Times New Roman" w:cs="Times New Roman"/>
          <w:i/>
          <w:iCs/>
          <w:szCs w:val="24"/>
          <w:lang w:val="en-GB"/>
        </w:rPr>
        <w:t>Tradingeconomics.com</w:t>
      </w:r>
      <w:r w:rsidRPr="001E6AFD">
        <w:rPr>
          <w:rFonts w:eastAsia="Times New Roman" w:cs="Times New Roman"/>
          <w:szCs w:val="24"/>
          <w:lang w:val="en-GB"/>
        </w:rPr>
        <w:t xml:space="preserve">. TRADING ECONOMICS. Available at: </w:t>
      </w:r>
      <w:hyperlink r:id="rId57" w:history="1">
        <w:r w:rsidR="008D5F3D" w:rsidRPr="00293D44">
          <w:rPr>
            <w:rStyle w:val="Hyperlink"/>
            <w:rFonts w:eastAsia="Times New Roman" w:cs="Times New Roman"/>
            <w:szCs w:val="24"/>
            <w:lang w:val="en-GB"/>
          </w:rPr>
          <w:t>https://tradingeconomics.com/netherlands/unemployment-rate</w:t>
        </w:r>
      </w:hyperlink>
      <w:r w:rsidR="008D5F3D">
        <w:rPr>
          <w:rFonts w:eastAsia="Times New Roman" w:cs="Times New Roman"/>
          <w:szCs w:val="24"/>
          <w:lang w:val="en-GB"/>
        </w:rPr>
        <w:t xml:space="preserve"> </w:t>
      </w:r>
      <w:r w:rsidRPr="001E6AFD">
        <w:rPr>
          <w:rFonts w:eastAsia="Times New Roman" w:cs="Times New Roman"/>
          <w:szCs w:val="24"/>
          <w:lang w:val="en-GB"/>
        </w:rPr>
        <w:t>(Accessed: 18 March 2026).</w:t>
      </w:r>
    </w:p>
    <w:p w14:paraId="702EEFAC" w14:textId="4FB9A984" w:rsidR="00E7394B" w:rsidRPr="001E6AFD" w:rsidRDefault="00FA4025">
      <w:pPr>
        <w:spacing w:before="200" w:after="240"/>
        <w:rPr>
          <w:rFonts w:eastAsia="Times New Roman" w:cs="Times New Roman"/>
          <w:szCs w:val="24"/>
          <w:lang w:val="en-GB"/>
        </w:rPr>
      </w:pPr>
      <w:r w:rsidRPr="001E6AFD">
        <w:rPr>
          <w:rFonts w:eastAsia="Times New Roman" w:cs="Times New Roman"/>
          <w:szCs w:val="24"/>
          <w:lang w:val="en-GB"/>
        </w:rPr>
        <w:t xml:space="preserve">Voltz, L. (2023) </w:t>
      </w:r>
      <w:r w:rsidRPr="001E6AFD">
        <w:rPr>
          <w:rFonts w:eastAsia="Times New Roman" w:cs="Times New Roman"/>
          <w:i/>
          <w:iCs/>
          <w:szCs w:val="24"/>
          <w:lang w:val="en-GB"/>
        </w:rPr>
        <w:t>Equity research on AB InBev – context and overview of the global beer industry</w:t>
      </w:r>
      <w:r w:rsidRPr="001E6AFD">
        <w:rPr>
          <w:rFonts w:eastAsia="Times New Roman" w:cs="Times New Roman"/>
          <w:szCs w:val="24"/>
          <w:lang w:val="en-GB"/>
        </w:rPr>
        <w:t xml:space="preserve">. Available at: </w:t>
      </w:r>
      <w:hyperlink r:id="rId58" w:history="1">
        <w:r w:rsidR="008D5F3D" w:rsidRPr="00293D44">
          <w:rPr>
            <w:rStyle w:val="Hyperlink"/>
            <w:rFonts w:eastAsia="Times New Roman" w:cs="Times New Roman"/>
            <w:szCs w:val="24"/>
            <w:lang w:val="en-GB"/>
          </w:rPr>
          <w:t>https://run.unl.pt/bitstreams/8f3107c3-d171-4f31-99f4-8461143724d9/download</w:t>
        </w:r>
      </w:hyperlink>
      <w:r w:rsidR="008D5F3D">
        <w:rPr>
          <w:rFonts w:eastAsia="Times New Roman" w:cs="Times New Roman"/>
          <w:szCs w:val="24"/>
          <w:lang w:val="en-GB"/>
        </w:rPr>
        <w:t xml:space="preserve"> </w:t>
      </w:r>
      <w:r w:rsidRPr="001E6AFD">
        <w:rPr>
          <w:rFonts w:eastAsia="Times New Roman" w:cs="Times New Roman"/>
          <w:szCs w:val="24"/>
          <w:lang w:val="en-GB"/>
        </w:rPr>
        <w:t>(Accessed: 24 March 2026).</w:t>
      </w:r>
    </w:p>
    <w:p w14:paraId="53AD9D0F" w14:textId="2449B875" w:rsidR="00E7394B" w:rsidRPr="001E6AFD" w:rsidRDefault="00FA4025">
      <w:pPr>
        <w:spacing w:before="200" w:after="240"/>
        <w:rPr>
          <w:rFonts w:eastAsia="Times New Roman" w:cs="Times New Roman"/>
          <w:szCs w:val="24"/>
          <w:lang w:val="en-GB"/>
        </w:rPr>
      </w:pPr>
      <w:proofErr w:type="spellStart"/>
      <w:r w:rsidRPr="001E6AFD">
        <w:rPr>
          <w:rFonts w:eastAsia="Times New Roman" w:cs="Times New Roman"/>
          <w:szCs w:val="24"/>
          <w:lang w:val="en-GB"/>
        </w:rPr>
        <w:lastRenderedPageBreak/>
        <w:t>Winit</w:t>
      </w:r>
      <w:proofErr w:type="spellEnd"/>
      <w:r w:rsidRPr="001E6AFD">
        <w:rPr>
          <w:rFonts w:eastAsia="Times New Roman" w:cs="Times New Roman"/>
          <w:szCs w:val="24"/>
          <w:lang w:val="en-GB"/>
        </w:rPr>
        <w:t xml:space="preserve">, W. and </w:t>
      </w:r>
      <w:proofErr w:type="spellStart"/>
      <w:r w:rsidRPr="001E6AFD">
        <w:rPr>
          <w:rFonts w:eastAsia="Times New Roman" w:cs="Times New Roman"/>
          <w:szCs w:val="24"/>
          <w:lang w:val="en-GB"/>
        </w:rPr>
        <w:t>Kantabutra</w:t>
      </w:r>
      <w:proofErr w:type="spellEnd"/>
      <w:r w:rsidRPr="001E6AFD">
        <w:rPr>
          <w:rFonts w:eastAsia="Times New Roman" w:cs="Times New Roman"/>
          <w:szCs w:val="24"/>
          <w:lang w:val="en-GB"/>
        </w:rPr>
        <w:t xml:space="preserve">, S. (2022) ‘Enhancing the Prospect of Corporate Sustainability via Brand Equity: A Stakeholder Model’, </w:t>
      </w:r>
      <w:r w:rsidRPr="001E6AFD">
        <w:rPr>
          <w:rFonts w:eastAsia="Times New Roman" w:cs="Times New Roman"/>
          <w:i/>
          <w:iCs/>
          <w:szCs w:val="24"/>
          <w:lang w:val="en-GB"/>
        </w:rPr>
        <w:t>Sustainability</w:t>
      </w:r>
      <w:r w:rsidRPr="001E6AFD">
        <w:rPr>
          <w:rFonts w:eastAsia="Times New Roman" w:cs="Times New Roman"/>
          <w:szCs w:val="24"/>
          <w:lang w:val="en-GB"/>
        </w:rPr>
        <w:t xml:space="preserve">, 14(9), p. 4998. Available at: </w:t>
      </w:r>
      <w:hyperlink r:id="rId59" w:history="1">
        <w:r w:rsidR="008D5F3D" w:rsidRPr="00293D44">
          <w:rPr>
            <w:rStyle w:val="Hyperlink"/>
            <w:rFonts w:eastAsia="Times New Roman" w:cs="Times New Roman"/>
            <w:szCs w:val="24"/>
            <w:lang w:val="en-GB"/>
          </w:rPr>
          <w:t>https://doi.org/10.3390/su14094998</w:t>
        </w:r>
      </w:hyperlink>
      <w:r w:rsidRPr="001E6AFD">
        <w:rPr>
          <w:rFonts w:eastAsia="Times New Roman" w:cs="Times New Roman"/>
          <w:szCs w:val="24"/>
          <w:lang w:val="en-GB"/>
        </w:rPr>
        <w:t>.</w:t>
      </w:r>
      <w:r w:rsidR="008D5F3D">
        <w:rPr>
          <w:rFonts w:eastAsia="Times New Roman" w:cs="Times New Roman"/>
          <w:szCs w:val="24"/>
          <w:lang w:val="en-GB"/>
        </w:rPr>
        <w:t xml:space="preserve"> </w:t>
      </w:r>
    </w:p>
    <w:sectPr w:rsidR="00E7394B" w:rsidRPr="001E6AFD" w:rsidSect="00B53D55">
      <w:footerReference w:type="default" r:id="rId6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F3D83" w14:textId="77777777" w:rsidR="00094748" w:rsidRDefault="00094748" w:rsidP="001E6AFD">
      <w:pPr>
        <w:spacing w:line="240" w:lineRule="auto"/>
      </w:pPr>
      <w:r>
        <w:separator/>
      </w:r>
    </w:p>
  </w:endnote>
  <w:endnote w:type="continuationSeparator" w:id="0">
    <w:p w14:paraId="7C0657CD" w14:textId="77777777" w:rsidR="00094748" w:rsidRDefault="00094748" w:rsidP="001E6A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B3FC4FE-5C19-4CC0-AEA3-1395F83A9D8E}"/>
  </w:font>
  <w:font w:name="Cambria">
    <w:panose1 w:val="02040503050406030204"/>
    <w:charset w:val="00"/>
    <w:family w:val="roman"/>
    <w:pitch w:val="variable"/>
    <w:sig w:usb0="E00006FF" w:usb1="420024FF" w:usb2="02000000" w:usb3="00000000" w:csb0="0000019F" w:csb1="00000000"/>
    <w:embedRegular r:id="rId2" w:fontKey="{8F88951F-DCD0-4E97-BDEC-84F936426F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sz w:val="20"/>
        <w:szCs w:val="20"/>
      </w:rPr>
      <w:id w:val="-1053533721"/>
      <w:docPartObj>
        <w:docPartGallery w:val="Page Numbers (Bottom of Page)"/>
        <w:docPartUnique/>
      </w:docPartObj>
    </w:sdtPr>
    <w:sdtContent>
      <w:sdt>
        <w:sdtPr>
          <w:rPr>
            <w:rFonts w:cs="Times New Roman"/>
            <w:sz w:val="20"/>
            <w:szCs w:val="20"/>
          </w:rPr>
          <w:id w:val="-1769616900"/>
          <w:docPartObj>
            <w:docPartGallery w:val="Page Numbers (Top of Page)"/>
            <w:docPartUnique/>
          </w:docPartObj>
        </w:sdtPr>
        <w:sdtContent>
          <w:p w14:paraId="515FC281" w14:textId="77777777" w:rsidR="001E6AFD" w:rsidRPr="008D5F3D" w:rsidRDefault="001E6AFD">
            <w:pPr>
              <w:pStyle w:val="Footer"/>
              <w:jc w:val="right"/>
              <w:rPr>
                <w:rFonts w:cs="Times New Roman"/>
                <w:sz w:val="20"/>
                <w:szCs w:val="20"/>
              </w:rPr>
            </w:pPr>
            <w:r w:rsidRPr="008D5F3D">
              <w:rPr>
                <w:rFonts w:cs="Times New Roman"/>
                <w:sz w:val="20"/>
                <w:szCs w:val="20"/>
              </w:rPr>
              <w:t xml:space="preserve">Page </w:t>
            </w:r>
            <w:r w:rsidRPr="008D5F3D">
              <w:rPr>
                <w:rFonts w:cs="Times New Roman"/>
                <w:sz w:val="20"/>
                <w:szCs w:val="20"/>
              </w:rPr>
              <w:fldChar w:fldCharType="begin"/>
            </w:r>
            <w:r w:rsidRPr="008D5F3D">
              <w:rPr>
                <w:rFonts w:cs="Times New Roman"/>
                <w:sz w:val="20"/>
                <w:szCs w:val="20"/>
              </w:rPr>
              <w:instrText xml:space="preserve"> PAGE </w:instrText>
            </w:r>
            <w:r w:rsidRPr="008D5F3D">
              <w:rPr>
                <w:rFonts w:cs="Times New Roman"/>
                <w:sz w:val="20"/>
                <w:szCs w:val="20"/>
              </w:rPr>
              <w:fldChar w:fldCharType="separate"/>
            </w:r>
            <w:r w:rsidR="00FB47D0" w:rsidRPr="008D5F3D">
              <w:rPr>
                <w:rFonts w:cs="Times New Roman"/>
                <w:noProof/>
                <w:sz w:val="20"/>
                <w:szCs w:val="20"/>
              </w:rPr>
              <w:t>28</w:t>
            </w:r>
            <w:r w:rsidRPr="008D5F3D">
              <w:rPr>
                <w:rFonts w:cs="Times New Roman"/>
                <w:sz w:val="20"/>
                <w:szCs w:val="20"/>
              </w:rPr>
              <w:fldChar w:fldCharType="end"/>
            </w:r>
            <w:r w:rsidRPr="008D5F3D">
              <w:rPr>
                <w:rFonts w:cs="Times New Roman"/>
                <w:sz w:val="20"/>
                <w:szCs w:val="20"/>
              </w:rPr>
              <w:t xml:space="preserve"> of </w:t>
            </w:r>
            <w:r w:rsidRPr="008D5F3D">
              <w:rPr>
                <w:rFonts w:cs="Times New Roman"/>
                <w:sz w:val="20"/>
                <w:szCs w:val="20"/>
              </w:rPr>
              <w:fldChar w:fldCharType="begin"/>
            </w:r>
            <w:r w:rsidRPr="008D5F3D">
              <w:rPr>
                <w:rFonts w:cs="Times New Roman"/>
                <w:sz w:val="20"/>
                <w:szCs w:val="20"/>
              </w:rPr>
              <w:instrText xml:space="preserve"> NUMPAGES  </w:instrText>
            </w:r>
            <w:r w:rsidRPr="008D5F3D">
              <w:rPr>
                <w:rFonts w:cs="Times New Roman"/>
                <w:sz w:val="20"/>
                <w:szCs w:val="20"/>
              </w:rPr>
              <w:fldChar w:fldCharType="separate"/>
            </w:r>
            <w:r w:rsidR="00FB47D0" w:rsidRPr="008D5F3D">
              <w:rPr>
                <w:rFonts w:cs="Times New Roman"/>
                <w:noProof/>
                <w:sz w:val="20"/>
                <w:szCs w:val="20"/>
              </w:rPr>
              <w:t>29</w:t>
            </w:r>
            <w:r w:rsidRPr="008D5F3D">
              <w:rPr>
                <w:rFonts w:cs="Times New Roman"/>
                <w:sz w:val="20"/>
                <w:szCs w:val="20"/>
              </w:rPr>
              <w:fldChar w:fldCharType="end"/>
            </w:r>
          </w:p>
        </w:sdtContent>
      </w:sdt>
    </w:sdtContent>
  </w:sdt>
  <w:p w14:paraId="61B5AF85" w14:textId="77777777" w:rsidR="001E6AFD" w:rsidRDefault="001E6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B350B" w14:textId="77777777" w:rsidR="00094748" w:rsidRDefault="00094748" w:rsidP="001E6AFD">
      <w:pPr>
        <w:spacing w:line="240" w:lineRule="auto"/>
      </w:pPr>
      <w:r>
        <w:separator/>
      </w:r>
    </w:p>
  </w:footnote>
  <w:footnote w:type="continuationSeparator" w:id="0">
    <w:p w14:paraId="4392D945" w14:textId="77777777" w:rsidR="00094748" w:rsidRDefault="00094748" w:rsidP="001E6A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D47266"/>
    <w:multiLevelType w:val="hybridMultilevel"/>
    <w:tmpl w:val="00000000"/>
    <w:lvl w:ilvl="0" w:tplc="B156E4E6">
      <w:start w:val="1"/>
      <w:numFmt w:val="bullet"/>
      <w:lvlText w:val="●"/>
      <w:lvlJc w:val="left"/>
      <w:pPr>
        <w:ind w:left="720" w:hanging="360"/>
      </w:pPr>
      <w:rPr>
        <w:u w:val="none"/>
      </w:rPr>
    </w:lvl>
    <w:lvl w:ilvl="1" w:tplc="CFCA0B16">
      <w:start w:val="1"/>
      <w:numFmt w:val="bullet"/>
      <w:lvlText w:val="○"/>
      <w:lvlJc w:val="left"/>
      <w:pPr>
        <w:ind w:left="1440" w:hanging="360"/>
      </w:pPr>
      <w:rPr>
        <w:u w:val="none"/>
      </w:rPr>
    </w:lvl>
    <w:lvl w:ilvl="2" w:tplc="9264AF98">
      <w:start w:val="1"/>
      <w:numFmt w:val="bullet"/>
      <w:lvlText w:val="■"/>
      <w:lvlJc w:val="left"/>
      <w:pPr>
        <w:ind w:left="2160" w:hanging="360"/>
      </w:pPr>
      <w:rPr>
        <w:u w:val="none"/>
      </w:rPr>
    </w:lvl>
    <w:lvl w:ilvl="3" w:tplc="CD305B06">
      <w:start w:val="1"/>
      <w:numFmt w:val="bullet"/>
      <w:lvlText w:val="●"/>
      <w:lvlJc w:val="left"/>
      <w:pPr>
        <w:ind w:left="2880" w:hanging="360"/>
      </w:pPr>
      <w:rPr>
        <w:u w:val="none"/>
      </w:rPr>
    </w:lvl>
    <w:lvl w:ilvl="4" w:tplc="51DE1508">
      <w:start w:val="1"/>
      <w:numFmt w:val="bullet"/>
      <w:lvlText w:val="○"/>
      <w:lvlJc w:val="left"/>
      <w:pPr>
        <w:ind w:left="3600" w:hanging="360"/>
      </w:pPr>
      <w:rPr>
        <w:u w:val="none"/>
      </w:rPr>
    </w:lvl>
    <w:lvl w:ilvl="5" w:tplc="328A3AE6">
      <w:start w:val="1"/>
      <w:numFmt w:val="bullet"/>
      <w:lvlText w:val="■"/>
      <w:lvlJc w:val="left"/>
      <w:pPr>
        <w:ind w:left="4320" w:hanging="360"/>
      </w:pPr>
      <w:rPr>
        <w:u w:val="none"/>
      </w:rPr>
    </w:lvl>
    <w:lvl w:ilvl="6" w:tplc="E77E8566">
      <w:start w:val="1"/>
      <w:numFmt w:val="bullet"/>
      <w:lvlText w:val="●"/>
      <w:lvlJc w:val="left"/>
      <w:pPr>
        <w:ind w:left="5040" w:hanging="360"/>
      </w:pPr>
      <w:rPr>
        <w:u w:val="none"/>
      </w:rPr>
    </w:lvl>
    <w:lvl w:ilvl="7" w:tplc="19264AF4">
      <w:start w:val="1"/>
      <w:numFmt w:val="bullet"/>
      <w:lvlText w:val="○"/>
      <w:lvlJc w:val="left"/>
      <w:pPr>
        <w:ind w:left="5760" w:hanging="360"/>
      </w:pPr>
      <w:rPr>
        <w:u w:val="none"/>
      </w:rPr>
    </w:lvl>
    <w:lvl w:ilvl="8" w:tplc="D94A7E3C">
      <w:start w:val="1"/>
      <w:numFmt w:val="bullet"/>
      <w:lvlText w:val="■"/>
      <w:lvlJc w:val="left"/>
      <w:pPr>
        <w:ind w:left="6480" w:hanging="360"/>
      </w:pPr>
      <w:rPr>
        <w:u w:val="none"/>
      </w:rPr>
    </w:lvl>
  </w:abstractNum>
  <w:num w:numId="1" w16cid:durableId="243952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94B"/>
    <w:rsid w:val="000106D6"/>
    <w:rsid w:val="0004096F"/>
    <w:rsid w:val="00081E58"/>
    <w:rsid w:val="00094748"/>
    <w:rsid w:val="001106FA"/>
    <w:rsid w:val="001E6AFD"/>
    <w:rsid w:val="002B64E3"/>
    <w:rsid w:val="003271D0"/>
    <w:rsid w:val="003771DD"/>
    <w:rsid w:val="003B0995"/>
    <w:rsid w:val="00404711"/>
    <w:rsid w:val="00534997"/>
    <w:rsid w:val="006473F9"/>
    <w:rsid w:val="006724E3"/>
    <w:rsid w:val="007028F8"/>
    <w:rsid w:val="00775BD9"/>
    <w:rsid w:val="00781A09"/>
    <w:rsid w:val="007E333D"/>
    <w:rsid w:val="00853D06"/>
    <w:rsid w:val="008D5F3D"/>
    <w:rsid w:val="00A3359D"/>
    <w:rsid w:val="00B53D55"/>
    <w:rsid w:val="00CE10E0"/>
    <w:rsid w:val="00E03F6B"/>
    <w:rsid w:val="00E7394B"/>
    <w:rsid w:val="00F673A3"/>
    <w:rsid w:val="00FA4025"/>
    <w:rsid w:val="00FB4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0043B"/>
  <w15:docId w15:val="{E188B797-F650-4362-872F-5F61DF51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71D0"/>
    <w:pPr>
      <w:spacing w:before="120" w:after="120" w:line="360" w:lineRule="auto"/>
      <w:jc w:val="both"/>
    </w:pPr>
    <w:rPr>
      <w:rFonts w:ascii="Times New Roman" w:hAnsi="Times New Roman"/>
      <w:sz w:val="24"/>
    </w:rPr>
  </w:style>
  <w:style w:type="paragraph" w:styleId="Heading1">
    <w:name w:val="heading 1"/>
    <w:basedOn w:val="Normal"/>
    <w:next w:val="Normal"/>
    <w:autoRedefine/>
    <w:rsid w:val="007028F8"/>
    <w:pPr>
      <w:keepNext/>
      <w:keepLines/>
      <w:spacing w:before="400"/>
      <w:outlineLvl w:val="0"/>
    </w:pPr>
    <w:rPr>
      <w:b/>
      <w:color w:val="000000" w:themeColor="text1"/>
      <w:sz w:val="28"/>
      <w:szCs w:val="40"/>
    </w:rPr>
  </w:style>
  <w:style w:type="paragraph" w:styleId="Heading2">
    <w:name w:val="heading 2"/>
    <w:basedOn w:val="Normal"/>
    <w:next w:val="Normal"/>
    <w:autoRedefine/>
    <w:rsid w:val="003271D0"/>
    <w:pPr>
      <w:keepNext/>
      <w:keepLines/>
      <w:outlineLvl w:val="1"/>
    </w:pPr>
    <w:rPr>
      <w:b/>
      <w:color w:val="000000" w:themeColor="text1"/>
      <w:szCs w:val="32"/>
    </w:rPr>
  </w:style>
  <w:style w:type="paragraph" w:styleId="Heading3">
    <w:name w:val="heading 3"/>
    <w:basedOn w:val="Normal"/>
    <w:next w:val="Normal"/>
    <w:rsid w:val="003271D0"/>
    <w:pPr>
      <w:keepNext/>
      <w:keepLines/>
      <w:outlineLvl w:val="2"/>
    </w:pPr>
    <w:rPr>
      <w:b/>
      <w:color w:val="000000" w:themeColor="text1"/>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Header">
    <w:name w:val="header"/>
    <w:basedOn w:val="Normal"/>
    <w:link w:val="HeaderChar"/>
    <w:uiPriority w:val="99"/>
    <w:unhideWhenUsed/>
    <w:rsid w:val="001E6AFD"/>
    <w:pPr>
      <w:tabs>
        <w:tab w:val="center" w:pos="4680"/>
        <w:tab w:val="right" w:pos="9360"/>
      </w:tabs>
      <w:spacing w:line="240" w:lineRule="auto"/>
    </w:pPr>
  </w:style>
  <w:style w:type="character" w:customStyle="1" w:styleId="HeaderChar">
    <w:name w:val="Header Char"/>
    <w:basedOn w:val="DefaultParagraphFont"/>
    <w:link w:val="Header"/>
    <w:uiPriority w:val="99"/>
    <w:rsid w:val="001E6AFD"/>
  </w:style>
  <w:style w:type="paragraph" w:styleId="Footer">
    <w:name w:val="footer"/>
    <w:basedOn w:val="Normal"/>
    <w:link w:val="FooterChar"/>
    <w:uiPriority w:val="99"/>
    <w:unhideWhenUsed/>
    <w:rsid w:val="001E6AFD"/>
    <w:pPr>
      <w:tabs>
        <w:tab w:val="center" w:pos="4680"/>
        <w:tab w:val="right" w:pos="9360"/>
      </w:tabs>
      <w:spacing w:line="240" w:lineRule="auto"/>
    </w:pPr>
  </w:style>
  <w:style w:type="character" w:customStyle="1" w:styleId="FooterChar">
    <w:name w:val="Footer Char"/>
    <w:basedOn w:val="DefaultParagraphFont"/>
    <w:link w:val="Footer"/>
    <w:uiPriority w:val="99"/>
    <w:rsid w:val="001E6AFD"/>
  </w:style>
  <w:style w:type="paragraph" w:styleId="TOCHeading">
    <w:name w:val="TOC Heading"/>
    <w:basedOn w:val="Heading1"/>
    <w:next w:val="Normal"/>
    <w:uiPriority w:val="39"/>
    <w:unhideWhenUsed/>
    <w:qFormat/>
    <w:rsid w:val="00CE10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E10E0"/>
    <w:pPr>
      <w:spacing w:after="100"/>
    </w:pPr>
  </w:style>
  <w:style w:type="paragraph" w:styleId="TOC2">
    <w:name w:val="toc 2"/>
    <w:basedOn w:val="Normal"/>
    <w:next w:val="Normal"/>
    <w:autoRedefine/>
    <w:uiPriority w:val="39"/>
    <w:unhideWhenUsed/>
    <w:rsid w:val="00CE10E0"/>
    <w:pPr>
      <w:spacing w:after="100"/>
      <w:ind w:left="220"/>
    </w:pPr>
  </w:style>
  <w:style w:type="character" w:styleId="Hyperlink">
    <w:name w:val="Hyperlink"/>
    <w:basedOn w:val="DefaultParagraphFont"/>
    <w:uiPriority w:val="99"/>
    <w:unhideWhenUsed/>
    <w:rsid w:val="00CE10E0"/>
    <w:rPr>
      <w:color w:val="0000FF" w:themeColor="hyperlink"/>
      <w:u w:val="single"/>
    </w:rPr>
  </w:style>
  <w:style w:type="character" w:styleId="UnresolvedMention">
    <w:name w:val="Unresolved Mention"/>
    <w:basedOn w:val="DefaultParagraphFont"/>
    <w:uiPriority w:val="99"/>
    <w:semiHidden/>
    <w:unhideWhenUsed/>
    <w:rsid w:val="003B0995"/>
    <w:rPr>
      <w:color w:val="605E5C"/>
      <w:shd w:val="clear" w:color="auto" w:fill="E1DFDD"/>
    </w:rPr>
  </w:style>
  <w:style w:type="paragraph" w:styleId="TOC3">
    <w:name w:val="toc 3"/>
    <w:basedOn w:val="Normal"/>
    <w:next w:val="Normal"/>
    <w:autoRedefine/>
    <w:uiPriority w:val="39"/>
    <w:unhideWhenUsed/>
    <w:rsid w:val="0053499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usinessbar.net/all/whats-brewing-in-the-beer-business/" TargetMode="External"/><Relationship Id="rId26" Type="http://schemas.openxmlformats.org/officeDocument/2006/relationships/hyperlink" Target="https://doi.org/10.1080/23311975.2023.2233272" TargetMode="External"/><Relationship Id="rId39" Type="http://schemas.openxmlformats.org/officeDocument/2006/relationships/hyperlink" Target="https://doi.org/10.2478/acc-2025-0009" TargetMode="External"/><Relationship Id="rId21" Type="http://schemas.openxmlformats.org/officeDocument/2006/relationships/hyperlink" Target="https://bia.unibz.it/esploro/fulltext/journalArticle/Divestiture-and-Its-Market-Reaction-in/991006568798701241?repId=12300128870001241&amp;mId=13300108770001241&amp;institution=39UBZ_INST" TargetMode="External"/><Relationship Id="rId34" Type="http://schemas.openxmlformats.org/officeDocument/2006/relationships/hyperlink" Target="https://foodservicefootprint.com/heineken-simplifies-sustainability-goals/" TargetMode="External"/><Relationship Id="rId42" Type="http://schemas.openxmlformats.org/officeDocument/2006/relationships/hyperlink" Target="https://doi.org/10.3390/su151813645" TargetMode="External"/><Relationship Id="rId47" Type="http://schemas.openxmlformats.org/officeDocument/2006/relationships/hyperlink" Target="https://doi.org/10.1186/s12889-024-19724-y" TargetMode="External"/><Relationship Id="rId50" Type="http://schemas.openxmlformats.org/officeDocument/2006/relationships/hyperlink" Target="https://doi.org/10.1080/03610470.2025.2509059" TargetMode="External"/><Relationship Id="rId55" Type="http://schemas.openxmlformats.org/officeDocument/2006/relationships/hyperlink" Target="https://tradingeconomics.com/netherlands/gdp"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everagedaily.com/Article/2025/02/13/premium-brands-continue-to-shine-for-heineken/" TargetMode="External"/><Relationship Id="rId29" Type="http://schemas.openxmlformats.org/officeDocument/2006/relationships/hyperlink" Target="https://www.theheinekencompany.com/sites/heineken-corp/files/2024-06/BABW%202030%20Strategy%20Booklet%20-%20June%202024.pdf" TargetMode="External"/><Relationship Id="rId11" Type="http://schemas.openxmlformats.org/officeDocument/2006/relationships/image" Target="media/image4.png"/><Relationship Id="rId24" Type="http://schemas.openxmlformats.org/officeDocument/2006/relationships/hyperlink" Target="https://run.unl.pt/bitstream/10362/171148/1/Internationalization_project_Cocktail_team_Fall_FernandoRibeiro.pdf" TargetMode="External"/><Relationship Id="rId32" Type="http://schemas.openxmlformats.org/officeDocument/2006/relationships/hyperlink" Target="https://www.theheinekencompany.com/sites/heineken-corp/files/heineken-corp/investors/results-reports-webcasts-presentations/2025/heineken-investor-presentation-may-2025.pdf" TargetMode="External"/><Relationship Id="rId37" Type="http://schemas.openxmlformats.org/officeDocument/2006/relationships/hyperlink" Target="https://doi.org/10.1002/wps.21224" TargetMode="External"/><Relationship Id="rId40" Type="http://schemas.openxmlformats.org/officeDocument/2006/relationships/hyperlink" Target="https://doi.org/10.1016/j.jrt.2021.100008" TargetMode="External"/><Relationship Id="rId45" Type="http://schemas.openxmlformats.org/officeDocument/2006/relationships/hyperlink" Target="https://run.unl.pt/bitstreams/fbf30c76-c61d-424b-92c7-6b2cafd45ef8/download" TargetMode="External"/><Relationship Id="rId53" Type="http://schemas.openxmlformats.org/officeDocument/2006/relationships/hyperlink" Target="https://www.theglobaleconomy.com/Netherlands/wb_political_stability/" TargetMode="External"/><Relationship Id="rId58" Type="http://schemas.openxmlformats.org/officeDocument/2006/relationships/hyperlink" Target="https://run.unl.pt/bitstreams/8f3107c3-d171-4f31-99f4-8461143724d9/download"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1080/00130095.2022.2080655" TargetMode="External"/><Relationship Id="rId14" Type="http://schemas.openxmlformats.org/officeDocument/2006/relationships/hyperlink" Target="https://doi.org/10.1017/jwe.2023.8" TargetMode="External"/><Relationship Id="rId22" Type="http://schemas.openxmlformats.org/officeDocument/2006/relationships/hyperlink" Target="https://live.euronext.com/en/products/equities/company-news/2025-02-12-heineken-holding-nv-reports-2024-full-year-results" TargetMode="External"/><Relationship Id="rId27" Type="http://schemas.openxmlformats.org/officeDocument/2006/relationships/hyperlink" Target="https://doi.org/10.1016/j.jretai.2020.10.007" TargetMode="External"/><Relationship Id="rId30" Type="http://schemas.openxmlformats.org/officeDocument/2006/relationships/hyperlink" Target="https://www.theheinekencompany.com/sites/heineken-corp/files/2025-02/heineken_n_v_annual_report_2024_final_20feb2025.pdf" TargetMode="External"/><Relationship Id="rId35" Type="http://schemas.openxmlformats.org/officeDocument/2006/relationships/hyperlink" Target="https://www.theheinekencompany.com/newsroom/2025-outlook-for-00-category-looks-positive-but-still-some-social-barriers-to-overcome/" TargetMode="External"/><Relationship Id="rId43" Type="http://schemas.openxmlformats.org/officeDocument/2006/relationships/hyperlink" Target="https://run.unl.pt/bitstream/10362/144700/1/27608_gon_alo_miguel_martins_duarte_dos_santos_2020-21_fall_44039_goncalo_santos_211803_679711189-1.pdf" TargetMode="External"/><Relationship Id="rId48" Type="http://schemas.openxmlformats.org/officeDocument/2006/relationships/hyperlink" Target="https://www.a-fl-insight.com/vol-15/91.pdf" TargetMode="External"/><Relationship Id="rId56" Type="http://schemas.openxmlformats.org/officeDocument/2006/relationships/hyperlink" Target="https://tradingeconomics.com/netherlands/inflation-cpi" TargetMode="External"/><Relationship Id="rId8" Type="http://schemas.openxmlformats.org/officeDocument/2006/relationships/image" Target="media/image1.png"/><Relationship Id="rId51" Type="http://schemas.openxmlformats.org/officeDocument/2006/relationships/hyperlink" Target="https://www.statista.com/statistics/269136/employees-of-the-heineken-group-by-region/?srsltid=AfmBOopD8z77sVpq5uORpI-tKGdOHznovjEiisUwbjDd34EFaqs8W5h_"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uerf.org/wp-content/uploads/2025/06/SUERF-Policy-Brief-1196_Bouis_Capelle-et-al.pdf" TargetMode="External"/><Relationship Id="rId25" Type="http://schemas.openxmlformats.org/officeDocument/2006/relationships/hyperlink" Target="https://openresearch.ocadu.ca/id/eprint/4669/1/Furlan_Paige_Ren_Allison_2025_MDES_SFI_MRP_.pdf" TargetMode="External"/><Relationship Id="rId33" Type="http://schemas.openxmlformats.org/officeDocument/2006/relationships/hyperlink" Target="https://www.theheinekencompany.com/sites/heineken-corp/files/2026-02/2025_Heineken_NV_Annual_Report_Interactive_100226_FINAL.pdf" TargetMode="External"/><Relationship Id="rId38" Type="http://schemas.openxmlformats.org/officeDocument/2006/relationships/hyperlink" Target="https://doi.org/10.29119/1641-3466.2024.207.12" TargetMode="External"/><Relationship Id="rId46" Type="http://schemas.openxmlformats.org/officeDocument/2006/relationships/hyperlink" Target="https://doi.org/10.2139/ssrn.4241593" TargetMode="External"/><Relationship Id="rId59" Type="http://schemas.openxmlformats.org/officeDocument/2006/relationships/hyperlink" Target="https://doi.org/10.3390/su14094998" TargetMode="External"/><Relationship Id="rId20" Type="http://schemas.openxmlformats.org/officeDocument/2006/relationships/hyperlink" Target="https://digitalcommons.unl.edu/cgi/viewcontent.cgi?article=1643&amp;context=honorstheses" TargetMode="External"/><Relationship Id="rId41" Type="http://schemas.openxmlformats.org/officeDocument/2006/relationships/hyperlink" Target="https://doi.org/10.1192/j.eurpsy.2022.2344" TargetMode="External"/><Relationship Id="rId54" Type="http://schemas.openxmlformats.org/officeDocument/2006/relationships/hyperlink" Target="https://onlinelibrary.wiley.com/doi/full/10.1155/2024/3641502?msockid=2a94fca733156bef1b09e8bc32696a91"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20900/jsr20250032" TargetMode="External"/><Relationship Id="rId23" Type="http://schemas.openxmlformats.org/officeDocument/2006/relationships/hyperlink" Target="https://doi.org/10.3390/joitmc8030163" TargetMode="External"/><Relationship Id="rId28" Type="http://schemas.openxmlformats.org/officeDocument/2006/relationships/hyperlink" Target="https://doi.org/10.3389/frsus.2022.966876" TargetMode="External"/><Relationship Id="rId36" Type="http://schemas.openxmlformats.org/officeDocument/2006/relationships/hyperlink" Target="https://www.theheinekencompany.com/newsroom/festive-freedom-why-saying-no-thanks-to-alcohol-is-the-new-normal" TargetMode="External"/><Relationship Id="rId49" Type="http://schemas.openxmlformats.org/officeDocument/2006/relationships/hyperlink" Target="https://doi.org/10.3390/su17031268" TargetMode="External"/><Relationship Id="rId57" Type="http://schemas.openxmlformats.org/officeDocument/2006/relationships/hyperlink" Target="https://tradingeconomics.com/netherlands/unemployment-rate" TargetMode="External"/><Relationship Id="rId10" Type="http://schemas.openxmlformats.org/officeDocument/2006/relationships/image" Target="media/image3.png"/><Relationship Id="rId31" Type="http://schemas.openxmlformats.org/officeDocument/2006/relationships/hyperlink" Target="https://www.otcmarkets.com/file/company/financial-report/421740/content" TargetMode="External"/><Relationship Id="rId44" Type="http://schemas.openxmlformats.org/officeDocument/2006/relationships/hyperlink" Target="https://www.academia.edu/download/118779697/076.pdf" TargetMode="External"/><Relationship Id="rId52" Type="http://schemas.openxmlformats.org/officeDocument/2006/relationships/hyperlink" Target="https://www.statista.com/statistics/516457/heineken-revenue-worldwide/?srsltid=AfmBOopewMLOtM7egmDZtyRsudX8UYUYt6smoue0tSiwEwgaxMSGBA0W"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0A96E3-AF0B-4FFB-AE8A-423A6AA3A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8067</Words>
  <Characters>45985</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chandru subbaiah</cp:lastModifiedBy>
  <cp:revision>2</cp:revision>
  <dcterms:created xsi:type="dcterms:W3CDTF">2026-05-01T06:28:00Z</dcterms:created>
  <dcterms:modified xsi:type="dcterms:W3CDTF">2026-05-01T06:28:00Z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d0a2513a-693c-4168-a036-dfedab223494</vt:lpwstr>
  </property>
</Properties>
</file>