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7932" w14:textId="4DE588C1" w:rsidR="001E4E20" w:rsidRPr="002A686F" w:rsidRDefault="000925BA" w:rsidP="000925BA">
      <w:pPr>
        <w:pStyle w:val="NoSpacing"/>
        <w:rPr>
          <w:rFonts w:ascii="Arial" w:hAnsi="Arial" w:cs="Arial"/>
          <w:sz w:val="28"/>
          <w:szCs w:val="28"/>
        </w:rPr>
      </w:pPr>
      <w:bookmarkStart w:id="0" w:name="_Hlk216892481"/>
      <w:bookmarkEnd w:id="0"/>
      <w:r w:rsidRPr="002A686F">
        <w:rPr>
          <w:rFonts w:ascii="Arial" w:hAnsi="Arial" w:cs="Arial"/>
          <w:sz w:val="28"/>
          <w:szCs w:val="28"/>
        </w:rPr>
        <w:t>University of Wales</w:t>
      </w:r>
    </w:p>
    <w:p w14:paraId="2D847767" w14:textId="7083448F" w:rsidR="000925BA" w:rsidRPr="002A686F" w:rsidRDefault="000925BA" w:rsidP="000925BA">
      <w:pPr>
        <w:pStyle w:val="NoSpacing"/>
        <w:rPr>
          <w:rFonts w:ascii="Arial" w:hAnsi="Arial" w:cs="Arial"/>
          <w:sz w:val="28"/>
          <w:szCs w:val="28"/>
        </w:rPr>
      </w:pPr>
      <w:r w:rsidRPr="002A686F">
        <w:rPr>
          <w:rFonts w:ascii="Arial" w:hAnsi="Arial" w:cs="Arial"/>
          <w:sz w:val="28"/>
          <w:szCs w:val="28"/>
        </w:rPr>
        <w:t>Trinity Saint David</w:t>
      </w:r>
    </w:p>
    <w:p w14:paraId="10049A4B" w14:textId="6A56700D" w:rsidR="000925BA" w:rsidRPr="002A686F" w:rsidRDefault="000925BA" w:rsidP="000925BA">
      <w:pPr>
        <w:pStyle w:val="NoSpacing"/>
        <w:rPr>
          <w:rFonts w:ascii="Arial" w:hAnsi="Arial" w:cs="Arial"/>
          <w:sz w:val="28"/>
          <w:szCs w:val="28"/>
        </w:rPr>
      </w:pPr>
      <w:r w:rsidRPr="002A686F">
        <w:rPr>
          <w:rFonts w:ascii="Arial" w:hAnsi="Arial" w:cs="Arial"/>
          <w:sz w:val="28"/>
          <w:szCs w:val="28"/>
        </w:rPr>
        <w:t>London</w:t>
      </w:r>
    </w:p>
    <w:p w14:paraId="45F2D7BD" w14:textId="77777777" w:rsidR="000925BA" w:rsidRPr="002A686F" w:rsidRDefault="000925BA" w:rsidP="000925BA">
      <w:pPr>
        <w:pStyle w:val="NoSpacing"/>
        <w:rPr>
          <w:rFonts w:ascii="Arial" w:hAnsi="Arial" w:cs="Arial"/>
          <w:sz w:val="32"/>
          <w:szCs w:val="32"/>
        </w:rPr>
      </w:pPr>
    </w:p>
    <w:p w14:paraId="30CF6485" w14:textId="77777777" w:rsidR="000925BA" w:rsidRPr="002A686F" w:rsidRDefault="000925BA" w:rsidP="000925BA">
      <w:pPr>
        <w:pStyle w:val="NoSpacing"/>
        <w:rPr>
          <w:rFonts w:ascii="Arial" w:hAnsi="Arial" w:cs="Arial"/>
          <w:sz w:val="32"/>
          <w:szCs w:val="32"/>
        </w:rPr>
      </w:pPr>
    </w:p>
    <w:p w14:paraId="5F94395B" w14:textId="77777777" w:rsidR="000925BA" w:rsidRPr="002A686F" w:rsidRDefault="000925BA" w:rsidP="000925BA">
      <w:pPr>
        <w:pStyle w:val="NoSpacing"/>
        <w:rPr>
          <w:rFonts w:ascii="Arial" w:hAnsi="Arial" w:cs="Arial"/>
          <w:sz w:val="32"/>
          <w:szCs w:val="32"/>
        </w:rPr>
      </w:pPr>
    </w:p>
    <w:p w14:paraId="6643ECD7" w14:textId="77777777" w:rsidR="000925BA" w:rsidRPr="002A686F" w:rsidRDefault="000925BA" w:rsidP="000925BA">
      <w:pPr>
        <w:pStyle w:val="NoSpacing"/>
        <w:rPr>
          <w:rFonts w:ascii="Arial" w:hAnsi="Arial" w:cs="Arial"/>
          <w:sz w:val="32"/>
          <w:szCs w:val="32"/>
        </w:rPr>
      </w:pPr>
    </w:p>
    <w:p w14:paraId="332D25FB" w14:textId="77777777" w:rsidR="000925BA" w:rsidRPr="002A686F" w:rsidRDefault="000925BA" w:rsidP="000925BA">
      <w:pPr>
        <w:pStyle w:val="NoSpacing"/>
        <w:rPr>
          <w:rFonts w:ascii="Arial" w:hAnsi="Arial" w:cs="Arial"/>
          <w:sz w:val="32"/>
          <w:szCs w:val="32"/>
        </w:rPr>
      </w:pPr>
    </w:p>
    <w:p w14:paraId="138BB100" w14:textId="77777777" w:rsidR="000925BA" w:rsidRPr="002A686F" w:rsidRDefault="000925BA" w:rsidP="000925BA">
      <w:pPr>
        <w:pStyle w:val="NoSpacing"/>
        <w:rPr>
          <w:rFonts w:ascii="Arial" w:hAnsi="Arial" w:cs="Arial"/>
          <w:sz w:val="32"/>
          <w:szCs w:val="32"/>
        </w:rPr>
      </w:pPr>
    </w:p>
    <w:p w14:paraId="740FB613" w14:textId="77777777" w:rsidR="000925BA" w:rsidRPr="002A686F" w:rsidRDefault="000925BA" w:rsidP="000925BA">
      <w:pPr>
        <w:jc w:val="center"/>
        <w:rPr>
          <w:rFonts w:ascii="Arial" w:hAnsi="Arial" w:cs="Arial"/>
          <w:b/>
          <w:bCs/>
          <w:sz w:val="44"/>
          <w:szCs w:val="44"/>
        </w:rPr>
      </w:pPr>
    </w:p>
    <w:p w14:paraId="598F66AA" w14:textId="227816CF" w:rsidR="000925BA" w:rsidRPr="002A686F" w:rsidRDefault="000925BA" w:rsidP="000925BA">
      <w:pPr>
        <w:jc w:val="center"/>
        <w:rPr>
          <w:rFonts w:ascii="Arial" w:hAnsi="Arial" w:cs="Arial"/>
          <w:b/>
          <w:bCs/>
          <w:sz w:val="44"/>
          <w:szCs w:val="44"/>
        </w:rPr>
      </w:pPr>
      <w:r w:rsidRPr="002A686F">
        <w:rPr>
          <w:rFonts w:ascii="Arial" w:hAnsi="Arial" w:cs="Arial"/>
          <w:b/>
          <w:bCs/>
          <w:sz w:val="44"/>
          <w:szCs w:val="44"/>
        </w:rPr>
        <w:t>Project Management</w:t>
      </w:r>
    </w:p>
    <w:p w14:paraId="794F5786" w14:textId="3C24D9C3" w:rsidR="000925BA" w:rsidRPr="002A686F" w:rsidRDefault="000925BA" w:rsidP="000925BA">
      <w:pPr>
        <w:jc w:val="center"/>
        <w:rPr>
          <w:rFonts w:ascii="Arial" w:hAnsi="Arial" w:cs="Arial"/>
          <w:sz w:val="28"/>
          <w:szCs w:val="28"/>
        </w:rPr>
      </w:pPr>
      <w:r w:rsidRPr="002A686F">
        <w:rPr>
          <w:rFonts w:ascii="Arial" w:hAnsi="Arial" w:cs="Arial"/>
          <w:sz w:val="28"/>
          <w:szCs w:val="28"/>
        </w:rPr>
        <w:t xml:space="preserve">Component </w:t>
      </w:r>
      <w:proofErr w:type="gramStart"/>
      <w:r w:rsidRPr="002A686F">
        <w:rPr>
          <w:rFonts w:ascii="Arial" w:hAnsi="Arial" w:cs="Arial"/>
          <w:sz w:val="28"/>
          <w:szCs w:val="28"/>
        </w:rPr>
        <w:t>2 :</w:t>
      </w:r>
      <w:proofErr w:type="gramEnd"/>
      <w:r w:rsidRPr="002A686F">
        <w:rPr>
          <w:rFonts w:ascii="Arial" w:hAnsi="Arial" w:cs="Arial"/>
          <w:sz w:val="28"/>
          <w:szCs w:val="28"/>
        </w:rPr>
        <w:t xml:space="preserve"> </w:t>
      </w:r>
      <w:proofErr w:type="gramStart"/>
      <w:r w:rsidRPr="002A686F">
        <w:rPr>
          <w:rFonts w:ascii="Arial" w:hAnsi="Arial" w:cs="Arial"/>
          <w:sz w:val="28"/>
          <w:szCs w:val="28"/>
        </w:rPr>
        <w:t>Coursework :</w:t>
      </w:r>
      <w:proofErr w:type="gramEnd"/>
      <w:r w:rsidRPr="002A686F">
        <w:rPr>
          <w:rFonts w:ascii="Arial" w:hAnsi="Arial" w:cs="Arial"/>
          <w:sz w:val="28"/>
          <w:szCs w:val="28"/>
        </w:rPr>
        <w:t xml:space="preserve"> Essay</w:t>
      </w:r>
    </w:p>
    <w:p w14:paraId="48FB2C7F" w14:textId="77777777" w:rsidR="000925BA" w:rsidRPr="002A686F" w:rsidRDefault="000925BA" w:rsidP="000925BA">
      <w:pPr>
        <w:jc w:val="center"/>
        <w:rPr>
          <w:rFonts w:ascii="Arial" w:hAnsi="Arial" w:cs="Arial"/>
          <w:sz w:val="40"/>
          <w:szCs w:val="40"/>
        </w:rPr>
      </w:pPr>
    </w:p>
    <w:p w14:paraId="41999499" w14:textId="77777777" w:rsidR="000925BA" w:rsidRPr="002A686F" w:rsidRDefault="000925BA" w:rsidP="000925BA">
      <w:pPr>
        <w:jc w:val="center"/>
        <w:rPr>
          <w:rFonts w:ascii="Arial" w:hAnsi="Arial" w:cs="Arial"/>
          <w:sz w:val="40"/>
          <w:szCs w:val="40"/>
        </w:rPr>
      </w:pPr>
    </w:p>
    <w:p w14:paraId="14015C9F" w14:textId="77777777" w:rsidR="000925BA" w:rsidRPr="002A686F" w:rsidRDefault="000925BA" w:rsidP="000925BA">
      <w:pPr>
        <w:jc w:val="center"/>
        <w:rPr>
          <w:rFonts w:ascii="Arial" w:hAnsi="Arial" w:cs="Arial"/>
          <w:sz w:val="40"/>
          <w:szCs w:val="40"/>
        </w:rPr>
      </w:pPr>
    </w:p>
    <w:p w14:paraId="3C70C7B2" w14:textId="77777777" w:rsidR="000925BA" w:rsidRPr="002A686F" w:rsidRDefault="000925BA" w:rsidP="000925BA">
      <w:pPr>
        <w:jc w:val="center"/>
        <w:rPr>
          <w:rFonts w:ascii="Arial" w:hAnsi="Arial" w:cs="Arial"/>
          <w:sz w:val="40"/>
          <w:szCs w:val="40"/>
        </w:rPr>
      </w:pPr>
    </w:p>
    <w:p w14:paraId="06E852C3" w14:textId="77777777" w:rsidR="000925BA" w:rsidRPr="002A686F" w:rsidRDefault="000925BA" w:rsidP="000925BA">
      <w:pPr>
        <w:rPr>
          <w:rFonts w:ascii="Arial" w:hAnsi="Arial" w:cs="Arial"/>
          <w:sz w:val="40"/>
          <w:szCs w:val="40"/>
        </w:rPr>
      </w:pPr>
    </w:p>
    <w:p w14:paraId="4F8C360F" w14:textId="77777777" w:rsidR="000925BA" w:rsidRPr="002A686F" w:rsidRDefault="000925BA" w:rsidP="000925BA">
      <w:pPr>
        <w:pStyle w:val="NoSpacing"/>
        <w:rPr>
          <w:rFonts w:ascii="Arial" w:hAnsi="Arial" w:cs="Arial"/>
          <w:sz w:val="32"/>
          <w:szCs w:val="32"/>
        </w:rPr>
      </w:pPr>
    </w:p>
    <w:p w14:paraId="7091BFCD" w14:textId="77777777" w:rsidR="000925BA" w:rsidRPr="002A686F" w:rsidRDefault="000925BA" w:rsidP="000925BA">
      <w:pPr>
        <w:pStyle w:val="NoSpacing"/>
        <w:rPr>
          <w:rFonts w:ascii="Arial" w:hAnsi="Arial" w:cs="Arial"/>
          <w:sz w:val="32"/>
          <w:szCs w:val="32"/>
        </w:rPr>
      </w:pPr>
    </w:p>
    <w:p w14:paraId="5347FC56" w14:textId="5102B976" w:rsidR="000925BA" w:rsidRPr="002A686F" w:rsidRDefault="000925BA" w:rsidP="000925BA">
      <w:pPr>
        <w:pStyle w:val="NoSpacing"/>
        <w:rPr>
          <w:rFonts w:ascii="Arial" w:hAnsi="Arial" w:cs="Arial"/>
          <w:sz w:val="28"/>
          <w:szCs w:val="28"/>
        </w:rPr>
      </w:pPr>
      <w:r w:rsidRPr="002A686F">
        <w:rPr>
          <w:rFonts w:ascii="Arial" w:hAnsi="Arial" w:cs="Arial"/>
          <w:sz w:val="28"/>
          <w:szCs w:val="28"/>
        </w:rPr>
        <w:t>Student name: Silviya Stancheva</w:t>
      </w:r>
    </w:p>
    <w:p w14:paraId="3D8DC369" w14:textId="1DDB734C" w:rsidR="000925BA" w:rsidRPr="002A686F" w:rsidRDefault="000925BA" w:rsidP="000925BA">
      <w:pPr>
        <w:pStyle w:val="NoSpacing"/>
        <w:rPr>
          <w:rFonts w:ascii="Arial" w:hAnsi="Arial" w:cs="Arial"/>
          <w:sz w:val="28"/>
          <w:szCs w:val="28"/>
        </w:rPr>
      </w:pPr>
      <w:r w:rsidRPr="002A686F">
        <w:rPr>
          <w:rFonts w:ascii="Arial" w:hAnsi="Arial" w:cs="Arial"/>
          <w:sz w:val="28"/>
          <w:szCs w:val="28"/>
        </w:rPr>
        <w:t>Student number: 2310452</w:t>
      </w:r>
    </w:p>
    <w:p w14:paraId="4CC468BF" w14:textId="5055B381" w:rsidR="000925BA" w:rsidRPr="002A686F" w:rsidRDefault="000925BA" w:rsidP="000925BA">
      <w:pPr>
        <w:pStyle w:val="NoSpacing"/>
        <w:rPr>
          <w:rFonts w:ascii="Arial" w:hAnsi="Arial" w:cs="Arial"/>
          <w:sz w:val="28"/>
          <w:szCs w:val="28"/>
        </w:rPr>
      </w:pPr>
      <w:r w:rsidRPr="002A686F">
        <w:rPr>
          <w:rFonts w:ascii="Arial" w:hAnsi="Arial" w:cs="Arial"/>
          <w:sz w:val="28"/>
          <w:szCs w:val="28"/>
        </w:rPr>
        <w:t>Modul code: LCBB6006</w:t>
      </w:r>
    </w:p>
    <w:p w14:paraId="25788565" w14:textId="62477467" w:rsidR="000925BA" w:rsidRPr="002A686F" w:rsidRDefault="000925BA" w:rsidP="000925BA">
      <w:pPr>
        <w:pStyle w:val="NoSpacing"/>
        <w:rPr>
          <w:rFonts w:ascii="Arial" w:hAnsi="Arial" w:cs="Arial"/>
          <w:sz w:val="28"/>
          <w:szCs w:val="28"/>
        </w:rPr>
      </w:pPr>
      <w:r w:rsidRPr="002A686F">
        <w:rPr>
          <w:rFonts w:ascii="Arial" w:hAnsi="Arial" w:cs="Arial"/>
          <w:sz w:val="28"/>
          <w:szCs w:val="28"/>
        </w:rPr>
        <w:t>Modul name: Project management</w:t>
      </w:r>
    </w:p>
    <w:p w14:paraId="27A439BB" w14:textId="7AA9A0C1" w:rsidR="000925BA" w:rsidRPr="002A686F" w:rsidRDefault="000925BA" w:rsidP="000925BA">
      <w:pPr>
        <w:pStyle w:val="NoSpacing"/>
        <w:rPr>
          <w:rFonts w:ascii="Arial" w:hAnsi="Arial" w:cs="Arial"/>
          <w:sz w:val="28"/>
          <w:szCs w:val="28"/>
        </w:rPr>
      </w:pPr>
      <w:r w:rsidRPr="002A686F">
        <w:rPr>
          <w:rFonts w:ascii="Arial" w:hAnsi="Arial" w:cs="Arial"/>
          <w:sz w:val="28"/>
          <w:szCs w:val="28"/>
        </w:rPr>
        <w:t>Lecturer name: Dr Zainab Atta</w:t>
      </w:r>
    </w:p>
    <w:p w14:paraId="49E864BB" w14:textId="77777777" w:rsidR="000925BA" w:rsidRPr="002A686F" w:rsidRDefault="000925BA" w:rsidP="000925BA">
      <w:pPr>
        <w:pStyle w:val="NoSpacing"/>
        <w:rPr>
          <w:rFonts w:ascii="Arial" w:hAnsi="Arial" w:cs="Arial"/>
          <w:sz w:val="32"/>
          <w:szCs w:val="32"/>
        </w:rPr>
      </w:pPr>
    </w:p>
    <w:p w14:paraId="3F4E25C4" w14:textId="77777777" w:rsidR="000925BA" w:rsidRPr="002A686F" w:rsidRDefault="000925BA" w:rsidP="000925BA">
      <w:pPr>
        <w:pStyle w:val="NoSpacing"/>
        <w:rPr>
          <w:rFonts w:ascii="Arial" w:hAnsi="Arial" w:cs="Arial"/>
          <w:sz w:val="32"/>
          <w:szCs w:val="32"/>
        </w:rPr>
      </w:pPr>
    </w:p>
    <w:p w14:paraId="3E47FC83" w14:textId="77777777" w:rsidR="000925BA" w:rsidRPr="002A686F" w:rsidRDefault="000925BA" w:rsidP="000925BA">
      <w:pPr>
        <w:pStyle w:val="NoSpacing"/>
        <w:rPr>
          <w:rFonts w:ascii="Arial" w:hAnsi="Arial" w:cs="Arial"/>
          <w:sz w:val="32"/>
          <w:szCs w:val="32"/>
        </w:rPr>
      </w:pPr>
    </w:p>
    <w:p w14:paraId="0D85A901" w14:textId="77777777" w:rsidR="000925BA" w:rsidRPr="002A686F" w:rsidRDefault="000925BA" w:rsidP="000925BA">
      <w:pPr>
        <w:pStyle w:val="NoSpacing"/>
        <w:rPr>
          <w:rFonts w:ascii="Arial" w:hAnsi="Arial" w:cs="Arial"/>
          <w:sz w:val="32"/>
          <w:szCs w:val="32"/>
        </w:rPr>
      </w:pPr>
    </w:p>
    <w:sdt>
      <w:sdtPr>
        <w:rPr>
          <w:rFonts w:ascii="Arial" w:eastAsiaTheme="minorHAnsi" w:hAnsi="Arial" w:cstheme="minorBidi"/>
          <w:color w:val="auto"/>
          <w:sz w:val="24"/>
          <w:szCs w:val="22"/>
        </w:rPr>
        <w:id w:val="-374163154"/>
        <w:docPartObj>
          <w:docPartGallery w:val="Table of Contents"/>
          <w:docPartUnique/>
        </w:docPartObj>
      </w:sdtPr>
      <w:sdtEndPr>
        <w:rPr>
          <w:rFonts w:asciiTheme="minorHAnsi" w:hAnsiTheme="minorHAnsi"/>
          <w:b/>
          <w:bCs/>
          <w:noProof/>
          <w:sz w:val="22"/>
          <w:lang w:val="en-GB"/>
        </w:rPr>
      </w:sdtEndPr>
      <w:sdtContent>
        <w:p w14:paraId="76186C3E" w14:textId="77777777" w:rsidR="002A686F" w:rsidRDefault="002A686F" w:rsidP="002A686F">
          <w:pPr>
            <w:pStyle w:val="TOCHeading"/>
            <w:rPr>
              <w:rFonts w:ascii="Arial" w:eastAsiaTheme="minorHAnsi" w:hAnsi="Arial" w:cstheme="minorBidi"/>
              <w:color w:val="auto"/>
              <w:sz w:val="24"/>
              <w:szCs w:val="22"/>
            </w:rPr>
          </w:pPr>
        </w:p>
        <w:p w14:paraId="36B372E4" w14:textId="77777777" w:rsidR="002A686F" w:rsidRDefault="002A686F" w:rsidP="002A686F">
          <w:pPr>
            <w:pStyle w:val="TOCHeading"/>
          </w:pPr>
        </w:p>
        <w:p w14:paraId="1CDA77CA" w14:textId="06E267C4" w:rsidR="002A686F" w:rsidRPr="002A686F" w:rsidRDefault="002A686F" w:rsidP="002A686F">
          <w:pPr>
            <w:pStyle w:val="TOCHeading"/>
            <w:rPr>
              <w:b/>
              <w:bCs/>
              <w:color w:val="000000" w:themeColor="text1"/>
            </w:rPr>
          </w:pPr>
          <w:r w:rsidRPr="002A686F">
            <w:rPr>
              <w:b/>
              <w:bCs/>
              <w:color w:val="000000" w:themeColor="text1"/>
            </w:rPr>
            <w:t>Table of Contents</w:t>
          </w:r>
        </w:p>
        <w:p w14:paraId="5CEF3958" w14:textId="05FEEF6B" w:rsidR="00F1268F" w:rsidRDefault="002A686F">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16893441" w:history="1">
            <w:r w:rsidR="00F1268F" w:rsidRPr="00F05E64">
              <w:rPr>
                <w:rStyle w:val="Hyperlink"/>
                <w:rFonts w:eastAsia="Times New Roman" w:cs="Times New Roman"/>
                <w:b/>
                <w:noProof/>
              </w:rPr>
              <w:t>Introduction</w:t>
            </w:r>
            <w:r w:rsidR="00F1268F">
              <w:rPr>
                <w:noProof/>
                <w:webHidden/>
              </w:rPr>
              <w:tab/>
            </w:r>
            <w:r w:rsidR="00F1268F">
              <w:rPr>
                <w:noProof/>
                <w:webHidden/>
              </w:rPr>
              <w:fldChar w:fldCharType="begin"/>
            </w:r>
            <w:r w:rsidR="00F1268F">
              <w:rPr>
                <w:noProof/>
                <w:webHidden/>
              </w:rPr>
              <w:instrText xml:space="preserve"> PAGEREF _Toc216893441 \h </w:instrText>
            </w:r>
            <w:r w:rsidR="00F1268F">
              <w:rPr>
                <w:noProof/>
                <w:webHidden/>
              </w:rPr>
            </w:r>
            <w:r w:rsidR="00F1268F">
              <w:rPr>
                <w:noProof/>
                <w:webHidden/>
              </w:rPr>
              <w:fldChar w:fldCharType="separate"/>
            </w:r>
            <w:r w:rsidR="005932B1">
              <w:rPr>
                <w:noProof/>
                <w:webHidden/>
              </w:rPr>
              <w:t>3</w:t>
            </w:r>
            <w:r w:rsidR="00F1268F">
              <w:rPr>
                <w:noProof/>
                <w:webHidden/>
              </w:rPr>
              <w:fldChar w:fldCharType="end"/>
            </w:r>
          </w:hyperlink>
        </w:p>
        <w:p w14:paraId="6077D98E" w14:textId="773CC1E9"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2" w:history="1">
            <w:r w:rsidRPr="00F05E64">
              <w:rPr>
                <w:rStyle w:val="Hyperlink"/>
                <w:rFonts w:eastAsia="Times New Roman" w:cs="Times New Roman"/>
                <w:b/>
                <w:i/>
                <w:noProof/>
              </w:rPr>
              <w:t>Multi-Contract</w:t>
            </w:r>
            <w:r>
              <w:rPr>
                <w:noProof/>
                <w:webHidden/>
              </w:rPr>
              <w:tab/>
            </w:r>
            <w:r>
              <w:rPr>
                <w:noProof/>
                <w:webHidden/>
              </w:rPr>
              <w:fldChar w:fldCharType="begin"/>
            </w:r>
            <w:r>
              <w:rPr>
                <w:noProof/>
                <w:webHidden/>
              </w:rPr>
              <w:instrText xml:space="preserve"> PAGEREF _Toc216893442 \h </w:instrText>
            </w:r>
            <w:r>
              <w:rPr>
                <w:noProof/>
                <w:webHidden/>
              </w:rPr>
            </w:r>
            <w:r>
              <w:rPr>
                <w:noProof/>
                <w:webHidden/>
              </w:rPr>
              <w:fldChar w:fldCharType="separate"/>
            </w:r>
            <w:r w:rsidR="005932B1">
              <w:rPr>
                <w:noProof/>
                <w:webHidden/>
              </w:rPr>
              <w:t>5</w:t>
            </w:r>
            <w:r>
              <w:rPr>
                <w:noProof/>
                <w:webHidden/>
              </w:rPr>
              <w:fldChar w:fldCharType="end"/>
            </w:r>
          </w:hyperlink>
        </w:p>
        <w:p w14:paraId="70E20EB3" w14:textId="115C57C1"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3" w:history="1">
            <w:r w:rsidRPr="00F05E64">
              <w:rPr>
                <w:rStyle w:val="Hyperlink"/>
                <w:rFonts w:eastAsia="Times New Roman" w:cs="Times New Roman"/>
                <w:b/>
                <w:i/>
                <w:noProof/>
              </w:rPr>
              <w:t>Do-It-Yourself (DIY) Contract</w:t>
            </w:r>
            <w:r>
              <w:rPr>
                <w:noProof/>
                <w:webHidden/>
              </w:rPr>
              <w:tab/>
            </w:r>
            <w:r>
              <w:rPr>
                <w:noProof/>
                <w:webHidden/>
              </w:rPr>
              <w:fldChar w:fldCharType="begin"/>
            </w:r>
            <w:r>
              <w:rPr>
                <w:noProof/>
                <w:webHidden/>
              </w:rPr>
              <w:instrText xml:space="preserve"> PAGEREF _Toc216893443 \h </w:instrText>
            </w:r>
            <w:r>
              <w:rPr>
                <w:noProof/>
                <w:webHidden/>
              </w:rPr>
            </w:r>
            <w:r>
              <w:rPr>
                <w:noProof/>
                <w:webHidden/>
              </w:rPr>
              <w:fldChar w:fldCharType="separate"/>
            </w:r>
            <w:r w:rsidR="005932B1">
              <w:rPr>
                <w:noProof/>
                <w:webHidden/>
              </w:rPr>
              <w:t>5</w:t>
            </w:r>
            <w:r>
              <w:rPr>
                <w:noProof/>
                <w:webHidden/>
              </w:rPr>
              <w:fldChar w:fldCharType="end"/>
            </w:r>
          </w:hyperlink>
        </w:p>
        <w:p w14:paraId="2B5ADB5F" w14:textId="5DA30402"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4" w:history="1">
            <w:r w:rsidRPr="00F05E64">
              <w:rPr>
                <w:rStyle w:val="Hyperlink"/>
                <w:rFonts w:eastAsia="Times New Roman" w:cs="Times New Roman"/>
                <w:b/>
                <w:i/>
                <w:noProof/>
              </w:rPr>
              <w:t>Multi-Contract + DIY</w:t>
            </w:r>
            <w:r>
              <w:rPr>
                <w:noProof/>
                <w:webHidden/>
              </w:rPr>
              <w:tab/>
            </w:r>
            <w:r>
              <w:rPr>
                <w:noProof/>
                <w:webHidden/>
              </w:rPr>
              <w:fldChar w:fldCharType="begin"/>
            </w:r>
            <w:r>
              <w:rPr>
                <w:noProof/>
                <w:webHidden/>
              </w:rPr>
              <w:instrText xml:space="preserve"> PAGEREF _Toc216893444 \h </w:instrText>
            </w:r>
            <w:r>
              <w:rPr>
                <w:noProof/>
                <w:webHidden/>
              </w:rPr>
            </w:r>
            <w:r>
              <w:rPr>
                <w:noProof/>
                <w:webHidden/>
              </w:rPr>
              <w:fldChar w:fldCharType="separate"/>
            </w:r>
            <w:r w:rsidR="005932B1">
              <w:rPr>
                <w:noProof/>
                <w:webHidden/>
              </w:rPr>
              <w:t>6</w:t>
            </w:r>
            <w:r>
              <w:rPr>
                <w:noProof/>
                <w:webHidden/>
              </w:rPr>
              <w:fldChar w:fldCharType="end"/>
            </w:r>
          </w:hyperlink>
        </w:p>
        <w:p w14:paraId="579E862E" w14:textId="40B5995C" w:rsidR="00F1268F" w:rsidRDefault="00F1268F">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6893445" w:history="1">
            <w:r w:rsidRPr="00F05E64">
              <w:rPr>
                <w:rStyle w:val="Hyperlink"/>
                <w:rFonts w:eastAsia="Times New Roman" w:cs="Times New Roman"/>
                <w:b/>
                <w:noProof/>
              </w:rPr>
              <w:t>Contextual Evaluation: Regional Hospital Project (Manchester)</w:t>
            </w:r>
            <w:r>
              <w:rPr>
                <w:noProof/>
                <w:webHidden/>
              </w:rPr>
              <w:tab/>
            </w:r>
            <w:r>
              <w:rPr>
                <w:noProof/>
                <w:webHidden/>
              </w:rPr>
              <w:fldChar w:fldCharType="begin"/>
            </w:r>
            <w:r>
              <w:rPr>
                <w:noProof/>
                <w:webHidden/>
              </w:rPr>
              <w:instrText xml:space="preserve"> PAGEREF _Toc216893445 \h </w:instrText>
            </w:r>
            <w:r>
              <w:rPr>
                <w:noProof/>
                <w:webHidden/>
              </w:rPr>
            </w:r>
            <w:r>
              <w:rPr>
                <w:noProof/>
                <w:webHidden/>
              </w:rPr>
              <w:fldChar w:fldCharType="separate"/>
            </w:r>
            <w:r w:rsidR="005932B1">
              <w:rPr>
                <w:noProof/>
                <w:webHidden/>
              </w:rPr>
              <w:t>6</w:t>
            </w:r>
            <w:r>
              <w:rPr>
                <w:noProof/>
                <w:webHidden/>
              </w:rPr>
              <w:fldChar w:fldCharType="end"/>
            </w:r>
          </w:hyperlink>
        </w:p>
        <w:p w14:paraId="778E752A" w14:textId="7107226C"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6" w:history="1">
            <w:r w:rsidRPr="00F05E64">
              <w:rPr>
                <w:rStyle w:val="Hyperlink"/>
                <w:rFonts w:eastAsia="Times New Roman" w:cs="Times New Roman"/>
                <w:b/>
                <w:i/>
                <w:noProof/>
              </w:rPr>
              <w:t>Turnkey</w:t>
            </w:r>
            <w:r>
              <w:rPr>
                <w:noProof/>
                <w:webHidden/>
              </w:rPr>
              <w:tab/>
            </w:r>
            <w:r>
              <w:rPr>
                <w:noProof/>
                <w:webHidden/>
              </w:rPr>
              <w:fldChar w:fldCharType="begin"/>
            </w:r>
            <w:r>
              <w:rPr>
                <w:noProof/>
                <w:webHidden/>
              </w:rPr>
              <w:instrText xml:space="preserve"> PAGEREF _Toc216893446 \h </w:instrText>
            </w:r>
            <w:r>
              <w:rPr>
                <w:noProof/>
                <w:webHidden/>
              </w:rPr>
            </w:r>
            <w:r>
              <w:rPr>
                <w:noProof/>
                <w:webHidden/>
              </w:rPr>
              <w:fldChar w:fldCharType="separate"/>
            </w:r>
            <w:r w:rsidR="005932B1">
              <w:rPr>
                <w:noProof/>
                <w:webHidden/>
              </w:rPr>
              <w:t>6</w:t>
            </w:r>
            <w:r>
              <w:rPr>
                <w:noProof/>
                <w:webHidden/>
              </w:rPr>
              <w:fldChar w:fldCharType="end"/>
            </w:r>
          </w:hyperlink>
        </w:p>
        <w:p w14:paraId="2F31C006" w14:textId="26D34890"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7" w:history="1">
            <w:r w:rsidRPr="00F05E64">
              <w:rPr>
                <w:rStyle w:val="Hyperlink"/>
                <w:rFonts w:eastAsia="Times New Roman" w:cs="Times New Roman"/>
                <w:b/>
                <w:i/>
                <w:noProof/>
              </w:rPr>
              <w:t>Multi-Contract</w:t>
            </w:r>
            <w:r>
              <w:rPr>
                <w:noProof/>
                <w:webHidden/>
              </w:rPr>
              <w:tab/>
            </w:r>
            <w:r>
              <w:rPr>
                <w:noProof/>
                <w:webHidden/>
              </w:rPr>
              <w:fldChar w:fldCharType="begin"/>
            </w:r>
            <w:r>
              <w:rPr>
                <w:noProof/>
                <w:webHidden/>
              </w:rPr>
              <w:instrText xml:space="preserve"> PAGEREF _Toc216893447 \h </w:instrText>
            </w:r>
            <w:r>
              <w:rPr>
                <w:noProof/>
                <w:webHidden/>
              </w:rPr>
            </w:r>
            <w:r>
              <w:rPr>
                <w:noProof/>
                <w:webHidden/>
              </w:rPr>
              <w:fldChar w:fldCharType="separate"/>
            </w:r>
            <w:r w:rsidR="005932B1">
              <w:rPr>
                <w:noProof/>
                <w:webHidden/>
              </w:rPr>
              <w:t>7</w:t>
            </w:r>
            <w:r>
              <w:rPr>
                <w:noProof/>
                <w:webHidden/>
              </w:rPr>
              <w:fldChar w:fldCharType="end"/>
            </w:r>
          </w:hyperlink>
        </w:p>
        <w:p w14:paraId="22A07216" w14:textId="3F1A3433"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8" w:history="1">
            <w:r w:rsidRPr="00F05E64">
              <w:rPr>
                <w:rStyle w:val="Hyperlink"/>
                <w:rFonts w:eastAsia="Times New Roman" w:cs="Times New Roman"/>
                <w:b/>
                <w:i/>
                <w:noProof/>
              </w:rPr>
              <w:t>DIY</w:t>
            </w:r>
            <w:r>
              <w:rPr>
                <w:noProof/>
                <w:webHidden/>
              </w:rPr>
              <w:tab/>
            </w:r>
            <w:r>
              <w:rPr>
                <w:noProof/>
                <w:webHidden/>
              </w:rPr>
              <w:fldChar w:fldCharType="begin"/>
            </w:r>
            <w:r>
              <w:rPr>
                <w:noProof/>
                <w:webHidden/>
              </w:rPr>
              <w:instrText xml:space="preserve"> PAGEREF _Toc216893448 \h </w:instrText>
            </w:r>
            <w:r>
              <w:rPr>
                <w:noProof/>
                <w:webHidden/>
              </w:rPr>
            </w:r>
            <w:r>
              <w:rPr>
                <w:noProof/>
                <w:webHidden/>
              </w:rPr>
              <w:fldChar w:fldCharType="separate"/>
            </w:r>
            <w:r w:rsidR="005932B1">
              <w:rPr>
                <w:noProof/>
                <w:webHidden/>
              </w:rPr>
              <w:t>7</w:t>
            </w:r>
            <w:r>
              <w:rPr>
                <w:noProof/>
                <w:webHidden/>
              </w:rPr>
              <w:fldChar w:fldCharType="end"/>
            </w:r>
          </w:hyperlink>
        </w:p>
        <w:p w14:paraId="0045698C" w14:textId="2B432CD1"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49" w:history="1">
            <w:r w:rsidRPr="00F05E64">
              <w:rPr>
                <w:rStyle w:val="Hyperlink"/>
                <w:rFonts w:eastAsia="Times New Roman" w:cs="Times New Roman"/>
                <w:b/>
                <w:i/>
                <w:noProof/>
              </w:rPr>
              <w:t>Multi-Contract + D</w:t>
            </w:r>
            <w:r w:rsidRPr="00F05E64">
              <w:rPr>
                <w:rStyle w:val="Hyperlink"/>
                <w:rFonts w:eastAsia="Times New Roman" w:cs="Times New Roman"/>
                <w:noProof/>
              </w:rPr>
              <w:t>IY</w:t>
            </w:r>
            <w:r>
              <w:rPr>
                <w:noProof/>
                <w:webHidden/>
              </w:rPr>
              <w:tab/>
            </w:r>
            <w:r>
              <w:rPr>
                <w:noProof/>
                <w:webHidden/>
              </w:rPr>
              <w:fldChar w:fldCharType="begin"/>
            </w:r>
            <w:r>
              <w:rPr>
                <w:noProof/>
                <w:webHidden/>
              </w:rPr>
              <w:instrText xml:space="preserve"> PAGEREF _Toc216893449 \h </w:instrText>
            </w:r>
            <w:r>
              <w:rPr>
                <w:noProof/>
                <w:webHidden/>
              </w:rPr>
            </w:r>
            <w:r>
              <w:rPr>
                <w:noProof/>
                <w:webHidden/>
              </w:rPr>
              <w:fldChar w:fldCharType="separate"/>
            </w:r>
            <w:r w:rsidR="005932B1">
              <w:rPr>
                <w:noProof/>
                <w:webHidden/>
              </w:rPr>
              <w:t>7</w:t>
            </w:r>
            <w:r>
              <w:rPr>
                <w:noProof/>
                <w:webHidden/>
              </w:rPr>
              <w:fldChar w:fldCharType="end"/>
            </w:r>
          </w:hyperlink>
        </w:p>
        <w:p w14:paraId="01EED224" w14:textId="66C3D612"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50" w:history="1">
            <w:r w:rsidRPr="00F05E64">
              <w:rPr>
                <w:rStyle w:val="Hyperlink"/>
                <w:rFonts w:eastAsia="Times New Roman" w:cs="Times New Roman"/>
                <w:b/>
                <w:i/>
                <w:noProof/>
              </w:rPr>
              <w:t>Merits and Demerits</w:t>
            </w:r>
            <w:r>
              <w:rPr>
                <w:noProof/>
                <w:webHidden/>
              </w:rPr>
              <w:tab/>
            </w:r>
            <w:r>
              <w:rPr>
                <w:noProof/>
                <w:webHidden/>
              </w:rPr>
              <w:fldChar w:fldCharType="begin"/>
            </w:r>
            <w:r>
              <w:rPr>
                <w:noProof/>
                <w:webHidden/>
              </w:rPr>
              <w:instrText xml:space="preserve"> PAGEREF _Toc216893450 \h </w:instrText>
            </w:r>
            <w:r>
              <w:rPr>
                <w:noProof/>
                <w:webHidden/>
              </w:rPr>
            </w:r>
            <w:r>
              <w:rPr>
                <w:noProof/>
                <w:webHidden/>
              </w:rPr>
              <w:fldChar w:fldCharType="separate"/>
            </w:r>
            <w:r w:rsidR="005932B1">
              <w:rPr>
                <w:noProof/>
                <w:webHidden/>
              </w:rPr>
              <w:t>7</w:t>
            </w:r>
            <w:r>
              <w:rPr>
                <w:noProof/>
                <w:webHidden/>
              </w:rPr>
              <w:fldChar w:fldCharType="end"/>
            </w:r>
          </w:hyperlink>
        </w:p>
        <w:p w14:paraId="42005DFC" w14:textId="2F2D272F" w:rsidR="00F1268F" w:rsidRDefault="00F1268F">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216893451" w:history="1">
            <w:r w:rsidRPr="00F05E64">
              <w:rPr>
                <w:rStyle w:val="Hyperlink"/>
                <w:rFonts w:eastAsia="Times New Roman" w:cs="Times New Roman"/>
                <w:b/>
                <w:i/>
                <w:noProof/>
              </w:rPr>
              <w:t>Comparative synthesis and delivery recommendations</w:t>
            </w:r>
            <w:r>
              <w:rPr>
                <w:noProof/>
                <w:webHidden/>
              </w:rPr>
              <w:tab/>
            </w:r>
            <w:r>
              <w:rPr>
                <w:noProof/>
                <w:webHidden/>
              </w:rPr>
              <w:fldChar w:fldCharType="begin"/>
            </w:r>
            <w:r>
              <w:rPr>
                <w:noProof/>
                <w:webHidden/>
              </w:rPr>
              <w:instrText xml:space="preserve"> PAGEREF _Toc216893451 \h </w:instrText>
            </w:r>
            <w:r>
              <w:rPr>
                <w:noProof/>
                <w:webHidden/>
              </w:rPr>
            </w:r>
            <w:r>
              <w:rPr>
                <w:noProof/>
                <w:webHidden/>
              </w:rPr>
              <w:fldChar w:fldCharType="separate"/>
            </w:r>
            <w:r w:rsidR="005932B1">
              <w:rPr>
                <w:noProof/>
                <w:webHidden/>
              </w:rPr>
              <w:t>8</w:t>
            </w:r>
            <w:r>
              <w:rPr>
                <w:noProof/>
                <w:webHidden/>
              </w:rPr>
              <w:fldChar w:fldCharType="end"/>
            </w:r>
          </w:hyperlink>
        </w:p>
        <w:p w14:paraId="23226986" w14:textId="5E2A3090" w:rsidR="00F1268F" w:rsidRDefault="00F1268F">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6893452" w:history="1">
            <w:r w:rsidRPr="00F05E64">
              <w:rPr>
                <w:rStyle w:val="Hyperlink"/>
                <w:rFonts w:eastAsia="Times New Roman" w:cs="Times New Roman"/>
                <w:b/>
                <w:noProof/>
              </w:rPr>
              <w:t>Conclusion</w:t>
            </w:r>
            <w:r>
              <w:rPr>
                <w:noProof/>
                <w:webHidden/>
              </w:rPr>
              <w:tab/>
            </w:r>
            <w:r>
              <w:rPr>
                <w:noProof/>
                <w:webHidden/>
              </w:rPr>
              <w:fldChar w:fldCharType="begin"/>
            </w:r>
            <w:r>
              <w:rPr>
                <w:noProof/>
                <w:webHidden/>
              </w:rPr>
              <w:instrText xml:space="preserve"> PAGEREF _Toc216893452 \h </w:instrText>
            </w:r>
            <w:r>
              <w:rPr>
                <w:noProof/>
                <w:webHidden/>
              </w:rPr>
            </w:r>
            <w:r>
              <w:rPr>
                <w:noProof/>
                <w:webHidden/>
              </w:rPr>
              <w:fldChar w:fldCharType="separate"/>
            </w:r>
            <w:r w:rsidR="005932B1">
              <w:rPr>
                <w:noProof/>
                <w:webHidden/>
              </w:rPr>
              <w:t>8</w:t>
            </w:r>
            <w:r>
              <w:rPr>
                <w:noProof/>
                <w:webHidden/>
              </w:rPr>
              <w:fldChar w:fldCharType="end"/>
            </w:r>
          </w:hyperlink>
        </w:p>
        <w:p w14:paraId="7A36FD30" w14:textId="7755D163" w:rsidR="00F1268F" w:rsidRDefault="00F1268F">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16893453" w:history="1">
            <w:r w:rsidRPr="00F05E64">
              <w:rPr>
                <w:rStyle w:val="Hyperlink"/>
                <w:rFonts w:eastAsia="Times New Roman" w:cs="Times New Roman"/>
                <w:b/>
                <w:noProof/>
              </w:rPr>
              <w:t>References</w:t>
            </w:r>
            <w:r>
              <w:rPr>
                <w:noProof/>
                <w:webHidden/>
              </w:rPr>
              <w:tab/>
            </w:r>
            <w:r>
              <w:rPr>
                <w:noProof/>
                <w:webHidden/>
              </w:rPr>
              <w:fldChar w:fldCharType="begin"/>
            </w:r>
            <w:r>
              <w:rPr>
                <w:noProof/>
                <w:webHidden/>
              </w:rPr>
              <w:instrText xml:space="preserve"> PAGEREF _Toc216893453 \h </w:instrText>
            </w:r>
            <w:r>
              <w:rPr>
                <w:noProof/>
                <w:webHidden/>
              </w:rPr>
            </w:r>
            <w:r>
              <w:rPr>
                <w:noProof/>
                <w:webHidden/>
              </w:rPr>
              <w:fldChar w:fldCharType="separate"/>
            </w:r>
            <w:r w:rsidR="005932B1">
              <w:rPr>
                <w:noProof/>
                <w:webHidden/>
              </w:rPr>
              <w:t>10</w:t>
            </w:r>
            <w:r>
              <w:rPr>
                <w:noProof/>
                <w:webHidden/>
              </w:rPr>
              <w:fldChar w:fldCharType="end"/>
            </w:r>
          </w:hyperlink>
        </w:p>
        <w:p w14:paraId="791D49CF" w14:textId="2A9C0D87" w:rsidR="002A686F" w:rsidRDefault="002A686F" w:rsidP="002A686F">
          <w:pPr>
            <w:rPr>
              <w:b/>
              <w:bCs/>
              <w:noProof/>
            </w:rPr>
          </w:pPr>
          <w:r>
            <w:rPr>
              <w:b/>
              <w:bCs/>
              <w:noProof/>
            </w:rPr>
            <w:fldChar w:fldCharType="end"/>
          </w:r>
        </w:p>
      </w:sdtContent>
    </w:sdt>
    <w:p w14:paraId="399C5197" w14:textId="77777777" w:rsidR="000925BA" w:rsidRDefault="000925BA" w:rsidP="000925BA">
      <w:pPr>
        <w:pStyle w:val="NoSpacing"/>
        <w:rPr>
          <w:sz w:val="40"/>
          <w:szCs w:val="40"/>
        </w:rPr>
      </w:pPr>
    </w:p>
    <w:p w14:paraId="37F3E890" w14:textId="77777777" w:rsidR="002A686F" w:rsidRDefault="002A686F" w:rsidP="000925BA">
      <w:pPr>
        <w:pStyle w:val="NoSpacing"/>
        <w:rPr>
          <w:sz w:val="40"/>
          <w:szCs w:val="40"/>
        </w:rPr>
      </w:pPr>
    </w:p>
    <w:p w14:paraId="2978A173" w14:textId="77777777" w:rsidR="002A686F" w:rsidRDefault="002A686F" w:rsidP="000925BA">
      <w:pPr>
        <w:pStyle w:val="NoSpacing"/>
        <w:rPr>
          <w:sz w:val="40"/>
          <w:szCs w:val="40"/>
        </w:rPr>
      </w:pPr>
    </w:p>
    <w:p w14:paraId="257F3A37" w14:textId="77777777" w:rsidR="002A686F" w:rsidRDefault="002A686F" w:rsidP="000925BA">
      <w:pPr>
        <w:pStyle w:val="NoSpacing"/>
        <w:rPr>
          <w:sz w:val="40"/>
          <w:szCs w:val="40"/>
        </w:rPr>
      </w:pPr>
    </w:p>
    <w:p w14:paraId="36DC7BA3" w14:textId="77777777" w:rsidR="002A686F" w:rsidRDefault="002A686F" w:rsidP="000925BA">
      <w:pPr>
        <w:pStyle w:val="NoSpacing"/>
        <w:rPr>
          <w:sz w:val="40"/>
          <w:szCs w:val="40"/>
        </w:rPr>
      </w:pPr>
    </w:p>
    <w:p w14:paraId="1C4668D5" w14:textId="77777777" w:rsidR="002A686F" w:rsidRDefault="002A686F" w:rsidP="000925BA">
      <w:pPr>
        <w:pStyle w:val="NoSpacing"/>
        <w:rPr>
          <w:sz w:val="40"/>
          <w:szCs w:val="40"/>
        </w:rPr>
      </w:pPr>
    </w:p>
    <w:p w14:paraId="143A4802" w14:textId="77777777" w:rsidR="005932B1" w:rsidRDefault="005932B1" w:rsidP="002A686F">
      <w:pPr>
        <w:keepNext/>
        <w:keepLines/>
        <w:spacing w:before="360" w:after="80" w:line="360" w:lineRule="auto"/>
        <w:outlineLvl w:val="0"/>
        <w:rPr>
          <w:rFonts w:ascii="Arial" w:eastAsia="Times New Roman" w:hAnsi="Arial" w:cs="Times New Roman"/>
          <w:b/>
          <w:sz w:val="28"/>
          <w:szCs w:val="28"/>
          <w:lang w:val="en-US"/>
        </w:rPr>
      </w:pPr>
      <w:bookmarkStart w:id="1" w:name="_Toc216893441"/>
    </w:p>
    <w:p w14:paraId="4D2FE49A" w14:textId="324ECDCF" w:rsidR="002A686F" w:rsidRPr="002A686F" w:rsidRDefault="002A686F" w:rsidP="002A686F">
      <w:pPr>
        <w:keepNext/>
        <w:keepLines/>
        <w:spacing w:before="360" w:after="80" w:line="360" w:lineRule="auto"/>
        <w:outlineLvl w:val="0"/>
        <w:rPr>
          <w:rFonts w:ascii="Arial" w:eastAsia="Times New Roman" w:hAnsi="Arial" w:cs="Times New Roman"/>
          <w:b/>
          <w:sz w:val="28"/>
          <w:szCs w:val="28"/>
          <w:lang w:val="en-US"/>
        </w:rPr>
      </w:pPr>
      <w:r w:rsidRPr="002A686F">
        <w:rPr>
          <w:rFonts w:ascii="Arial" w:eastAsia="Times New Roman" w:hAnsi="Arial" w:cs="Times New Roman"/>
          <w:b/>
          <w:sz w:val="28"/>
          <w:szCs w:val="28"/>
          <w:lang w:val="en-US"/>
        </w:rPr>
        <w:t>Introduction</w:t>
      </w:r>
      <w:bookmarkEnd w:id="1"/>
    </w:p>
    <w:p w14:paraId="4161BEB6"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Project Management (PM) refers to the application of knowledge, skills, tools and techniques toward project activities in a systemic way to achieve the specified goals and provide agreed results (Project Management Institute, 2021). PM encompasses initiation, planning, execution, monitoring and closure and attempts to strike a balance between the limitations of the scope, time, costs and quality </w:t>
      </w:r>
      <w:proofErr w:type="gramStart"/>
      <w:r w:rsidRPr="002A686F">
        <w:rPr>
          <w:rFonts w:ascii="Arial" w:eastAsia="Calibri" w:hAnsi="Arial" w:cs="Times New Roman"/>
          <w:sz w:val="24"/>
          <w:lang w:val="en-US"/>
        </w:rPr>
        <w:t>in order to</w:t>
      </w:r>
      <w:proofErr w:type="gramEnd"/>
      <w:r w:rsidRPr="002A686F">
        <w:rPr>
          <w:rFonts w:ascii="Arial" w:eastAsia="Calibri" w:hAnsi="Arial" w:cs="Times New Roman"/>
          <w:sz w:val="24"/>
          <w:lang w:val="en-US"/>
        </w:rPr>
        <w:t xml:space="preserve"> manage various stakeholder expectations. Contracts are the key instruments of PM as they </w:t>
      </w:r>
      <w:proofErr w:type="spellStart"/>
      <w:r w:rsidRPr="002A686F">
        <w:rPr>
          <w:rFonts w:ascii="Arial" w:eastAsia="Calibri" w:hAnsi="Arial" w:cs="Times New Roman"/>
          <w:sz w:val="24"/>
          <w:lang w:val="en-US"/>
        </w:rPr>
        <w:t>formalise</w:t>
      </w:r>
      <w:proofErr w:type="spellEnd"/>
      <w:r w:rsidRPr="002A686F">
        <w:rPr>
          <w:rFonts w:ascii="Arial" w:eastAsia="Calibri" w:hAnsi="Arial" w:cs="Times New Roman"/>
          <w:sz w:val="24"/>
          <w:lang w:val="en-US"/>
        </w:rPr>
        <w:t xml:space="preserve"> the obligations, share the risk, assign the deliverables and establish the legal and commercial framework of the project delivery (Kerzner, 2017). Choosing a contracting strategy consequently dictates governance structures, identifies the parties that bear various risks, and sets the incentives to ensure timely, cost-efficient and quality delivery. </w:t>
      </w:r>
    </w:p>
    <w:p w14:paraId="51F3C9F5" w14:textId="4B77E0A5" w:rsidR="004D4EB1" w:rsidRDefault="002A686F" w:rsidP="004D4EB1">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This essay describes four major methods of contracting in project management, including Turnkey, Multi-Contract, Do-It-Yourself (DIY), and Multi-Contract + DIY and critically evaluates their benefits and limitations. It also </w:t>
      </w:r>
      <w:proofErr w:type="gramStart"/>
      <w:r w:rsidRPr="002A686F">
        <w:rPr>
          <w:rFonts w:ascii="Arial" w:eastAsia="Calibri" w:hAnsi="Arial" w:cs="Times New Roman"/>
          <w:sz w:val="24"/>
          <w:lang w:val="en-US"/>
        </w:rPr>
        <w:t>cogitates about</w:t>
      </w:r>
      <w:proofErr w:type="gramEnd"/>
      <w:r w:rsidRPr="002A686F">
        <w:rPr>
          <w:rFonts w:ascii="Arial" w:eastAsia="Calibri" w:hAnsi="Arial" w:cs="Times New Roman"/>
          <w:sz w:val="24"/>
          <w:lang w:val="en-US"/>
        </w:rPr>
        <w:t xml:space="preserve"> why various contracting is better applied in specific project types and not all other ones. The essay takes the example of a new regional hospital facility in Manchester, UK as a model </w:t>
      </w:r>
      <w:proofErr w:type="gramStart"/>
      <w:r w:rsidRPr="002A686F">
        <w:rPr>
          <w:rFonts w:ascii="Arial" w:eastAsia="Calibri" w:hAnsi="Arial" w:cs="Times New Roman"/>
          <w:sz w:val="24"/>
          <w:lang w:val="en-US"/>
        </w:rPr>
        <w:t>in order to</w:t>
      </w:r>
      <w:proofErr w:type="gramEnd"/>
      <w:r w:rsidRPr="002A686F">
        <w:rPr>
          <w:rFonts w:ascii="Arial" w:eastAsia="Calibri" w:hAnsi="Arial" w:cs="Times New Roman"/>
          <w:sz w:val="24"/>
          <w:lang w:val="en-US"/>
        </w:rPr>
        <w:t xml:space="preserve"> establish the analytic framework within a logical context. Hospitals are publicly funded multidisciplinary large projects, involving civil works, intricate mechanical and electrical systems, purchase and maintenance of medical equipment, and adherence to healthcare regulations, so they are well placed to be compared regarding contracting strategies</w:t>
      </w:r>
    </w:p>
    <w:p w14:paraId="7093CBCB" w14:textId="77777777" w:rsidR="004D4EB1" w:rsidRDefault="002A686F" w:rsidP="00F1268F">
      <w:pPr>
        <w:spacing w:line="360" w:lineRule="auto"/>
        <w:rPr>
          <w:rFonts w:ascii="Arial" w:eastAsia="Calibri" w:hAnsi="Arial" w:cs="Times New Roman"/>
          <w:sz w:val="24"/>
          <w:lang w:val="en-US"/>
        </w:rPr>
      </w:pPr>
      <w:r w:rsidRPr="002A686F">
        <w:rPr>
          <w:rFonts w:ascii="Arial" w:eastAsia="Times New Roman" w:hAnsi="Arial" w:cs="Times New Roman"/>
          <w:b/>
          <w:sz w:val="28"/>
          <w:szCs w:val="28"/>
          <w:lang w:val="en-US"/>
        </w:rPr>
        <w:lastRenderedPageBreak/>
        <w:t>Methods of Contracting in Project Management</w:t>
      </w:r>
      <w:r w:rsidR="004D4EB1" w:rsidRPr="002A686F">
        <w:rPr>
          <w:rFonts w:ascii="Arial" w:eastAsia="Calibri" w:hAnsi="Arial" w:cs="Times New Roman"/>
          <w:noProof/>
          <w:sz w:val="24"/>
          <w:lang w:val="en-US"/>
          <w14:ligatures w14:val="standardContextual"/>
        </w:rPr>
        <w:drawing>
          <wp:inline distT="0" distB="0" distL="0" distR="0" wp14:anchorId="22AD2777" wp14:editId="67CFB50E">
            <wp:extent cx="5486400" cy="2247900"/>
            <wp:effectExtent l="0" t="0" r="57150" b="0"/>
            <wp:docPr id="13928646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2A686F">
        <w:rPr>
          <w:rFonts w:ascii="Arial" w:eastAsia="Calibri" w:hAnsi="Arial" w:cs="Times New Roman"/>
          <w:i/>
          <w:iCs/>
          <w:color w:val="44546A"/>
          <w:sz w:val="18"/>
          <w:szCs w:val="18"/>
          <w:lang w:val="en-US"/>
        </w:rPr>
        <w:t xml:space="preserve">Figure </w:t>
      </w:r>
      <w:r w:rsidRPr="002A686F">
        <w:rPr>
          <w:rFonts w:ascii="Arial" w:eastAsia="Calibri" w:hAnsi="Arial" w:cs="Times New Roman"/>
          <w:i/>
          <w:iCs/>
          <w:color w:val="44546A"/>
          <w:sz w:val="18"/>
          <w:szCs w:val="18"/>
          <w:lang w:val="en-US"/>
        </w:rPr>
        <w:fldChar w:fldCharType="begin"/>
      </w:r>
      <w:r w:rsidRPr="002A686F">
        <w:rPr>
          <w:rFonts w:ascii="Arial" w:eastAsia="Calibri" w:hAnsi="Arial" w:cs="Times New Roman"/>
          <w:i/>
          <w:iCs/>
          <w:color w:val="44546A"/>
          <w:sz w:val="18"/>
          <w:szCs w:val="18"/>
          <w:lang w:val="en-US"/>
        </w:rPr>
        <w:instrText xml:space="preserve"> SEQ Figure \* ARABIC </w:instrText>
      </w:r>
      <w:r w:rsidRPr="002A686F">
        <w:rPr>
          <w:rFonts w:ascii="Arial" w:eastAsia="Calibri" w:hAnsi="Arial" w:cs="Times New Roman"/>
          <w:i/>
          <w:iCs/>
          <w:color w:val="44546A"/>
          <w:sz w:val="18"/>
          <w:szCs w:val="18"/>
          <w:lang w:val="en-US"/>
        </w:rPr>
        <w:fldChar w:fldCharType="separate"/>
      </w:r>
      <w:r w:rsidRPr="002A686F">
        <w:rPr>
          <w:rFonts w:ascii="Arial" w:eastAsia="Calibri" w:hAnsi="Arial" w:cs="Times New Roman"/>
          <w:i/>
          <w:iCs/>
          <w:noProof/>
          <w:color w:val="44546A"/>
          <w:sz w:val="18"/>
          <w:szCs w:val="18"/>
          <w:lang w:val="en-US"/>
        </w:rPr>
        <w:t>1</w:t>
      </w:r>
      <w:r w:rsidRPr="002A686F">
        <w:rPr>
          <w:rFonts w:ascii="Arial" w:eastAsia="Calibri" w:hAnsi="Arial" w:cs="Times New Roman"/>
          <w:i/>
          <w:iCs/>
          <w:color w:val="44546A"/>
          <w:sz w:val="18"/>
          <w:szCs w:val="18"/>
          <w:lang w:val="en-US"/>
        </w:rPr>
        <w:fldChar w:fldCharType="end"/>
      </w:r>
      <w:r w:rsidRPr="002A686F">
        <w:rPr>
          <w:rFonts w:ascii="Arial" w:eastAsia="Calibri" w:hAnsi="Arial" w:cs="Times New Roman"/>
          <w:i/>
          <w:iCs/>
          <w:color w:val="44546A"/>
          <w:sz w:val="18"/>
          <w:szCs w:val="18"/>
          <w:lang w:val="en-US"/>
        </w:rPr>
        <w:t xml:space="preserve"> Methods of Contracting in Project Management</w:t>
      </w:r>
    </w:p>
    <w:p w14:paraId="566940EC" w14:textId="463B6B65" w:rsidR="002A686F" w:rsidRPr="002A686F" w:rsidRDefault="002A686F" w:rsidP="004D4EB1">
      <w:pPr>
        <w:spacing w:line="360" w:lineRule="auto"/>
        <w:rPr>
          <w:rFonts w:ascii="Arial" w:eastAsia="Calibri" w:hAnsi="Arial" w:cs="Times New Roman"/>
          <w:sz w:val="24"/>
          <w:lang w:val="en-US"/>
        </w:rPr>
      </w:pPr>
      <w:r w:rsidRPr="002A686F">
        <w:rPr>
          <w:rFonts w:ascii="Arial" w:eastAsia="Times New Roman" w:hAnsi="Arial" w:cs="Times New Roman"/>
          <w:b/>
          <w:i/>
          <w:sz w:val="24"/>
          <w:szCs w:val="32"/>
          <w:lang w:val="en-US"/>
        </w:rPr>
        <w:t>Turnkey Contract</w:t>
      </w:r>
    </w:p>
    <w:p w14:paraId="1EEC7E8B"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In a Turnkey contract, all design, procurement, construction and commissioning are handled by one contractor which provides a client with a fully operational facility (Kerzner, 2017). The performance and acceptance criteria are specified by the </w:t>
      </w:r>
      <w:proofErr w:type="gramStart"/>
      <w:r w:rsidRPr="002A686F">
        <w:rPr>
          <w:rFonts w:ascii="Arial" w:eastAsia="Calibri" w:hAnsi="Arial" w:cs="Times New Roman"/>
          <w:sz w:val="24"/>
          <w:lang w:val="en-US"/>
        </w:rPr>
        <w:t>client</w:t>
      </w:r>
      <w:proofErr w:type="gramEnd"/>
      <w:r w:rsidRPr="002A686F">
        <w:rPr>
          <w:rFonts w:ascii="Arial" w:eastAsia="Calibri" w:hAnsi="Arial" w:cs="Times New Roman"/>
          <w:sz w:val="24"/>
          <w:lang w:val="en-US"/>
        </w:rPr>
        <w:t xml:space="preserve"> and the contractor provides the completed asset and transfers operational control. Turnkey contracts are often linked to lump-sum </w:t>
      </w:r>
      <w:proofErr w:type="gramStart"/>
      <w:r w:rsidRPr="002A686F">
        <w:rPr>
          <w:rFonts w:ascii="Arial" w:eastAsia="Calibri" w:hAnsi="Arial" w:cs="Times New Roman"/>
          <w:sz w:val="24"/>
          <w:lang w:val="en-US"/>
        </w:rPr>
        <w:t>pricing, and</w:t>
      </w:r>
      <w:proofErr w:type="gramEnd"/>
      <w:r w:rsidRPr="002A686F">
        <w:rPr>
          <w:rFonts w:ascii="Arial" w:eastAsia="Calibri" w:hAnsi="Arial" w:cs="Times New Roman"/>
          <w:sz w:val="24"/>
          <w:lang w:val="en-US"/>
        </w:rPr>
        <w:t xml:space="preserve"> are applied where integration and responsibility at a single point is of primary importance.</w:t>
      </w:r>
    </w:p>
    <w:p w14:paraId="71BF680B"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Turnkey is </w:t>
      </w:r>
      <w:proofErr w:type="spellStart"/>
      <w:r w:rsidRPr="002A686F">
        <w:rPr>
          <w:rFonts w:ascii="Arial" w:eastAsia="Calibri" w:hAnsi="Arial" w:cs="Times New Roman"/>
          <w:sz w:val="24"/>
          <w:lang w:val="en-US"/>
        </w:rPr>
        <w:t>characterised</w:t>
      </w:r>
      <w:proofErr w:type="spellEnd"/>
      <w:r w:rsidRPr="002A686F">
        <w:rPr>
          <w:rFonts w:ascii="Arial" w:eastAsia="Calibri" w:hAnsi="Arial" w:cs="Times New Roman"/>
          <w:sz w:val="24"/>
          <w:lang w:val="en-US"/>
        </w:rPr>
        <w:t xml:space="preserve"> by the single-point responsibility that </w:t>
      </w:r>
      <w:proofErr w:type="gramStart"/>
      <w:r w:rsidRPr="002A686F">
        <w:rPr>
          <w:rFonts w:ascii="Arial" w:eastAsia="Calibri" w:hAnsi="Arial" w:cs="Times New Roman"/>
          <w:sz w:val="24"/>
          <w:lang w:val="en-US"/>
        </w:rPr>
        <w:t>simplify</w:t>
      </w:r>
      <w:proofErr w:type="gramEnd"/>
      <w:r w:rsidRPr="002A686F">
        <w:rPr>
          <w:rFonts w:ascii="Arial" w:eastAsia="Calibri" w:hAnsi="Arial" w:cs="Times New Roman"/>
          <w:sz w:val="24"/>
          <w:lang w:val="en-US"/>
        </w:rPr>
        <w:t xml:space="preserve"> the administration load of the client and </w:t>
      </w:r>
      <w:proofErr w:type="gramStart"/>
      <w:r w:rsidRPr="002A686F">
        <w:rPr>
          <w:rFonts w:ascii="Arial" w:eastAsia="Calibri" w:hAnsi="Arial" w:cs="Times New Roman"/>
          <w:sz w:val="24"/>
          <w:lang w:val="en-US"/>
        </w:rPr>
        <w:t>make</w:t>
      </w:r>
      <w:proofErr w:type="gramEnd"/>
      <w:r w:rsidRPr="002A686F">
        <w:rPr>
          <w:rFonts w:ascii="Arial" w:eastAsia="Calibri" w:hAnsi="Arial" w:cs="Times New Roman"/>
          <w:sz w:val="24"/>
          <w:lang w:val="en-US"/>
        </w:rPr>
        <w:t xml:space="preserve"> the responsibility clear (Morris, 2013). Transfer of design and construction risk to the contractor lowers the risk of cost increase to the client. Combined design-and-build activities allow overlapping </w:t>
      </w:r>
      <w:proofErr w:type="gramStart"/>
      <w:r w:rsidRPr="002A686F">
        <w:rPr>
          <w:rFonts w:ascii="Arial" w:eastAsia="Calibri" w:hAnsi="Arial" w:cs="Times New Roman"/>
          <w:sz w:val="24"/>
          <w:lang w:val="en-US"/>
        </w:rPr>
        <w:t>works</w:t>
      </w:r>
      <w:proofErr w:type="gramEnd"/>
      <w:r w:rsidRPr="002A686F">
        <w:rPr>
          <w:rFonts w:ascii="Arial" w:eastAsia="Calibri" w:hAnsi="Arial" w:cs="Times New Roman"/>
          <w:sz w:val="24"/>
          <w:lang w:val="en-US"/>
        </w:rPr>
        <w:t xml:space="preserve">, which </w:t>
      </w:r>
      <w:proofErr w:type="gramStart"/>
      <w:r w:rsidRPr="002A686F">
        <w:rPr>
          <w:rFonts w:ascii="Arial" w:eastAsia="Calibri" w:hAnsi="Arial" w:cs="Times New Roman"/>
          <w:sz w:val="24"/>
          <w:lang w:val="en-US"/>
        </w:rPr>
        <w:t>tend</w:t>
      </w:r>
      <w:proofErr w:type="gramEnd"/>
      <w:r w:rsidRPr="002A686F">
        <w:rPr>
          <w:rFonts w:ascii="Arial" w:eastAsia="Calibri" w:hAnsi="Arial" w:cs="Times New Roman"/>
          <w:sz w:val="24"/>
          <w:lang w:val="en-US"/>
        </w:rPr>
        <w:t xml:space="preserve"> to reduce the duration of the project. Lump-sum pricing offers cost </w:t>
      </w:r>
      <w:proofErr w:type="gramStart"/>
      <w:r w:rsidRPr="002A686F">
        <w:rPr>
          <w:rFonts w:ascii="Arial" w:eastAsia="Calibri" w:hAnsi="Arial" w:cs="Times New Roman"/>
          <w:sz w:val="24"/>
          <w:lang w:val="en-US"/>
        </w:rPr>
        <w:t>predictability</w:t>
      </w:r>
      <w:proofErr w:type="gramEnd"/>
      <w:r w:rsidRPr="002A686F">
        <w:rPr>
          <w:rFonts w:ascii="Arial" w:eastAsia="Calibri" w:hAnsi="Arial" w:cs="Times New Roman"/>
          <w:sz w:val="24"/>
          <w:lang w:val="en-US"/>
        </w:rPr>
        <w:t xml:space="preserve"> and it </w:t>
      </w:r>
      <w:proofErr w:type="gramStart"/>
      <w:r w:rsidRPr="002A686F">
        <w:rPr>
          <w:rFonts w:ascii="Arial" w:eastAsia="Calibri" w:hAnsi="Arial" w:cs="Times New Roman"/>
          <w:sz w:val="24"/>
          <w:lang w:val="en-US"/>
        </w:rPr>
        <w:t>is appealing</w:t>
      </w:r>
      <w:proofErr w:type="gramEnd"/>
      <w:r w:rsidRPr="002A686F">
        <w:rPr>
          <w:rFonts w:ascii="Arial" w:eastAsia="Calibri" w:hAnsi="Arial" w:cs="Times New Roman"/>
          <w:sz w:val="24"/>
          <w:lang w:val="en-US"/>
        </w:rPr>
        <w:t xml:space="preserve"> to budgeting and financing. Turnkey however limits flexibility to make changes after awarding contracts due to less control on decision making regarding the detailed design by the clients (Walker, 2015). Contractors normally have risk buffers, which escalate the original expenses. Creating detailed specifications in advance is time-consuming; non-perfect scopes can bring conflict. Lastly, with a fixed </w:t>
      </w:r>
      <w:proofErr w:type="gramStart"/>
      <w:r w:rsidRPr="002A686F">
        <w:rPr>
          <w:rFonts w:ascii="Arial" w:eastAsia="Calibri" w:hAnsi="Arial" w:cs="Times New Roman"/>
          <w:sz w:val="24"/>
          <w:lang w:val="en-US"/>
        </w:rPr>
        <w:t>price</w:t>
      </w:r>
      <w:proofErr w:type="gramEnd"/>
      <w:r w:rsidRPr="002A686F">
        <w:rPr>
          <w:rFonts w:ascii="Arial" w:eastAsia="Calibri" w:hAnsi="Arial" w:cs="Times New Roman"/>
          <w:sz w:val="24"/>
          <w:lang w:val="en-US"/>
        </w:rPr>
        <w:t xml:space="preserve"> incentive pressure may develop that pose a risk of quality shortcuts unless closely supervised. Turnkey is suitable when the requirements are clear and where the client requires a relatively small number of iterative client input (e.g. complex process plants) or where the client wants to transfer the risk of integration and the client desires a single, integrated deliverable.</w:t>
      </w:r>
    </w:p>
    <w:p w14:paraId="57076E1F"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2" w:name="_Toc216893442"/>
      <w:r w:rsidRPr="002A686F">
        <w:rPr>
          <w:rFonts w:ascii="Arial" w:eastAsia="Times New Roman" w:hAnsi="Arial" w:cs="Times New Roman"/>
          <w:b/>
          <w:i/>
          <w:sz w:val="24"/>
          <w:szCs w:val="32"/>
          <w:lang w:val="en-US"/>
        </w:rPr>
        <w:lastRenderedPageBreak/>
        <w:t>Multi-Contract</w:t>
      </w:r>
      <w:bookmarkEnd w:id="2"/>
    </w:p>
    <w:p w14:paraId="53188C7A"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Multi-Contracting is </w:t>
      </w:r>
      <w:proofErr w:type="spellStart"/>
      <w:r w:rsidRPr="002A686F">
        <w:rPr>
          <w:rFonts w:ascii="Arial" w:eastAsia="Calibri" w:hAnsi="Arial" w:cs="Times New Roman"/>
          <w:sz w:val="24"/>
          <w:lang w:val="en-US"/>
        </w:rPr>
        <w:t>characterised</w:t>
      </w:r>
      <w:proofErr w:type="spellEnd"/>
      <w:r w:rsidRPr="002A686F">
        <w:rPr>
          <w:rFonts w:ascii="Arial" w:eastAsia="Calibri" w:hAnsi="Arial" w:cs="Times New Roman"/>
          <w:sz w:val="24"/>
          <w:lang w:val="en-US"/>
        </w:rPr>
        <w:t xml:space="preserve"> by the client awarding different contracts to various specialist contractors on different work packages (Burke, 2013). The client has the responsibility of managing interfaces and general integration usually through a dedicated project management office (PMO) or owner engineer.</w:t>
      </w:r>
    </w:p>
    <w:p w14:paraId="6FD20FC4"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Multi-Contract gives the client increased authority over technical specifications, selection and quality criteria of the suppliers (Winch, 2010). It enables the acquisition of best-of-breed specialists when it comes to critical systems (e.g. sterile processing, medical gas or complex HVAC) and separate tendering can promote competition and transparency of costs. The model is also flexible to substitute or re-</w:t>
      </w:r>
      <w:proofErr w:type="spellStart"/>
      <w:r w:rsidRPr="002A686F">
        <w:rPr>
          <w:rFonts w:ascii="Arial" w:eastAsia="Calibri" w:hAnsi="Arial" w:cs="Times New Roman"/>
          <w:sz w:val="24"/>
          <w:lang w:val="en-US"/>
        </w:rPr>
        <w:t>procur</w:t>
      </w:r>
      <w:proofErr w:type="spellEnd"/>
      <w:r w:rsidRPr="002A686F">
        <w:rPr>
          <w:rFonts w:ascii="Arial" w:eastAsia="Calibri" w:hAnsi="Arial" w:cs="Times New Roman"/>
          <w:sz w:val="24"/>
          <w:lang w:val="en-US"/>
        </w:rPr>
        <w:t xml:space="preserve"> individual packages without the </w:t>
      </w:r>
      <w:proofErr w:type="spellStart"/>
      <w:r w:rsidRPr="002A686F">
        <w:rPr>
          <w:rFonts w:ascii="Arial" w:eastAsia="Calibri" w:hAnsi="Arial" w:cs="Times New Roman"/>
          <w:sz w:val="24"/>
          <w:lang w:val="en-US"/>
        </w:rPr>
        <w:t>cancation</w:t>
      </w:r>
      <w:proofErr w:type="spellEnd"/>
      <w:r w:rsidRPr="002A686F">
        <w:rPr>
          <w:rFonts w:ascii="Arial" w:eastAsia="Calibri" w:hAnsi="Arial" w:cs="Times New Roman"/>
          <w:sz w:val="24"/>
          <w:lang w:val="en-US"/>
        </w:rPr>
        <w:t xml:space="preserve"> of the whole </w:t>
      </w:r>
      <w:proofErr w:type="spellStart"/>
      <w:r w:rsidRPr="002A686F">
        <w:rPr>
          <w:rFonts w:ascii="Arial" w:eastAsia="Calibri" w:hAnsi="Arial" w:cs="Times New Roman"/>
          <w:sz w:val="24"/>
          <w:lang w:val="en-US"/>
        </w:rPr>
        <w:t>programme</w:t>
      </w:r>
      <w:proofErr w:type="spellEnd"/>
      <w:r w:rsidRPr="002A686F">
        <w:rPr>
          <w:rFonts w:ascii="Arial" w:eastAsia="Calibri" w:hAnsi="Arial" w:cs="Times New Roman"/>
          <w:sz w:val="24"/>
          <w:lang w:val="en-US"/>
        </w:rPr>
        <w:t xml:space="preserve">. Conversely, integration and interface risk are transferred to the </w:t>
      </w:r>
      <w:proofErr w:type="gramStart"/>
      <w:r w:rsidRPr="002A686F">
        <w:rPr>
          <w:rFonts w:ascii="Arial" w:eastAsia="Calibri" w:hAnsi="Arial" w:cs="Times New Roman"/>
          <w:sz w:val="24"/>
          <w:lang w:val="en-US"/>
        </w:rPr>
        <w:t>client</w:t>
      </w:r>
      <w:proofErr w:type="gramEnd"/>
      <w:r w:rsidRPr="002A686F">
        <w:rPr>
          <w:rFonts w:ascii="Arial" w:eastAsia="Calibri" w:hAnsi="Arial" w:cs="Times New Roman"/>
          <w:sz w:val="24"/>
          <w:lang w:val="en-US"/>
        </w:rPr>
        <w:t xml:space="preserve"> and they require or need to purchase good PM capability (Lock, 2019). Several contracts make administration and conflict between the suppliers with overlapping responsibilities. Interdependencies are more difficult to </w:t>
      </w:r>
      <w:proofErr w:type="gramStart"/>
      <w:r w:rsidRPr="002A686F">
        <w:rPr>
          <w:rFonts w:ascii="Arial" w:eastAsia="Calibri" w:hAnsi="Arial" w:cs="Times New Roman"/>
          <w:sz w:val="24"/>
          <w:lang w:val="en-US"/>
        </w:rPr>
        <w:t>schedule</w:t>
      </w:r>
      <w:proofErr w:type="gramEnd"/>
      <w:r w:rsidRPr="002A686F">
        <w:rPr>
          <w:rFonts w:ascii="Arial" w:eastAsia="Calibri" w:hAnsi="Arial" w:cs="Times New Roman"/>
          <w:sz w:val="24"/>
          <w:lang w:val="en-US"/>
        </w:rPr>
        <w:t xml:space="preserve"> and they may lead to a cascading delay. Multi-Contract: This is very applicable in large building projects and complex infrastructure where a high quality of specialist results </w:t>
      </w:r>
      <w:proofErr w:type="gramStart"/>
      <w:r w:rsidRPr="002A686F">
        <w:rPr>
          <w:rFonts w:ascii="Arial" w:eastAsia="Calibri" w:hAnsi="Arial" w:cs="Times New Roman"/>
          <w:sz w:val="24"/>
          <w:lang w:val="en-US"/>
        </w:rPr>
        <w:t>are</w:t>
      </w:r>
      <w:proofErr w:type="gramEnd"/>
      <w:r w:rsidRPr="002A686F">
        <w:rPr>
          <w:rFonts w:ascii="Arial" w:eastAsia="Calibri" w:hAnsi="Arial" w:cs="Times New Roman"/>
          <w:sz w:val="24"/>
          <w:lang w:val="en-US"/>
        </w:rPr>
        <w:t xml:space="preserve"> needed and the client is prepared and capable </w:t>
      </w:r>
      <w:proofErr w:type="gramStart"/>
      <w:r w:rsidRPr="002A686F">
        <w:rPr>
          <w:rFonts w:ascii="Arial" w:eastAsia="Calibri" w:hAnsi="Arial" w:cs="Times New Roman"/>
          <w:sz w:val="24"/>
          <w:lang w:val="en-US"/>
        </w:rPr>
        <w:t>to take</w:t>
      </w:r>
      <w:proofErr w:type="gramEnd"/>
      <w:r w:rsidRPr="002A686F">
        <w:rPr>
          <w:rFonts w:ascii="Arial" w:eastAsia="Calibri" w:hAnsi="Arial" w:cs="Times New Roman"/>
          <w:sz w:val="24"/>
          <w:lang w:val="en-US"/>
        </w:rPr>
        <w:t xml:space="preserve"> care of coordination.</w:t>
      </w:r>
    </w:p>
    <w:p w14:paraId="68B3BE2C"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3" w:name="_Toc216893443"/>
      <w:r w:rsidRPr="002A686F">
        <w:rPr>
          <w:rFonts w:ascii="Arial" w:eastAsia="Times New Roman" w:hAnsi="Arial" w:cs="Times New Roman"/>
          <w:b/>
          <w:i/>
          <w:sz w:val="24"/>
          <w:szCs w:val="32"/>
          <w:lang w:val="en-US"/>
        </w:rPr>
        <w:t>Do-It-Yourself (DIY) Contract</w:t>
      </w:r>
      <w:bookmarkEnd w:id="3"/>
    </w:p>
    <w:p w14:paraId="52939472"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Under DIY approach the client engages in </w:t>
      </w:r>
      <w:proofErr w:type="gramStart"/>
      <w:r w:rsidRPr="002A686F">
        <w:rPr>
          <w:rFonts w:ascii="Arial" w:eastAsia="Calibri" w:hAnsi="Arial" w:cs="Times New Roman"/>
          <w:sz w:val="24"/>
          <w:lang w:val="en-US"/>
        </w:rPr>
        <w:t>the majority of</w:t>
      </w:r>
      <w:proofErr w:type="gramEnd"/>
      <w:r w:rsidRPr="002A686F">
        <w:rPr>
          <w:rFonts w:ascii="Arial" w:eastAsia="Calibri" w:hAnsi="Arial" w:cs="Times New Roman"/>
          <w:sz w:val="24"/>
          <w:lang w:val="en-US"/>
        </w:rPr>
        <w:t xml:space="preserve"> the project activities in-house through its own staff only requiring external contractors when special tasks or regulatory compliance are needed (Meredith, 2022). DIY is a common practice in </w:t>
      </w:r>
      <w:proofErr w:type="spellStart"/>
      <w:r w:rsidRPr="002A686F">
        <w:rPr>
          <w:rFonts w:ascii="Arial" w:eastAsia="Calibri" w:hAnsi="Arial" w:cs="Times New Roman"/>
          <w:sz w:val="24"/>
          <w:lang w:val="en-US"/>
        </w:rPr>
        <w:t>organisations</w:t>
      </w:r>
      <w:proofErr w:type="spellEnd"/>
      <w:r w:rsidRPr="002A686F">
        <w:rPr>
          <w:rFonts w:ascii="Arial" w:eastAsia="Calibri" w:hAnsi="Arial" w:cs="Times New Roman"/>
          <w:sz w:val="24"/>
          <w:lang w:val="en-US"/>
        </w:rPr>
        <w:t xml:space="preserve"> with mature internal capabilities </w:t>
      </w:r>
      <w:proofErr w:type="gramStart"/>
      <w:r w:rsidRPr="002A686F">
        <w:rPr>
          <w:rFonts w:ascii="Arial" w:eastAsia="Calibri" w:hAnsi="Arial" w:cs="Times New Roman"/>
          <w:sz w:val="24"/>
          <w:lang w:val="en-US"/>
        </w:rPr>
        <w:t>in regard to</w:t>
      </w:r>
      <w:proofErr w:type="gramEnd"/>
      <w:r w:rsidRPr="002A686F">
        <w:rPr>
          <w:rFonts w:ascii="Arial" w:eastAsia="Calibri" w:hAnsi="Arial" w:cs="Times New Roman"/>
          <w:sz w:val="24"/>
          <w:lang w:val="en-US"/>
        </w:rPr>
        <w:t xml:space="preserve"> discrete </w:t>
      </w:r>
      <w:proofErr w:type="spellStart"/>
      <w:r w:rsidRPr="002A686F">
        <w:rPr>
          <w:rFonts w:ascii="Arial" w:eastAsia="Calibri" w:hAnsi="Arial" w:cs="Times New Roman"/>
          <w:sz w:val="24"/>
          <w:lang w:val="en-US"/>
        </w:rPr>
        <w:t>programmes</w:t>
      </w:r>
      <w:proofErr w:type="spellEnd"/>
      <w:r w:rsidRPr="002A686F">
        <w:rPr>
          <w:rFonts w:ascii="Arial" w:eastAsia="Calibri" w:hAnsi="Arial" w:cs="Times New Roman"/>
          <w:sz w:val="24"/>
          <w:lang w:val="en-US"/>
        </w:rPr>
        <w:t>.</w:t>
      </w:r>
    </w:p>
    <w:p w14:paraId="02B2B9ED"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DIY gives the client maximum control over scope, standards and changes, may decrease external profit margins, and internal retention of knowledge and capacity building (Kerzner, 2017). DIY retains confidentiality where data sensitivity or proprietary processes are of importance. The client on the other hand assumes all project risks, financial, technical and operational, and the exposure increases in case the internal teams do not have the necessary expertise (Nicholas and Steyn, 2020). DIY may be limited in capacity and have hidden costs (training, overtime), which causes delays and lower cost efficiency on </w:t>
      </w:r>
      <w:proofErr w:type="gramStart"/>
      <w:r w:rsidRPr="002A686F">
        <w:rPr>
          <w:rFonts w:ascii="Arial" w:eastAsia="Calibri" w:hAnsi="Arial" w:cs="Times New Roman"/>
          <w:sz w:val="24"/>
          <w:lang w:val="en-US"/>
        </w:rPr>
        <w:t>large,</w:t>
      </w:r>
      <w:proofErr w:type="gramEnd"/>
      <w:r w:rsidRPr="002A686F">
        <w:rPr>
          <w:rFonts w:ascii="Arial" w:eastAsia="Calibri" w:hAnsi="Arial" w:cs="Times New Roman"/>
          <w:sz w:val="24"/>
          <w:lang w:val="en-US"/>
        </w:rPr>
        <w:t xml:space="preserve"> </w:t>
      </w:r>
      <w:proofErr w:type="spellStart"/>
      <w:r w:rsidRPr="002A686F">
        <w:rPr>
          <w:rFonts w:ascii="Arial" w:eastAsia="Calibri" w:hAnsi="Arial" w:cs="Times New Roman"/>
          <w:sz w:val="24"/>
          <w:lang w:val="en-US"/>
        </w:rPr>
        <w:t>specialisations</w:t>
      </w:r>
      <w:proofErr w:type="spellEnd"/>
      <w:r w:rsidRPr="002A686F">
        <w:rPr>
          <w:rFonts w:ascii="Arial" w:eastAsia="Calibri" w:hAnsi="Arial" w:cs="Times New Roman"/>
          <w:sz w:val="24"/>
          <w:lang w:val="en-US"/>
        </w:rPr>
        <w:t xml:space="preserve">. DIY suits the internal improvement project (such as upgrades of an IT system or refurbishment of </w:t>
      </w:r>
      <w:r w:rsidRPr="002A686F">
        <w:rPr>
          <w:rFonts w:ascii="Arial" w:eastAsia="Calibri" w:hAnsi="Arial" w:cs="Times New Roman"/>
          <w:sz w:val="24"/>
          <w:lang w:val="en-US"/>
        </w:rPr>
        <w:lastRenderedPageBreak/>
        <w:t xml:space="preserve">a department) when the </w:t>
      </w:r>
      <w:proofErr w:type="spellStart"/>
      <w:r w:rsidRPr="002A686F">
        <w:rPr>
          <w:rFonts w:ascii="Arial" w:eastAsia="Calibri" w:hAnsi="Arial" w:cs="Times New Roman"/>
          <w:sz w:val="24"/>
          <w:lang w:val="en-US"/>
        </w:rPr>
        <w:t>organisation</w:t>
      </w:r>
      <w:proofErr w:type="spellEnd"/>
      <w:r w:rsidRPr="002A686F">
        <w:rPr>
          <w:rFonts w:ascii="Arial" w:eastAsia="Calibri" w:hAnsi="Arial" w:cs="Times New Roman"/>
          <w:sz w:val="24"/>
          <w:lang w:val="en-US"/>
        </w:rPr>
        <w:t xml:space="preserve"> already possesses the required competencies and the area is not large.</w:t>
      </w:r>
    </w:p>
    <w:p w14:paraId="1D936AC7"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4" w:name="_Toc216893444"/>
      <w:r w:rsidRPr="002A686F">
        <w:rPr>
          <w:rFonts w:ascii="Arial" w:eastAsia="Times New Roman" w:hAnsi="Arial" w:cs="Times New Roman"/>
          <w:b/>
          <w:i/>
          <w:sz w:val="24"/>
          <w:szCs w:val="32"/>
          <w:lang w:val="en-US"/>
        </w:rPr>
        <w:t>Multi-Contract + DIY</w:t>
      </w:r>
      <w:bookmarkEnd w:id="4"/>
    </w:p>
    <w:p w14:paraId="3B74182E"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The </w:t>
      </w:r>
      <w:proofErr w:type="gramStart"/>
      <w:r w:rsidRPr="002A686F">
        <w:rPr>
          <w:rFonts w:ascii="Arial" w:eastAsia="Calibri" w:hAnsi="Arial" w:cs="Times New Roman"/>
          <w:sz w:val="24"/>
          <w:lang w:val="en-US"/>
        </w:rPr>
        <w:t>Multi-Contract</w:t>
      </w:r>
      <w:proofErr w:type="gramEnd"/>
      <w:r w:rsidRPr="002A686F">
        <w:rPr>
          <w:rFonts w:ascii="Arial" w:eastAsia="Calibri" w:hAnsi="Arial" w:cs="Times New Roman"/>
          <w:sz w:val="24"/>
          <w:lang w:val="en-US"/>
        </w:rPr>
        <w:t xml:space="preserve"> + DIY hybrid involves internal provision of strategic capabilities (e.g. clinical planning, procurement or project governance) and external contracting of </w:t>
      </w:r>
      <w:proofErr w:type="spellStart"/>
      <w:r w:rsidRPr="002A686F">
        <w:rPr>
          <w:rFonts w:ascii="Arial" w:eastAsia="Calibri" w:hAnsi="Arial" w:cs="Times New Roman"/>
          <w:sz w:val="24"/>
          <w:lang w:val="en-US"/>
        </w:rPr>
        <w:t>specialised</w:t>
      </w:r>
      <w:proofErr w:type="spellEnd"/>
      <w:r w:rsidRPr="002A686F">
        <w:rPr>
          <w:rFonts w:ascii="Arial" w:eastAsia="Calibri" w:hAnsi="Arial" w:cs="Times New Roman"/>
          <w:sz w:val="24"/>
          <w:lang w:val="en-US"/>
        </w:rPr>
        <w:t xml:space="preserve"> provision (PMI, 2021). The client retains strategic control and outsources </w:t>
      </w:r>
      <w:proofErr w:type="gramStart"/>
      <w:r w:rsidRPr="002A686F">
        <w:rPr>
          <w:rFonts w:ascii="Arial" w:eastAsia="Calibri" w:hAnsi="Arial" w:cs="Times New Roman"/>
          <w:sz w:val="24"/>
          <w:lang w:val="en-US"/>
        </w:rPr>
        <w:t>the technical</w:t>
      </w:r>
      <w:proofErr w:type="gramEnd"/>
      <w:r w:rsidRPr="002A686F">
        <w:rPr>
          <w:rFonts w:ascii="Arial" w:eastAsia="Calibri" w:hAnsi="Arial" w:cs="Times New Roman"/>
          <w:sz w:val="24"/>
          <w:lang w:val="en-US"/>
        </w:rPr>
        <w:t xml:space="preserve"> delivery.</w:t>
      </w:r>
    </w:p>
    <w:p w14:paraId="6FD07CEB"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This type of hybrid provides the balance between oversight and specialist expertise, facilitates </w:t>
      </w:r>
      <w:proofErr w:type="spellStart"/>
      <w:r w:rsidRPr="002A686F">
        <w:rPr>
          <w:rFonts w:ascii="Arial" w:eastAsia="Calibri" w:hAnsi="Arial" w:cs="Times New Roman"/>
          <w:sz w:val="24"/>
          <w:lang w:val="en-US"/>
        </w:rPr>
        <w:t>organisation</w:t>
      </w:r>
      <w:proofErr w:type="spellEnd"/>
      <w:r w:rsidRPr="002A686F">
        <w:rPr>
          <w:rFonts w:ascii="Arial" w:eastAsia="Calibri" w:hAnsi="Arial" w:cs="Times New Roman"/>
          <w:sz w:val="24"/>
          <w:lang w:val="en-US"/>
        </w:rPr>
        <w:t xml:space="preserve"> learning, via collaborative delivery, and has the potential to lower the expenses of complete turnkey management through in-house ability in the right places (Nicholas and Steyn, 2020). It has the flexibility of scope and uses competitive tendering in case of technical packages. Quite on the contrary, mixed delivery heightens the complexity of governance. The lack of clarity in the accountability of the internal teams and contractors may lead to </w:t>
      </w:r>
      <w:proofErr w:type="gramStart"/>
      <w:r w:rsidRPr="002A686F">
        <w:rPr>
          <w:rFonts w:ascii="Arial" w:eastAsia="Calibri" w:hAnsi="Arial" w:cs="Times New Roman"/>
          <w:sz w:val="24"/>
          <w:lang w:val="en-US"/>
        </w:rPr>
        <w:t>the delays</w:t>
      </w:r>
      <w:proofErr w:type="gramEnd"/>
      <w:r w:rsidRPr="002A686F">
        <w:rPr>
          <w:rFonts w:ascii="Arial" w:eastAsia="Calibri" w:hAnsi="Arial" w:cs="Times New Roman"/>
          <w:sz w:val="24"/>
          <w:lang w:val="en-US"/>
        </w:rPr>
        <w:t xml:space="preserve"> and conflicts. Liability plans and insurance must be drafted well to prevent instances of coverage and decision-making in insurance may be delayed by internal approvals. The hybrid model is applicable to medium and large-scale public projects in which the client needs to maintain strategic control (clinical outcomes, stakeholder engagement) and cannot perform </w:t>
      </w:r>
      <w:proofErr w:type="spellStart"/>
      <w:r w:rsidRPr="002A686F">
        <w:rPr>
          <w:rFonts w:ascii="Arial" w:eastAsia="Calibri" w:hAnsi="Arial" w:cs="Times New Roman"/>
          <w:sz w:val="24"/>
          <w:lang w:val="en-US"/>
        </w:rPr>
        <w:t>specialised</w:t>
      </w:r>
      <w:proofErr w:type="spellEnd"/>
      <w:r w:rsidRPr="002A686F">
        <w:rPr>
          <w:rFonts w:ascii="Arial" w:eastAsia="Calibri" w:hAnsi="Arial" w:cs="Times New Roman"/>
          <w:sz w:val="24"/>
          <w:lang w:val="en-US"/>
        </w:rPr>
        <w:t xml:space="preserve"> technical works independently.</w:t>
      </w:r>
    </w:p>
    <w:p w14:paraId="2C5525E7" w14:textId="77777777" w:rsidR="002A686F" w:rsidRPr="002A686F" w:rsidRDefault="002A686F" w:rsidP="002A686F">
      <w:pPr>
        <w:keepNext/>
        <w:keepLines/>
        <w:spacing w:before="360" w:after="80" w:line="360" w:lineRule="auto"/>
        <w:outlineLvl w:val="0"/>
        <w:rPr>
          <w:rFonts w:ascii="Arial" w:eastAsia="Times New Roman" w:hAnsi="Arial" w:cs="Times New Roman"/>
          <w:b/>
          <w:sz w:val="24"/>
          <w:szCs w:val="40"/>
          <w:lang w:val="en-US"/>
        </w:rPr>
      </w:pPr>
      <w:bookmarkStart w:id="5" w:name="_Toc216893445"/>
      <w:r w:rsidRPr="002A686F">
        <w:rPr>
          <w:rFonts w:ascii="Arial" w:eastAsia="Times New Roman" w:hAnsi="Arial" w:cs="Times New Roman"/>
          <w:b/>
          <w:sz w:val="24"/>
          <w:szCs w:val="40"/>
          <w:lang w:val="en-US"/>
        </w:rPr>
        <w:t>Contextual Evaluation: Regional Hospital Project (Manchester)</w:t>
      </w:r>
      <w:bookmarkEnd w:id="5"/>
    </w:p>
    <w:p w14:paraId="599BE35C"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The selected </w:t>
      </w:r>
      <w:proofErr w:type="gramStart"/>
      <w:r w:rsidRPr="002A686F">
        <w:rPr>
          <w:rFonts w:ascii="Arial" w:eastAsia="Calibri" w:hAnsi="Arial" w:cs="Times New Roman"/>
          <w:sz w:val="24"/>
          <w:lang w:val="en-US"/>
        </w:rPr>
        <w:t>project setting</w:t>
      </w:r>
      <w:proofErr w:type="gramEnd"/>
      <w:r w:rsidRPr="002A686F">
        <w:rPr>
          <w:rFonts w:ascii="Arial" w:eastAsia="Calibri" w:hAnsi="Arial" w:cs="Times New Roman"/>
          <w:sz w:val="24"/>
          <w:lang w:val="en-US"/>
        </w:rPr>
        <w:t xml:space="preserve"> is the building of a new regional hospital in Manchester, UK. It is a multidisciplinary, capital-intensive, public-sector project that will need civil construction, sophisticated M&amp;E systems, the purchase of medical equipment, IT infrastructure, and healthcare standards compliance. Salient features are public procurement regulations, the presence of high scrutiny of the stakeholders, and </w:t>
      </w:r>
      <w:proofErr w:type="gramStart"/>
      <w:r w:rsidRPr="002A686F">
        <w:rPr>
          <w:rFonts w:ascii="Arial" w:eastAsia="Calibri" w:hAnsi="Arial" w:cs="Times New Roman"/>
          <w:sz w:val="24"/>
          <w:lang w:val="en-US"/>
        </w:rPr>
        <w:t>long term</w:t>
      </w:r>
      <w:proofErr w:type="gramEnd"/>
      <w:r w:rsidRPr="002A686F">
        <w:rPr>
          <w:rFonts w:ascii="Arial" w:eastAsia="Calibri" w:hAnsi="Arial" w:cs="Times New Roman"/>
          <w:sz w:val="24"/>
          <w:lang w:val="en-US"/>
        </w:rPr>
        <w:t xml:space="preserve"> operational basis.</w:t>
      </w:r>
    </w:p>
    <w:p w14:paraId="4C6E3576"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6" w:name="_Toc216893446"/>
      <w:r w:rsidRPr="002A686F">
        <w:rPr>
          <w:rFonts w:ascii="Arial" w:eastAsia="Times New Roman" w:hAnsi="Arial" w:cs="Times New Roman"/>
          <w:b/>
          <w:i/>
          <w:sz w:val="24"/>
          <w:szCs w:val="32"/>
          <w:lang w:val="en-US"/>
        </w:rPr>
        <w:t>Turnkey</w:t>
      </w:r>
      <w:bookmarkEnd w:id="6"/>
      <w:r w:rsidRPr="002A686F">
        <w:rPr>
          <w:rFonts w:ascii="Arial" w:eastAsia="Times New Roman" w:hAnsi="Arial" w:cs="Times New Roman"/>
          <w:b/>
          <w:i/>
          <w:sz w:val="24"/>
          <w:szCs w:val="32"/>
          <w:lang w:val="en-US"/>
        </w:rPr>
        <w:t xml:space="preserve"> </w:t>
      </w:r>
    </w:p>
    <w:p w14:paraId="3B05BF11"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The application of Turnkey to the hospital would mean the design and procurement of the non-clinical elements of the building, installation of the medical equipment and commissioning of the latter are initiated with one contractor. In the case of the NHS Trust, this eases the governance process, minimizes the number of contractual </w:t>
      </w:r>
      <w:r w:rsidRPr="002A686F">
        <w:rPr>
          <w:rFonts w:ascii="Arial" w:eastAsia="Calibri" w:hAnsi="Arial" w:cs="Times New Roman"/>
          <w:sz w:val="24"/>
          <w:lang w:val="en-US"/>
        </w:rPr>
        <w:lastRenderedPageBreak/>
        <w:t xml:space="preserve">relationships and shifts the risks of integration. An issue with a contractor who has experience in hospital delivery is that they </w:t>
      </w:r>
      <w:proofErr w:type="gramStart"/>
      <w:r w:rsidRPr="002A686F">
        <w:rPr>
          <w:rFonts w:ascii="Arial" w:eastAsia="Calibri" w:hAnsi="Arial" w:cs="Times New Roman"/>
          <w:sz w:val="24"/>
          <w:lang w:val="en-US"/>
        </w:rPr>
        <w:t>are able to</w:t>
      </w:r>
      <w:proofErr w:type="gramEnd"/>
      <w:r w:rsidRPr="002A686F">
        <w:rPr>
          <w:rFonts w:ascii="Arial" w:eastAsia="Calibri" w:hAnsi="Arial" w:cs="Times New Roman"/>
          <w:sz w:val="24"/>
          <w:lang w:val="en-US"/>
        </w:rPr>
        <w:t xml:space="preserve"> incorporate infection control with clinical workflow, commissioning protocols with efficiency.</w:t>
      </w:r>
    </w:p>
    <w:p w14:paraId="667FC8CA"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7" w:name="_Toc216893447"/>
      <w:r w:rsidRPr="002A686F">
        <w:rPr>
          <w:rFonts w:ascii="Arial" w:eastAsia="Times New Roman" w:hAnsi="Arial" w:cs="Times New Roman"/>
          <w:b/>
          <w:i/>
          <w:sz w:val="24"/>
          <w:szCs w:val="32"/>
          <w:lang w:val="en-US"/>
        </w:rPr>
        <w:t>Multi-Contract</w:t>
      </w:r>
      <w:bookmarkEnd w:id="7"/>
      <w:r w:rsidRPr="002A686F">
        <w:rPr>
          <w:rFonts w:ascii="Arial" w:eastAsia="Times New Roman" w:hAnsi="Arial" w:cs="Times New Roman"/>
          <w:b/>
          <w:i/>
          <w:sz w:val="24"/>
          <w:szCs w:val="32"/>
          <w:lang w:val="en-US"/>
        </w:rPr>
        <w:t xml:space="preserve"> </w:t>
      </w:r>
    </w:p>
    <w:p w14:paraId="4F46D083"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A </w:t>
      </w:r>
      <w:proofErr w:type="gramStart"/>
      <w:r w:rsidRPr="002A686F">
        <w:rPr>
          <w:rFonts w:ascii="Arial" w:eastAsia="Calibri" w:hAnsi="Arial" w:cs="Times New Roman"/>
          <w:sz w:val="24"/>
          <w:lang w:val="en-US"/>
        </w:rPr>
        <w:t>Multi-Contract</w:t>
      </w:r>
      <w:proofErr w:type="gramEnd"/>
      <w:r w:rsidRPr="002A686F">
        <w:rPr>
          <w:rFonts w:ascii="Arial" w:eastAsia="Calibri" w:hAnsi="Arial" w:cs="Times New Roman"/>
          <w:sz w:val="24"/>
          <w:lang w:val="en-US"/>
        </w:rPr>
        <w:t xml:space="preserve"> procedure would entail distinct procurements of the civils, building services, medical gas, Information Technology networks and special equipment. This enables the choice of suppliers of the class and open competition tendering.</w:t>
      </w:r>
    </w:p>
    <w:p w14:paraId="6ABA1757"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8" w:name="_Toc216893448"/>
      <w:r w:rsidRPr="002A686F">
        <w:rPr>
          <w:rFonts w:ascii="Arial" w:eastAsia="Times New Roman" w:hAnsi="Arial" w:cs="Times New Roman"/>
          <w:b/>
          <w:i/>
          <w:sz w:val="24"/>
          <w:szCs w:val="32"/>
          <w:lang w:val="en-US"/>
        </w:rPr>
        <w:t>DIY</w:t>
      </w:r>
      <w:bookmarkEnd w:id="8"/>
      <w:r w:rsidRPr="002A686F">
        <w:rPr>
          <w:rFonts w:ascii="Arial" w:eastAsia="Times New Roman" w:hAnsi="Arial" w:cs="Times New Roman"/>
          <w:b/>
          <w:i/>
          <w:sz w:val="24"/>
          <w:szCs w:val="32"/>
          <w:lang w:val="en-US"/>
        </w:rPr>
        <w:t xml:space="preserve"> </w:t>
      </w:r>
    </w:p>
    <w:p w14:paraId="001E5813"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Full DIY provision of a new hospital is usually not feasible to an NHS Trust based on scale and expertise needs. But it can be done on the smaller internal projects such as refreshing </w:t>
      </w:r>
      <w:proofErr w:type="gramStart"/>
      <w:r w:rsidRPr="002A686F">
        <w:rPr>
          <w:rFonts w:ascii="Arial" w:eastAsia="Calibri" w:hAnsi="Arial" w:cs="Times New Roman"/>
          <w:sz w:val="24"/>
          <w:lang w:val="en-US"/>
        </w:rPr>
        <w:t>wards</w:t>
      </w:r>
      <w:proofErr w:type="gramEnd"/>
      <w:r w:rsidRPr="002A686F">
        <w:rPr>
          <w:rFonts w:ascii="Arial" w:eastAsia="Calibri" w:hAnsi="Arial" w:cs="Times New Roman"/>
          <w:sz w:val="24"/>
          <w:lang w:val="en-US"/>
        </w:rPr>
        <w:t xml:space="preserve"> or implementing internal IT where clinical staff input and data security are more important.</w:t>
      </w:r>
    </w:p>
    <w:p w14:paraId="272580DC"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9" w:name="_Toc216893449"/>
      <w:r w:rsidRPr="002A686F">
        <w:rPr>
          <w:rFonts w:ascii="Arial" w:eastAsia="Times New Roman" w:hAnsi="Arial" w:cs="Times New Roman"/>
          <w:b/>
          <w:i/>
          <w:sz w:val="24"/>
          <w:szCs w:val="32"/>
          <w:lang w:val="en-US"/>
        </w:rPr>
        <w:t>Multi-Contract + D</w:t>
      </w:r>
      <w:r w:rsidRPr="002A686F">
        <w:rPr>
          <w:rFonts w:ascii="Arial" w:eastAsia="Times New Roman" w:hAnsi="Arial" w:cs="Times New Roman"/>
          <w:sz w:val="24"/>
          <w:szCs w:val="32"/>
          <w:lang w:val="en-US"/>
        </w:rPr>
        <w:t>IY</w:t>
      </w:r>
      <w:bookmarkEnd w:id="9"/>
      <w:r w:rsidRPr="002A686F">
        <w:rPr>
          <w:rFonts w:ascii="Arial" w:eastAsia="Times New Roman" w:hAnsi="Arial" w:cs="Times New Roman"/>
          <w:b/>
          <w:i/>
          <w:sz w:val="24"/>
          <w:szCs w:val="32"/>
          <w:lang w:val="en-US"/>
        </w:rPr>
        <w:t xml:space="preserve"> </w:t>
      </w:r>
    </w:p>
    <w:p w14:paraId="64CD34FD"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An amalgamation of the Trust taking a leading role in clinical planning, stakeholder engagement and procurement strategy and outsourcing technical construction and equipment installation is usually the best. Clinical adjacencies and workflows are defined by internal teams and are carried out by specialist contractors to such specifications.</w:t>
      </w:r>
    </w:p>
    <w:p w14:paraId="2F76B78F" w14:textId="19CD04DB"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10" w:name="_Toc216893450"/>
      <w:r w:rsidRPr="002A686F">
        <w:rPr>
          <w:rFonts w:ascii="Arial" w:eastAsia="Times New Roman" w:hAnsi="Arial" w:cs="Times New Roman"/>
          <w:b/>
          <w:i/>
          <w:sz w:val="24"/>
          <w:szCs w:val="32"/>
          <w:lang w:val="en-US"/>
        </w:rPr>
        <w:t>Merits and Demerits</w:t>
      </w:r>
      <w:bookmarkEnd w:id="10"/>
    </w:p>
    <w:tbl>
      <w:tblPr>
        <w:tblStyle w:val="PlainTable51"/>
        <w:tblW w:w="0" w:type="auto"/>
        <w:tblLook w:val="04A0" w:firstRow="1" w:lastRow="0" w:firstColumn="1" w:lastColumn="0" w:noHBand="0" w:noVBand="1"/>
      </w:tblPr>
      <w:tblGrid>
        <w:gridCol w:w="2005"/>
        <w:gridCol w:w="3467"/>
        <w:gridCol w:w="3554"/>
      </w:tblGrid>
      <w:tr w:rsidR="002A686F" w:rsidRPr="002A686F" w14:paraId="6C43054E" w14:textId="77777777" w:rsidTr="00F24A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065" w:type="dxa"/>
          </w:tcPr>
          <w:p w14:paraId="786CC722" w14:textId="77777777" w:rsidR="002A686F" w:rsidRPr="00F1268F" w:rsidRDefault="002A686F" w:rsidP="00F1268F">
            <w:pPr>
              <w:rPr>
                <w:rFonts w:ascii="Arial" w:hAnsi="Arial" w:cs="Arial"/>
                <w:b/>
                <w:bCs/>
                <w:sz w:val="24"/>
                <w:szCs w:val="24"/>
              </w:rPr>
            </w:pPr>
            <w:r w:rsidRPr="00F1268F">
              <w:rPr>
                <w:rFonts w:ascii="Arial" w:hAnsi="Arial" w:cs="Arial"/>
                <w:b/>
                <w:bCs/>
                <w:sz w:val="24"/>
                <w:szCs w:val="24"/>
              </w:rPr>
              <w:t>Contract Type</w:t>
            </w:r>
          </w:p>
        </w:tc>
        <w:tc>
          <w:tcPr>
            <w:tcW w:w="3600" w:type="dxa"/>
          </w:tcPr>
          <w:p w14:paraId="0020498F" w14:textId="77777777" w:rsidR="002A686F" w:rsidRPr="00F1268F" w:rsidRDefault="002A686F" w:rsidP="00F1268F">
            <w:pPr>
              <w:cnfStyle w:val="100000000000" w:firstRow="1" w:lastRow="0" w:firstColumn="0" w:lastColumn="0" w:oddVBand="0" w:evenVBand="0" w:oddHBand="0" w:evenHBand="0" w:firstRowFirstColumn="0" w:firstRowLastColumn="0" w:lastRowFirstColumn="0" w:lastRowLastColumn="0"/>
              <w:rPr>
                <w:rFonts w:ascii="Arial" w:hAnsi="Arial" w:cs="Arial"/>
                <w:b/>
                <w:bCs/>
                <w:sz w:val="24"/>
                <w:szCs w:val="24"/>
              </w:rPr>
            </w:pPr>
            <w:r w:rsidRPr="00F1268F">
              <w:rPr>
                <w:rFonts w:ascii="Arial" w:hAnsi="Arial" w:cs="Arial"/>
                <w:b/>
                <w:bCs/>
                <w:sz w:val="24"/>
                <w:szCs w:val="24"/>
              </w:rPr>
              <w:t>Contextual Merits (Hospital Project)</w:t>
            </w:r>
          </w:p>
        </w:tc>
        <w:tc>
          <w:tcPr>
            <w:tcW w:w="3685" w:type="dxa"/>
          </w:tcPr>
          <w:p w14:paraId="71B29D22" w14:textId="77777777" w:rsidR="002A686F" w:rsidRPr="00F1268F" w:rsidRDefault="002A686F" w:rsidP="00F1268F">
            <w:pPr>
              <w:cnfStyle w:val="100000000000" w:firstRow="1" w:lastRow="0" w:firstColumn="0" w:lastColumn="0" w:oddVBand="0" w:evenVBand="0" w:oddHBand="0" w:evenHBand="0" w:firstRowFirstColumn="0" w:firstRowLastColumn="0" w:lastRowFirstColumn="0" w:lastRowLastColumn="0"/>
              <w:rPr>
                <w:rFonts w:ascii="Arial" w:hAnsi="Arial" w:cs="Arial"/>
                <w:b/>
                <w:bCs/>
                <w:sz w:val="24"/>
                <w:szCs w:val="24"/>
              </w:rPr>
            </w:pPr>
            <w:r w:rsidRPr="00F1268F">
              <w:rPr>
                <w:rFonts w:ascii="Arial" w:hAnsi="Arial" w:cs="Arial"/>
                <w:b/>
                <w:bCs/>
                <w:sz w:val="24"/>
                <w:szCs w:val="24"/>
              </w:rPr>
              <w:t>Contextual Demerits (Hospital Project)</w:t>
            </w:r>
          </w:p>
        </w:tc>
      </w:tr>
      <w:tr w:rsidR="002A686F" w:rsidRPr="002A686F" w14:paraId="73083C56" w14:textId="77777777" w:rsidTr="00F24A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22F7566" w14:textId="77777777" w:rsidR="002A686F" w:rsidRPr="00F1268F" w:rsidRDefault="002A686F" w:rsidP="00F1268F">
            <w:pPr>
              <w:rPr>
                <w:rFonts w:ascii="Arial" w:hAnsi="Arial" w:cs="Arial"/>
                <w:b/>
                <w:bCs/>
                <w:sz w:val="24"/>
                <w:szCs w:val="24"/>
              </w:rPr>
            </w:pPr>
            <w:r w:rsidRPr="00F1268F">
              <w:rPr>
                <w:rFonts w:ascii="Arial" w:hAnsi="Arial" w:cs="Arial"/>
                <w:b/>
                <w:bCs/>
                <w:sz w:val="24"/>
                <w:szCs w:val="24"/>
              </w:rPr>
              <w:t xml:space="preserve">Turnkey </w:t>
            </w:r>
          </w:p>
        </w:tc>
        <w:tc>
          <w:tcPr>
            <w:tcW w:w="3600" w:type="dxa"/>
          </w:tcPr>
          <w:p w14:paraId="51B7B1D4" w14:textId="77777777" w:rsidR="002A686F" w:rsidRPr="00F1268F" w:rsidRDefault="002A686F" w:rsidP="00F1268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Single-point accountability reduces administrative load; potential for accelerated delivery through integrated design-build; reduced client exposure to construction risk.</w:t>
            </w:r>
          </w:p>
        </w:tc>
        <w:tc>
          <w:tcPr>
            <w:tcW w:w="3685" w:type="dxa"/>
          </w:tcPr>
          <w:p w14:paraId="0F2E01D0" w14:textId="77777777" w:rsidR="002A686F" w:rsidRPr="00F1268F" w:rsidRDefault="002A686F" w:rsidP="00F1268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 xml:space="preserve">Rapid technological change in clinical equipment risks delivering an estate that is obsolete on opening; public-sector auditors often </w:t>
            </w:r>
            <w:proofErr w:type="spellStart"/>
            <w:r w:rsidRPr="00F1268F">
              <w:rPr>
                <w:rFonts w:ascii="Arial" w:eastAsia="Calibri" w:hAnsi="Arial" w:cs="Arial"/>
                <w:sz w:val="24"/>
                <w:szCs w:val="24"/>
              </w:rPr>
              <w:t>scrutinise</w:t>
            </w:r>
            <w:proofErr w:type="spellEnd"/>
            <w:r w:rsidRPr="00F1268F">
              <w:rPr>
                <w:rFonts w:ascii="Arial" w:eastAsia="Calibri" w:hAnsi="Arial" w:cs="Arial"/>
                <w:sz w:val="24"/>
                <w:szCs w:val="24"/>
              </w:rPr>
              <w:t xml:space="preserve"> perceived contractor risk premiums, and changes to clinical specification late in delivery become costly.</w:t>
            </w:r>
          </w:p>
        </w:tc>
      </w:tr>
      <w:tr w:rsidR="002A686F" w:rsidRPr="002A686F" w14:paraId="47858A45" w14:textId="77777777" w:rsidTr="00F24AC3">
        <w:tc>
          <w:tcPr>
            <w:cnfStyle w:val="001000000000" w:firstRow="0" w:lastRow="0" w:firstColumn="1" w:lastColumn="0" w:oddVBand="0" w:evenVBand="0" w:oddHBand="0" w:evenHBand="0" w:firstRowFirstColumn="0" w:firstRowLastColumn="0" w:lastRowFirstColumn="0" w:lastRowLastColumn="0"/>
            <w:tcW w:w="2065" w:type="dxa"/>
          </w:tcPr>
          <w:p w14:paraId="1DFF9CCA" w14:textId="77777777" w:rsidR="002A686F" w:rsidRPr="00F1268F" w:rsidRDefault="002A686F" w:rsidP="00F1268F">
            <w:pPr>
              <w:rPr>
                <w:rFonts w:ascii="Arial" w:hAnsi="Arial" w:cs="Arial"/>
                <w:b/>
                <w:bCs/>
                <w:sz w:val="24"/>
                <w:szCs w:val="24"/>
              </w:rPr>
            </w:pPr>
            <w:r w:rsidRPr="00F1268F">
              <w:rPr>
                <w:rFonts w:ascii="Arial" w:hAnsi="Arial" w:cs="Arial"/>
                <w:b/>
                <w:bCs/>
                <w:sz w:val="24"/>
                <w:szCs w:val="24"/>
              </w:rPr>
              <w:t xml:space="preserve">Multi-Contract </w:t>
            </w:r>
          </w:p>
        </w:tc>
        <w:tc>
          <w:tcPr>
            <w:tcW w:w="3600" w:type="dxa"/>
          </w:tcPr>
          <w:p w14:paraId="722EBA6F" w14:textId="77777777" w:rsidR="002A686F" w:rsidRPr="00F1268F" w:rsidRDefault="002A686F" w:rsidP="00F1268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 xml:space="preserve">Specialist contractors for medical systems improve compliance with clinical performance standards; competitive packages can demonstrate value-for-money </w:t>
            </w:r>
            <w:r w:rsidRPr="00F1268F">
              <w:rPr>
                <w:rFonts w:ascii="Arial" w:eastAsia="Calibri" w:hAnsi="Arial" w:cs="Arial"/>
                <w:sz w:val="24"/>
                <w:szCs w:val="24"/>
              </w:rPr>
              <w:lastRenderedPageBreak/>
              <w:t>and give the Trust direct control over critical interfaces.</w:t>
            </w:r>
          </w:p>
        </w:tc>
        <w:tc>
          <w:tcPr>
            <w:tcW w:w="3685" w:type="dxa"/>
          </w:tcPr>
          <w:p w14:paraId="05B3385A" w14:textId="77777777" w:rsidR="002A686F" w:rsidRPr="00F1268F" w:rsidRDefault="002A686F" w:rsidP="00F1268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lastRenderedPageBreak/>
              <w:t xml:space="preserve">The Trust must possess or contract a strong PMO to manage multiple interfaces; disputes between packages (e.g. Structural vs M&amp;E) can cause costly rework; sequencing failures can delay </w:t>
            </w:r>
            <w:r w:rsidRPr="00F1268F">
              <w:rPr>
                <w:rFonts w:ascii="Arial" w:eastAsia="Calibri" w:hAnsi="Arial" w:cs="Arial"/>
                <w:sz w:val="24"/>
                <w:szCs w:val="24"/>
              </w:rPr>
              <w:lastRenderedPageBreak/>
              <w:t>commissioning and affect planned patient services.</w:t>
            </w:r>
          </w:p>
        </w:tc>
      </w:tr>
      <w:tr w:rsidR="002A686F" w:rsidRPr="002A686F" w14:paraId="3339BCF4" w14:textId="77777777" w:rsidTr="00F24A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9164E08" w14:textId="77777777" w:rsidR="002A686F" w:rsidRPr="00F1268F" w:rsidRDefault="002A686F" w:rsidP="00F1268F">
            <w:pPr>
              <w:rPr>
                <w:rFonts w:ascii="Arial" w:hAnsi="Arial" w:cs="Arial"/>
                <w:b/>
                <w:bCs/>
                <w:sz w:val="24"/>
                <w:szCs w:val="24"/>
              </w:rPr>
            </w:pPr>
            <w:r w:rsidRPr="00F1268F">
              <w:rPr>
                <w:rFonts w:ascii="Arial" w:hAnsi="Arial" w:cs="Arial"/>
                <w:b/>
                <w:bCs/>
                <w:sz w:val="24"/>
                <w:szCs w:val="24"/>
              </w:rPr>
              <w:lastRenderedPageBreak/>
              <w:t>DIY</w:t>
            </w:r>
          </w:p>
        </w:tc>
        <w:tc>
          <w:tcPr>
            <w:tcW w:w="3600" w:type="dxa"/>
          </w:tcPr>
          <w:p w14:paraId="17BC885D" w14:textId="77777777" w:rsidR="002A686F" w:rsidRPr="00F1268F" w:rsidRDefault="002A686F" w:rsidP="00F1268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Internal control aligns deliverables with clinical needs; knowledge and capability are retained internally.</w:t>
            </w:r>
          </w:p>
        </w:tc>
        <w:tc>
          <w:tcPr>
            <w:tcW w:w="3685" w:type="dxa"/>
          </w:tcPr>
          <w:p w14:paraId="36C80A23" w14:textId="77777777" w:rsidR="002A686F" w:rsidRPr="00F1268F" w:rsidRDefault="002A686F" w:rsidP="00F1268F">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 xml:space="preserve">Attempting </w:t>
            </w:r>
            <w:proofErr w:type="gramStart"/>
            <w:r w:rsidRPr="00F1268F">
              <w:rPr>
                <w:rFonts w:ascii="Arial" w:eastAsia="Calibri" w:hAnsi="Arial" w:cs="Arial"/>
                <w:sz w:val="24"/>
                <w:szCs w:val="24"/>
              </w:rPr>
              <w:t>to self-</w:t>
            </w:r>
            <w:proofErr w:type="gramEnd"/>
            <w:r w:rsidRPr="00F1268F">
              <w:rPr>
                <w:rFonts w:ascii="Arial" w:eastAsia="Calibri" w:hAnsi="Arial" w:cs="Arial"/>
                <w:sz w:val="24"/>
                <w:szCs w:val="24"/>
              </w:rPr>
              <w:t>deliver a full hospital risks overload, regulatory non-compliance and delays owing to insufficient construction management capability.</w:t>
            </w:r>
          </w:p>
        </w:tc>
      </w:tr>
      <w:tr w:rsidR="002A686F" w:rsidRPr="002A686F" w14:paraId="695FAA6F" w14:textId="77777777" w:rsidTr="00F24AC3">
        <w:tc>
          <w:tcPr>
            <w:cnfStyle w:val="001000000000" w:firstRow="0" w:lastRow="0" w:firstColumn="1" w:lastColumn="0" w:oddVBand="0" w:evenVBand="0" w:oddHBand="0" w:evenHBand="0" w:firstRowFirstColumn="0" w:firstRowLastColumn="0" w:lastRowFirstColumn="0" w:lastRowLastColumn="0"/>
            <w:tcW w:w="2065" w:type="dxa"/>
          </w:tcPr>
          <w:p w14:paraId="4912A71E" w14:textId="77777777" w:rsidR="002A686F" w:rsidRPr="00F1268F" w:rsidRDefault="002A686F" w:rsidP="00F1268F">
            <w:pPr>
              <w:rPr>
                <w:rFonts w:ascii="Arial" w:hAnsi="Arial" w:cs="Arial"/>
                <w:b/>
                <w:bCs/>
                <w:sz w:val="24"/>
                <w:szCs w:val="24"/>
              </w:rPr>
            </w:pPr>
            <w:r w:rsidRPr="00F1268F">
              <w:rPr>
                <w:rFonts w:ascii="Arial" w:hAnsi="Arial" w:cs="Arial"/>
                <w:b/>
                <w:bCs/>
                <w:sz w:val="24"/>
                <w:szCs w:val="24"/>
              </w:rPr>
              <w:t xml:space="preserve">Multi-Contract + DIY </w:t>
            </w:r>
          </w:p>
        </w:tc>
        <w:tc>
          <w:tcPr>
            <w:tcW w:w="3600" w:type="dxa"/>
          </w:tcPr>
          <w:p w14:paraId="6BA218DD" w14:textId="77777777" w:rsidR="002A686F" w:rsidRPr="00F1268F" w:rsidRDefault="002A686F" w:rsidP="00F1268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Clinical control remains central; contractors deliver technical excellence; collaborative arrangements foster usability at handover.</w:t>
            </w:r>
          </w:p>
        </w:tc>
        <w:tc>
          <w:tcPr>
            <w:tcW w:w="3685" w:type="dxa"/>
          </w:tcPr>
          <w:p w14:paraId="44A0D6DD" w14:textId="77777777" w:rsidR="002A686F" w:rsidRPr="00F1268F" w:rsidRDefault="002A686F" w:rsidP="00F1268F">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F1268F">
              <w:rPr>
                <w:rFonts w:ascii="Arial" w:eastAsia="Calibri" w:hAnsi="Arial" w:cs="Arial"/>
                <w:sz w:val="24"/>
                <w:szCs w:val="24"/>
              </w:rPr>
              <w:t xml:space="preserve">Clarity of roles and interface management are essential; insufficient governance can create accountability gaps; the trust must resource a capable </w:t>
            </w:r>
            <w:proofErr w:type="spellStart"/>
            <w:r w:rsidRPr="00F1268F">
              <w:rPr>
                <w:rFonts w:ascii="Arial" w:eastAsia="Calibri" w:hAnsi="Arial" w:cs="Arial"/>
                <w:sz w:val="24"/>
                <w:szCs w:val="24"/>
              </w:rPr>
              <w:t>pmo</w:t>
            </w:r>
            <w:proofErr w:type="spellEnd"/>
            <w:r w:rsidRPr="00F1268F">
              <w:rPr>
                <w:rFonts w:ascii="Arial" w:eastAsia="Calibri" w:hAnsi="Arial" w:cs="Arial"/>
                <w:sz w:val="24"/>
                <w:szCs w:val="24"/>
              </w:rPr>
              <w:t>.</w:t>
            </w:r>
          </w:p>
        </w:tc>
      </w:tr>
    </w:tbl>
    <w:p w14:paraId="161A4F79" w14:textId="77777777" w:rsidR="002A686F" w:rsidRPr="002A686F" w:rsidRDefault="002A686F" w:rsidP="002A686F">
      <w:pPr>
        <w:spacing w:after="200" w:line="240" w:lineRule="auto"/>
        <w:jc w:val="center"/>
        <w:rPr>
          <w:rFonts w:ascii="Arial" w:eastAsia="Calibri" w:hAnsi="Arial" w:cs="Times New Roman"/>
          <w:i/>
          <w:iCs/>
          <w:color w:val="44546A"/>
          <w:sz w:val="18"/>
          <w:szCs w:val="18"/>
          <w:lang w:val="en-US"/>
        </w:rPr>
      </w:pPr>
      <w:r w:rsidRPr="002A686F">
        <w:rPr>
          <w:rFonts w:ascii="Arial" w:eastAsia="Calibri" w:hAnsi="Arial" w:cs="Times New Roman"/>
          <w:i/>
          <w:iCs/>
          <w:color w:val="44546A"/>
          <w:sz w:val="18"/>
          <w:szCs w:val="18"/>
          <w:lang w:val="en-US"/>
        </w:rPr>
        <w:t xml:space="preserve">Table </w:t>
      </w:r>
      <w:r w:rsidRPr="002A686F">
        <w:rPr>
          <w:rFonts w:ascii="Arial" w:eastAsia="Calibri" w:hAnsi="Arial" w:cs="Times New Roman"/>
          <w:i/>
          <w:iCs/>
          <w:color w:val="44546A"/>
          <w:sz w:val="18"/>
          <w:szCs w:val="18"/>
          <w:lang w:val="en-US"/>
        </w:rPr>
        <w:fldChar w:fldCharType="begin"/>
      </w:r>
      <w:r w:rsidRPr="002A686F">
        <w:rPr>
          <w:rFonts w:ascii="Arial" w:eastAsia="Calibri" w:hAnsi="Arial" w:cs="Times New Roman"/>
          <w:i/>
          <w:iCs/>
          <w:color w:val="44546A"/>
          <w:sz w:val="18"/>
          <w:szCs w:val="18"/>
          <w:lang w:val="en-US"/>
        </w:rPr>
        <w:instrText xml:space="preserve"> SEQ Table \* ARABIC </w:instrText>
      </w:r>
      <w:r w:rsidRPr="002A686F">
        <w:rPr>
          <w:rFonts w:ascii="Arial" w:eastAsia="Calibri" w:hAnsi="Arial" w:cs="Times New Roman"/>
          <w:i/>
          <w:iCs/>
          <w:color w:val="44546A"/>
          <w:sz w:val="18"/>
          <w:szCs w:val="18"/>
          <w:lang w:val="en-US"/>
        </w:rPr>
        <w:fldChar w:fldCharType="separate"/>
      </w:r>
      <w:r w:rsidRPr="002A686F">
        <w:rPr>
          <w:rFonts w:ascii="Arial" w:eastAsia="Calibri" w:hAnsi="Arial" w:cs="Times New Roman"/>
          <w:i/>
          <w:iCs/>
          <w:noProof/>
          <w:color w:val="44546A"/>
          <w:sz w:val="18"/>
          <w:szCs w:val="18"/>
          <w:lang w:val="en-US"/>
        </w:rPr>
        <w:t>1</w:t>
      </w:r>
      <w:r w:rsidRPr="002A686F">
        <w:rPr>
          <w:rFonts w:ascii="Arial" w:eastAsia="Calibri" w:hAnsi="Arial" w:cs="Times New Roman"/>
          <w:i/>
          <w:iCs/>
          <w:color w:val="44546A"/>
          <w:sz w:val="18"/>
          <w:szCs w:val="18"/>
          <w:lang w:val="en-US"/>
        </w:rPr>
        <w:fldChar w:fldCharType="end"/>
      </w:r>
      <w:r w:rsidRPr="002A686F">
        <w:rPr>
          <w:rFonts w:ascii="Arial" w:eastAsia="Calibri" w:hAnsi="Arial" w:cs="Times New Roman"/>
          <w:i/>
          <w:iCs/>
          <w:color w:val="44546A"/>
          <w:sz w:val="18"/>
          <w:szCs w:val="18"/>
          <w:lang w:val="en-US"/>
        </w:rPr>
        <w:t xml:space="preserve"> Contextual Merits and Demerits</w:t>
      </w:r>
    </w:p>
    <w:p w14:paraId="0A67A50F" w14:textId="77777777" w:rsidR="002A686F" w:rsidRPr="002A686F" w:rsidRDefault="002A686F" w:rsidP="002A686F">
      <w:pPr>
        <w:keepNext/>
        <w:keepLines/>
        <w:spacing w:before="160" w:after="80" w:line="360" w:lineRule="auto"/>
        <w:outlineLvl w:val="1"/>
        <w:rPr>
          <w:rFonts w:ascii="Arial" w:eastAsia="Times New Roman" w:hAnsi="Arial" w:cs="Times New Roman"/>
          <w:b/>
          <w:i/>
          <w:sz w:val="24"/>
          <w:szCs w:val="32"/>
          <w:lang w:val="en-US"/>
        </w:rPr>
      </w:pPr>
      <w:bookmarkStart w:id="11" w:name="_Toc216893451"/>
      <w:r w:rsidRPr="002A686F">
        <w:rPr>
          <w:rFonts w:ascii="Arial" w:eastAsia="Times New Roman" w:hAnsi="Arial" w:cs="Times New Roman"/>
          <w:b/>
          <w:i/>
          <w:sz w:val="24"/>
          <w:szCs w:val="32"/>
          <w:lang w:val="en-US"/>
        </w:rPr>
        <w:t>Comparative synthesis and delivery recommendations</w:t>
      </w:r>
      <w:bookmarkEnd w:id="11"/>
    </w:p>
    <w:p w14:paraId="4533EA98"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In the case of the Manchester hospital, it would be advisable to use the </w:t>
      </w:r>
      <w:proofErr w:type="gramStart"/>
      <w:r w:rsidRPr="002A686F">
        <w:rPr>
          <w:rFonts w:ascii="Arial" w:eastAsia="Calibri" w:hAnsi="Arial" w:cs="Times New Roman"/>
          <w:sz w:val="24"/>
          <w:lang w:val="en-US"/>
        </w:rPr>
        <w:t>Multi-Contract</w:t>
      </w:r>
      <w:proofErr w:type="gramEnd"/>
      <w:r w:rsidRPr="002A686F">
        <w:rPr>
          <w:rFonts w:ascii="Arial" w:eastAsia="Calibri" w:hAnsi="Arial" w:cs="Times New Roman"/>
          <w:sz w:val="24"/>
          <w:lang w:val="en-US"/>
        </w:rPr>
        <w:t xml:space="preserve"> + DIY with Early Contractor Involvement (ECI) because it has a balance between clinical control, technical expertise and value-for-money. ECI brings contractors on board during design to enhance constructability and </w:t>
      </w:r>
      <w:proofErr w:type="spellStart"/>
      <w:r w:rsidRPr="002A686F">
        <w:rPr>
          <w:rFonts w:ascii="Arial" w:eastAsia="Calibri" w:hAnsi="Arial" w:cs="Times New Roman"/>
          <w:sz w:val="24"/>
          <w:lang w:val="en-US"/>
        </w:rPr>
        <w:t>minimise</w:t>
      </w:r>
      <w:proofErr w:type="spellEnd"/>
      <w:r w:rsidRPr="002A686F">
        <w:rPr>
          <w:rFonts w:ascii="Arial" w:eastAsia="Calibri" w:hAnsi="Arial" w:cs="Times New Roman"/>
          <w:sz w:val="24"/>
          <w:lang w:val="en-US"/>
        </w:rPr>
        <w:t xml:space="preserve"> the risk distribution of adversarial risk (Walker, 2015). The indispensable ones are a developed PMO, digital common data environments (BIM), a complete risk register and clear interface matrices, regardless of the form of choice. To guard operational goals, contracts must have whole-life and maintenance clauses, performance-based acceptance tests, liability period and prolonged equipment maintenance. The procurement should address the public-sector transparency standards, as well as use social value indicators (local employment, apprenticeships) and sustainability needs to align with NHS Net Zero goals. Dispute-avoidance strategies, including early-warning processes, adjudication clauses and incentivized joint risk registers (pain/gain share), are useful to keep the pace going and prevent </w:t>
      </w:r>
      <w:proofErr w:type="gramStart"/>
      <w:r w:rsidRPr="002A686F">
        <w:rPr>
          <w:rFonts w:ascii="Arial" w:eastAsia="Calibri" w:hAnsi="Arial" w:cs="Times New Roman"/>
          <w:sz w:val="24"/>
          <w:lang w:val="en-US"/>
        </w:rPr>
        <w:t>escalation adversarial</w:t>
      </w:r>
      <w:proofErr w:type="gramEnd"/>
      <w:r w:rsidRPr="002A686F">
        <w:rPr>
          <w:rFonts w:ascii="Arial" w:eastAsia="Calibri" w:hAnsi="Arial" w:cs="Times New Roman"/>
          <w:sz w:val="24"/>
          <w:lang w:val="en-US"/>
        </w:rPr>
        <w:t>. Lastly, contract governance should incorporate stakeholder involvement, i.e. clinicians, patients, regulators and local communities, to make sure that the provided facility satisfies service needs in the long term.</w:t>
      </w:r>
    </w:p>
    <w:p w14:paraId="73BBA142" w14:textId="77777777" w:rsidR="002A686F" w:rsidRPr="002A686F" w:rsidRDefault="002A686F" w:rsidP="002A686F">
      <w:pPr>
        <w:keepNext/>
        <w:keepLines/>
        <w:spacing w:before="360" w:after="80" w:line="360" w:lineRule="auto"/>
        <w:outlineLvl w:val="0"/>
        <w:rPr>
          <w:rFonts w:ascii="Arial" w:eastAsia="Times New Roman" w:hAnsi="Arial" w:cs="Times New Roman"/>
          <w:b/>
          <w:sz w:val="24"/>
          <w:szCs w:val="40"/>
          <w:lang w:val="en-US"/>
        </w:rPr>
      </w:pPr>
      <w:bookmarkStart w:id="12" w:name="_Toc216893452"/>
      <w:r w:rsidRPr="002A686F">
        <w:rPr>
          <w:rFonts w:ascii="Arial" w:eastAsia="Times New Roman" w:hAnsi="Arial" w:cs="Times New Roman"/>
          <w:b/>
          <w:sz w:val="24"/>
          <w:szCs w:val="40"/>
          <w:lang w:val="en-US"/>
        </w:rPr>
        <w:t>Conclusion</w:t>
      </w:r>
      <w:bookmarkEnd w:id="12"/>
    </w:p>
    <w:p w14:paraId="00264B3B" w14:textId="77777777" w:rsidR="002A686F" w:rsidRPr="002A686F" w:rsidRDefault="002A686F" w:rsidP="002A686F">
      <w:pPr>
        <w:spacing w:line="360" w:lineRule="auto"/>
        <w:rPr>
          <w:rFonts w:ascii="Arial" w:eastAsia="Calibri" w:hAnsi="Arial" w:cs="Times New Roman"/>
          <w:sz w:val="24"/>
          <w:lang w:val="en-US"/>
        </w:rPr>
      </w:pPr>
      <w:r w:rsidRPr="002A686F">
        <w:rPr>
          <w:rFonts w:ascii="Arial" w:eastAsia="Calibri" w:hAnsi="Arial" w:cs="Times New Roman"/>
          <w:sz w:val="24"/>
          <w:lang w:val="en-US"/>
        </w:rPr>
        <w:t xml:space="preserve">Contract selection is a strategic aspect of determinations of project outcomes. Turnkey, Multi-Contract, DIY and Multi-Contract + DIY methods provide dissimilar trade-offs between control, cost certainty, specialist quality and risk allocation. When </w:t>
      </w:r>
      <w:r w:rsidRPr="002A686F">
        <w:rPr>
          <w:rFonts w:ascii="Arial" w:eastAsia="Calibri" w:hAnsi="Arial" w:cs="Times New Roman"/>
          <w:sz w:val="24"/>
          <w:lang w:val="en-US"/>
        </w:rPr>
        <w:lastRenderedPageBreak/>
        <w:t xml:space="preserve">applied to the Manchester hospital, Turnkey would ease responsibility but restrict flexibility, </w:t>
      </w:r>
      <w:proofErr w:type="gramStart"/>
      <w:r w:rsidRPr="002A686F">
        <w:rPr>
          <w:rFonts w:ascii="Arial" w:eastAsia="Calibri" w:hAnsi="Arial" w:cs="Times New Roman"/>
          <w:sz w:val="24"/>
          <w:lang w:val="en-US"/>
        </w:rPr>
        <w:t>Multi-Contract</w:t>
      </w:r>
      <w:proofErr w:type="gramEnd"/>
      <w:r w:rsidRPr="002A686F">
        <w:rPr>
          <w:rFonts w:ascii="Arial" w:eastAsia="Calibri" w:hAnsi="Arial" w:cs="Times New Roman"/>
          <w:sz w:val="24"/>
          <w:lang w:val="en-US"/>
        </w:rPr>
        <w:t xml:space="preserve"> would offer </w:t>
      </w:r>
      <w:proofErr w:type="spellStart"/>
      <w:r w:rsidRPr="002A686F">
        <w:rPr>
          <w:rFonts w:ascii="Arial" w:eastAsia="Calibri" w:hAnsi="Arial" w:cs="Times New Roman"/>
          <w:sz w:val="24"/>
          <w:lang w:val="en-US"/>
        </w:rPr>
        <w:t>specialisation</w:t>
      </w:r>
      <w:proofErr w:type="spellEnd"/>
      <w:r w:rsidRPr="002A686F">
        <w:rPr>
          <w:rFonts w:ascii="Arial" w:eastAsia="Calibri" w:hAnsi="Arial" w:cs="Times New Roman"/>
          <w:sz w:val="24"/>
          <w:lang w:val="en-US"/>
        </w:rPr>
        <w:t xml:space="preserve"> but require an effective PMO, DIY would maintain control in small scopes but risk concentration, and the hybrid </w:t>
      </w:r>
      <w:proofErr w:type="gramStart"/>
      <w:r w:rsidRPr="002A686F">
        <w:rPr>
          <w:rFonts w:ascii="Arial" w:eastAsia="Calibri" w:hAnsi="Arial" w:cs="Times New Roman"/>
          <w:sz w:val="24"/>
          <w:lang w:val="en-US"/>
        </w:rPr>
        <w:t>Multi-Contract</w:t>
      </w:r>
      <w:proofErr w:type="gramEnd"/>
      <w:r w:rsidRPr="002A686F">
        <w:rPr>
          <w:rFonts w:ascii="Arial" w:eastAsia="Calibri" w:hAnsi="Arial" w:cs="Times New Roman"/>
          <w:sz w:val="24"/>
          <w:lang w:val="en-US"/>
        </w:rPr>
        <w:t xml:space="preserve"> + DIY would maintain clinical control and external technical expertise. Practitioners are advised to engage in high standards of front-end planning, candid evaluation of </w:t>
      </w:r>
      <w:proofErr w:type="spellStart"/>
      <w:r w:rsidRPr="002A686F">
        <w:rPr>
          <w:rFonts w:ascii="Arial" w:eastAsia="Calibri" w:hAnsi="Arial" w:cs="Times New Roman"/>
          <w:sz w:val="24"/>
          <w:lang w:val="en-US"/>
        </w:rPr>
        <w:t>organisational</w:t>
      </w:r>
      <w:proofErr w:type="spellEnd"/>
      <w:r w:rsidRPr="002A686F">
        <w:rPr>
          <w:rFonts w:ascii="Arial" w:eastAsia="Calibri" w:hAnsi="Arial" w:cs="Times New Roman"/>
          <w:sz w:val="24"/>
          <w:lang w:val="en-US"/>
        </w:rPr>
        <w:t xml:space="preserve"> capacity, embrace the use of the ECI where appropriate, invest in sound governance and digital integration tools and match contractual incentives with whole-life operation aims. There is need to match the contract form to project context, capacity and stakeholder expectations to ensure that a safe and functional and sustainable healthcare facility is provided to the people and offers value to them. </w:t>
      </w:r>
    </w:p>
    <w:p w14:paraId="5820B96D" w14:textId="77777777" w:rsidR="002A686F" w:rsidRPr="002A686F" w:rsidRDefault="002A686F" w:rsidP="002A686F">
      <w:pPr>
        <w:spacing w:line="360" w:lineRule="auto"/>
        <w:rPr>
          <w:rFonts w:ascii="Arial" w:eastAsia="Calibri" w:hAnsi="Arial" w:cs="Times New Roman"/>
          <w:sz w:val="24"/>
          <w:lang w:val="en-US"/>
        </w:rPr>
      </w:pPr>
    </w:p>
    <w:p w14:paraId="7A765DC4" w14:textId="77777777" w:rsidR="002A686F" w:rsidRPr="002A686F" w:rsidRDefault="002A686F" w:rsidP="002A686F">
      <w:pPr>
        <w:rPr>
          <w:rFonts w:ascii="Arial" w:eastAsia="Calibri" w:hAnsi="Arial" w:cs="Times New Roman"/>
          <w:sz w:val="24"/>
          <w:lang w:val="en-US"/>
        </w:rPr>
      </w:pPr>
      <w:r w:rsidRPr="002A686F">
        <w:rPr>
          <w:rFonts w:ascii="Arial" w:eastAsia="Calibri" w:hAnsi="Arial" w:cs="Times New Roman"/>
          <w:sz w:val="24"/>
          <w:lang w:val="en-US"/>
        </w:rPr>
        <w:br w:type="page"/>
      </w:r>
    </w:p>
    <w:p w14:paraId="29F82842" w14:textId="77777777" w:rsidR="002A686F" w:rsidRPr="002A686F" w:rsidRDefault="002A686F" w:rsidP="002A686F">
      <w:pPr>
        <w:keepNext/>
        <w:keepLines/>
        <w:spacing w:before="360" w:after="80" w:line="360" w:lineRule="auto"/>
        <w:outlineLvl w:val="0"/>
        <w:rPr>
          <w:rFonts w:ascii="Arial" w:eastAsia="Times New Roman" w:hAnsi="Arial" w:cs="Times New Roman"/>
          <w:b/>
          <w:sz w:val="24"/>
          <w:szCs w:val="40"/>
          <w:lang w:val="en-US"/>
        </w:rPr>
      </w:pPr>
      <w:bookmarkStart w:id="13" w:name="_Toc216893453"/>
      <w:r w:rsidRPr="002A686F">
        <w:rPr>
          <w:rFonts w:ascii="Arial" w:eastAsia="Times New Roman" w:hAnsi="Arial" w:cs="Times New Roman"/>
          <w:b/>
          <w:sz w:val="24"/>
          <w:szCs w:val="40"/>
          <w:lang w:val="en-US"/>
        </w:rPr>
        <w:lastRenderedPageBreak/>
        <w:t>References</w:t>
      </w:r>
      <w:bookmarkEnd w:id="13"/>
    </w:p>
    <w:p w14:paraId="302D2FCA"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Burke, R. (2013). </w:t>
      </w:r>
      <w:r w:rsidRPr="002A686F">
        <w:rPr>
          <w:rFonts w:ascii="Arial" w:eastAsia="Calibri" w:hAnsi="Arial" w:cs="Times New Roman"/>
          <w:i/>
          <w:iCs/>
          <w:sz w:val="24"/>
          <w:lang w:val="en-US"/>
        </w:rPr>
        <w:t xml:space="preserve">Project </w:t>
      </w:r>
      <w:proofErr w:type="gramStart"/>
      <w:r w:rsidRPr="002A686F">
        <w:rPr>
          <w:rFonts w:ascii="Arial" w:eastAsia="Calibri" w:hAnsi="Arial" w:cs="Times New Roman"/>
          <w:i/>
          <w:iCs/>
          <w:sz w:val="24"/>
          <w:lang w:val="en-US"/>
        </w:rPr>
        <w:t>Management :</w:t>
      </w:r>
      <w:proofErr w:type="gramEnd"/>
      <w:r w:rsidRPr="002A686F">
        <w:rPr>
          <w:rFonts w:ascii="Arial" w:eastAsia="Calibri" w:hAnsi="Arial" w:cs="Times New Roman"/>
          <w:i/>
          <w:iCs/>
          <w:sz w:val="24"/>
          <w:lang w:val="en-US"/>
        </w:rPr>
        <w:t xml:space="preserve"> Planning and Control Techniques</w:t>
      </w:r>
      <w:r w:rsidRPr="002A686F">
        <w:rPr>
          <w:rFonts w:ascii="Arial" w:eastAsia="Calibri" w:hAnsi="Arial" w:cs="Times New Roman"/>
          <w:sz w:val="24"/>
          <w:lang w:val="en-US"/>
        </w:rPr>
        <w:t xml:space="preserve">. 5th ed. Hoboken, N.J.: </w:t>
      </w:r>
      <w:proofErr w:type="gramStart"/>
      <w:r w:rsidRPr="002A686F">
        <w:rPr>
          <w:rFonts w:ascii="Arial" w:eastAsia="Calibri" w:hAnsi="Arial" w:cs="Times New Roman"/>
          <w:sz w:val="24"/>
          <w:lang w:val="en-US"/>
        </w:rPr>
        <w:t>Wiley ;</w:t>
      </w:r>
      <w:proofErr w:type="gramEnd"/>
      <w:r w:rsidRPr="002A686F">
        <w:rPr>
          <w:rFonts w:ascii="Arial" w:eastAsia="Calibri" w:hAnsi="Arial" w:cs="Times New Roman"/>
          <w:sz w:val="24"/>
          <w:lang w:val="en-US"/>
        </w:rPr>
        <w:t xml:space="preserve"> Chichester.</w:t>
      </w:r>
    </w:p>
    <w:p w14:paraId="508F1A9E"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Kerzner, H. (2017). </w:t>
      </w:r>
      <w:r w:rsidRPr="002A686F">
        <w:rPr>
          <w:rFonts w:ascii="Arial" w:eastAsia="Calibri" w:hAnsi="Arial" w:cs="Times New Roman"/>
          <w:i/>
          <w:iCs/>
          <w:sz w:val="24"/>
          <w:lang w:val="en-US"/>
        </w:rPr>
        <w:t xml:space="preserve">Project management: a Systems Approach to planning, scheduling, and </w:t>
      </w:r>
      <w:proofErr w:type="gramStart"/>
      <w:r w:rsidRPr="002A686F">
        <w:rPr>
          <w:rFonts w:ascii="Arial" w:eastAsia="Calibri" w:hAnsi="Arial" w:cs="Times New Roman"/>
          <w:i/>
          <w:iCs/>
          <w:sz w:val="24"/>
          <w:lang w:val="en-US"/>
        </w:rPr>
        <w:t>Controlling</w:t>
      </w:r>
      <w:proofErr w:type="gramEnd"/>
      <w:r w:rsidRPr="002A686F">
        <w:rPr>
          <w:rFonts w:ascii="Arial" w:eastAsia="Calibri" w:hAnsi="Arial" w:cs="Times New Roman"/>
          <w:sz w:val="24"/>
          <w:lang w:val="en-US"/>
        </w:rPr>
        <w:t>. 12th ed. John Wiley &amp; Sons, Inc.</w:t>
      </w:r>
    </w:p>
    <w:p w14:paraId="1CFD0F1E"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Lock, D. (2019). </w:t>
      </w:r>
      <w:r w:rsidRPr="002A686F">
        <w:rPr>
          <w:rFonts w:ascii="Arial" w:eastAsia="Calibri" w:hAnsi="Arial" w:cs="Times New Roman"/>
          <w:i/>
          <w:iCs/>
          <w:sz w:val="24"/>
          <w:lang w:val="en-US"/>
        </w:rPr>
        <w:t>Essentials Of Project Management.</w:t>
      </w:r>
      <w:r w:rsidRPr="002A686F">
        <w:rPr>
          <w:rFonts w:ascii="Arial" w:eastAsia="Calibri" w:hAnsi="Arial" w:cs="Times New Roman"/>
          <w:sz w:val="24"/>
          <w:lang w:val="en-US"/>
        </w:rPr>
        <w:t xml:space="preserve"> S.L.: Routledge.</w:t>
      </w:r>
    </w:p>
    <w:p w14:paraId="3339C512"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Meredith, J.R. (2022). </w:t>
      </w:r>
      <w:r w:rsidRPr="002A686F">
        <w:rPr>
          <w:rFonts w:ascii="Arial" w:eastAsia="Calibri" w:hAnsi="Arial" w:cs="Times New Roman"/>
          <w:i/>
          <w:iCs/>
          <w:sz w:val="24"/>
          <w:lang w:val="en-US"/>
        </w:rPr>
        <w:t>Project management: A strategic managerial approach</w:t>
      </w:r>
      <w:r w:rsidRPr="002A686F">
        <w:rPr>
          <w:rFonts w:ascii="Arial" w:eastAsia="Calibri" w:hAnsi="Arial" w:cs="Times New Roman"/>
          <w:sz w:val="24"/>
          <w:lang w:val="en-US"/>
        </w:rPr>
        <w:t>. 10th ed. Hoboken, Nj: Wiley.</w:t>
      </w:r>
    </w:p>
    <w:p w14:paraId="4A4A0ED7"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Morris, P.W.G. (2013). </w:t>
      </w:r>
      <w:r w:rsidRPr="002A686F">
        <w:rPr>
          <w:rFonts w:ascii="Arial" w:eastAsia="Calibri" w:hAnsi="Arial" w:cs="Times New Roman"/>
          <w:i/>
          <w:iCs/>
          <w:sz w:val="24"/>
          <w:lang w:val="en-US"/>
        </w:rPr>
        <w:t>Reconstructing project management</w:t>
      </w:r>
      <w:r w:rsidRPr="002A686F">
        <w:rPr>
          <w:rFonts w:ascii="Arial" w:eastAsia="Calibri" w:hAnsi="Arial" w:cs="Times New Roman"/>
          <w:sz w:val="24"/>
          <w:lang w:val="en-US"/>
        </w:rPr>
        <w:t>. John Wiley &amp; Sons.</w:t>
      </w:r>
    </w:p>
    <w:p w14:paraId="16283D01"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Nicholas, J.M. and Steyn, H. (2020). </w:t>
      </w:r>
      <w:r w:rsidRPr="002A686F">
        <w:rPr>
          <w:rFonts w:ascii="Arial" w:eastAsia="Calibri" w:hAnsi="Arial" w:cs="Times New Roman"/>
          <w:i/>
          <w:iCs/>
          <w:sz w:val="24"/>
          <w:lang w:val="en-US"/>
        </w:rPr>
        <w:t>Project management for engineering, business and technology</w:t>
      </w:r>
      <w:r w:rsidRPr="002A686F">
        <w:rPr>
          <w:rFonts w:ascii="Arial" w:eastAsia="Calibri" w:hAnsi="Arial" w:cs="Times New Roman"/>
          <w:sz w:val="24"/>
          <w:lang w:val="en-US"/>
        </w:rPr>
        <w:t xml:space="preserve">. 5th ed. Abingdon, </w:t>
      </w:r>
      <w:proofErr w:type="gramStart"/>
      <w:r w:rsidRPr="002A686F">
        <w:rPr>
          <w:rFonts w:ascii="Arial" w:eastAsia="Calibri" w:hAnsi="Arial" w:cs="Times New Roman"/>
          <w:sz w:val="24"/>
          <w:lang w:val="en-US"/>
        </w:rPr>
        <w:t>Oxon ;</w:t>
      </w:r>
      <w:proofErr w:type="gramEnd"/>
      <w:r w:rsidRPr="002A686F">
        <w:rPr>
          <w:rFonts w:ascii="Arial" w:eastAsia="Calibri" w:hAnsi="Arial" w:cs="Times New Roman"/>
          <w:sz w:val="24"/>
          <w:lang w:val="en-US"/>
        </w:rPr>
        <w:t xml:space="preserve"> New York, Ny: Routledge, An Imprint </w:t>
      </w:r>
      <w:proofErr w:type="gramStart"/>
      <w:r w:rsidRPr="002A686F">
        <w:rPr>
          <w:rFonts w:ascii="Arial" w:eastAsia="Calibri" w:hAnsi="Arial" w:cs="Times New Roman"/>
          <w:sz w:val="24"/>
          <w:lang w:val="en-US"/>
        </w:rPr>
        <w:t>Of</w:t>
      </w:r>
      <w:proofErr w:type="gramEnd"/>
      <w:r w:rsidRPr="002A686F">
        <w:rPr>
          <w:rFonts w:ascii="Arial" w:eastAsia="Calibri" w:hAnsi="Arial" w:cs="Times New Roman"/>
          <w:sz w:val="24"/>
          <w:lang w:val="en-US"/>
        </w:rPr>
        <w:t xml:space="preserve"> </w:t>
      </w:r>
      <w:proofErr w:type="gramStart"/>
      <w:r w:rsidRPr="002A686F">
        <w:rPr>
          <w:rFonts w:ascii="Arial" w:eastAsia="Calibri" w:hAnsi="Arial" w:cs="Times New Roman"/>
          <w:sz w:val="24"/>
          <w:lang w:val="en-US"/>
        </w:rPr>
        <w:t>The</w:t>
      </w:r>
      <w:proofErr w:type="gramEnd"/>
      <w:r w:rsidRPr="002A686F">
        <w:rPr>
          <w:rFonts w:ascii="Arial" w:eastAsia="Calibri" w:hAnsi="Arial" w:cs="Times New Roman"/>
          <w:sz w:val="24"/>
          <w:lang w:val="en-US"/>
        </w:rPr>
        <w:t xml:space="preserve"> Taylor &amp; Francis Group.</w:t>
      </w:r>
    </w:p>
    <w:p w14:paraId="20B8FC3F"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Project Management Institute (PMI) (2021). </w:t>
      </w:r>
      <w:r w:rsidRPr="002A686F">
        <w:rPr>
          <w:rFonts w:ascii="Arial" w:eastAsia="Calibri" w:hAnsi="Arial" w:cs="Times New Roman"/>
          <w:i/>
          <w:iCs/>
          <w:sz w:val="24"/>
          <w:lang w:val="en-US"/>
        </w:rPr>
        <w:t>A Guide to the Project Management Body of Knowledge.</w:t>
      </w:r>
      <w:r w:rsidRPr="002A686F">
        <w:rPr>
          <w:rFonts w:ascii="Arial" w:eastAsia="Calibri" w:hAnsi="Arial" w:cs="Times New Roman"/>
          <w:sz w:val="24"/>
          <w:lang w:val="en-US"/>
        </w:rPr>
        <w:t xml:space="preserve"> 7th ed. Newtown Square, Pa.: Project Management Institute.</w:t>
      </w:r>
    </w:p>
    <w:p w14:paraId="73B1CF28" w14:textId="77777777" w:rsidR="002A686F" w:rsidRPr="002A686F" w:rsidRDefault="002A686F" w:rsidP="005932B1">
      <w:pPr>
        <w:spacing w:line="360" w:lineRule="auto"/>
        <w:ind w:left="720" w:hanging="720"/>
        <w:jc w:val="both"/>
        <w:rPr>
          <w:rFonts w:ascii="Arial" w:eastAsia="Calibri" w:hAnsi="Arial" w:cs="Times New Roman"/>
          <w:sz w:val="24"/>
          <w:lang w:val="en-US"/>
        </w:rPr>
      </w:pPr>
      <w:r w:rsidRPr="002A686F">
        <w:rPr>
          <w:rFonts w:ascii="Arial" w:eastAsia="Calibri" w:hAnsi="Arial" w:cs="Times New Roman"/>
          <w:sz w:val="24"/>
          <w:lang w:val="en-US"/>
        </w:rPr>
        <w:t xml:space="preserve">Walker, A. (2015). </w:t>
      </w:r>
      <w:r w:rsidRPr="002A686F">
        <w:rPr>
          <w:rFonts w:ascii="Arial" w:eastAsia="Calibri" w:hAnsi="Arial" w:cs="Times New Roman"/>
          <w:i/>
          <w:iCs/>
          <w:sz w:val="24"/>
          <w:lang w:val="en-US"/>
        </w:rPr>
        <w:t>Project Management in Construction</w:t>
      </w:r>
      <w:r w:rsidRPr="002A686F">
        <w:rPr>
          <w:rFonts w:ascii="Arial" w:eastAsia="Calibri" w:hAnsi="Arial" w:cs="Times New Roman"/>
          <w:sz w:val="24"/>
          <w:lang w:val="en-US"/>
        </w:rPr>
        <w:t>. 6th ed. Chichester: Wiley Blackwell.</w:t>
      </w:r>
    </w:p>
    <w:p w14:paraId="07651C4F" w14:textId="77777777" w:rsidR="002A686F" w:rsidRPr="002A686F" w:rsidRDefault="002A686F" w:rsidP="005932B1">
      <w:pPr>
        <w:spacing w:line="360" w:lineRule="auto"/>
        <w:jc w:val="both"/>
        <w:rPr>
          <w:rFonts w:ascii="Arial" w:eastAsia="Calibri" w:hAnsi="Arial" w:cs="Times New Roman"/>
          <w:sz w:val="24"/>
          <w:lang w:val="en-US"/>
        </w:rPr>
      </w:pPr>
    </w:p>
    <w:p w14:paraId="41A1A2DA" w14:textId="77777777" w:rsidR="002A686F" w:rsidRPr="000925BA" w:rsidRDefault="002A686F" w:rsidP="005932B1">
      <w:pPr>
        <w:pStyle w:val="NoSpacing"/>
        <w:jc w:val="both"/>
        <w:rPr>
          <w:sz w:val="40"/>
          <w:szCs w:val="40"/>
        </w:rPr>
      </w:pPr>
    </w:p>
    <w:sectPr w:rsidR="002A686F" w:rsidRPr="000925BA" w:rsidSect="00F1268F">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30A82" w14:textId="77777777" w:rsidR="00F1268F" w:rsidRDefault="00F1268F" w:rsidP="00F1268F">
      <w:pPr>
        <w:spacing w:after="0" w:line="240" w:lineRule="auto"/>
      </w:pPr>
      <w:r>
        <w:separator/>
      </w:r>
    </w:p>
  </w:endnote>
  <w:endnote w:type="continuationSeparator" w:id="0">
    <w:p w14:paraId="127E09E7" w14:textId="77777777" w:rsidR="00F1268F" w:rsidRDefault="00F1268F" w:rsidP="00F12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866876"/>
      <w:docPartObj>
        <w:docPartGallery w:val="Page Numbers (Bottom of Page)"/>
        <w:docPartUnique/>
      </w:docPartObj>
    </w:sdtPr>
    <w:sdtContent>
      <w:p w14:paraId="1A3D695C" w14:textId="2D6DDE23" w:rsidR="00F1268F" w:rsidRDefault="00F1268F">
        <w:pPr>
          <w:pStyle w:val="Footer"/>
          <w:jc w:val="right"/>
        </w:pPr>
        <w:r>
          <w:fldChar w:fldCharType="begin"/>
        </w:r>
        <w:r>
          <w:instrText>PAGE   \* MERGEFORMAT</w:instrText>
        </w:r>
        <w:r>
          <w:fldChar w:fldCharType="separate"/>
        </w:r>
        <w:r>
          <w:t>2</w:t>
        </w:r>
        <w:r>
          <w:fldChar w:fldCharType="end"/>
        </w:r>
      </w:p>
    </w:sdtContent>
  </w:sdt>
  <w:p w14:paraId="3D92BF2E" w14:textId="77777777" w:rsidR="00F1268F" w:rsidRDefault="00F12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CBAA5" w14:textId="77777777" w:rsidR="00F1268F" w:rsidRDefault="00F1268F" w:rsidP="00F1268F">
      <w:pPr>
        <w:spacing w:after="0" w:line="240" w:lineRule="auto"/>
      </w:pPr>
      <w:r>
        <w:separator/>
      </w:r>
    </w:p>
  </w:footnote>
  <w:footnote w:type="continuationSeparator" w:id="0">
    <w:p w14:paraId="1A80B13A" w14:textId="77777777" w:rsidR="00F1268F" w:rsidRDefault="00F1268F" w:rsidP="00F126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5BA"/>
    <w:rsid w:val="00014E13"/>
    <w:rsid w:val="000925BA"/>
    <w:rsid w:val="001968BF"/>
    <w:rsid w:val="001E4E20"/>
    <w:rsid w:val="002A686F"/>
    <w:rsid w:val="004D4EB1"/>
    <w:rsid w:val="005173D1"/>
    <w:rsid w:val="005932B1"/>
    <w:rsid w:val="00E813A9"/>
    <w:rsid w:val="00F12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CFECE"/>
  <w15:chartTrackingRefBased/>
  <w15:docId w15:val="{B1F91EE5-C249-4162-8945-9520325D0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5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5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5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5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5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5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5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5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5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5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5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5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5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5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5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5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5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5BA"/>
    <w:rPr>
      <w:rFonts w:eastAsiaTheme="majorEastAsia" w:cstheme="majorBidi"/>
      <w:color w:val="272727" w:themeColor="text1" w:themeTint="D8"/>
    </w:rPr>
  </w:style>
  <w:style w:type="paragraph" w:styleId="Title">
    <w:name w:val="Title"/>
    <w:basedOn w:val="Normal"/>
    <w:next w:val="Normal"/>
    <w:link w:val="TitleChar"/>
    <w:uiPriority w:val="10"/>
    <w:qFormat/>
    <w:rsid w:val="000925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5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5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5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5BA"/>
    <w:pPr>
      <w:spacing w:before="160"/>
      <w:jc w:val="center"/>
    </w:pPr>
    <w:rPr>
      <w:i/>
      <w:iCs/>
      <w:color w:val="404040" w:themeColor="text1" w:themeTint="BF"/>
    </w:rPr>
  </w:style>
  <w:style w:type="character" w:customStyle="1" w:styleId="QuoteChar">
    <w:name w:val="Quote Char"/>
    <w:basedOn w:val="DefaultParagraphFont"/>
    <w:link w:val="Quote"/>
    <w:uiPriority w:val="29"/>
    <w:rsid w:val="000925BA"/>
    <w:rPr>
      <w:i/>
      <w:iCs/>
      <w:color w:val="404040" w:themeColor="text1" w:themeTint="BF"/>
    </w:rPr>
  </w:style>
  <w:style w:type="paragraph" w:styleId="ListParagraph">
    <w:name w:val="List Paragraph"/>
    <w:basedOn w:val="Normal"/>
    <w:uiPriority w:val="34"/>
    <w:qFormat/>
    <w:rsid w:val="000925BA"/>
    <w:pPr>
      <w:ind w:left="720"/>
      <w:contextualSpacing/>
    </w:pPr>
  </w:style>
  <w:style w:type="character" w:styleId="IntenseEmphasis">
    <w:name w:val="Intense Emphasis"/>
    <w:basedOn w:val="DefaultParagraphFont"/>
    <w:uiPriority w:val="21"/>
    <w:qFormat/>
    <w:rsid w:val="000925BA"/>
    <w:rPr>
      <w:i/>
      <w:iCs/>
      <w:color w:val="0F4761" w:themeColor="accent1" w:themeShade="BF"/>
    </w:rPr>
  </w:style>
  <w:style w:type="paragraph" w:styleId="IntenseQuote">
    <w:name w:val="Intense Quote"/>
    <w:basedOn w:val="Normal"/>
    <w:next w:val="Normal"/>
    <w:link w:val="IntenseQuoteChar"/>
    <w:uiPriority w:val="30"/>
    <w:qFormat/>
    <w:rsid w:val="000925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5BA"/>
    <w:rPr>
      <w:i/>
      <w:iCs/>
      <w:color w:val="0F4761" w:themeColor="accent1" w:themeShade="BF"/>
    </w:rPr>
  </w:style>
  <w:style w:type="character" w:styleId="IntenseReference">
    <w:name w:val="Intense Reference"/>
    <w:basedOn w:val="DefaultParagraphFont"/>
    <w:uiPriority w:val="32"/>
    <w:qFormat/>
    <w:rsid w:val="000925BA"/>
    <w:rPr>
      <w:b/>
      <w:bCs/>
      <w:smallCaps/>
      <w:color w:val="0F4761" w:themeColor="accent1" w:themeShade="BF"/>
      <w:spacing w:val="5"/>
    </w:rPr>
  </w:style>
  <w:style w:type="paragraph" w:styleId="NoSpacing">
    <w:name w:val="No Spacing"/>
    <w:uiPriority w:val="1"/>
    <w:qFormat/>
    <w:rsid w:val="000925BA"/>
    <w:pPr>
      <w:spacing w:after="0" w:line="240" w:lineRule="auto"/>
    </w:pPr>
  </w:style>
  <w:style w:type="paragraph" w:styleId="TOCHeading">
    <w:name w:val="TOC Heading"/>
    <w:basedOn w:val="Heading1"/>
    <w:next w:val="Normal"/>
    <w:uiPriority w:val="39"/>
    <w:unhideWhenUsed/>
    <w:qFormat/>
    <w:rsid w:val="002A686F"/>
    <w:pPr>
      <w:spacing w:before="240" w:after="0"/>
      <w:outlineLvl w:val="9"/>
    </w:pPr>
    <w:rPr>
      <w:sz w:val="32"/>
      <w:szCs w:val="32"/>
      <w:lang w:val="en-US"/>
    </w:rPr>
  </w:style>
  <w:style w:type="paragraph" w:styleId="TOC1">
    <w:name w:val="toc 1"/>
    <w:basedOn w:val="Normal"/>
    <w:next w:val="Normal"/>
    <w:autoRedefine/>
    <w:uiPriority w:val="39"/>
    <w:unhideWhenUsed/>
    <w:rsid w:val="002A686F"/>
    <w:pPr>
      <w:spacing w:after="100" w:line="360" w:lineRule="auto"/>
    </w:pPr>
    <w:rPr>
      <w:rFonts w:ascii="Arial" w:hAnsi="Arial"/>
      <w:sz w:val="24"/>
      <w:lang w:val="en-US"/>
    </w:rPr>
  </w:style>
  <w:style w:type="paragraph" w:styleId="TOC2">
    <w:name w:val="toc 2"/>
    <w:basedOn w:val="Normal"/>
    <w:next w:val="Normal"/>
    <w:autoRedefine/>
    <w:uiPriority w:val="39"/>
    <w:unhideWhenUsed/>
    <w:rsid w:val="002A686F"/>
    <w:pPr>
      <w:spacing w:after="100" w:line="360" w:lineRule="auto"/>
      <w:ind w:left="240"/>
    </w:pPr>
    <w:rPr>
      <w:rFonts w:ascii="Arial" w:hAnsi="Arial"/>
      <w:sz w:val="24"/>
      <w:lang w:val="en-US"/>
    </w:rPr>
  </w:style>
  <w:style w:type="character" w:styleId="Hyperlink">
    <w:name w:val="Hyperlink"/>
    <w:basedOn w:val="DefaultParagraphFont"/>
    <w:uiPriority w:val="99"/>
    <w:unhideWhenUsed/>
    <w:rsid w:val="002A686F"/>
    <w:rPr>
      <w:color w:val="467886" w:themeColor="hyperlink"/>
      <w:u w:val="single"/>
    </w:rPr>
  </w:style>
  <w:style w:type="table" w:customStyle="1" w:styleId="PlainTable51">
    <w:name w:val="Plain Table 51"/>
    <w:basedOn w:val="TableNormal"/>
    <w:next w:val="PlainTable5"/>
    <w:uiPriority w:val="45"/>
    <w:rsid w:val="002A686F"/>
    <w:pPr>
      <w:spacing w:after="0" w:line="240" w:lineRule="auto"/>
    </w:pPr>
    <w:rPr>
      <w:kern w:val="2"/>
      <w:lang w:val="en-US"/>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5">
    <w:name w:val="Plain Table 5"/>
    <w:basedOn w:val="TableNormal"/>
    <w:uiPriority w:val="45"/>
    <w:rsid w:val="002A686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F12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68F"/>
  </w:style>
  <w:style w:type="paragraph" w:styleId="Footer">
    <w:name w:val="footer"/>
    <w:basedOn w:val="Normal"/>
    <w:link w:val="FooterChar"/>
    <w:uiPriority w:val="99"/>
    <w:unhideWhenUsed/>
    <w:rsid w:val="00F12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896DF7-C345-45D7-8340-FEF131D2D84F}" type="doc">
      <dgm:prSet loTypeId="urn:microsoft.com/office/officeart/2011/layout/CircleProcess" loCatId="process" qsTypeId="urn:microsoft.com/office/officeart/2005/8/quickstyle/simple5" qsCatId="simple" csTypeId="urn:microsoft.com/office/officeart/2005/8/colors/colorful3" csCatId="colorful" phldr="1"/>
      <dgm:spPr/>
    </dgm:pt>
    <dgm:pt modelId="{9DBA2B20-B336-4653-B17E-3A534775791C}">
      <dgm:prSet phldrT="[Text]"/>
      <dgm:spPr>
        <a:xfrm>
          <a:off x="308722"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2710599"/>
              <a:satOff val="100000"/>
              <a:lumOff val="-14706"/>
              <a:alphaOff val="0"/>
            </a:srgbClr>
          </a:solidFill>
          <a:prstDash val="solid"/>
          <a:miter lim="800000"/>
        </a:ln>
        <a:effectLst/>
      </dgm:spPr>
      <dgm:t>
        <a:bodyPr/>
        <a:lstStyle/>
        <a:p>
          <a:pPr>
            <a:buNone/>
          </a:pPr>
          <a:r>
            <a:rPr lang="en-US" b="0" i="0">
              <a:solidFill>
                <a:sysClr val="windowText" lastClr="000000">
                  <a:hueOff val="0"/>
                  <a:satOff val="0"/>
                  <a:lumOff val="0"/>
                  <a:alphaOff val="0"/>
                </a:sysClr>
              </a:solidFill>
              <a:latin typeface="Calibri" panose="020F0502020204030204"/>
              <a:ea typeface="+mn-ea"/>
              <a:cs typeface="+mn-cs"/>
            </a:rPr>
            <a:t>Turnkey Contract</a:t>
          </a:r>
        </a:p>
      </dgm:t>
    </dgm:pt>
    <dgm:pt modelId="{194C744B-F8BA-4B53-9BEA-FF2EB0498105}" type="parTrans" cxnId="{6C955C70-CBBC-4B36-9E06-A9A6884559DC}">
      <dgm:prSet/>
      <dgm:spPr/>
      <dgm:t>
        <a:bodyPr/>
        <a:lstStyle/>
        <a:p>
          <a:endParaRPr lang="en-US"/>
        </a:p>
      </dgm:t>
    </dgm:pt>
    <dgm:pt modelId="{C16C0289-6C2E-4730-9208-756B5442A0C8}" type="sibTrans" cxnId="{6C955C70-CBBC-4B36-9E06-A9A6884559DC}">
      <dgm:prSet/>
      <dgm:spPr/>
      <dgm:t>
        <a:bodyPr/>
        <a:lstStyle/>
        <a:p>
          <a:endParaRPr lang="en-US"/>
        </a:p>
      </dgm:t>
    </dgm:pt>
    <dgm:pt modelId="{DC81EE15-00DF-4F39-8FE4-97192C20FB52}">
      <dgm:prSet phldrT="[Text]"/>
      <dgm:spPr>
        <a:xfrm>
          <a:off x="1623771"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1807066"/>
              <a:satOff val="66667"/>
              <a:lumOff val="-9804"/>
              <a:alphaOff val="0"/>
            </a:srgbClr>
          </a:solidFill>
          <a:prstDash val="solid"/>
          <a:miter lim="800000"/>
        </a:ln>
        <a:effectLst/>
      </dgm:spPr>
      <dgm:t>
        <a:bodyPr/>
        <a:lstStyle/>
        <a:p>
          <a:pPr>
            <a:buNone/>
          </a:pPr>
          <a:r>
            <a:rPr lang="en-US" b="0" i="0">
              <a:solidFill>
                <a:sysClr val="windowText" lastClr="000000">
                  <a:hueOff val="0"/>
                  <a:satOff val="0"/>
                  <a:lumOff val="0"/>
                  <a:alphaOff val="0"/>
                </a:sysClr>
              </a:solidFill>
              <a:latin typeface="Calibri" panose="020F0502020204030204"/>
              <a:ea typeface="+mn-ea"/>
              <a:cs typeface="+mn-cs"/>
            </a:rPr>
            <a:t>Multi-Contract</a:t>
          </a:r>
        </a:p>
      </dgm:t>
    </dgm:pt>
    <dgm:pt modelId="{0C059DB5-96A3-459C-BA94-165AE3CBC001}" type="parTrans" cxnId="{DB69BC68-9621-49A4-95C5-EEBCD46DB991}">
      <dgm:prSet/>
      <dgm:spPr/>
      <dgm:t>
        <a:bodyPr/>
        <a:lstStyle/>
        <a:p>
          <a:endParaRPr lang="en-US"/>
        </a:p>
      </dgm:t>
    </dgm:pt>
    <dgm:pt modelId="{CFC16924-EDAA-465A-BF71-1DB5DD3A47AF}" type="sibTrans" cxnId="{DB69BC68-9621-49A4-95C5-EEBCD46DB991}">
      <dgm:prSet/>
      <dgm:spPr/>
      <dgm:t>
        <a:bodyPr/>
        <a:lstStyle/>
        <a:p>
          <a:endParaRPr lang="en-US"/>
        </a:p>
      </dgm:t>
    </dgm:pt>
    <dgm:pt modelId="{5C9DA204-7B94-4A61-AC31-B8AADF323350}">
      <dgm:prSet phldrT="[Text]"/>
      <dgm:spPr>
        <a:xfrm>
          <a:off x="2938820"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903533"/>
              <a:satOff val="33333"/>
              <a:lumOff val="-4902"/>
              <a:alphaOff val="0"/>
            </a:srgbClr>
          </a:solidFill>
          <a:prstDash val="solid"/>
          <a:miter lim="800000"/>
        </a:ln>
        <a:effectLst/>
      </dgm:spPr>
      <dgm:t>
        <a:bodyPr/>
        <a:lstStyle/>
        <a:p>
          <a:pPr>
            <a:buNone/>
          </a:pPr>
          <a:r>
            <a:rPr lang="en-US" b="0" i="0">
              <a:solidFill>
                <a:sysClr val="windowText" lastClr="000000">
                  <a:hueOff val="0"/>
                  <a:satOff val="0"/>
                  <a:lumOff val="0"/>
                  <a:alphaOff val="0"/>
                </a:sysClr>
              </a:solidFill>
              <a:latin typeface="Calibri" panose="020F0502020204030204"/>
              <a:ea typeface="+mn-ea"/>
              <a:cs typeface="+mn-cs"/>
            </a:rPr>
            <a:t>Do-It-Yourself (DIY) Contract</a:t>
          </a:r>
        </a:p>
      </dgm:t>
    </dgm:pt>
    <dgm:pt modelId="{90044E8C-A791-4FBA-B809-B69AEF5D74A2}" type="parTrans" cxnId="{24E258E8-E598-43EB-88A7-997F6FD936B0}">
      <dgm:prSet/>
      <dgm:spPr/>
      <dgm:t>
        <a:bodyPr/>
        <a:lstStyle/>
        <a:p>
          <a:endParaRPr lang="en-US"/>
        </a:p>
      </dgm:t>
    </dgm:pt>
    <dgm:pt modelId="{480E7EA4-607A-4ECE-95E6-47FF77E4CEFC}" type="sibTrans" cxnId="{24E258E8-E598-43EB-88A7-997F6FD936B0}">
      <dgm:prSet/>
      <dgm:spPr/>
      <dgm:t>
        <a:bodyPr/>
        <a:lstStyle/>
        <a:p>
          <a:endParaRPr lang="en-US"/>
        </a:p>
      </dgm:t>
    </dgm:pt>
    <dgm:pt modelId="{DFDFFD7B-216B-4E04-865D-A0400551975E}">
      <dgm:prSet phldrT="[Text]"/>
      <dgm:spPr>
        <a:xfrm>
          <a:off x="4253869"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0"/>
              <a:satOff val="0"/>
              <a:lumOff val="0"/>
              <a:alphaOff val="0"/>
            </a:srgbClr>
          </a:solidFill>
          <a:prstDash val="solid"/>
          <a:miter lim="800000"/>
        </a:ln>
        <a:effectLst/>
      </dgm:spPr>
      <dgm:t>
        <a:bodyPr/>
        <a:lstStyle/>
        <a:p>
          <a:pPr>
            <a:buNone/>
          </a:pPr>
          <a:r>
            <a:rPr lang="en-US" b="0" i="0">
              <a:solidFill>
                <a:sysClr val="windowText" lastClr="000000">
                  <a:hueOff val="0"/>
                  <a:satOff val="0"/>
                  <a:lumOff val="0"/>
                  <a:alphaOff val="0"/>
                </a:sysClr>
              </a:solidFill>
              <a:latin typeface="Calibri" panose="020F0502020204030204"/>
              <a:ea typeface="+mn-ea"/>
              <a:cs typeface="+mn-cs"/>
            </a:rPr>
            <a:t>Multi-Contract + DIY</a:t>
          </a:r>
        </a:p>
      </dgm:t>
    </dgm:pt>
    <dgm:pt modelId="{BA4AE363-AF24-4B96-AF62-D55CA0B44070}" type="parTrans" cxnId="{899109A6-C7CB-4043-9206-2792E4308505}">
      <dgm:prSet/>
      <dgm:spPr/>
      <dgm:t>
        <a:bodyPr/>
        <a:lstStyle/>
        <a:p>
          <a:endParaRPr lang="en-US"/>
        </a:p>
      </dgm:t>
    </dgm:pt>
    <dgm:pt modelId="{D5B77246-F9F8-4DC4-AEB2-C6227B8E2D13}" type="sibTrans" cxnId="{899109A6-C7CB-4043-9206-2792E4308505}">
      <dgm:prSet/>
      <dgm:spPr/>
      <dgm:t>
        <a:bodyPr/>
        <a:lstStyle/>
        <a:p>
          <a:endParaRPr lang="en-US"/>
        </a:p>
      </dgm:t>
    </dgm:pt>
    <dgm:pt modelId="{01B04846-9F27-4DD4-A154-7A04D1958710}" type="pres">
      <dgm:prSet presAssocID="{51896DF7-C345-45D7-8340-FEF131D2D84F}" presName="Name0" presStyleCnt="0">
        <dgm:presLayoutVars>
          <dgm:chMax val="11"/>
          <dgm:chPref val="11"/>
          <dgm:dir/>
          <dgm:resizeHandles/>
        </dgm:presLayoutVars>
      </dgm:prSet>
      <dgm:spPr/>
    </dgm:pt>
    <dgm:pt modelId="{02297214-38A1-4483-9400-799874F8B381}" type="pres">
      <dgm:prSet presAssocID="{DFDFFD7B-216B-4E04-865D-A0400551975E}" presName="Accent4" presStyleCnt="0"/>
      <dgm:spPr/>
    </dgm:pt>
    <dgm:pt modelId="{C19B7EEC-F5B5-4D2E-9624-B25A20B9593C}" type="pres">
      <dgm:prSet presAssocID="{DFDFFD7B-216B-4E04-865D-A0400551975E}" presName="Accent" presStyleLbl="node1" presStyleIdx="0" presStyleCnt="4"/>
      <dgm:spPr>
        <a:xfrm>
          <a:off x="4211307" y="487785"/>
          <a:ext cx="1272487" cy="1272552"/>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90A8CA15-96FD-4383-B244-03EC934B5B17}" type="pres">
      <dgm:prSet presAssocID="{DFDFFD7B-216B-4E04-865D-A0400551975E}" presName="ParentBackground4" presStyleCnt="0"/>
      <dgm:spPr/>
    </dgm:pt>
    <dgm:pt modelId="{7B390142-B18A-4485-8DAF-30560035ECF5}" type="pres">
      <dgm:prSet presAssocID="{DFDFFD7B-216B-4E04-865D-A0400551975E}" presName="ParentBackground" presStyleLbl="fgAcc1" presStyleIdx="0" presStyleCnt="4"/>
      <dgm:spPr/>
    </dgm:pt>
    <dgm:pt modelId="{3DD9045A-6B93-4C36-BA5F-EE346CC61B6E}" type="pres">
      <dgm:prSet presAssocID="{DFDFFD7B-216B-4E04-865D-A0400551975E}" presName="Parent4" presStyleLbl="revTx" presStyleIdx="0" presStyleCnt="0">
        <dgm:presLayoutVars>
          <dgm:chMax val="1"/>
          <dgm:chPref val="1"/>
          <dgm:bulletEnabled val="1"/>
        </dgm:presLayoutVars>
      </dgm:prSet>
      <dgm:spPr/>
    </dgm:pt>
    <dgm:pt modelId="{23B2CEE3-6A76-48C2-AB29-D98D452C161C}" type="pres">
      <dgm:prSet presAssocID="{5C9DA204-7B94-4A61-AC31-B8AADF323350}" presName="Accent3" presStyleCnt="0"/>
      <dgm:spPr/>
    </dgm:pt>
    <dgm:pt modelId="{F8CDDE13-13E8-40C7-8AF7-04817C084B36}" type="pres">
      <dgm:prSet presAssocID="{5C9DA204-7B94-4A61-AC31-B8AADF323350}" presName="Accent" presStyleLbl="node1" presStyleIdx="1" presStyleCnt="4"/>
      <dgm:spPr>
        <a:xfrm rot="2700000">
          <a:off x="2890791" y="487696"/>
          <a:ext cx="1272507" cy="1272507"/>
        </a:xfrm>
        <a:prstGeom prst="teardrop">
          <a:avLst>
            <a:gd name="adj" fmla="val 100000"/>
          </a:avLst>
        </a:prstGeo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32985412-E4F0-4881-AB08-50AE60520E9C}" type="pres">
      <dgm:prSet presAssocID="{5C9DA204-7B94-4A61-AC31-B8AADF323350}" presName="ParentBackground3" presStyleCnt="0"/>
      <dgm:spPr/>
    </dgm:pt>
    <dgm:pt modelId="{4B81268F-9933-40C8-8E30-F7A490C46843}" type="pres">
      <dgm:prSet presAssocID="{5C9DA204-7B94-4A61-AC31-B8AADF323350}" presName="ParentBackground" presStyleLbl="fgAcc1" presStyleIdx="1" presStyleCnt="4"/>
      <dgm:spPr/>
    </dgm:pt>
    <dgm:pt modelId="{48084EA5-8382-478B-8747-57915CDF6EB9}" type="pres">
      <dgm:prSet presAssocID="{5C9DA204-7B94-4A61-AC31-B8AADF323350}" presName="Parent3" presStyleLbl="revTx" presStyleIdx="0" presStyleCnt="0">
        <dgm:presLayoutVars>
          <dgm:chMax val="1"/>
          <dgm:chPref val="1"/>
          <dgm:bulletEnabled val="1"/>
        </dgm:presLayoutVars>
      </dgm:prSet>
      <dgm:spPr/>
    </dgm:pt>
    <dgm:pt modelId="{E2F55530-36F4-442F-9EC4-4B21C3C46DDE}" type="pres">
      <dgm:prSet presAssocID="{DC81EE15-00DF-4F39-8FE4-97192C20FB52}" presName="Accent2" presStyleCnt="0"/>
      <dgm:spPr/>
    </dgm:pt>
    <dgm:pt modelId="{4A164316-65CB-4147-806D-3DFE2CB6C781}" type="pres">
      <dgm:prSet presAssocID="{DC81EE15-00DF-4F39-8FE4-97192C20FB52}" presName="Accent" presStyleLbl="node1" presStyleIdx="2" presStyleCnt="4"/>
      <dgm:spPr>
        <a:xfrm rot="2700000">
          <a:off x="1581199" y="487696"/>
          <a:ext cx="1272507" cy="1272507"/>
        </a:xfrm>
        <a:prstGeom prst="teardrop">
          <a:avLst>
            <a:gd name="adj" fmla="val 100000"/>
          </a:avLst>
        </a:prstGeo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094D808E-20BF-4304-AD0B-8DDA4617F278}" type="pres">
      <dgm:prSet presAssocID="{DC81EE15-00DF-4F39-8FE4-97192C20FB52}" presName="ParentBackground2" presStyleCnt="0"/>
      <dgm:spPr/>
    </dgm:pt>
    <dgm:pt modelId="{69895D39-78E3-48D0-A1F4-E27C67D7BAF2}" type="pres">
      <dgm:prSet presAssocID="{DC81EE15-00DF-4F39-8FE4-97192C20FB52}" presName="ParentBackground" presStyleLbl="fgAcc1" presStyleIdx="2" presStyleCnt="4"/>
      <dgm:spPr/>
    </dgm:pt>
    <dgm:pt modelId="{C9169903-0004-4AD4-99C4-5106384B7EA6}" type="pres">
      <dgm:prSet presAssocID="{DC81EE15-00DF-4F39-8FE4-97192C20FB52}" presName="Parent2" presStyleLbl="revTx" presStyleIdx="0" presStyleCnt="0">
        <dgm:presLayoutVars>
          <dgm:chMax val="1"/>
          <dgm:chPref val="1"/>
          <dgm:bulletEnabled val="1"/>
        </dgm:presLayoutVars>
      </dgm:prSet>
      <dgm:spPr/>
    </dgm:pt>
    <dgm:pt modelId="{0F8E9C10-7015-48F6-8049-2B15FF37A6DD}" type="pres">
      <dgm:prSet presAssocID="{9DBA2B20-B336-4653-B17E-3A534775791C}" presName="Accent1" presStyleCnt="0"/>
      <dgm:spPr/>
    </dgm:pt>
    <dgm:pt modelId="{E48A779F-F064-4266-85D8-2621663F1BA5}" type="pres">
      <dgm:prSet presAssocID="{9DBA2B20-B336-4653-B17E-3A534775791C}" presName="Accent" presStyleLbl="node1" presStyleIdx="3" presStyleCnt="4"/>
      <dgm:spPr>
        <a:xfrm rot="2700000">
          <a:off x="266150" y="487696"/>
          <a:ext cx="1272507" cy="1272507"/>
        </a:xfrm>
        <a:prstGeom prst="teardrop">
          <a:avLst>
            <a:gd name="adj" fmla="val 100000"/>
          </a:avLst>
        </a:prstGeo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C5CA8006-FCFE-4909-B046-87FC636E60C3}" type="pres">
      <dgm:prSet presAssocID="{9DBA2B20-B336-4653-B17E-3A534775791C}" presName="ParentBackground1" presStyleCnt="0"/>
      <dgm:spPr/>
    </dgm:pt>
    <dgm:pt modelId="{77EB1355-3AFE-4FB8-8C29-8A9CC451DD57}" type="pres">
      <dgm:prSet presAssocID="{9DBA2B20-B336-4653-B17E-3A534775791C}" presName="ParentBackground" presStyleLbl="fgAcc1" presStyleIdx="3" presStyleCnt="4" custLinFactNeighborX="3207" custLinFactNeighborY="-642"/>
      <dgm:spPr/>
    </dgm:pt>
    <dgm:pt modelId="{B5951128-28B4-455C-A0E3-28C185B6E1A9}" type="pres">
      <dgm:prSet presAssocID="{9DBA2B20-B336-4653-B17E-3A534775791C}" presName="Parent1" presStyleLbl="revTx" presStyleIdx="0" presStyleCnt="0">
        <dgm:presLayoutVars>
          <dgm:chMax val="1"/>
          <dgm:chPref val="1"/>
          <dgm:bulletEnabled val="1"/>
        </dgm:presLayoutVars>
      </dgm:prSet>
      <dgm:spPr/>
    </dgm:pt>
  </dgm:ptLst>
  <dgm:cxnLst>
    <dgm:cxn modelId="{7368B316-F002-4589-A674-0B9FB268F186}" type="presOf" srcId="{5C9DA204-7B94-4A61-AC31-B8AADF323350}" destId="{48084EA5-8382-478B-8747-57915CDF6EB9}" srcOrd="1" destOrd="0" presId="urn:microsoft.com/office/officeart/2011/layout/CircleProcess"/>
    <dgm:cxn modelId="{27B6991C-CE93-47E7-9247-984764E25409}" type="presOf" srcId="{5C9DA204-7B94-4A61-AC31-B8AADF323350}" destId="{4B81268F-9933-40C8-8E30-F7A490C46843}" srcOrd="0" destOrd="0" presId="urn:microsoft.com/office/officeart/2011/layout/CircleProcess"/>
    <dgm:cxn modelId="{DB69BC68-9621-49A4-95C5-EEBCD46DB991}" srcId="{51896DF7-C345-45D7-8340-FEF131D2D84F}" destId="{DC81EE15-00DF-4F39-8FE4-97192C20FB52}" srcOrd="1" destOrd="0" parTransId="{0C059DB5-96A3-459C-BA94-165AE3CBC001}" sibTransId="{CFC16924-EDAA-465A-BF71-1DB5DD3A47AF}"/>
    <dgm:cxn modelId="{37F4A269-0AB1-4B05-9783-2BC4871E22D6}" type="presOf" srcId="{51896DF7-C345-45D7-8340-FEF131D2D84F}" destId="{01B04846-9F27-4DD4-A154-7A04D1958710}" srcOrd="0" destOrd="0" presId="urn:microsoft.com/office/officeart/2011/layout/CircleProcess"/>
    <dgm:cxn modelId="{6C955C70-CBBC-4B36-9E06-A9A6884559DC}" srcId="{51896DF7-C345-45D7-8340-FEF131D2D84F}" destId="{9DBA2B20-B336-4653-B17E-3A534775791C}" srcOrd="0" destOrd="0" parTransId="{194C744B-F8BA-4B53-9BEA-FF2EB0498105}" sibTransId="{C16C0289-6C2E-4730-9208-756B5442A0C8}"/>
    <dgm:cxn modelId="{9DCC668C-FBF3-4475-9BF7-BD14EB6ED883}" type="presOf" srcId="{DC81EE15-00DF-4F39-8FE4-97192C20FB52}" destId="{C9169903-0004-4AD4-99C4-5106384B7EA6}" srcOrd="1" destOrd="0" presId="urn:microsoft.com/office/officeart/2011/layout/CircleProcess"/>
    <dgm:cxn modelId="{899109A6-C7CB-4043-9206-2792E4308505}" srcId="{51896DF7-C345-45D7-8340-FEF131D2D84F}" destId="{DFDFFD7B-216B-4E04-865D-A0400551975E}" srcOrd="3" destOrd="0" parTransId="{BA4AE363-AF24-4B96-AF62-D55CA0B44070}" sibTransId="{D5B77246-F9F8-4DC4-AEB2-C6227B8E2D13}"/>
    <dgm:cxn modelId="{C21930B0-57F1-4745-A215-88522B9B7FB3}" type="presOf" srcId="{9DBA2B20-B336-4653-B17E-3A534775791C}" destId="{B5951128-28B4-455C-A0E3-28C185B6E1A9}" srcOrd="1" destOrd="0" presId="urn:microsoft.com/office/officeart/2011/layout/CircleProcess"/>
    <dgm:cxn modelId="{19EE6CBF-3A38-49BF-95E4-6E7FFCE362A9}" type="presOf" srcId="{DC81EE15-00DF-4F39-8FE4-97192C20FB52}" destId="{69895D39-78E3-48D0-A1F4-E27C67D7BAF2}" srcOrd="0" destOrd="0" presId="urn:microsoft.com/office/officeart/2011/layout/CircleProcess"/>
    <dgm:cxn modelId="{6248C8D0-54A2-4063-9409-893D7D34EAA3}" type="presOf" srcId="{9DBA2B20-B336-4653-B17E-3A534775791C}" destId="{77EB1355-3AFE-4FB8-8C29-8A9CC451DD57}" srcOrd="0" destOrd="0" presId="urn:microsoft.com/office/officeart/2011/layout/CircleProcess"/>
    <dgm:cxn modelId="{6EB7FFD3-0426-4742-B97B-372A231996CE}" type="presOf" srcId="{DFDFFD7B-216B-4E04-865D-A0400551975E}" destId="{7B390142-B18A-4485-8DAF-30560035ECF5}" srcOrd="0" destOrd="0" presId="urn:microsoft.com/office/officeart/2011/layout/CircleProcess"/>
    <dgm:cxn modelId="{24E258E8-E598-43EB-88A7-997F6FD936B0}" srcId="{51896DF7-C345-45D7-8340-FEF131D2D84F}" destId="{5C9DA204-7B94-4A61-AC31-B8AADF323350}" srcOrd="2" destOrd="0" parTransId="{90044E8C-A791-4FBA-B809-B69AEF5D74A2}" sibTransId="{480E7EA4-607A-4ECE-95E6-47FF77E4CEFC}"/>
    <dgm:cxn modelId="{A9E9DEF7-1417-4C0B-8330-791A405A9614}" type="presOf" srcId="{DFDFFD7B-216B-4E04-865D-A0400551975E}" destId="{3DD9045A-6B93-4C36-BA5F-EE346CC61B6E}" srcOrd="1" destOrd="0" presId="urn:microsoft.com/office/officeart/2011/layout/CircleProcess"/>
    <dgm:cxn modelId="{C43F8F33-CD9F-4BF5-BA3C-92E0122FDCEB}" type="presParOf" srcId="{01B04846-9F27-4DD4-A154-7A04D1958710}" destId="{02297214-38A1-4483-9400-799874F8B381}" srcOrd="0" destOrd="0" presId="urn:microsoft.com/office/officeart/2011/layout/CircleProcess"/>
    <dgm:cxn modelId="{C2639834-0C78-4F2B-B978-D76DDDA28158}" type="presParOf" srcId="{02297214-38A1-4483-9400-799874F8B381}" destId="{C19B7EEC-F5B5-4D2E-9624-B25A20B9593C}" srcOrd="0" destOrd="0" presId="urn:microsoft.com/office/officeart/2011/layout/CircleProcess"/>
    <dgm:cxn modelId="{5397914F-6502-4161-B125-F0CA88C069DE}" type="presParOf" srcId="{01B04846-9F27-4DD4-A154-7A04D1958710}" destId="{90A8CA15-96FD-4383-B244-03EC934B5B17}" srcOrd="1" destOrd="0" presId="urn:microsoft.com/office/officeart/2011/layout/CircleProcess"/>
    <dgm:cxn modelId="{BDB08ECE-8BA2-4AFA-B52C-F93B6F2A9A44}" type="presParOf" srcId="{90A8CA15-96FD-4383-B244-03EC934B5B17}" destId="{7B390142-B18A-4485-8DAF-30560035ECF5}" srcOrd="0" destOrd="0" presId="urn:microsoft.com/office/officeart/2011/layout/CircleProcess"/>
    <dgm:cxn modelId="{42BF5BDE-7918-4912-A112-E37B392B1794}" type="presParOf" srcId="{01B04846-9F27-4DD4-A154-7A04D1958710}" destId="{3DD9045A-6B93-4C36-BA5F-EE346CC61B6E}" srcOrd="2" destOrd="0" presId="urn:microsoft.com/office/officeart/2011/layout/CircleProcess"/>
    <dgm:cxn modelId="{DB6C9741-8DCE-44A5-8290-EF32C284582F}" type="presParOf" srcId="{01B04846-9F27-4DD4-A154-7A04D1958710}" destId="{23B2CEE3-6A76-48C2-AB29-D98D452C161C}" srcOrd="3" destOrd="0" presId="urn:microsoft.com/office/officeart/2011/layout/CircleProcess"/>
    <dgm:cxn modelId="{7C0CB149-E21A-4FE0-84A7-FDC427733485}" type="presParOf" srcId="{23B2CEE3-6A76-48C2-AB29-D98D452C161C}" destId="{F8CDDE13-13E8-40C7-8AF7-04817C084B36}" srcOrd="0" destOrd="0" presId="urn:microsoft.com/office/officeart/2011/layout/CircleProcess"/>
    <dgm:cxn modelId="{E86DA152-EF4E-4D1C-9FA0-884A0105FAF2}" type="presParOf" srcId="{01B04846-9F27-4DD4-A154-7A04D1958710}" destId="{32985412-E4F0-4881-AB08-50AE60520E9C}" srcOrd="4" destOrd="0" presId="urn:microsoft.com/office/officeart/2011/layout/CircleProcess"/>
    <dgm:cxn modelId="{F4A9C0CC-6BC1-4E42-94CB-1E1782627DE9}" type="presParOf" srcId="{32985412-E4F0-4881-AB08-50AE60520E9C}" destId="{4B81268F-9933-40C8-8E30-F7A490C46843}" srcOrd="0" destOrd="0" presId="urn:microsoft.com/office/officeart/2011/layout/CircleProcess"/>
    <dgm:cxn modelId="{649ECA91-99E0-4495-A034-2B9FDCBD89BD}" type="presParOf" srcId="{01B04846-9F27-4DD4-A154-7A04D1958710}" destId="{48084EA5-8382-478B-8747-57915CDF6EB9}" srcOrd="5" destOrd="0" presId="urn:microsoft.com/office/officeart/2011/layout/CircleProcess"/>
    <dgm:cxn modelId="{1AA82EF4-9D54-4D5C-AEFD-DEE8BBF2A053}" type="presParOf" srcId="{01B04846-9F27-4DD4-A154-7A04D1958710}" destId="{E2F55530-36F4-442F-9EC4-4B21C3C46DDE}" srcOrd="6" destOrd="0" presId="urn:microsoft.com/office/officeart/2011/layout/CircleProcess"/>
    <dgm:cxn modelId="{1DF2D62A-2CBB-4C58-A737-17D29B64B4EE}" type="presParOf" srcId="{E2F55530-36F4-442F-9EC4-4B21C3C46DDE}" destId="{4A164316-65CB-4147-806D-3DFE2CB6C781}" srcOrd="0" destOrd="0" presId="urn:microsoft.com/office/officeart/2011/layout/CircleProcess"/>
    <dgm:cxn modelId="{E8300A57-511B-4D9D-ABFC-2620A4D593B1}" type="presParOf" srcId="{01B04846-9F27-4DD4-A154-7A04D1958710}" destId="{094D808E-20BF-4304-AD0B-8DDA4617F278}" srcOrd="7" destOrd="0" presId="urn:microsoft.com/office/officeart/2011/layout/CircleProcess"/>
    <dgm:cxn modelId="{28119EC4-ADE4-414A-87F2-C6BEA9875F3B}" type="presParOf" srcId="{094D808E-20BF-4304-AD0B-8DDA4617F278}" destId="{69895D39-78E3-48D0-A1F4-E27C67D7BAF2}" srcOrd="0" destOrd="0" presId="urn:microsoft.com/office/officeart/2011/layout/CircleProcess"/>
    <dgm:cxn modelId="{D94DE358-BA3A-4D65-95B1-A817CCD0034D}" type="presParOf" srcId="{01B04846-9F27-4DD4-A154-7A04D1958710}" destId="{C9169903-0004-4AD4-99C4-5106384B7EA6}" srcOrd="8" destOrd="0" presId="urn:microsoft.com/office/officeart/2011/layout/CircleProcess"/>
    <dgm:cxn modelId="{D59E1461-1584-4B18-964E-D01398C06357}" type="presParOf" srcId="{01B04846-9F27-4DD4-A154-7A04D1958710}" destId="{0F8E9C10-7015-48F6-8049-2B15FF37A6DD}" srcOrd="9" destOrd="0" presId="urn:microsoft.com/office/officeart/2011/layout/CircleProcess"/>
    <dgm:cxn modelId="{1AE799E8-1924-49C8-A940-78231BE3A06E}" type="presParOf" srcId="{0F8E9C10-7015-48F6-8049-2B15FF37A6DD}" destId="{E48A779F-F064-4266-85D8-2621663F1BA5}" srcOrd="0" destOrd="0" presId="urn:microsoft.com/office/officeart/2011/layout/CircleProcess"/>
    <dgm:cxn modelId="{7789A169-F721-43C6-BEA1-841AE19BD6B4}" type="presParOf" srcId="{01B04846-9F27-4DD4-A154-7A04D1958710}" destId="{C5CA8006-FCFE-4909-B046-87FC636E60C3}" srcOrd="10" destOrd="0" presId="urn:microsoft.com/office/officeart/2011/layout/CircleProcess"/>
    <dgm:cxn modelId="{EEFB6755-D792-4011-AD10-385BB8255B30}" type="presParOf" srcId="{C5CA8006-FCFE-4909-B046-87FC636E60C3}" destId="{77EB1355-3AFE-4FB8-8C29-8A9CC451DD57}" srcOrd="0" destOrd="0" presId="urn:microsoft.com/office/officeart/2011/layout/CircleProcess"/>
    <dgm:cxn modelId="{71BED859-4E9C-4FF8-BC1C-BF52B82A93EC}" type="presParOf" srcId="{01B04846-9F27-4DD4-A154-7A04D1958710}" destId="{B5951128-28B4-455C-A0E3-28C185B6E1A9}" srcOrd="11" destOrd="0" presId="urn:microsoft.com/office/officeart/2011/layout/CircleProces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9B7EEC-F5B5-4D2E-9624-B25A20B9593C}">
      <dsp:nvSpPr>
        <dsp:cNvPr id="0" name=""/>
        <dsp:cNvSpPr/>
      </dsp:nvSpPr>
      <dsp:spPr>
        <a:xfrm>
          <a:off x="4211307" y="487785"/>
          <a:ext cx="1272487" cy="1272552"/>
        </a:xfrm>
        <a:prstGeom prst="ellipse">
          <a:avLst/>
        </a:prstGeom>
        <a:gradFill rotWithShape="0">
          <a:gsLst>
            <a:gs pos="0">
              <a:srgbClr val="A5A5A5">
                <a:hueOff val="0"/>
                <a:satOff val="0"/>
                <a:lumOff val="0"/>
                <a:alphaOff val="0"/>
                <a:satMod val="103000"/>
                <a:lumMod val="102000"/>
                <a:tint val="94000"/>
              </a:srgbClr>
            </a:gs>
            <a:gs pos="50000">
              <a:srgbClr val="A5A5A5">
                <a:hueOff val="0"/>
                <a:satOff val="0"/>
                <a:lumOff val="0"/>
                <a:alphaOff val="0"/>
                <a:satMod val="110000"/>
                <a:lumMod val="100000"/>
                <a:shade val="100000"/>
              </a:srgbClr>
            </a:gs>
            <a:gs pos="100000">
              <a:srgbClr val="A5A5A5">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B390142-B18A-4485-8DAF-30560035ECF5}">
      <dsp:nvSpPr>
        <dsp:cNvPr id="0" name=""/>
        <dsp:cNvSpPr/>
      </dsp:nvSpPr>
      <dsp:spPr>
        <a:xfrm>
          <a:off x="4253869"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solidFill>
                <a:sysClr val="windowText" lastClr="000000">
                  <a:hueOff val="0"/>
                  <a:satOff val="0"/>
                  <a:lumOff val="0"/>
                  <a:alphaOff val="0"/>
                </a:sysClr>
              </a:solidFill>
              <a:latin typeface="Calibri" panose="020F0502020204030204"/>
              <a:ea typeface="+mn-ea"/>
              <a:cs typeface="+mn-cs"/>
            </a:rPr>
            <a:t>Multi-Contract + DIY</a:t>
          </a:r>
        </a:p>
      </dsp:txBody>
      <dsp:txXfrm>
        <a:off x="4547831" y="824144"/>
        <a:ext cx="599984" cy="599833"/>
      </dsp:txXfrm>
    </dsp:sp>
    <dsp:sp modelId="{F8CDDE13-13E8-40C7-8AF7-04817C084B36}">
      <dsp:nvSpPr>
        <dsp:cNvPr id="0" name=""/>
        <dsp:cNvSpPr/>
      </dsp:nvSpPr>
      <dsp:spPr>
        <a:xfrm rot="2700000">
          <a:off x="2890791" y="487696"/>
          <a:ext cx="1272507" cy="1272507"/>
        </a:xfrm>
        <a:prstGeom prst="teardrop">
          <a:avLst>
            <a:gd name="adj" fmla="val 100000"/>
          </a:avLst>
        </a:prstGeom>
        <a:gradFill rotWithShape="0">
          <a:gsLst>
            <a:gs pos="0">
              <a:srgbClr val="A5A5A5">
                <a:hueOff val="903533"/>
                <a:satOff val="33333"/>
                <a:lumOff val="-4902"/>
                <a:alphaOff val="0"/>
                <a:satMod val="103000"/>
                <a:lumMod val="102000"/>
                <a:tint val="94000"/>
              </a:srgbClr>
            </a:gs>
            <a:gs pos="50000">
              <a:srgbClr val="A5A5A5">
                <a:hueOff val="903533"/>
                <a:satOff val="33333"/>
                <a:lumOff val="-4902"/>
                <a:alphaOff val="0"/>
                <a:satMod val="110000"/>
                <a:lumMod val="100000"/>
                <a:shade val="100000"/>
              </a:srgbClr>
            </a:gs>
            <a:gs pos="100000">
              <a:srgbClr val="A5A5A5">
                <a:hueOff val="903533"/>
                <a:satOff val="33333"/>
                <a:lumOff val="-4902"/>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B81268F-9933-40C8-8E30-F7A490C46843}">
      <dsp:nvSpPr>
        <dsp:cNvPr id="0" name=""/>
        <dsp:cNvSpPr/>
      </dsp:nvSpPr>
      <dsp:spPr>
        <a:xfrm>
          <a:off x="2938820"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903533"/>
              <a:satOff val="33333"/>
              <a:lumOff val="-4902"/>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solidFill>
                <a:sysClr val="windowText" lastClr="000000">
                  <a:hueOff val="0"/>
                  <a:satOff val="0"/>
                  <a:lumOff val="0"/>
                  <a:alphaOff val="0"/>
                </a:sysClr>
              </a:solidFill>
              <a:latin typeface="Calibri" panose="020F0502020204030204"/>
              <a:ea typeface="+mn-ea"/>
              <a:cs typeface="+mn-cs"/>
            </a:rPr>
            <a:t>Do-It-Yourself (DIY) Contract</a:t>
          </a:r>
        </a:p>
      </dsp:txBody>
      <dsp:txXfrm>
        <a:off x="3232782" y="824144"/>
        <a:ext cx="599984" cy="599833"/>
      </dsp:txXfrm>
    </dsp:sp>
    <dsp:sp modelId="{4A164316-65CB-4147-806D-3DFE2CB6C781}">
      <dsp:nvSpPr>
        <dsp:cNvPr id="0" name=""/>
        <dsp:cNvSpPr/>
      </dsp:nvSpPr>
      <dsp:spPr>
        <a:xfrm rot="2700000">
          <a:off x="1581199" y="487696"/>
          <a:ext cx="1272507" cy="1272507"/>
        </a:xfrm>
        <a:prstGeom prst="teardrop">
          <a:avLst>
            <a:gd name="adj" fmla="val 100000"/>
          </a:avLst>
        </a:prstGeom>
        <a:gradFill rotWithShape="0">
          <a:gsLst>
            <a:gs pos="0">
              <a:srgbClr val="A5A5A5">
                <a:hueOff val="1807066"/>
                <a:satOff val="66667"/>
                <a:lumOff val="-9804"/>
                <a:alphaOff val="0"/>
                <a:satMod val="103000"/>
                <a:lumMod val="102000"/>
                <a:tint val="94000"/>
              </a:srgbClr>
            </a:gs>
            <a:gs pos="50000">
              <a:srgbClr val="A5A5A5">
                <a:hueOff val="1807066"/>
                <a:satOff val="66667"/>
                <a:lumOff val="-9804"/>
                <a:alphaOff val="0"/>
                <a:satMod val="110000"/>
                <a:lumMod val="100000"/>
                <a:shade val="100000"/>
              </a:srgbClr>
            </a:gs>
            <a:gs pos="100000">
              <a:srgbClr val="A5A5A5">
                <a:hueOff val="1807066"/>
                <a:satOff val="66667"/>
                <a:lumOff val="-9804"/>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9895D39-78E3-48D0-A1F4-E27C67D7BAF2}">
      <dsp:nvSpPr>
        <dsp:cNvPr id="0" name=""/>
        <dsp:cNvSpPr/>
      </dsp:nvSpPr>
      <dsp:spPr>
        <a:xfrm>
          <a:off x="1623771" y="530211"/>
          <a:ext cx="1187909" cy="1187700"/>
        </a:xfrm>
        <a:prstGeom prst="ellipse">
          <a:avLst/>
        </a:prstGeom>
        <a:solidFill>
          <a:sysClr val="window" lastClr="FFFFFF">
            <a:alpha val="90000"/>
            <a:hueOff val="0"/>
            <a:satOff val="0"/>
            <a:lumOff val="0"/>
            <a:alphaOff val="0"/>
          </a:sysClr>
        </a:solidFill>
        <a:ln w="6350" cap="flat" cmpd="sng" algn="ctr">
          <a:solidFill>
            <a:srgbClr val="A5A5A5">
              <a:hueOff val="1807066"/>
              <a:satOff val="66667"/>
              <a:lumOff val="-9804"/>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solidFill>
                <a:sysClr val="windowText" lastClr="000000">
                  <a:hueOff val="0"/>
                  <a:satOff val="0"/>
                  <a:lumOff val="0"/>
                  <a:alphaOff val="0"/>
                </a:sysClr>
              </a:solidFill>
              <a:latin typeface="Calibri" panose="020F0502020204030204"/>
              <a:ea typeface="+mn-ea"/>
              <a:cs typeface="+mn-cs"/>
            </a:rPr>
            <a:t>Multi-Contract</a:t>
          </a:r>
        </a:p>
      </dsp:txBody>
      <dsp:txXfrm>
        <a:off x="1917733" y="824144"/>
        <a:ext cx="599984" cy="599833"/>
      </dsp:txXfrm>
    </dsp:sp>
    <dsp:sp modelId="{E48A779F-F064-4266-85D8-2621663F1BA5}">
      <dsp:nvSpPr>
        <dsp:cNvPr id="0" name=""/>
        <dsp:cNvSpPr/>
      </dsp:nvSpPr>
      <dsp:spPr>
        <a:xfrm rot="2700000">
          <a:off x="266150" y="487696"/>
          <a:ext cx="1272507" cy="1272507"/>
        </a:xfrm>
        <a:prstGeom prst="teardrop">
          <a:avLst>
            <a:gd name="adj" fmla="val 100000"/>
          </a:avLst>
        </a:prstGeom>
        <a:gradFill rotWithShape="0">
          <a:gsLst>
            <a:gs pos="0">
              <a:srgbClr val="A5A5A5">
                <a:hueOff val="2710599"/>
                <a:satOff val="100000"/>
                <a:lumOff val="-14706"/>
                <a:alphaOff val="0"/>
                <a:satMod val="103000"/>
                <a:lumMod val="102000"/>
                <a:tint val="94000"/>
              </a:srgbClr>
            </a:gs>
            <a:gs pos="50000">
              <a:srgbClr val="A5A5A5">
                <a:hueOff val="2710599"/>
                <a:satOff val="100000"/>
                <a:lumOff val="-14706"/>
                <a:alphaOff val="0"/>
                <a:satMod val="110000"/>
                <a:lumMod val="100000"/>
                <a:shade val="100000"/>
              </a:srgbClr>
            </a:gs>
            <a:gs pos="100000">
              <a:srgbClr val="A5A5A5">
                <a:hueOff val="2710599"/>
                <a:satOff val="100000"/>
                <a:lumOff val="-14706"/>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7EB1355-3AFE-4FB8-8C29-8A9CC451DD57}">
      <dsp:nvSpPr>
        <dsp:cNvPr id="0" name=""/>
        <dsp:cNvSpPr/>
      </dsp:nvSpPr>
      <dsp:spPr>
        <a:xfrm>
          <a:off x="346819" y="522586"/>
          <a:ext cx="1187909" cy="1187700"/>
        </a:xfrm>
        <a:prstGeom prst="ellipse">
          <a:avLst/>
        </a:prstGeom>
        <a:solidFill>
          <a:sysClr val="window" lastClr="FFFFFF">
            <a:alpha val="90000"/>
            <a:hueOff val="0"/>
            <a:satOff val="0"/>
            <a:lumOff val="0"/>
            <a:alphaOff val="0"/>
          </a:sysClr>
        </a:solidFill>
        <a:ln w="6350" cap="flat" cmpd="sng" algn="ctr">
          <a:solidFill>
            <a:srgbClr val="A5A5A5">
              <a:hueOff val="2710599"/>
              <a:satOff val="100000"/>
              <a:lumOff val="-14706"/>
              <a:alphaOff val="0"/>
            </a:srgb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0" i="0" kern="1200">
              <a:solidFill>
                <a:sysClr val="windowText" lastClr="000000">
                  <a:hueOff val="0"/>
                  <a:satOff val="0"/>
                  <a:lumOff val="0"/>
                  <a:alphaOff val="0"/>
                </a:sysClr>
              </a:solidFill>
              <a:latin typeface="Calibri" panose="020F0502020204030204"/>
              <a:ea typeface="+mn-ea"/>
              <a:cs typeface="+mn-cs"/>
            </a:rPr>
            <a:t>Turnkey Contract</a:t>
          </a:r>
        </a:p>
      </dsp:txBody>
      <dsp:txXfrm>
        <a:off x="640781" y="816519"/>
        <a:ext cx="599984" cy="599833"/>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CFFF5-F0A9-43E1-9C5C-EB539D1C2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Stancheva</dc:creator>
  <cp:keywords/>
  <dc:description/>
  <cp:lastModifiedBy>Silviya Stancheva</cp:lastModifiedBy>
  <cp:revision>1</cp:revision>
  <dcterms:created xsi:type="dcterms:W3CDTF">2025-12-17T19:10:00Z</dcterms:created>
  <dcterms:modified xsi:type="dcterms:W3CDTF">2025-12-17T20:01:00Z</dcterms:modified>
</cp:coreProperties>
</file>