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021" w:rsidRPr="00B93021" w:rsidRDefault="00B93021" w:rsidP="00B93021">
      <w:pPr>
        <w:shd w:val="clear" w:color="auto" w:fill="FFFFFF"/>
        <w:spacing w:after="0" w:line="240" w:lineRule="auto"/>
        <w:outlineLvl w:val="0"/>
        <w:rPr>
          <w:rFonts w:ascii="Verdana" w:eastAsia="Times New Roman" w:hAnsi="Verdana" w:cs="Times New Roman"/>
          <w:b/>
          <w:bCs/>
          <w:color w:val="663399"/>
          <w:kern w:val="36"/>
          <w:sz w:val="48"/>
          <w:szCs w:val="48"/>
          <w:lang w:eastAsia="en-GB"/>
        </w:rPr>
      </w:pPr>
      <w:r w:rsidRPr="00B93021">
        <w:rPr>
          <w:rFonts w:ascii="Verdana" w:eastAsia="Times New Roman" w:hAnsi="Verdana" w:cs="Times New Roman"/>
          <w:b/>
          <w:bCs/>
          <w:color w:val="663399"/>
          <w:kern w:val="36"/>
          <w:sz w:val="48"/>
          <w:szCs w:val="48"/>
          <w:lang w:eastAsia="en-GB"/>
        </w:rPr>
        <w:t>36-Item Short Form Survey (SF-36) Scoring Instructions</w:t>
      </w:r>
    </w:p>
    <w:p w:rsidR="00B93021" w:rsidRPr="00B93021" w:rsidRDefault="00B93021"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r w:rsidRPr="00B93021">
        <w:rPr>
          <w:rFonts w:ascii="Verdana" w:eastAsia="Times New Roman" w:hAnsi="Verdana" w:cs="Times New Roman"/>
          <w:b/>
          <w:bCs/>
          <w:color w:val="333333"/>
          <w:sz w:val="36"/>
          <w:szCs w:val="36"/>
          <w:lang w:eastAsia="en-GB"/>
        </w:rPr>
        <w:t>Introduction</w:t>
      </w:r>
    </w:p>
    <w:p w:rsidR="00B93021" w:rsidRPr="00B93021" w:rsidRDefault="00B93021" w:rsidP="00B93021">
      <w:pPr>
        <w:shd w:val="clear" w:color="auto" w:fill="FFFFFF"/>
        <w:spacing w:before="100" w:beforeAutospacing="1" w:after="100" w:afterAutospacing="1" w:line="240" w:lineRule="auto"/>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The </w:t>
      </w:r>
      <w:hyperlink r:id="rId5" w:history="1">
        <w:r w:rsidRPr="00B93021">
          <w:rPr>
            <w:rFonts w:ascii="Verdana" w:eastAsia="Times New Roman" w:hAnsi="Verdana" w:cs="Times New Roman"/>
            <w:color w:val="4866BC"/>
            <w:sz w:val="24"/>
            <w:szCs w:val="24"/>
            <w:lang w:eastAsia="en-GB"/>
          </w:rPr>
          <w:t>RAND 36-Item Health Survey</w:t>
        </w:r>
      </w:hyperlink>
      <w:r w:rsidRPr="00B93021">
        <w:rPr>
          <w:rFonts w:ascii="Verdana" w:eastAsia="Times New Roman" w:hAnsi="Verdana" w:cs="Times New Roman"/>
          <w:color w:val="333333"/>
          <w:sz w:val="24"/>
          <w:szCs w:val="24"/>
          <w:lang w:eastAsia="en-GB"/>
        </w:rPr>
        <w:t xml:space="preserve"> (Version 1.0) taps eight health concepts: physical functioning, bodily pain, role limitations due to physical health problems, role limitations due to personal or emotional problems, emotional well-being, social functioning, energy/fatigue, and general health perceptions. It also includes a single item that provides an indication of perceived change in health. These 36 items, presented here, are identical to the MOS SF-36 described in Ware and </w:t>
      </w:r>
      <w:proofErr w:type="spellStart"/>
      <w:r w:rsidRPr="00B93021">
        <w:rPr>
          <w:rFonts w:ascii="Verdana" w:eastAsia="Times New Roman" w:hAnsi="Verdana" w:cs="Times New Roman"/>
          <w:color w:val="333333"/>
          <w:sz w:val="24"/>
          <w:szCs w:val="24"/>
          <w:lang w:eastAsia="en-GB"/>
        </w:rPr>
        <w:t>Sherbourne</w:t>
      </w:r>
      <w:proofErr w:type="spellEnd"/>
      <w:r w:rsidRPr="00B93021">
        <w:rPr>
          <w:rFonts w:ascii="Verdana" w:eastAsia="Times New Roman" w:hAnsi="Verdana" w:cs="Times New Roman"/>
          <w:color w:val="333333"/>
          <w:sz w:val="24"/>
          <w:szCs w:val="24"/>
          <w:lang w:eastAsia="en-GB"/>
        </w:rPr>
        <w:t xml:space="preserve"> (1992). They were adapted from longer instruments completed by patients participating in the Medical Outcomes Study (MOS), an observational study of variations in physician practice styles and patient outcomes in different systems of health care delivery (Hays &amp; Shapiro, 1992; Stewart, </w:t>
      </w:r>
      <w:proofErr w:type="spellStart"/>
      <w:r w:rsidRPr="00B93021">
        <w:rPr>
          <w:rFonts w:ascii="Verdana" w:eastAsia="Times New Roman" w:hAnsi="Verdana" w:cs="Times New Roman"/>
          <w:color w:val="333333"/>
          <w:sz w:val="24"/>
          <w:szCs w:val="24"/>
          <w:lang w:eastAsia="en-GB"/>
        </w:rPr>
        <w:t>Sherbourne</w:t>
      </w:r>
      <w:proofErr w:type="spellEnd"/>
      <w:r w:rsidRPr="00B93021">
        <w:rPr>
          <w:rFonts w:ascii="Verdana" w:eastAsia="Times New Roman" w:hAnsi="Verdana" w:cs="Times New Roman"/>
          <w:color w:val="333333"/>
          <w:sz w:val="24"/>
          <w:szCs w:val="24"/>
          <w:lang w:eastAsia="en-GB"/>
        </w:rPr>
        <w:t>, Hays, et al., 1992).</w:t>
      </w:r>
    </w:p>
    <w:p w:rsidR="00B93021" w:rsidRPr="00B93021" w:rsidRDefault="00B93021"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r w:rsidRPr="00B93021">
        <w:rPr>
          <w:rFonts w:ascii="Verdana" w:eastAsia="Times New Roman" w:hAnsi="Verdana" w:cs="Times New Roman"/>
          <w:b/>
          <w:bCs/>
          <w:color w:val="333333"/>
          <w:sz w:val="36"/>
          <w:szCs w:val="36"/>
          <w:lang w:eastAsia="en-GB"/>
        </w:rPr>
        <w:t>Scoring Rules for the RAND 36-Item Health Survey (Version 1.0)</w:t>
      </w:r>
    </w:p>
    <w:p w:rsidR="00B93021" w:rsidRPr="00B93021" w:rsidRDefault="00B93021" w:rsidP="00B93021">
      <w:pPr>
        <w:shd w:val="clear" w:color="auto" w:fill="FFFFFF"/>
        <w:spacing w:before="100" w:beforeAutospacing="1" w:after="100" w:afterAutospacing="1" w:line="240" w:lineRule="auto"/>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 xml:space="preserve">We recommend that responses </w:t>
      </w:r>
      <w:proofErr w:type="gramStart"/>
      <w:r w:rsidRPr="00B93021">
        <w:rPr>
          <w:rFonts w:ascii="Verdana" w:eastAsia="Times New Roman" w:hAnsi="Verdana" w:cs="Times New Roman"/>
          <w:color w:val="333333"/>
          <w:sz w:val="24"/>
          <w:szCs w:val="24"/>
          <w:lang w:eastAsia="en-GB"/>
        </w:rPr>
        <w:t>be scored</w:t>
      </w:r>
      <w:proofErr w:type="gramEnd"/>
      <w:r w:rsidRPr="00B93021">
        <w:rPr>
          <w:rFonts w:ascii="Verdana" w:eastAsia="Times New Roman" w:hAnsi="Verdana" w:cs="Times New Roman"/>
          <w:color w:val="333333"/>
          <w:sz w:val="24"/>
          <w:szCs w:val="24"/>
          <w:lang w:eastAsia="en-GB"/>
        </w:rPr>
        <w:t xml:space="preserve"> as described below. A somewhat different scoring procedure for the MOS SF-36 </w:t>
      </w:r>
      <w:proofErr w:type="gramStart"/>
      <w:r w:rsidRPr="00B93021">
        <w:rPr>
          <w:rFonts w:ascii="Verdana" w:eastAsia="Times New Roman" w:hAnsi="Verdana" w:cs="Times New Roman"/>
          <w:color w:val="333333"/>
          <w:sz w:val="24"/>
          <w:szCs w:val="24"/>
          <w:lang w:eastAsia="en-GB"/>
        </w:rPr>
        <w:t>has been distributed</w:t>
      </w:r>
      <w:proofErr w:type="gramEnd"/>
      <w:r w:rsidRPr="00B93021">
        <w:rPr>
          <w:rFonts w:ascii="Verdana" w:eastAsia="Times New Roman" w:hAnsi="Verdana" w:cs="Times New Roman"/>
          <w:color w:val="333333"/>
          <w:sz w:val="24"/>
          <w:szCs w:val="24"/>
          <w:lang w:eastAsia="en-GB"/>
        </w:rPr>
        <w:t xml:space="preserve"> by the International Resource </w:t>
      </w:r>
      <w:proofErr w:type="spellStart"/>
      <w:r w:rsidRPr="00B93021">
        <w:rPr>
          <w:rFonts w:ascii="Verdana" w:eastAsia="Times New Roman" w:hAnsi="Verdana" w:cs="Times New Roman"/>
          <w:color w:val="333333"/>
          <w:sz w:val="24"/>
          <w:szCs w:val="24"/>
          <w:lang w:eastAsia="en-GB"/>
        </w:rPr>
        <w:t>Center</w:t>
      </w:r>
      <w:proofErr w:type="spellEnd"/>
      <w:r w:rsidRPr="00B93021">
        <w:rPr>
          <w:rFonts w:ascii="Verdana" w:eastAsia="Times New Roman" w:hAnsi="Verdana" w:cs="Times New Roman"/>
          <w:color w:val="333333"/>
          <w:sz w:val="24"/>
          <w:szCs w:val="24"/>
          <w:lang w:eastAsia="en-GB"/>
        </w:rPr>
        <w:t xml:space="preserve"> for Health Care Assessment (located in Boston, MA). Because the scoring method described here (a simpler and more straightforward procedure) differs from that of the MOS SF-36, persons using this scoring method should refer to the instrument as RAND 36-Item Health Survey 1.0.</w:t>
      </w:r>
    </w:p>
    <w:p w:rsidR="00B93021" w:rsidRPr="00B93021" w:rsidRDefault="00B93021" w:rsidP="00B93021">
      <w:pPr>
        <w:shd w:val="clear" w:color="auto" w:fill="FFFFFF"/>
        <w:spacing w:before="100" w:beforeAutospacing="1" w:after="100" w:afterAutospacing="1" w:line="240" w:lineRule="auto"/>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 xml:space="preserve">Scoring the RAND 36-Item Health Survey is a two-step process. First, </w:t>
      </w:r>
      <w:proofErr w:type="spellStart"/>
      <w:r w:rsidRPr="00B93021">
        <w:rPr>
          <w:rFonts w:ascii="Verdana" w:eastAsia="Times New Roman" w:hAnsi="Verdana" w:cs="Times New Roman"/>
          <w:color w:val="333333"/>
          <w:sz w:val="24"/>
          <w:szCs w:val="24"/>
          <w:lang w:eastAsia="en-GB"/>
        </w:rPr>
        <w:t>precoded</w:t>
      </w:r>
      <w:proofErr w:type="spellEnd"/>
      <w:r w:rsidRPr="00B93021">
        <w:rPr>
          <w:rFonts w:ascii="Verdana" w:eastAsia="Times New Roman" w:hAnsi="Verdana" w:cs="Times New Roman"/>
          <w:color w:val="333333"/>
          <w:sz w:val="24"/>
          <w:szCs w:val="24"/>
          <w:lang w:eastAsia="en-GB"/>
        </w:rPr>
        <w:t xml:space="preserve"> numeric values </w:t>
      </w:r>
      <w:proofErr w:type="gramStart"/>
      <w:r w:rsidRPr="00B93021">
        <w:rPr>
          <w:rFonts w:ascii="Verdana" w:eastAsia="Times New Roman" w:hAnsi="Verdana" w:cs="Times New Roman"/>
          <w:color w:val="333333"/>
          <w:sz w:val="24"/>
          <w:szCs w:val="24"/>
          <w:lang w:eastAsia="en-GB"/>
        </w:rPr>
        <w:t>are recoded</w:t>
      </w:r>
      <w:proofErr w:type="gramEnd"/>
      <w:r w:rsidRPr="00B93021">
        <w:rPr>
          <w:rFonts w:ascii="Verdana" w:eastAsia="Times New Roman" w:hAnsi="Verdana" w:cs="Times New Roman"/>
          <w:color w:val="333333"/>
          <w:sz w:val="24"/>
          <w:szCs w:val="24"/>
          <w:lang w:eastAsia="en-GB"/>
        </w:rPr>
        <w:t xml:space="preserve"> per the scoring key given in Table 1. Note that all items </w:t>
      </w:r>
      <w:proofErr w:type="gramStart"/>
      <w:r w:rsidRPr="00B93021">
        <w:rPr>
          <w:rFonts w:ascii="Verdana" w:eastAsia="Times New Roman" w:hAnsi="Verdana" w:cs="Times New Roman"/>
          <w:color w:val="333333"/>
          <w:sz w:val="24"/>
          <w:szCs w:val="24"/>
          <w:lang w:eastAsia="en-GB"/>
        </w:rPr>
        <w:t>are scored</w:t>
      </w:r>
      <w:proofErr w:type="gramEnd"/>
      <w:r w:rsidRPr="00B93021">
        <w:rPr>
          <w:rFonts w:ascii="Verdana" w:eastAsia="Times New Roman" w:hAnsi="Verdana" w:cs="Times New Roman"/>
          <w:color w:val="333333"/>
          <w:sz w:val="24"/>
          <w:szCs w:val="24"/>
          <w:lang w:eastAsia="en-GB"/>
        </w:rPr>
        <w:t xml:space="preserve"> so that a high score defines a more </w:t>
      </w:r>
      <w:proofErr w:type="spellStart"/>
      <w:r w:rsidRPr="00B93021">
        <w:rPr>
          <w:rFonts w:ascii="Verdana" w:eastAsia="Times New Roman" w:hAnsi="Verdana" w:cs="Times New Roman"/>
          <w:color w:val="333333"/>
          <w:sz w:val="24"/>
          <w:szCs w:val="24"/>
          <w:lang w:eastAsia="en-GB"/>
        </w:rPr>
        <w:t>favorable</w:t>
      </w:r>
      <w:proofErr w:type="spellEnd"/>
      <w:r w:rsidRPr="00B93021">
        <w:rPr>
          <w:rFonts w:ascii="Verdana" w:eastAsia="Times New Roman" w:hAnsi="Verdana" w:cs="Times New Roman"/>
          <w:color w:val="333333"/>
          <w:sz w:val="24"/>
          <w:szCs w:val="24"/>
          <w:lang w:eastAsia="en-GB"/>
        </w:rPr>
        <w:t xml:space="preserve"> health state. In addition, each item is scored on a 0 to 100 range so that the lowest and highest possible scores are 0 and 100, respectively. Scores represent the percentage of total possible score achieved. In step 2, items in the same scale are averaged together to create the </w:t>
      </w:r>
      <w:proofErr w:type="gramStart"/>
      <w:r w:rsidRPr="00B93021">
        <w:rPr>
          <w:rFonts w:ascii="Verdana" w:eastAsia="Times New Roman" w:hAnsi="Verdana" w:cs="Times New Roman"/>
          <w:color w:val="333333"/>
          <w:sz w:val="24"/>
          <w:szCs w:val="24"/>
          <w:lang w:eastAsia="en-GB"/>
        </w:rPr>
        <w:t>8</w:t>
      </w:r>
      <w:proofErr w:type="gramEnd"/>
      <w:r w:rsidRPr="00B93021">
        <w:rPr>
          <w:rFonts w:ascii="Verdana" w:eastAsia="Times New Roman" w:hAnsi="Verdana" w:cs="Times New Roman"/>
          <w:color w:val="333333"/>
          <w:sz w:val="24"/>
          <w:szCs w:val="24"/>
          <w:lang w:eastAsia="en-GB"/>
        </w:rPr>
        <w:t xml:space="preserve"> scale scores. Table 2 lists the items averaged together to create each scale. Items that </w:t>
      </w:r>
      <w:proofErr w:type="gramStart"/>
      <w:r w:rsidRPr="00B93021">
        <w:rPr>
          <w:rFonts w:ascii="Verdana" w:eastAsia="Times New Roman" w:hAnsi="Verdana" w:cs="Times New Roman"/>
          <w:color w:val="333333"/>
          <w:sz w:val="24"/>
          <w:szCs w:val="24"/>
          <w:lang w:eastAsia="en-GB"/>
        </w:rPr>
        <w:t>are left</w:t>
      </w:r>
      <w:proofErr w:type="gramEnd"/>
      <w:r w:rsidRPr="00B93021">
        <w:rPr>
          <w:rFonts w:ascii="Verdana" w:eastAsia="Times New Roman" w:hAnsi="Verdana" w:cs="Times New Roman"/>
          <w:color w:val="333333"/>
          <w:sz w:val="24"/>
          <w:szCs w:val="24"/>
          <w:lang w:eastAsia="en-GB"/>
        </w:rPr>
        <w:t xml:space="preserve"> blank (missing data) are not taken into account when calculating the scale scores. Hence, scale scores represent the average for all items in the scale that the respondent answered.</w:t>
      </w:r>
    </w:p>
    <w:p w:rsidR="00B93021" w:rsidRPr="00B93021" w:rsidRDefault="00B93021" w:rsidP="00B93021">
      <w:pPr>
        <w:shd w:val="clear" w:color="auto" w:fill="FFFFFF"/>
        <w:spacing w:before="100" w:beforeAutospacing="1" w:after="100" w:afterAutospacing="1" w:line="240" w:lineRule="auto"/>
        <w:rPr>
          <w:rFonts w:ascii="Verdana" w:eastAsia="Times New Roman" w:hAnsi="Verdana" w:cs="Times New Roman"/>
          <w:color w:val="333333"/>
          <w:sz w:val="24"/>
          <w:szCs w:val="24"/>
          <w:lang w:eastAsia="en-GB"/>
        </w:rPr>
      </w:pPr>
      <w:r w:rsidRPr="00B93021">
        <w:rPr>
          <w:rFonts w:ascii="Verdana" w:eastAsia="Times New Roman" w:hAnsi="Verdana" w:cs="Times New Roman"/>
          <w:b/>
          <w:bCs/>
          <w:color w:val="333333"/>
          <w:sz w:val="24"/>
          <w:szCs w:val="24"/>
          <w:lang w:eastAsia="en-GB"/>
        </w:rPr>
        <w:t>Example:</w:t>
      </w:r>
      <w:r w:rsidRPr="00B93021">
        <w:rPr>
          <w:rFonts w:ascii="Verdana" w:eastAsia="Times New Roman" w:hAnsi="Verdana" w:cs="Times New Roman"/>
          <w:color w:val="333333"/>
          <w:sz w:val="24"/>
          <w:szCs w:val="24"/>
          <w:lang w:eastAsia="en-GB"/>
        </w:rPr>
        <w:t xml:space="preserve"> Items 20 and 32 </w:t>
      </w:r>
      <w:proofErr w:type="gramStart"/>
      <w:r w:rsidRPr="00B93021">
        <w:rPr>
          <w:rFonts w:ascii="Verdana" w:eastAsia="Times New Roman" w:hAnsi="Verdana" w:cs="Times New Roman"/>
          <w:color w:val="333333"/>
          <w:sz w:val="24"/>
          <w:szCs w:val="24"/>
          <w:lang w:eastAsia="en-GB"/>
        </w:rPr>
        <w:t>are used</w:t>
      </w:r>
      <w:proofErr w:type="gramEnd"/>
      <w:r w:rsidRPr="00B93021">
        <w:rPr>
          <w:rFonts w:ascii="Verdana" w:eastAsia="Times New Roman" w:hAnsi="Verdana" w:cs="Times New Roman"/>
          <w:color w:val="333333"/>
          <w:sz w:val="24"/>
          <w:szCs w:val="24"/>
          <w:lang w:eastAsia="en-GB"/>
        </w:rPr>
        <w:t xml:space="preserve"> to score the measure of social functioning. Each of the two items has </w:t>
      </w:r>
      <w:proofErr w:type="gramStart"/>
      <w:r w:rsidRPr="00B93021">
        <w:rPr>
          <w:rFonts w:ascii="Verdana" w:eastAsia="Times New Roman" w:hAnsi="Verdana" w:cs="Times New Roman"/>
          <w:color w:val="333333"/>
          <w:sz w:val="24"/>
          <w:szCs w:val="24"/>
          <w:lang w:eastAsia="en-GB"/>
        </w:rPr>
        <w:t>5</w:t>
      </w:r>
      <w:proofErr w:type="gramEnd"/>
      <w:r w:rsidRPr="00B93021">
        <w:rPr>
          <w:rFonts w:ascii="Verdana" w:eastAsia="Times New Roman" w:hAnsi="Verdana" w:cs="Times New Roman"/>
          <w:color w:val="333333"/>
          <w:sz w:val="24"/>
          <w:szCs w:val="24"/>
          <w:lang w:eastAsia="en-GB"/>
        </w:rPr>
        <w:t xml:space="preserve"> response choices. However, a </w:t>
      </w:r>
      <w:r w:rsidRPr="00B93021">
        <w:rPr>
          <w:rFonts w:ascii="Verdana" w:eastAsia="Times New Roman" w:hAnsi="Verdana" w:cs="Times New Roman"/>
          <w:color w:val="333333"/>
          <w:sz w:val="24"/>
          <w:szCs w:val="24"/>
          <w:lang w:eastAsia="en-GB"/>
        </w:rPr>
        <w:lastRenderedPageBreak/>
        <w:t xml:space="preserve">high score (response choice 5) on item 20 indicates the presence of limitations in social functioning, while a high score (response choice 5) on item 32 indicates the absence of limitations in social functioning. To score both items in the same direction, Table 1 shows that responses 1 through 5 for item 20 </w:t>
      </w:r>
      <w:proofErr w:type="gramStart"/>
      <w:r w:rsidRPr="00B93021">
        <w:rPr>
          <w:rFonts w:ascii="Verdana" w:eastAsia="Times New Roman" w:hAnsi="Verdana" w:cs="Times New Roman"/>
          <w:color w:val="333333"/>
          <w:sz w:val="24"/>
          <w:szCs w:val="24"/>
          <w:lang w:eastAsia="en-GB"/>
        </w:rPr>
        <w:t>should be recoded</w:t>
      </w:r>
      <w:proofErr w:type="gramEnd"/>
      <w:r w:rsidRPr="00B93021">
        <w:rPr>
          <w:rFonts w:ascii="Verdana" w:eastAsia="Times New Roman" w:hAnsi="Verdana" w:cs="Times New Roman"/>
          <w:color w:val="333333"/>
          <w:sz w:val="24"/>
          <w:szCs w:val="24"/>
          <w:lang w:eastAsia="en-GB"/>
        </w:rPr>
        <w:t xml:space="preserve"> to values of 100, 75, 50, 25, and 0, respectively. Responses 1 through 5 for item 32 </w:t>
      </w:r>
      <w:proofErr w:type="gramStart"/>
      <w:r w:rsidRPr="00B93021">
        <w:rPr>
          <w:rFonts w:ascii="Verdana" w:eastAsia="Times New Roman" w:hAnsi="Verdana" w:cs="Times New Roman"/>
          <w:color w:val="333333"/>
          <w:sz w:val="24"/>
          <w:szCs w:val="24"/>
          <w:lang w:eastAsia="en-GB"/>
        </w:rPr>
        <w:t>should be recoded</w:t>
      </w:r>
      <w:proofErr w:type="gramEnd"/>
      <w:r w:rsidRPr="00B93021">
        <w:rPr>
          <w:rFonts w:ascii="Verdana" w:eastAsia="Times New Roman" w:hAnsi="Verdana" w:cs="Times New Roman"/>
          <w:color w:val="333333"/>
          <w:sz w:val="24"/>
          <w:szCs w:val="24"/>
          <w:lang w:eastAsia="en-GB"/>
        </w:rPr>
        <w:t xml:space="preserve"> to values of 0, 25, 50, 75, and 100, respectively. Table </w:t>
      </w:r>
      <w:proofErr w:type="gramStart"/>
      <w:r w:rsidRPr="00B93021">
        <w:rPr>
          <w:rFonts w:ascii="Verdana" w:eastAsia="Times New Roman" w:hAnsi="Verdana" w:cs="Times New Roman"/>
          <w:color w:val="333333"/>
          <w:sz w:val="24"/>
          <w:szCs w:val="24"/>
          <w:lang w:eastAsia="en-GB"/>
        </w:rPr>
        <w:t>2</w:t>
      </w:r>
      <w:proofErr w:type="gramEnd"/>
      <w:r w:rsidRPr="00B93021">
        <w:rPr>
          <w:rFonts w:ascii="Verdana" w:eastAsia="Times New Roman" w:hAnsi="Verdana" w:cs="Times New Roman"/>
          <w:color w:val="333333"/>
          <w:sz w:val="24"/>
          <w:szCs w:val="24"/>
          <w:lang w:eastAsia="en-GB"/>
        </w:rPr>
        <w:t xml:space="preserve"> shows that these two recoded items should be averaged together to form the social functioning scale. If the respondent is missing one of the two items, the person's score will be equal to that of the non-missing item.</w:t>
      </w:r>
    </w:p>
    <w:p w:rsidR="00B93021" w:rsidRPr="00B93021" w:rsidRDefault="00B93021" w:rsidP="00B93021">
      <w:pPr>
        <w:shd w:val="clear" w:color="auto" w:fill="FFFFFF"/>
        <w:spacing w:before="100" w:beforeAutospacing="1" w:after="100" w:afterAutospacing="1" w:line="240" w:lineRule="auto"/>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Table 3 presents information on the reliability, central tendency, and variability of the scales scored using this method.</w:t>
      </w:r>
    </w:p>
    <w:p w:rsidR="00B93021" w:rsidRPr="00B93021" w:rsidRDefault="00B93021"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r w:rsidRPr="00B93021">
        <w:rPr>
          <w:rFonts w:ascii="Verdana" w:eastAsia="Times New Roman" w:hAnsi="Verdana" w:cs="Times New Roman"/>
          <w:b/>
          <w:bCs/>
          <w:color w:val="333333"/>
          <w:sz w:val="36"/>
          <w:szCs w:val="36"/>
          <w:lang w:eastAsia="en-GB"/>
        </w:rPr>
        <w:t>References</w:t>
      </w:r>
    </w:p>
    <w:p w:rsidR="00B93021" w:rsidRPr="00B93021" w:rsidRDefault="00B93021" w:rsidP="00B93021">
      <w:pPr>
        <w:numPr>
          <w:ilvl w:val="0"/>
          <w:numId w:val="1"/>
        </w:numPr>
        <w:shd w:val="clear" w:color="auto" w:fill="FFFFFF"/>
        <w:spacing w:before="100" w:beforeAutospacing="1" w:after="100" w:afterAutospacing="1" w:line="240" w:lineRule="auto"/>
        <w:ind w:left="0"/>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 xml:space="preserve">Ware, J.E., Jr., &amp; </w:t>
      </w:r>
      <w:proofErr w:type="spellStart"/>
      <w:r w:rsidRPr="00B93021">
        <w:rPr>
          <w:rFonts w:ascii="Verdana" w:eastAsia="Times New Roman" w:hAnsi="Verdana" w:cs="Times New Roman"/>
          <w:color w:val="333333"/>
          <w:sz w:val="24"/>
          <w:szCs w:val="24"/>
          <w:lang w:eastAsia="en-GB"/>
        </w:rPr>
        <w:t>Sherbourne</w:t>
      </w:r>
      <w:proofErr w:type="spellEnd"/>
      <w:r w:rsidRPr="00B93021">
        <w:rPr>
          <w:rFonts w:ascii="Verdana" w:eastAsia="Times New Roman" w:hAnsi="Verdana" w:cs="Times New Roman"/>
          <w:color w:val="333333"/>
          <w:sz w:val="24"/>
          <w:szCs w:val="24"/>
          <w:lang w:eastAsia="en-GB"/>
        </w:rPr>
        <w:t>, C.D. “The MOS 36-Item Short-Form Health Survey (SF-36): I. Conceptual Framework and Item Selection,</w:t>
      </w:r>
      <w:proofErr w:type="gramStart"/>
      <w:r w:rsidRPr="00B93021">
        <w:rPr>
          <w:rFonts w:ascii="Verdana" w:eastAsia="Times New Roman" w:hAnsi="Verdana" w:cs="Times New Roman"/>
          <w:color w:val="333333"/>
          <w:sz w:val="24"/>
          <w:szCs w:val="24"/>
          <w:lang w:eastAsia="en-GB"/>
        </w:rPr>
        <w:t>”.</w:t>
      </w:r>
      <w:proofErr w:type="gramEnd"/>
      <w:r w:rsidRPr="00B93021">
        <w:rPr>
          <w:rFonts w:ascii="Verdana" w:eastAsia="Times New Roman" w:hAnsi="Verdana" w:cs="Times New Roman"/>
          <w:color w:val="333333"/>
          <w:sz w:val="24"/>
          <w:szCs w:val="24"/>
          <w:lang w:eastAsia="en-GB"/>
        </w:rPr>
        <w:t> </w:t>
      </w:r>
      <w:r w:rsidRPr="00B93021">
        <w:rPr>
          <w:rFonts w:ascii="Verdana" w:eastAsia="Times New Roman" w:hAnsi="Verdana" w:cs="Times New Roman"/>
          <w:i/>
          <w:iCs/>
          <w:color w:val="333333"/>
          <w:sz w:val="24"/>
          <w:szCs w:val="24"/>
          <w:lang w:eastAsia="en-GB"/>
        </w:rPr>
        <w:t>Medical Care</w:t>
      </w:r>
      <w:r w:rsidRPr="00B93021">
        <w:rPr>
          <w:rFonts w:ascii="Verdana" w:eastAsia="Times New Roman" w:hAnsi="Verdana" w:cs="Times New Roman"/>
          <w:color w:val="333333"/>
          <w:sz w:val="24"/>
          <w:szCs w:val="24"/>
          <w:lang w:eastAsia="en-GB"/>
        </w:rPr>
        <w:t>, 30:473-483, 1992.</w:t>
      </w:r>
    </w:p>
    <w:p w:rsidR="00B93021" w:rsidRPr="00B93021" w:rsidRDefault="00B93021" w:rsidP="00B93021">
      <w:pPr>
        <w:numPr>
          <w:ilvl w:val="0"/>
          <w:numId w:val="1"/>
        </w:numPr>
        <w:shd w:val="clear" w:color="auto" w:fill="FFFFFF"/>
        <w:spacing w:before="100" w:beforeAutospacing="1" w:after="100" w:afterAutospacing="1" w:line="240" w:lineRule="auto"/>
        <w:ind w:left="0"/>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Hays, R.D., &amp; Shapiro, M.F. “An Overview of Generic Health-Related Quality of Life Measures for HIV Research,” </w:t>
      </w:r>
      <w:r w:rsidRPr="00B93021">
        <w:rPr>
          <w:rFonts w:ascii="Verdana" w:eastAsia="Times New Roman" w:hAnsi="Verdana" w:cs="Times New Roman"/>
          <w:i/>
          <w:iCs/>
          <w:color w:val="333333"/>
          <w:sz w:val="24"/>
          <w:szCs w:val="24"/>
          <w:lang w:eastAsia="en-GB"/>
        </w:rPr>
        <w:t>Quality of Life Research</w:t>
      </w:r>
      <w:r w:rsidRPr="00B93021">
        <w:rPr>
          <w:rFonts w:ascii="Verdana" w:eastAsia="Times New Roman" w:hAnsi="Verdana" w:cs="Times New Roman"/>
          <w:color w:val="333333"/>
          <w:sz w:val="24"/>
          <w:szCs w:val="24"/>
          <w:lang w:eastAsia="en-GB"/>
        </w:rPr>
        <w:t xml:space="preserve">. </w:t>
      </w:r>
      <w:proofErr w:type="gramStart"/>
      <w:r w:rsidRPr="00B93021">
        <w:rPr>
          <w:rFonts w:ascii="Verdana" w:eastAsia="Times New Roman" w:hAnsi="Verdana" w:cs="Times New Roman"/>
          <w:color w:val="333333"/>
          <w:sz w:val="24"/>
          <w:szCs w:val="24"/>
          <w:lang w:eastAsia="en-GB"/>
        </w:rPr>
        <w:t>1:</w:t>
      </w:r>
      <w:proofErr w:type="gramEnd"/>
      <w:r w:rsidRPr="00B93021">
        <w:rPr>
          <w:rFonts w:ascii="Verdana" w:eastAsia="Times New Roman" w:hAnsi="Verdana" w:cs="Times New Roman"/>
          <w:color w:val="333333"/>
          <w:sz w:val="24"/>
          <w:szCs w:val="24"/>
          <w:lang w:eastAsia="en-GB"/>
        </w:rPr>
        <w:t>91-97, 1992.</w:t>
      </w:r>
    </w:p>
    <w:p w:rsidR="00B93021" w:rsidRPr="00B93021" w:rsidRDefault="00B93021" w:rsidP="00B93021">
      <w:pPr>
        <w:numPr>
          <w:ilvl w:val="0"/>
          <w:numId w:val="1"/>
        </w:numPr>
        <w:shd w:val="clear" w:color="auto" w:fill="FFFFFF"/>
        <w:spacing w:before="100" w:beforeAutospacing="1" w:after="100" w:afterAutospacing="1" w:line="240" w:lineRule="auto"/>
        <w:ind w:left="0"/>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 xml:space="preserve">Steward, A.L., </w:t>
      </w:r>
      <w:proofErr w:type="spellStart"/>
      <w:r w:rsidRPr="00B93021">
        <w:rPr>
          <w:rFonts w:ascii="Verdana" w:eastAsia="Times New Roman" w:hAnsi="Verdana" w:cs="Times New Roman"/>
          <w:color w:val="333333"/>
          <w:sz w:val="24"/>
          <w:szCs w:val="24"/>
          <w:lang w:eastAsia="en-GB"/>
        </w:rPr>
        <w:t>Sherbourne</w:t>
      </w:r>
      <w:proofErr w:type="spellEnd"/>
      <w:r w:rsidRPr="00B93021">
        <w:rPr>
          <w:rFonts w:ascii="Verdana" w:eastAsia="Times New Roman" w:hAnsi="Verdana" w:cs="Times New Roman"/>
          <w:color w:val="333333"/>
          <w:sz w:val="24"/>
          <w:szCs w:val="24"/>
          <w:lang w:eastAsia="en-GB"/>
        </w:rPr>
        <w:t>, C., Hayes, R.D., et al. “Summary and Discussion of MOS Measures,” in A.L. Stewart &amp; J.E. Ware (eds.), </w:t>
      </w:r>
      <w:r w:rsidRPr="00B93021">
        <w:rPr>
          <w:rFonts w:ascii="Verdana" w:eastAsia="Times New Roman" w:hAnsi="Verdana" w:cs="Times New Roman"/>
          <w:i/>
          <w:iCs/>
          <w:color w:val="333333"/>
          <w:sz w:val="24"/>
          <w:szCs w:val="24"/>
          <w:lang w:eastAsia="en-GB"/>
        </w:rPr>
        <w:t>Measuring Functioning and Well-Being: The Medical Outcome Study Approach</w:t>
      </w:r>
      <w:r w:rsidRPr="00B93021">
        <w:rPr>
          <w:rFonts w:ascii="Verdana" w:eastAsia="Times New Roman" w:hAnsi="Verdana" w:cs="Times New Roman"/>
          <w:color w:val="333333"/>
          <w:sz w:val="24"/>
          <w:szCs w:val="24"/>
          <w:lang w:eastAsia="en-GB"/>
        </w:rPr>
        <w:t> (pp. 345-371). Durham, NC: Duke University Press, 1992.</w:t>
      </w: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DA48D7" w:rsidRDefault="00DA48D7"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p>
    <w:p w:rsidR="00B93021" w:rsidRPr="00B93021" w:rsidRDefault="00B93021"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bookmarkStart w:id="0" w:name="_GoBack"/>
      <w:bookmarkEnd w:id="0"/>
      <w:r w:rsidRPr="00B93021">
        <w:rPr>
          <w:rFonts w:ascii="Verdana" w:eastAsia="Times New Roman" w:hAnsi="Verdana" w:cs="Times New Roman"/>
          <w:b/>
          <w:bCs/>
          <w:color w:val="333333"/>
          <w:sz w:val="36"/>
          <w:szCs w:val="36"/>
          <w:lang w:eastAsia="en-GB"/>
        </w:rPr>
        <w:lastRenderedPageBreak/>
        <w:t>Table 1</w:t>
      </w:r>
    </w:p>
    <w:p w:rsidR="00B93021" w:rsidRPr="00B93021" w:rsidRDefault="00B93021" w:rsidP="00B93021">
      <w:pPr>
        <w:shd w:val="clear" w:color="auto" w:fill="FFFFFF"/>
        <w:spacing w:before="100" w:beforeAutospacing="1" w:after="100" w:afterAutospacing="1" w:line="240" w:lineRule="auto"/>
        <w:outlineLvl w:val="2"/>
        <w:rPr>
          <w:rFonts w:ascii="Verdana" w:eastAsia="Times New Roman" w:hAnsi="Verdana" w:cs="Times New Roman"/>
          <w:b/>
          <w:bCs/>
          <w:color w:val="666666"/>
          <w:sz w:val="27"/>
          <w:szCs w:val="27"/>
          <w:lang w:eastAsia="en-GB"/>
        </w:rPr>
      </w:pPr>
      <w:r w:rsidRPr="00B93021">
        <w:rPr>
          <w:rFonts w:ascii="Verdana" w:eastAsia="Times New Roman" w:hAnsi="Verdana" w:cs="Times New Roman"/>
          <w:b/>
          <w:bCs/>
          <w:color w:val="666666"/>
          <w:sz w:val="27"/>
          <w:szCs w:val="27"/>
          <w:lang w:eastAsia="en-GB"/>
        </w:rPr>
        <w:t>Step 1: Recoding Items</w:t>
      </w:r>
    </w:p>
    <w:tbl>
      <w:tblPr>
        <w:tblW w:w="0" w:type="auto"/>
        <w:tblCellMar>
          <w:top w:w="15" w:type="dxa"/>
          <w:left w:w="15" w:type="dxa"/>
          <w:bottom w:w="15" w:type="dxa"/>
          <w:right w:w="15" w:type="dxa"/>
        </w:tblCellMar>
        <w:tblLook w:val="04A0" w:firstRow="1" w:lastRow="0" w:firstColumn="1" w:lastColumn="0" w:noHBand="0" w:noVBand="1"/>
      </w:tblPr>
      <w:tblGrid>
        <w:gridCol w:w="2966"/>
        <w:gridCol w:w="2325"/>
        <w:gridCol w:w="1324"/>
      </w:tblGrid>
      <w:tr w:rsidR="00B93021" w:rsidRPr="00B93021" w:rsidTr="00B93021">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Item numbers</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Change original</w:t>
            </w:r>
            <w:r w:rsidRPr="00B93021">
              <w:rPr>
                <w:rFonts w:ascii="Helvetica" w:eastAsia="Times New Roman" w:hAnsi="Helvetica" w:cs="Helvetica"/>
                <w:b/>
                <w:bCs/>
                <w:sz w:val="24"/>
                <w:szCs w:val="24"/>
                <w:lang w:eastAsia="en-GB"/>
              </w:rPr>
              <w:br/>
              <w:t>response category *</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To recoded</w:t>
            </w:r>
            <w:r w:rsidRPr="00B93021">
              <w:rPr>
                <w:rFonts w:ascii="Helvetica" w:eastAsia="Times New Roman" w:hAnsi="Helvetica" w:cs="Helvetica"/>
                <w:b/>
                <w:bCs/>
                <w:sz w:val="24"/>
                <w:szCs w:val="24"/>
                <w:lang w:eastAsia="en-GB"/>
              </w:rPr>
              <w:br/>
              <w:t>value of:</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1, 2, 20, 22, 34, 36</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75</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25</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3, 4, 5, 6, 7, 8, 9, 10, 11, 12</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13, 14, 15, 16, 17, 18, 19</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21, 23, 26, 27, 30</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80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60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6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24, 25, 28, 29, 31</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60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80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6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32, 33, 35</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25</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 →</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75</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 →</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100</w:t>
            </w:r>
          </w:p>
        </w:tc>
      </w:tr>
    </w:tbl>
    <w:p w:rsidR="00B93021" w:rsidRPr="00B93021" w:rsidRDefault="00B93021" w:rsidP="00B93021">
      <w:pPr>
        <w:shd w:val="clear" w:color="auto" w:fill="FFFFFF"/>
        <w:spacing w:before="100" w:beforeAutospacing="1" w:after="100" w:afterAutospacing="1" w:line="240" w:lineRule="auto"/>
        <w:rPr>
          <w:rFonts w:ascii="Verdana" w:eastAsia="Times New Roman" w:hAnsi="Verdana" w:cs="Times New Roman"/>
          <w:color w:val="333333"/>
          <w:sz w:val="24"/>
          <w:szCs w:val="24"/>
          <w:lang w:eastAsia="en-GB"/>
        </w:rPr>
      </w:pPr>
      <w:r w:rsidRPr="00B93021">
        <w:rPr>
          <w:rFonts w:ascii="Verdana" w:eastAsia="Times New Roman" w:hAnsi="Verdana" w:cs="Times New Roman"/>
          <w:color w:val="333333"/>
          <w:sz w:val="24"/>
          <w:szCs w:val="24"/>
          <w:lang w:eastAsia="en-GB"/>
        </w:rPr>
        <w:t xml:space="preserve">* </w:t>
      </w:r>
      <w:proofErr w:type="spellStart"/>
      <w:r w:rsidRPr="00B93021">
        <w:rPr>
          <w:rFonts w:ascii="Verdana" w:eastAsia="Times New Roman" w:hAnsi="Verdana" w:cs="Times New Roman"/>
          <w:color w:val="333333"/>
          <w:sz w:val="24"/>
          <w:szCs w:val="24"/>
          <w:lang w:eastAsia="en-GB"/>
        </w:rPr>
        <w:t>Precoded</w:t>
      </w:r>
      <w:proofErr w:type="spellEnd"/>
      <w:r w:rsidRPr="00B93021">
        <w:rPr>
          <w:rFonts w:ascii="Verdana" w:eastAsia="Times New Roman" w:hAnsi="Verdana" w:cs="Times New Roman"/>
          <w:color w:val="333333"/>
          <w:sz w:val="24"/>
          <w:szCs w:val="24"/>
          <w:lang w:eastAsia="en-GB"/>
        </w:rPr>
        <w:t xml:space="preserve"> response choices as printed in the questionnaire.</w:t>
      </w:r>
    </w:p>
    <w:p w:rsidR="00B93021" w:rsidRPr="00B93021" w:rsidRDefault="00B93021"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r w:rsidRPr="00B93021">
        <w:rPr>
          <w:rFonts w:ascii="Verdana" w:eastAsia="Times New Roman" w:hAnsi="Verdana" w:cs="Times New Roman"/>
          <w:b/>
          <w:bCs/>
          <w:color w:val="333333"/>
          <w:sz w:val="36"/>
          <w:szCs w:val="36"/>
          <w:lang w:eastAsia="en-GB"/>
        </w:rPr>
        <w:t>Table 2</w:t>
      </w:r>
    </w:p>
    <w:p w:rsidR="00B93021" w:rsidRPr="00B93021" w:rsidRDefault="00B93021" w:rsidP="00B93021">
      <w:pPr>
        <w:shd w:val="clear" w:color="auto" w:fill="FFFFFF"/>
        <w:spacing w:before="100" w:beforeAutospacing="1" w:after="100" w:afterAutospacing="1" w:line="240" w:lineRule="auto"/>
        <w:outlineLvl w:val="2"/>
        <w:rPr>
          <w:rFonts w:ascii="Verdana" w:eastAsia="Times New Roman" w:hAnsi="Verdana" w:cs="Times New Roman"/>
          <w:b/>
          <w:bCs/>
          <w:color w:val="666666"/>
          <w:sz w:val="27"/>
          <w:szCs w:val="27"/>
          <w:lang w:eastAsia="en-GB"/>
        </w:rPr>
      </w:pPr>
      <w:r w:rsidRPr="00B93021">
        <w:rPr>
          <w:rFonts w:ascii="Verdana" w:eastAsia="Times New Roman" w:hAnsi="Verdana" w:cs="Times New Roman"/>
          <w:b/>
          <w:bCs/>
          <w:color w:val="666666"/>
          <w:sz w:val="27"/>
          <w:szCs w:val="27"/>
          <w:lang w:eastAsia="en-GB"/>
        </w:rPr>
        <w:t>Step 2: Averaging Items to Form Scales</w:t>
      </w:r>
    </w:p>
    <w:tbl>
      <w:tblPr>
        <w:tblW w:w="0" w:type="auto"/>
        <w:tblCellMar>
          <w:top w:w="15" w:type="dxa"/>
          <w:left w:w="15" w:type="dxa"/>
          <w:bottom w:w="15" w:type="dxa"/>
          <w:right w:w="15" w:type="dxa"/>
        </w:tblCellMar>
        <w:tblLook w:val="04A0" w:firstRow="1" w:lastRow="0" w:firstColumn="1" w:lastColumn="0" w:noHBand="0" w:noVBand="1"/>
      </w:tblPr>
      <w:tblGrid>
        <w:gridCol w:w="4258"/>
        <w:gridCol w:w="1826"/>
        <w:gridCol w:w="2970"/>
      </w:tblGrid>
      <w:tr w:rsidR="00B93021" w:rsidRPr="00B93021" w:rsidTr="00B93021">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Scale</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Number of items</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After recoding per Table 1, </w:t>
            </w:r>
            <w:r w:rsidRPr="00B93021">
              <w:rPr>
                <w:rFonts w:ascii="Helvetica" w:eastAsia="Times New Roman" w:hAnsi="Helvetica" w:cs="Helvetica"/>
                <w:b/>
                <w:bCs/>
                <w:sz w:val="24"/>
                <w:szCs w:val="24"/>
                <w:lang w:eastAsia="en-GB"/>
              </w:rPr>
              <w:br/>
              <w:t>average the following items</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lastRenderedPageBreak/>
              <w:t>Physical functioning</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3 4 5 6 7 8 9 10 11 12</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Role limitations due to physical health</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13 14 15 16</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Role limitations due to emotional problems</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17 18 19</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Energy/fatigue</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23 27 29 31</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Emotional well-being</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24 25 26 28 30</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Social functioning</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20 32</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Pain</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21 22</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General health</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1 33 34 35 36</w:t>
            </w:r>
          </w:p>
        </w:tc>
      </w:tr>
    </w:tbl>
    <w:p w:rsidR="00B93021" w:rsidRPr="00B93021" w:rsidRDefault="00B93021" w:rsidP="00B93021">
      <w:pPr>
        <w:shd w:val="clear" w:color="auto" w:fill="FFFFFF"/>
        <w:spacing w:before="100" w:beforeAutospacing="1" w:after="100" w:afterAutospacing="1" w:line="240" w:lineRule="auto"/>
        <w:outlineLvl w:val="1"/>
        <w:rPr>
          <w:rFonts w:ascii="Verdana" w:eastAsia="Times New Roman" w:hAnsi="Verdana" w:cs="Times New Roman"/>
          <w:b/>
          <w:bCs/>
          <w:color w:val="333333"/>
          <w:sz w:val="36"/>
          <w:szCs w:val="36"/>
          <w:lang w:eastAsia="en-GB"/>
        </w:rPr>
      </w:pPr>
      <w:r w:rsidRPr="00B93021">
        <w:rPr>
          <w:rFonts w:ascii="Verdana" w:eastAsia="Times New Roman" w:hAnsi="Verdana" w:cs="Times New Roman"/>
          <w:b/>
          <w:bCs/>
          <w:color w:val="333333"/>
          <w:sz w:val="36"/>
          <w:szCs w:val="36"/>
          <w:lang w:eastAsia="en-GB"/>
        </w:rPr>
        <w:t>Table 3</w:t>
      </w:r>
    </w:p>
    <w:p w:rsidR="00B93021" w:rsidRPr="00B93021" w:rsidRDefault="00B93021" w:rsidP="00B93021">
      <w:pPr>
        <w:shd w:val="clear" w:color="auto" w:fill="FFFFFF"/>
        <w:spacing w:before="100" w:beforeAutospacing="1" w:after="100" w:afterAutospacing="1" w:line="240" w:lineRule="auto"/>
        <w:outlineLvl w:val="2"/>
        <w:rPr>
          <w:rFonts w:ascii="Verdana" w:eastAsia="Times New Roman" w:hAnsi="Verdana" w:cs="Times New Roman"/>
          <w:b/>
          <w:bCs/>
          <w:color w:val="666666"/>
          <w:sz w:val="27"/>
          <w:szCs w:val="27"/>
          <w:lang w:eastAsia="en-GB"/>
        </w:rPr>
      </w:pPr>
      <w:r w:rsidRPr="00B93021">
        <w:rPr>
          <w:rFonts w:ascii="Verdana" w:eastAsia="Times New Roman" w:hAnsi="Verdana" w:cs="Times New Roman"/>
          <w:b/>
          <w:bCs/>
          <w:color w:val="666666"/>
          <w:sz w:val="27"/>
          <w:szCs w:val="27"/>
          <w:lang w:eastAsia="en-GB"/>
        </w:rPr>
        <w:t>Reliability, Central Tendency, and Variability of Scales in the Medical Outcomes Study</w:t>
      </w:r>
    </w:p>
    <w:tbl>
      <w:tblPr>
        <w:tblW w:w="0" w:type="auto"/>
        <w:tblCellMar>
          <w:top w:w="15" w:type="dxa"/>
          <w:left w:w="15" w:type="dxa"/>
          <w:bottom w:w="15" w:type="dxa"/>
          <w:right w:w="15" w:type="dxa"/>
        </w:tblCellMar>
        <w:tblLook w:val="04A0" w:firstRow="1" w:lastRow="0" w:firstColumn="1" w:lastColumn="0" w:noHBand="0" w:noVBand="1"/>
      </w:tblPr>
      <w:tblGrid>
        <w:gridCol w:w="2859"/>
        <w:gridCol w:w="657"/>
        <w:gridCol w:w="697"/>
        <w:gridCol w:w="644"/>
        <w:gridCol w:w="631"/>
      </w:tblGrid>
      <w:tr w:rsidR="00B93021" w:rsidRPr="00B93021" w:rsidTr="00B93021">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Scale</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Items</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Alpha</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Mean</w:t>
            </w:r>
          </w:p>
        </w:tc>
        <w:tc>
          <w:tcPr>
            <w:tcW w:w="0" w:type="auto"/>
            <w:tcBorders>
              <w:top w:val="single" w:sz="6" w:space="0" w:color="666666"/>
              <w:left w:val="single" w:sz="6" w:space="0" w:color="666666"/>
              <w:bottom w:val="single" w:sz="6" w:space="0" w:color="666666"/>
              <w:right w:val="single" w:sz="6" w:space="0" w:color="666666"/>
            </w:tcBorders>
            <w:shd w:val="clear" w:color="auto" w:fill="E8E8E8"/>
            <w:hideMark/>
          </w:tcPr>
          <w:p w:rsidR="00B93021" w:rsidRPr="00B93021" w:rsidRDefault="00B93021" w:rsidP="00B93021">
            <w:pPr>
              <w:spacing w:after="0" w:line="240" w:lineRule="auto"/>
              <w:rPr>
                <w:rFonts w:ascii="Helvetica" w:eastAsia="Times New Roman" w:hAnsi="Helvetica" w:cs="Helvetica"/>
                <w:b/>
                <w:bCs/>
                <w:sz w:val="24"/>
                <w:szCs w:val="24"/>
                <w:lang w:eastAsia="en-GB"/>
              </w:rPr>
            </w:pPr>
            <w:r w:rsidRPr="00B93021">
              <w:rPr>
                <w:rFonts w:ascii="Helvetica" w:eastAsia="Times New Roman" w:hAnsi="Helvetica" w:cs="Helvetica"/>
                <w:b/>
                <w:bCs/>
                <w:sz w:val="24"/>
                <w:szCs w:val="24"/>
                <w:lang w:eastAsia="en-GB"/>
              </w:rPr>
              <w:t>SD</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Physical functioning</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10</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0.93</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70.61</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27.42</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Role functioning/physical</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0.84</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52.97</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40.78</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Role functioning/emotional</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3</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0.83</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65.78</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40.71</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Energy/fatigue</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4</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0.86</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52.15</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22.39</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Emotional well-being</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0.90</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70.38</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21.97</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Social functioning</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0.85</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78.77</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25.43</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Pain</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0.78</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70.77</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25.46</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General health</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0.78</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56.99</w:t>
            </w:r>
          </w:p>
        </w:tc>
        <w:tc>
          <w:tcPr>
            <w:tcW w:w="0" w:type="auto"/>
            <w:tcBorders>
              <w:top w:val="single" w:sz="6" w:space="0" w:color="888888"/>
              <w:left w:val="single" w:sz="6" w:space="0" w:color="888888"/>
              <w:bottom w:val="single" w:sz="6" w:space="0" w:color="888888"/>
              <w:right w:val="single" w:sz="6" w:space="0" w:color="888888"/>
            </w:tcBorders>
            <w:shd w:val="clear" w:color="auto" w:fill="E8E8E8"/>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21.11</w:t>
            </w:r>
          </w:p>
        </w:tc>
      </w:tr>
      <w:tr w:rsidR="00B93021" w:rsidRPr="00B93021" w:rsidTr="00B93021">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Health change</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1</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59.14</w:t>
            </w:r>
          </w:p>
        </w:tc>
        <w:tc>
          <w:tcPr>
            <w:tcW w:w="0" w:type="auto"/>
            <w:tcBorders>
              <w:top w:val="single" w:sz="6" w:space="0" w:color="888888"/>
              <w:left w:val="single" w:sz="6" w:space="0" w:color="888888"/>
              <w:bottom w:val="single" w:sz="6" w:space="0" w:color="888888"/>
              <w:right w:val="single" w:sz="6" w:space="0" w:color="888888"/>
            </w:tcBorders>
            <w:hideMark/>
          </w:tcPr>
          <w:p w:rsidR="00B93021" w:rsidRPr="00B93021" w:rsidRDefault="00B93021" w:rsidP="00B93021">
            <w:pPr>
              <w:spacing w:after="0" w:line="240" w:lineRule="auto"/>
              <w:rPr>
                <w:rFonts w:ascii="Helvetica" w:eastAsia="Times New Roman" w:hAnsi="Helvetica" w:cs="Helvetica"/>
                <w:sz w:val="24"/>
                <w:szCs w:val="24"/>
                <w:lang w:eastAsia="en-GB"/>
              </w:rPr>
            </w:pPr>
            <w:r w:rsidRPr="00B93021">
              <w:rPr>
                <w:rFonts w:ascii="Helvetica" w:eastAsia="Times New Roman" w:hAnsi="Helvetica" w:cs="Helvetica"/>
                <w:sz w:val="24"/>
                <w:szCs w:val="24"/>
                <w:lang w:eastAsia="en-GB"/>
              </w:rPr>
              <w:t>23.12</w:t>
            </w:r>
          </w:p>
        </w:tc>
      </w:tr>
    </w:tbl>
    <w:p w:rsidR="00B93021" w:rsidRPr="00B93021" w:rsidRDefault="00B93021" w:rsidP="00B93021">
      <w:pPr>
        <w:shd w:val="clear" w:color="auto" w:fill="FFFFFF"/>
        <w:spacing w:before="100" w:beforeAutospacing="1" w:after="100" w:afterAutospacing="1" w:line="240" w:lineRule="auto"/>
        <w:rPr>
          <w:rFonts w:ascii="Verdana" w:eastAsia="Times New Roman" w:hAnsi="Verdana" w:cs="Times New Roman"/>
          <w:color w:val="333333"/>
          <w:sz w:val="24"/>
          <w:szCs w:val="24"/>
          <w:lang w:eastAsia="en-GB"/>
        </w:rPr>
      </w:pPr>
      <w:r w:rsidRPr="00B93021">
        <w:rPr>
          <w:rFonts w:ascii="Verdana" w:eastAsia="Times New Roman" w:hAnsi="Verdana" w:cs="Times New Roman"/>
          <w:i/>
          <w:iCs/>
          <w:color w:val="333333"/>
          <w:sz w:val="24"/>
          <w:szCs w:val="24"/>
          <w:lang w:eastAsia="en-GB"/>
        </w:rPr>
        <w:t>Note: Data is from baseline of the Medical Outcomes Study (N=2471), except for “Health change,” which was obtained one year later.</w:t>
      </w:r>
    </w:p>
    <w:p w:rsidR="00E01AA0" w:rsidRDefault="00E01AA0"/>
    <w:sectPr w:rsidR="00E01AA0" w:rsidSect="00261319">
      <w:pgSz w:w="11906" w:h="16838" w:code="9"/>
      <w:pgMar w:top="1440" w:right="1418" w:bottom="1440" w:left="1418" w:header="720" w:footer="720"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31D58"/>
    <w:multiLevelType w:val="multilevel"/>
    <w:tmpl w:val="CB0AE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021"/>
    <w:rsid w:val="00170870"/>
    <w:rsid w:val="00261319"/>
    <w:rsid w:val="0029093E"/>
    <w:rsid w:val="002A5F22"/>
    <w:rsid w:val="002D504F"/>
    <w:rsid w:val="00474086"/>
    <w:rsid w:val="005731EB"/>
    <w:rsid w:val="0060627F"/>
    <w:rsid w:val="006A1C2D"/>
    <w:rsid w:val="006F415B"/>
    <w:rsid w:val="00790117"/>
    <w:rsid w:val="00814CA7"/>
    <w:rsid w:val="00894C95"/>
    <w:rsid w:val="00981778"/>
    <w:rsid w:val="00A902A5"/>
    <w:rsid w:val="00B40B33"/>
    <w:rsid w:val="00B93021"/>
    <w:rsid w:val="00CB0CAA"/>
    <w:rsid w:val="00D45AE1"/>
    <w:rsid w:val="00DA48D7"/>
    <w:rsid w:val="00DE1422"/>
    <w:rsid w:val="00E01AA0"/>
    <w:rsid w:val="00E34023"/>
    <w:rsid w:val="00EC1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EBEDA"/>
  <w15:chartTrackingRefBased/>
  <w15:docId w15:val="{F5A224C6-7F3F-47B3-9810-39D5702E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B930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9302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9302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21"/>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9302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93021"/>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930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93021"/>
    <w:rPr>
      <w:color w:val="0000FF"/>
      <w:u w:val="single"/>
    </w:rPr>
  </w:style>
  <w:style w:type="character" w:styleId="Strong">
    <w:name w:val="Strong"/>
    <w:basedOn w:val="DefaultParagraphFont"/>
    <w:uiPriority w:val="22"/>
    <w:qFormat/>
    <w:rsid w:val="00B93021"/>
    <w:rPr>
      <w:b/>
      <w:bCs/>
    </w:rPr>
  </w:style>
  <w:style w:type="character" w:styleId="Emphasis">
    <w:name w:val="Emphasis"/>
    <w:basedOn w:val="DefaultParagraphFont"/>
    <w:uiPriority w:val="20"/>
    <w:qFormat/>
    <w:rsid w:val="00B930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316678">
      <w:bodyDiv w:val="1"/>
      <w:marLeft w:val="0"/>
      <w:marRight w:val="0"/>
      <w:marTop w:val="0"/>
      <w:marBottom w:val="0"/>
      <w:divBdr>
        <w:top w:val="none" w:sz="0" w:space="0" w:color="auto"/>
        <w:left w:val="none" w:sz="0" w:space="0" w:color="auto"/>
        <w:bottom w:val="none" w:sz="0" w:space="0" w:color="auto"/>
        <w:right w:val="none" w:sz="0" w:space="0" w:color="auto"/>
      </w:divBdr>
      <w:divsChild>
        <w:div w:id="803498332">
          <w:marLeft w:val="0"/>
          <w:marRight w:val="0"/>
          <w:marTop w:val="0"/>
          <w:marBottom w:val="0"/>
          <w:divBdr>
            <w:top w:val="none" w:sz="0" w:space="0" w:color="auto"/>
            <w:left w:val="none" w:sz="0" w:space="0" w:color="auto"/>
            <w:bottom w:val="none" w:sz="0" w:space="0" w:color="auto"/>
            <w:right w:val="none" w:sz="0" w:space="0" w:color="auto"/>
          </w:divBdr>
        </w:div>
        <w:div w:id="1887250612">
          <w:marLeft w:val="0"/>
          <w:marRight w:val="0"/>
          <w:marTop w:val="0"/>
          <w:marBottom w:val="0"/>
          <w:divBdr>
            <w:top w:val="none" w:sz="0" w:space="0" w:color="auto"/>
            <w:left w:val="none" w:sz="0" w:space="0" w:color="auto"/>
            <w:bottom w:val="none" w:sz="0" w:space="0" w:color="auto"/>
            <w:right w:val="none" w:sz="0" w:space="0" w:color="auto"/>
          </w:divBdr>
          <w:divsChild>
            <w:div w:id="1382558720">
              <w:marLeft w:val="0"/>
              <w:marRight w:val="0"/>
              <w:marTop w:val="0"/>
              <w:marBottom w:val="0"/>
              <w:divBdr>
                <w:top w:val="none" w:sz="0" w:space="0" w:color="auto"/>
                <w:left w:val="none" w:sz="0" w:space="0" w:color="auto"/>
                <w:bottom w:val="none" w:sz="0" w:space="0" w:color="auto"/>
                <w:right w:val="none" w:sz="0" w:space="0" w:color="auto"/>
              </w:divBdr>
            </w:div>
            <w:div w:id="210845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and.org/health-care/surveys_tools/mos/36-item-short-form.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Gardner</dc:creator>
  <cp:keywords/>
  <dc:description/>
  <cp:lastModifiedBy>David Gardner</cp:lastModifiedBy>
  <cp:revision>2</cp:revision>
  <dcterms:created xsi:type="dcterms:W3CDTF">2019-08-17T14:09:00Z</dcterms:created>
  <dcterms:modified xsi:type="dcterms:W3CDTF">2019-08-17T14:38:00Z</dcterms:modified>
</cp:coreProperties>
</file>