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spacing w:line="360" w:lineRule="auto"/>
        <w:jc w:val="center"/>
        <w:rPr>
          <w:sz w:val="24"/>
        </w:rPr>
      </w:pPr>
      <w:r>
        <w:rPr>
          <w:sz w:val="24"/>
        </w:rPr>
        <w:t>Dissertation Preliminary Outline</w:t>
      </w:r>
    </w:p>
    <w:p>
      <w:pPr>
        <w:spacing w:line="360" w:lineRule="auto"/>
        <w:jc w:val="center"/>
        <w:rPr>
          <w:sz w:val="24"/>
        </w:rPr>
      </w:pPr>
    </w:p>
    <w:p>
      <w:pPr>
        <w:spacing w:line="360" w:lineRule="auto"/>
        <w:rPr>
          <w:sz w:val="24"/>
        </w:rPr>
      </w:pPr>
      <w:r>
        <w:rPr>
          <w:sz w:val="24"/>
        </w:rPr>
        <w:t>Dissertaion topic: Pianos and the musicians who live and work with them.</w:t>
      </w:r>
    </w:p>
    <w:p>
      <w:pPr>
        <w:spacing w:line="360" w:lineRule="auto"/>
        <w:rPr>
          <w:sz w:val="24"/>
        </w:rPr>
      </w:pPr>
    </w:p>
    <w:p>
      <w:pPr>
        <w:spacing w:line="360" w:lineRule="auto"/>
        <w:rPr>
          <w:sz w:val="24"/>
        </w:rPr>
      </w:pPr>
      <w:r>
        <w:rPr>
          <w:sz w:val="24"/>
        </w:rPr>
        <w:t xml:space="preserve">My intention is to explore the significance of pianos in cultural life and use this exploration as a way into examining the lives of musicians and their role in society. </w:t>
      </w:r>
    </w:p>
    <w:p>
      <w:pPr>
        <w:spacing w:line="360" w:lineRule="auto"/>
        <w:rPr>
          <w:sz w:val="24"/>
        </w:rPr>
      </w:pPr>
    </w:p>
    <w:p>
      <w:pPr>
        <w:spacing w:line="360" w:lineRule="auto"/>
        <w:rPr>
          <w:sz w:val="24"/>
        </w:rPr>
      </w:pPr>
      <w:r>
        <w:rPr>
          <w:sz w:val="24"/>
        </w:rPr>
        <w:t>Methodology</w:t>
      </w:r>
    </w:p>
    <w:p>
      <w:pPr>
        <w:spacing w:line="360" w:lineRule="auto"/>
        <w:rPr>
          <w:sz w:val="24"/>
        </w:rPr>
      </w:pPr>
    </w:p>
    <w:p>
      <w:pPr>
        <w:spacing w:line="360" w:lineRule="auto"/>
        <w:rPr>
          <w:sz w:val="24"/>
        </w:rPr>
      </w:pPr>
      <w:r>
        <w:rPr>
          <w:sz w:val="24"/>
        </w:rPr>
        <w:t>The main research method will be in depth, one–on–one ethnographic interviews with pianists in Wales, England, Italy, United States, Mexico, Iran, and possibly other locations. It is hoped that, by gathering and comparing data from musicians from a variety of cultural backgrounds, common experiences and thoughts will emerge, as well as differences.</w:t>
      </w:r>
    </w:p>
    <w:p>
      <w:pPr>
        <w:spacing w:line="360" w:lineRule="auto"/>
        <w:rPr>
          <w:sz w:val="24"/>
        </w:rPr>
      </w:pPr>
    </w:p>
    <w:p>
      <w:pPr>
        <w:spacing w:line="360" w:lineRule="auto"/>
        <w:rPr>
          <w:sz w:val="24"/>
        </w:rPr>
      </w:pPr>
      <w:r>
        <w:rPr>
          <w:sz w:val="24"/>
        </w:rPr>
        <w:t>Interviews will be in person where that is possible, and via Skype or telephone where it is not. Data will be recorded as digital audio, with minimal hand written notes. The recordings will be annotated and selectively transcribed for analysis and comparison, in the hope that common themes will emerge. It is also possible that some participant observation is also used, if the opportunity arises.</w:t>
      </w:r>
    </w:p>
    <w:p>
      <w:pPr>
        <w:spacing w:line="360" w:lineRule="auto"/>
        <w:rPr>
          <w:sz w:val="24"/>
        </w:rPr>
      </w:pPr>
    </w:p>
    <w:p>
      <w:pPr>
        <w:spacing w:line="360" w:lineRule="auto"/>
        <w:rPr>
          <w:sz w:val="24"/>
        </w:rPr>
      </w:pPr>
      <w:r>
        <w:rPr>
          <w:sz w:val="24"/>
        </w:rPr>
        <w:t>Theory and Literature</w:t>
      </w:r>
    </w:p>
    <w:p>
      <w:pPr>
        <w:spacing w:line="360" w:lineRule="auto"/>
        <w:rPr>
          <w:sz w:val="24"/>
        </w:rPr>
      </w:pPr>
    </w:p>
    <w:p>
      <w:pPr>
        <w:spacing w:line="360" w:lineRule="auto"/>
        <w:rPr>
          <w:sz w:val="24"/>
        </w:rPr>
      </w:pPr>
      <w:r>
        <w:rPr>
          <w:sz w:val="24"/>
        </w:rPr>
        <w:t xml:space="preserve">The theoretical starting point for the research was a new materialist approach, using ideas from Jane Bennett (2001, 210), Coole and Frost (2010) and Karen Barad (2007), looking at the materiality of pianos and its perceived affect on the musicians who work with and share physical space with them. Concentrating more on what the instruments themselves </w:t>
      </w:r>
      <w:r>
        <w:rPr>
          <w:sz w:val="24"/>
          <w:i/>
        </w:rPr>
        <w:t>do</w:t>
      </w:r>
      <w:r>
        <w:rPr>
          <w:sz w:val="24"/>
        </w:rPr>
        <w:t>, rather than what musicians do with them – the music – should help avoid the research becoming a work of ethnomusicology. I also intend to consider the materiality of sound and its role in the entanglement of people and things.</w:t>
      </w:r>
    </w:p>
    <w:p>
      <w:pPr>
        <w:spacing w:line="360" w:lineRule="auto"/>
        <w:rPr>
          <w:sz w:val="24"/>
        </w:rPr>
      </w:pPr>
    </w:p>
    <w:p>
      <w:pPr>
        <w:spacing w:line="360" w:lineRule="auto"/>
        <w:rPr>
          <w:sz w:val="24"/>
        </w:rPr>
      </w:pPr>
      <w:r>
        <w:rPr>
          <w:sz w:val="24"/>
        </w:rPr>
        <w:t xml:space="preserve"> Also considered will be a social/cultural/economic approach as used by Arjun Appadurai (2016) and others, thinking of how cultural attitudes to pianos as commodities influences musicians’ access to and use of the instruments.</w:t>
      </w:r>
    </w:p>
    <w:p>
      <w:pPr>
        <w:spacing w:line="360" w:lineRule="auto"/>
        <w:rPr>
          <w:sz w:val="24"/>
        </w:rPr>
      </w:pPr>
    </w:p>
    <w:p>
      <w:pPr>
        <w:spacing w:line="360" w:lineRule="auto"/>
        <w:rPr>
          <w:sz w:val="24"/>
        </w:rPr>
      </w:pPr>
      <w:r>
        <w:rPr>
          <w:sz w:val="24"/>
        </w:rPr>
        <w:t>I will also be referring to Tim Ingold’s ideas of thinking through making, to describe how creative thought processes come about through interaction, or intra-action, between humans, their tools and other materials, and environments.</w:t>
      </w:r>
    </w:p>
    <w:p>
      <w:pPr>
        <w:spacing w:line="360" w:lineRule="auto"/>
        <w:rPr>
          <w:sz w:val="24"/>
        </w:rPr>
      </w:pPr>
    </w:p>
    <w:p>
      <w:pPr>
        <w:spacing w:line="360" w:lineRule="auto"/>
        <w:rPr>
          <w:sz w:val="24"/>
        </w:rPr>
      </w:pPr>
      <w:r>
        <w:rPr>
          <w:sz w:val="24"/>
        </w:rPr>
        <w:t>Initial Fieldwork</w:t>
      </w:r>
    </w:p>
    <w:p>
      <w:pPr>
        <w:spacing w:line="360" w:lineRule="auto"/>
        <w:rPr>
          <w:sz w:val="24"/>
        </w:rPr>
      </w:pPr>
    </w:p>
    <w:p>
      <w:pPr>
        <w:spacing w:line="360" w:lineRule="auto"/>
        <w:rPr>
          <w:sz w:val="24"/>
        </w:rPr>
      </w:pPr>
      <w:r>
        <w:rPr>
          <w:sz w:val="24"/>
        </w:rPr>
        <w:t xml:space="preserve">The beginning of research has been severely delayed, due to unforeseeable life events. Thus far, only two, of a proposed 10 – 15 interviews have taken place. </w:t>
      </w:r>
    </w:p>
    <w:p>
      <w:pPr>
        <w:spacing w:line="360" w:lineRule="auto"/>
        <w:rPr>
          <w:sz w:val="24"/>
        </w:rPr>
      </w:pPr>
    </w:p>
    <w:p>
      <w:pPr>
        <w:spacing w:line="360" w:lineRule="auto"/>
        <w:rPr>
          <w:sz w:val="24"/>
        </w:rPr>
      </w:pPr>
      <w:r>
        <w:rPr>
          <w:sz w:val="24"/>
        </w:rPr>
        <w:t>Initial findings from the research so far indicates that it may be useful to move away from emphasising materialities, more towards more material cultural viewpoint. Participants so far have been keen to talk about socio-economic matters such as access to instruments and education, and the social hierarchies and class issues they reflect. However, this is only a very small beginning, and I can see that my focus may shift again as fieldwork progresses.</w:t>
      </w:r>
    </w:p>
    <w:p>
      <w:pPr>
        <w:spacing w:line="360" w:lineRule="auto"/>
        <w:rPr>
          <w:sz w:val="24"/>
        </w:rPr>
      </w:pPr>
    </w:p>
    <w:p>
      <w:pPr>
        <w:rPr>
          <w:sz w:val="24"/>
        </w:rPr>
      </w:pPr>
      <w:r>
        <w:rPr>
          <w:sz w:val="24"/>
        </w:rPr>
        <w:br w:type="page"/>
      </w:r>
      <w:r>
        <w:rPr>
          <w:sz w:val="24"/>
          <w:u w:val="single"/>
        </w:rPr>
        <w:t>Bibliography</w:t>
      </w:r>
    </w:p>
    <w:p>
      <w:pPr>
        <w:rPr>
          <w:sz w:val="24"/>
        </w:rPr>
      </w:pPr>
    </w:p>
    <w:p>
      <w:pPr>
        <w:rPr>
          <w:sz w:val="24"/>
        </w:rPr>
      </w:pPr>
      <w:r>
        <w:rPr>
          <w:sz w:val="24"/>
        </w:rPr>
        <w:t xml:space="preserve">Appadurai, A. (ed.) (2016) </w:t>
      </w:r>
      <w:r>
        <w:rPr>
          <w:sz w:val="24"/>
          <w:i/>
        </w:rPr>
        <w:t>The social life of things</w:t>
      </w:r>
      <w:r>
        <w:rPr>
          <w:sz w:val="24"/>
        </w:rPr>
        <w:t>. Cambridge: Cambridge University Press.</w:t>
      </w:r>
    </w:p>
    <w:p>
      <w:pPr>
        <w:rPr>
          <w:sz w:val="24"/>
        </w:rPr>
      </w:pPr>
    </w:p>
    <w:p>
      <w:pPr>
        <w:rPr>
          <w:sz w:val="24"/>
        </w:rPr>
      </w:pPr>
      <w:r>
        <w:rPr>
          <w:sz w:val="24"/>
        </w:rPr>
        <w:t xml:space="preserve">Barad, K. (2007). </w:t>
      </w:r>
      <w:r>
        <w:rPr>
          <w:sz w:val="24"/>
          <w:i/>
        </w:rPr>
        <w:t>Meeting the Universe Halfway</w:t>
      </w:r>
      <w:r>
        <w:rPr>
          <w:sz w:val="24"/>
        </w:rPr>
        <w:t>. Durham: Duke University Press.</w:t>
      </w:r>
    </w:p>
    <w:p>
      <w:pPr>
        <w:rPr>
          <w:sz w:val="24"/>
        </w:rPr>
      </w:pPr>
    </w:p>
    <w:p>
      <w:pPr>
        <w:rPr>
          <w:sz w:val="24"/>
        </w:rPr>
      </w:pPr>
      <w:r>
        <w:rPr>
          <w:sz w:val="24"/>
        </w:rPr>
        <w:t xml:space="preserve">Bennett, J. (2001) </w:t>
      </w:r>
      <w:r>
        <w:rPr>
          <w:sz w:val="24"/>
          <w:i/>
        </w:rPr>
        <w:t>The Enchantment of Modern Life</w:t>
      </w:r>
      <w:r>
        <w:rPr>
          <w:sz w:val="24"/>
        </w:rPr>
        <w:t>. Princeton, Princeton University Press.</w:t>
      </w:r>
    </w:p>
    <w:p>
      <w:pPr>
        <w:rPr>
          <w:sz w:val="24"/>
        </w:rPr>
      </w:pPr>
    </w:p>
    <w:p>
      <w:pPr>
        <w:rPr>
          <w:sz w:val="24"/>
        </w:rPr>
      </w:pPr>
      <w:r>
        <w:rPr>
          <w:sz w:val="24"/>
        </w:rPr>
        <w:t xml:space="preserve">Bennett, J. (2010) </w:t>
      </w:r>
      <w:r>
        <w:rPr>
          <w:sz w:val="24"/>
          <w:i/>
        </w:rPr>
        <w:t>Vibrant matter</w:t>
      </w:r>
      <w:r>
        <w:rPr>
          <w:sz w:val="24"/>
        </w:rPr>
        <w:t>. Durham: Duke University Press.</w:t>
      </w:r>
    </w:p>
    <w:p>
      <w:pPr>
        <w:rPr>
          <w:sz w:val="24"/>
        </w:rPr>
      </w:pPr>
    </w:p>
    <w:p>
      <w:pPr>
        <w:rPr>
          <w:sz w:val="24"/>
        </w:rPr>
      </w:pPr>
      <w:r>
        <w:rPr>
          <w:sz w:val="24"/>
        </w:rPr>
        <w:t xml:space="preserve">Cohen, J. (2012) </w:t>
      </w:r>
      <w:r>
        <w:rPr>
          <w:sz w:val="24"/>
          <w:i/>
        </w:rPr>
        <w:t>Animal, Vegetable, Mineral</w:t>
      </w:r>
      <w:r>
        <w:rPr>
          <w:sz w:val="24"/>
        </w:rPr>
        <w:t>. Washington: Oliphaunt Press.</w:t>
      </w:r>
    </w:p>
    <w:p>
      <w:pPr>
        <w:rPr>
          <w:sz w:val="24"/>
        </w:rPr>
      </w:pPr>
    </w:p>
    <w:p>
      <w:pPr>
        <w:rPr>
          <w:sz w:val="24"/>
        </w:rPr>
      </w:pPr>
      <w:r>
        <w:rPr>
          <w:sz w:val="24"/>
        </w:rPr>
        <w:t xml:space="preserve">Coole, D. and Frost, S. (eds.) (2010) </w:t>
      </w:r>
      <w:r>
        <w:rPr>
          <w:sz w:val="24"/>
          <w:i/>
        </w:rPr>
        <w:t>New Materialisms</w:t>
      </w:r>
      <w:r>
        <w:rPr>
          <w:sz w:val="24"/>
        </w:rPr>
        <w:t>. Durham: Duke University Press.</w:t>
      </w:r>
    </w:p>
    <w:p>
      <w:pPr>
        <w:rPr>
          <w:sz w:val="24"/>
        </w:rPr>
      </w:pPr>
    </w:p>
    <w:p>
      <w:pPr>
        <w:rPr>
          <w:sz w:val="24"/>
        </w:rPr>
      </w:pPr>
      <w:r>
        <w:rPr>
          <w:sz w:val="24"/>
        </w:rPr>
        <w:t xml:space="preserve">Deusches Museum (2016) </w:t>
      </w:r>
      <w:r>
        <w:rPr>
          <w:sz w:val="24"/>
          <w:i/>
        </w:rPr>
        <w:t>Materiality of Musical Instruments: New Approaches to a Cultural History of Organology</w:t>
      </w:r>
      <w:r>
        <w:rPr>
          <w:sz w:val="24"/>
        </w:rPr>
        <w:t xml:space="preserve">. Available at: </w:t>
        <w:fldChar w:fldCharType="begin"/>
        <w:instrText xml:space="preserve"> HYPERLINK "http://www.deutsches-museum.de/en/materiality-of-musical-instruments/" </w:instrText>
        <w:fldChar w:fldCharType="separate"/>
      </w:r>
      <w:r>
        <w:rPr>
          <w:sz w:val="24"/>
          <w:color w:val="0000FF"/>
          <w:u w:val="single"/>
        </w:rPr>
        <w:t>http://www.deutsches-museum.de/en/materiality-of-musical-instruments/</w:t>
        <w:fldChar w:fldCharType="end"/>
      </w:r>
      <w:r>
        <w:rPr>
          <w:sz w:val="24"/>
        </w:rPr>
        <w:t xml:space="preserve"> (Accessed: 29 November 2018).</w:t>
      </w:r>
    </w:p>
    <w:p>
      <w:pPr>
        <w:rPr>
          <w:sz w:val="24"/>
        </w:rPr>
      </w:pPr>
    </w:p>
    <w:p>
      <w:pPr>
        <w:rPr>
          <w:sz w:val="24"/>
        </w:rPr>
      </w:pPr>
      <w:r>
        <w:rPr>
          <w:sz w:val="24"/>
        </w:rPr>
        <w:t>Dolphijn, R. and van der Tuin, I. (2012) Mew Materialism: Interviews and Cartographies. Ann Arbor: Open Humanities Press.</w:t>
      </w:r>
    </w:p>
    <w:p>
      <w:pPr>
        <w:rPr>
          <w:sz w:val="24"/>
        </w:rPr>
      </w:pPr>
    </w:p>
    <w:p>
      <w:pPr>
        <w:rPr>
          <w:sz w:val="24"/>
        </w:rPr>
      </w:pPr>
      <w:r>
        <w:rPr>
          <w:sz w:val="24"/>
        </w:rPr>
        <w:t xml:space="preserve">Feld, S. (2012) </w:t>
      </w:r>
      <w:r>
        <w:rPr>
          <w:sz w:val="24"/>
          <w:i/>
        </w:rPr>
        <w:t>Sound and Sentiment</w:t>
      </w:r>
      <w:r>
        <w:rPr>
          <w:sz w:val="24"/>
        </w:rPr>
        <w:t>. 3</w:t>
      </w:r>
      <w:r>
        <w:rPr>
          <w:sz w:val="24"/>
          <w:vertAlign w:val="superscript"/>
        </w:rPr>
        <w:t>rd</w:t>
      </w:r>
      <w:r>
        <w:rPr>
          <w:sz w:val="24"/>
        </w:rPr>
        <w:t xml:space="preserve"> edn. Durham: Duke University Press.</w:t>
      </w:r>
    </w:p>
    <w:p>
      <w:pPr>
        <w:rPr>
          <w:sz w:val="24"/>
        </w:rPr>
      </w:pPr>
    </w:p>
    <w:p>
      <w:pPr>
        <w:rPr>
          <w:sz w:val="24"/>
        </w:rPr>
      </w:pPr>
      <w:r>
        <w:rPr>
          <w:sz w:val="24"/>
        </w:rPr>
        <w:t xml:space="preserve">Gill, D. (ed.) (1981) </w:t>
      </w:r>
      <w:r>
        <w:rPr>
          <w:sz w:val="24"/>
          <w:i/>
        </w:rPr>
        <w:t>The Book of the Piano</w:t>
      </w:r>
      <w:r>
        <w:rPr>
          <w:sz w:val="24"/>
        </w:rPr>
        <w:t>.  Oxford: Phaedon.</w:t>
      </w:r>
    </w:p>
    <w:p>
      <w:pPr>
        <w:rPr>
          <w:sz w:val="24"/>
        </w:rPr>
      </w:pPr>
    </w:p>
    <w:p>
      <w:pPr>
        <w:rPr>
          <w:sz w:val="24"/>
        </w:rPr>
      </w:pPr>
      <w:r>
        <w:rPr>
          <w:sz w:val="24"/>
        </w:rPr>
        <w:t xml:space="preserve">Ingold, T. (2007) </w:t>
      </w:r>
      <w:r>
        <w:rPr>
          <w:sz w:val="24"/>
          <w:i/>
        </w:rPr>
        <w:t>Lines: A Brief History</w:t>
      </w:r>
      <w:r>
        <w:rPr>
          <w:sz w:val="24"/>
        </w:rPr>
        <w:t>. Abingdon: Routledge.</w:t>
      </w:r>
    </w:p>
    <w:p>
      <w:pPr>
        <w:rPr>
          <w:sz w:val="24"/>
        </w:rPr>
      </w:pPr>
    </w:p>
    <w:p>
      <w:pPr>
        <w:rPr>
          <w:sz w:val="24"/>
        </w:rPr>
      </w:pPr>
      <w:r>
        <w:rPr>
          <w:sz w:val="24"/>
        </w:rPr>
        <w:t xml:space="preserve">Ingold, T. (2013) </w:t>
      </w:r>
      <w:r>
        <w:rPr>
          <w:sz w:val="24"/>
          <w:i/>
        </w:rPr>
        <w:t>Making</w:t>
      </w:r>
      <w:r>
        <w:rPr>
          <w:sz w:val="24"/>
        </w:rPr>
        <w:t>. Abingdon: Routledge.</w:t>
      </w:r>
    </w:p>
    <w:p>
      <w:pPr>
        <w:rPr>
          <w:sz w:val="24"/>
        </w:rPr>
      </w:pPr>
    </w:p>
    <w:p>
      <w:pPr>
        <w:rPr>
          <w:sz w:val="24"/>
        </w:rPr>
      </w:pPr>
      <w:r>
        <w:rPr>
          <w:sz w:val="24"/>
        </w:rPr>
        <w:t>Parakilas, J. (ed.) (2002) Piano Roles. New Haven: Yale University Press.</w:t>
      </w:r>
    </w:p>
    <w:p>
      <w:pPr>
        <w:rPr>
          <w:sz w:val="24"/>
        </w:rPr>
      </w:pPr>
    </w:p>
    <w:p>
      <w:pPr>
        <w:rPr>
          <w:sz w:val="24"/>
        </w:rPr>
      </w:pPr>
      <w:r>
        <w:rPr>
          <w:sz w:val="24"/>
        </w:rPr>
        <w:t xml:space="preserve">Pink, S. (2015) </w:t>
      </w:r>
      <w:r>
        <w:rPr>
          <w:sz w:val="24"/>
          <w:i/>
        </w:rPr>
        <w:t>Doing Sensory Ethnography</w:t>
      </w:r>
      <w:r>
        <w:rPr>
          <w:sz w:val="24"/>
        </w:rPr>
        <w:t>. 2</w:t>
      </w:r>
      <w:r>
        <w:rPr>
          <w:sz w:val="24"/>
          <w:vertAlign w:val="superscript"/>
        </w:rPr>
        <w:t>nd</w:t>
      </w:r>
      <w:r>
        <w:rPr>
          <w:sz w:val="24"/>
        </w:rPr>
        <w:t xml:space="preserve"> edn. London: Sage.</w:t>
      </w:r>
    </w:p>
    <w:p>
      <w:pPr>
        <w:rPr>
          <w:sz w:val="24"/>
        </w:rPr>
      </w:pPr>
    </w:p>
    <w:p>
      <w:pPr>
        <w:rPr>
          <w:sz w:val="24"/>
        </w:rPr>
      </w:pPr>
      <w:r>
        <w:rPr>
          <w:sz w:val="24"/>
        </w:rPr>
        <w:t xml:space="preserve">Schneider, S. and Wright, G. (2010) </w:t>
      </w:r>
      <w:r>
        <w:rPr>
          <w:sz w:val="24"/>
          <w:i/>
        </w:rPr>
        <w:t>Between Art and Anthropology</w:t>
      </w:r>
      <w:r>
        <w:rPr>
          <w:sz w:val="24"/>
        </w:rPr>
        <w:t>. London: Bloomsbury.</w:t>
      </w:r>
    </w:p>
    <w:p>
      <w:pPr>
        <w:spacing w:line="360" w:lineRule="auto"/>
      </w:pPr>
    </w:p>
    <w:sectPr>
      <w:pgSz w:w="11905" w:h="16838"/>
      <w:pgMar w:top="567" w:right="567" w:bottom="567" w:left="567" w:header="0" w:footer="0"/>
      <w:cols w:space="720"/>
      <w:noEndnote/>
      <w:pgNumType w:fmt="decimal"/>
      <w:footnotePr>
        <w:numFmt w:val="decimal"/>
        <w:numRestart w:val="continuous"/>
        <w:numStart w:val="1"/>
        <w:pos w:val="pageBottom"/>
      </w:footnotePr>
      <w:endnotePr>
        <w:numFmt w:val="lowerRoman"/>
        <w:numRestart w:val="continuous"/>
        <w:numStart w:val="1"/>
        <w:pos w:val="docEnd"/>
      </w:endnotePr>
    </w:sectPr>
  </w:body>
</w:document>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none" w:percent="183"/>
  <w:defaultTabStop w:val="720"/>
  <w:hyphenationZone w:val="360"/>
</w:settings>
</file>

<file path=word/styles.xml><?xml version="1.0" encoding="utf-8"?>
<w:styles xmlns:r="http://schemas.openxmlformats.org/officeDocument/2006/relationships" xmlns:w="http://schemas.openxmlformats.org/wordprocessingml/2006/main">
  <w:docDefaults>
    <w:rPrDefault>
      <w:rPr>
        <w:rFonts w:ascii="Times New Roman" w:hAnsi="Times New Roman" w:eastAsia="Times New Roman"/>
        <w:sz w:val="20"/>
        <w:lang w:val="en-GB"/>
      </w:rPr>
    </w:rPrDefault>
    <w:pPrDefault>
      <w:pPr>
        <w:spacing w:line="240" w:lineRule="auto"/>
      </w:pPr>
    </w:pPrDefault>
  </w:docDefaults>
  <w:style w:type="paragraph" w:default="1" w:styleId="Normal">
    <w:name w:val="Normal"/>
    <w:rPr>
      <w:rFonts w:ascii="Arial" w:hAnsi="Arial" w:eastAsia="Arial"/>
      <w:sz w:val="22"/>
    </w:rPr>
    <w:pPr>
      <w:widowControl/>
    </w:pPr>
  </w:style>
  <w:style w:type="paragraph" w:styleId="Heading1">
    <w:name w:val="Heading 1"/>
    <w:basedOn w:val="Normal"/>
    <w:next w:val="Normal"/>
    <w:rPr>
      <w:sz w:val="28"/>
      <w:b/>
      <w:kerning w:val="28"/>
    </w:rPr>
    <w:pPr>
      <w:spacing w:before="240" w:beforeAutospacing="0" w:after="60" w:afterAutospacing="0"/>
      <w:keepNext/>
      <w:outlineLvl w:val="0"/>
    </w:pPr>
  </w:style>
  <w:style w:type="paragraph" w:styleId="Heading2">
    <w:name w:val="Heading 2"/>
    <w:basedOn w:val="Normal"/>
    <w:next w:val="Normal"/>
    <w:rPr>
      <w:sz w:val="24"/>
      <w:b/>
      <w:i/>
    </w:rPr>
    <w:pPr>
      <w:spacing w:before="240" w:beforeAutospacing="0" w:after="60" w:afterAutospacing="0"/>
      <w:keepNext/>
      <w:outlineLvl w:val="1"/>
    </w:pPr>
  </w:style>
  <w:style w:type="paragraph" w:styleId="Heading3">
    <w:name w:val="Heading 3"/>
    <w:basedOn w:val="Normal"/>
    <w:next w:val="Normal"/>
    <w:rPr>
      <w:b/>
    </w:rPr>
    <w:pPr>
      <w:spacing w:before="240" w:beforeAutospacing="0" w:after="60" w:afterAutospacing="0"/>
      <w:keepNext/>
      <w:outlineLvl w:val="2"/>
    </w:pPr>
  </w:style>
</w:styles>
</file>

<file path=word/_rels/document.xml.rels><?xml version="1.0" encoding="UTF-8" standalone="yes"?><Relationships xmlns="http://schemas.openxmlformats.org/package/2006/relationships"><Relationship Id="rId0" Type="http://schemas.openxmlformats.org/officeDocument/2006/relationships/settings" Target="settings.xml"/><Relationship Id="rId1" Type="http://schemas.openxmlformats.org/officeDocument/2006/relationships/styles" Target="styles.xml"/></Relationships>
</file>

<file path=docProps/app.xml><?xml version="1.0" encoding="utf-8"?>
<Properties xmlns="http://schemas.openxmlformats.org/officeDocument/2006/extended-properties" xmlns:vt="http://schemas.openxmlformats.org/officeDocument/2006/docPropsVTypes">
  <Application>Atlantis Word Processor</Application>
  <!-- awp:appVersion=1.6.5.12 -->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X230</dc:creator>
  <dcterms:created xsi:type="dcterms:W3CDTF">2018-11-30T11:02:31Z</dcterms:created>
  <dcterms:modified xsi:type="dcterms:W3CDTF">2018-11-30T17:11:55Z</dcterms:modified>
</cp:coreProperties>
</file>