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xmlns:wp14="http://schemas.microsoft.com/office/word/2010/wordml" w:rsidP="5921F049" wp14:paraId="5E5787A5" wp14:textId="76CC1317">
      <w:pPr>
        <w:pStyle w:val="Normal"/>
        <w:rPr>
          <w:rFonts w:ascii="Segoe UI" w:hAnsi="Segoe UI" w:eastAsia="Segoe UI" w:cs="Segoe UI"/>
          <w:b w:val="1"/>
          <w:bCs w:val="1"/>
          <w:noProof w:val="0"/>
          <w:sz w:val="40"/>
          <w:szCs w:val="40"/>
          <w:lang w:val="en-GB"/>
        </w:rPr>
      </w:pPr>
      <w:r w:rsidRPr="5921F049" w:rsidR="72DEFF66">
        <w:rPr>
          <w:rFonts w:ascii="Segoe UI" w:hAnsi="Segoe UI" w:eastAsia="Segoe UI" w:cs="Segoe UI"/>
          <w:b w:val="1"/>
          <w:bCs w:val="1"/>
          <w:noProof w:val="0"/>
          <w:sz w:val="40"/>
          <w:szCs w:val="40"/>
          <w:lang w:val="en-GB"/>
        </w:rPr>
        <w:t xml:space="preserve"> Critically evaluate the impact of the National Vulnerability Action Plan (NVAP) on police practices in safeguarding vulnerable people. To what extent has NVAP improved multi-agency collaboration, early intervention, and outcomes for at-risk vulnerable people?</w:t>
      </w:r>
    </w:p>
    <w:p w:rsidR="5921F049" w:rsidP="5921F049" w:rsidRDefault="5921F049" w14:paraId="686496C7" w14:textId="5EEA2852">
      <w:pPr>
        <w:pStyle w:val="Normal"/>
        <w:rPr>
          <w:rFonts w:ascii="Segoe UI" w:hAnsi="Segoe UI" w:eastAsia="Segoe UI" w:cs="Segoe UI"/>
          <w:b w:val="1"/>
          <w:bCs w:val="1"/>
          <w:noProof w:val="0"/>
          <w:sz w:val="40"/>
          <w:szCs w:val="40"/>
          <w:lang w:val="en-GB"/>
        </w:rPr>
      </w:pPr>
    </w:p>
    <w:p w:rsidR="1716AF29" w:rsidP="5921F049" w:rsidRDefault="1716AF29" w14:paraId="1CE6DDC1" w14:textId="197C3E8F">
      <w:pPr>
        <w:pStyle w:val="Normal"/>
        <w:rPr>
          <w:rFonts w:ascii="Segoe UI" w:hAnsi="Segoe UI" w:eastAsia="Segoe UI" w:cs="Segoe UI"/>
          <w:b w:val="1"/>
          <w:bCs w:val="1"/>
          <w:noProof w:val="0"/>
          <w:sz w:val="40"/>
          <w:szCs w:val="40"/>
          <w:lang w:val="en-GB"/>
        </w:rPr>
      </w:pPr>
      <w:r w:rsidRPr="5921F049" w:rsidR="1716AF29">
        <w:rPr>
          <w:rFonts w:ascii="Segoe UI" w:hAnsi="Segoe UI" w:eastAsia="Segoe UI" w:cs="Segoe UI"/>
          <w:b w:val="1"/>
          <w:bCs w:val="1"/>
          <w:noProof w:val="0"/>
          <w:sz w:val="40"/>
          <w:szCs w:val="40"/>
          <w:lang w:val="en-GB"/>
        </w:rPr>
        <w:t>BMPL5015</w:t>
      </w:r>
    </w:p>
    <w:p w:rsidR="1716AF29" w:rsidP="5921F049" w:rsidRDefault="1716AF29" w14:paraId="48CD4720" w14:textId="6BE6776D">
      <w:pPr>
        <w:pStyle w:val="Normal"/>
        <w:rPr>
          <w:rFonts w:ascii="Segoe UI" w:hAnsi="Segoe UI" w:eastAsia="Segoe UI" w:cs="Segoe UI"/>
          <w:b w:val="1"/>
          <w:bCs w:val="1"/>
          <w:noProof w:val="0"/>
          <w:sz w:val="40"/>
          <w:szCs w:val="40"/>
          <w:lang w:val="en-GB"/>
        </w:rPr>
      </w:pPr>
      <w:r w:rsidRPr="5921F049" w:rsidR="1716AF29">
        <w:rPr>
          <w:rFonts w:ascii="Segoe UI" w:hAnsi="Segoe UI" w:eastAsia="Segoe UI" w:cs="Segoe UI"/>
          <w:b w:val="1"/>
          <w:bCs w:val="1"/>
          <w:noProof w:val="0"/>
          <w:sz w:val="40"/>
          <w:szCs w:val="40"/>
          <w:lang w:val="en-GB"/>
        </w:rPr>
        <w:t>Claire Williams</w:t>
      </w:r>
    </w:p>
    <w:p w:rsidR="4FC10ACF" w:rsidP="5921F049" w:rsidRDefault="4FC10ACF" w14:paraId="27D9942F" w14:textId="4894D873">
      <w:pPr>
        <w:pStyle w:val="Normal"/>
        <w:rPr>
          <w:rFonts w:ascii="Segoe UI" w:hAnsi="Segoe UI" w:eastAsia="Segoe UI" w:cs="Segoe UI"/>
          <w:b w:val="1"/>
          <w:bCs w:val="1"/>
          <w:noProof w:val="0"/>
          <w:sz w:val="40"/>
          <w:szCs w:val="40"/>
          <w:lang w:val="en-GB"/>
        </w:rPr>
      </w:pPr>
      <w:r w:rsidRPr="5921F049" w:rsidR="4FC10ACF">
        <w:rPr>
          <w:rFonts w:ascii="Segoe UI" w:hAnsi="Segoe UI" w:eastAsia="Segoe UI" w:cs="Segoe UI"/>
          <w:b w:val="1"/>
          <w:bCs w:val="1"/>
          <w:noProof w:val="0"/>
          <w:sz w:val="40"/>
          <w:szCs w:val="40"/>
          <w:lang w:val="en-GB"/>
        </w:rPr>
        <w:t>2416992</w:t>
      </w:r>
    </w:p>
    <w:p w:rsidR="5921F049" w:rsidP="5921F049" w:rsidRDefault="5921F049" w14:paraId="39CD77B1" w14:textId="1544421A">
      <w:pPr>
        <w:pStyle w:val="Normal"/>
        <w:rPr>
          <w:rFonts w:ascii="Segoe UI" w:hAnsi="Segoe UI" w:eastAsia="Segoe UI" w:cs="Segoe UI"/>
          <w:b w:val="1"/>
          <w:bCs w:val="1"/>
          <w:noProof w:val="0"/>
          <w:sz w:val="40"/>
          <w:szCs w:val="40"/>
          <w:lang w:val="en-GB"/>
        </w:rPr>
      </w:pPr>
      <w:r w:rsidR="5921F049">
        <mc:AlternateContent>
          <mc:Choice Requires="wps">
            <w:drawing>
              <wp:inline wp14:editId="26FF0D73" wp14:anchorId="6045CE4D">
                <wp:extent cx="8519584" cy="158750"/>
                <wp:effectExtent l="0" t="0" r="15240" b="12700"/>
                <wp:docPr id="145789906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wps:spPr>
                        <a:xfrm xmlns:a="http://schemas.openxmlformats.org/drawingml/2006/main">
                          <a:off x="0" y="0"/>
                          <a:ext cx="8519584" cy="158750"/>
                        </a:xfrm>
                        <a:prstGeom xmlns:a="http://schemas.openxmlformats.org/drawingml/2006/main" prst="rect">
                          <a:avLst/>
                        </a:prstGeom>
                        <a:ln xmlns:a="http://schemas.openxmlformats.org/drawingml/2006/main"/>
                      </wps:spPr>
                      <wps: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rgbClr r="0" g="0" b="0"/>
                        </a:effectRef>
                        <a:fontRef xmlns:a="http://schemas.openxmlformats.org/drawingml/2006/main" idx="minor">
                          <a:schemeClr val="lt1"/>
                        </a:fontRef>
                      </wps:style>
                      <wps:bodyPr anchor="ctr"/>
                    </wps:wsp>
                  </a:graphicData>
                </a:graphic>
              </wp:inline>
            </w:drawing>
          </mc:Choice>
          <mc:Fallback>
            <w:pict xmlns:w="http://schemas.openxmlformats.org/wordprocessingml/2006/main">
              <v:rect xmlns:w14="http://schemas.microsoft.com/office/word/2010/wordml" xmlns:o="urn:schemas-microsoft-com:office:office" xmlns:v="urn:schemas-microsoft-com:vml" id="Rectangle 1" style="width:670.85pt;height:12.5pt;visibility:visible;mso-wrap-style:square;mso-left-percent:-10001;mso-top-percent:-10001;mso-position-horizontal:absolute;mso-position-horizontal-relative:char;mso-position-vertical:absolute;mso-position-vertical-relative:line;mso-left-percent:-10001;mso-top-percent:-10001;v-text-anchor:middle" o:spid="_x0000_s1026" fillcolor="#156082 [3204]" strokecolor="#0a2f40 [1604]" strokeweight="1pt" w14:anchorId="6E4183C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">
                <w10:anchorlock xmlns:w10="urn:schemas-microsoft-com:office:word"/>
              </v:rect>
            </w:pict>
          </mc:Fallback>
        </mc:AlternateContent>
      </w:r>
    </w:p>
    <w:p w:rsidR="5921F049" w:rsidP="5921F049" w:rsidRDefault="5921F049" w14:paraId="0D9336D3" w14:textId="5A9B3719">
      <w:pPr>
        <w:pStyle w:val="Normal"/>
        <w:rPr>
          <w:rFonts w:ascii="Segoe UI" w:hAnsi="Segoe UI" w:eastAsia="Segoe UI" w:cs="Segoe UI"/>
          <w:b w:val="1"/>
          <w:bCs w:val="1"/>
          <w:noProof w:val="0"/>
          <w:sz w:val="40"/>
          <w:szCs w:val="40"/>
          <w:lang w:val="en-GB"/>
        </w:rPr>
      </w:pPr>
    </w:p>
    <w:p w:rsidR="5921F049" w:rsidP="5921F049" w:rsidRDefault="5921F049" w14:paraId="0C2624CC" w14:textId="1A2D2217">
      <w:pPr>
        <w:pStyle w:val="Normal"/>
        <w:rPr>
          <w:rFonts w:ascii="Segoe UI" w:hAnsi="Segoe UI" w:eastAsia="Segoe UI" w:cs="Segoe UI"/>
          <w:b w:val="1"/>
          <w:bCs w:val="1"/>
          <w:noProof w:val="0"/>
          <w:sz w:val="40"/>
          <w:szCs w:val="40"/>
          <w:lang w:val="en-GB"/>
        </w:rPr>
      </w:pPr>
    </w:p>
    <w:p w:rsidR="5921F049" w:rsidP="5921F049" w:rsidRDefault="5921F049" w14:paraId="01BD0244" w14:textId="4BCB9FF0">
      <w:pPr>
        <w:pStyle w:val="Normal"/>
        <w:rPr>
          <w:rFonts w:ascii="Segoe UI" w:hAnsi="Segoe UI" w:eastAsia="Segoe UI" w:cs="Segoe UI"/>
          <w:b w:val="1"/>
          <w:bCs w:val="1"/>
          <w:noProof w:val="0"/>
          <w:sz w:val="40"/>
          <w:szCs w:val="40"/>
          <w:lang w:val="en-GB"/>
        </w:rPr>
      </w:pPr>
    </w:p>
    <w:p w:rsidR="5921F049" w:rsidP="5921F049" w:rsidRDefault="5921F049" w14:paraId="537199E6" w14:textId="2C6E5C29">
      <w:pPr>
        <w:pStyle w:val="Normal"/>
        <w:rPr>
          <w:rFonts w:ascii="Segoe UI" w:hAnsi="Segoe UI" w:eastAsia="Segoe UI" w:cs="Segoe UI"/>
          <w:b w:val="1"/>
          <w:bCs w:val="1"/>
          <w:noProof w:val="0"/>
          <w:sz w:val="40"/>
          <w:szCs w:val="40"/>
          <w:lang w:val="en-GB"/>
        </w:rPr>
      </w:pPr>
    </w:p>
    <w:p w:rsidR="5921F049" w:rsidP="5921F049" w:rsidRDefault="5921F049" w14:paraId="44549250" w14:textId="0A332B0C">
      <w:pPr>
        <w:pStyle w:val="Normal"/>
        <w:rPr>
          <w:rFonts w:ascii="Segoe UI" w:hAnsi="Segoe UI" w:eastAsia="Segoe UI" w:cs="Segoe UI"/>
          <w:b w:val="1"/>
          <w:bCs w:val="1"/>
          <w:noProof w:val="0"/>
          <w:sz w:val="40"/>
          <w:szCs w:val="40"/>
          <w:lang w:val="en-GB"/>
        </w:rPr>
      </w:pPr>
    </w:p>
    <w:p w:rsidR="5921F049" w:rsidP="5921F049" w:rsidRDefault="5921F049" w14:paraId="62EE670B" w14:textId="4D0E5ABE">
      <w:pPr>
        <w:pStyle w:val="Normal"/>
        <w:rPr>
          <w:rFonts w:ascii="Segoe UI" w:hAnsi="Segoe UI" w:eastAsia="Segoe UI" w:cs="Segoe UI"/>
          <w:b w:val="1"/>
          <w:bCs w:val="1"/>
          <w:noProof w:val="0"/>
          <w:sz w:val="40"/>
          <w:szCs w:val="40"/>
          <w:lang w:val="en-GB"/>
        </w:rPr>
      </w:pPr>
    </w:p>
    <w:p w:rsidR="5921F049" w:rsidP="5921F049" w:rsidRDefault="5921F049" w14:paraId="20A8D3F8" w14:textId="71C6FF28">
      <w:pPr>
        <w:pStyle w:val="Normal"/>
        <w:rPr>
          <w:rFonts w:ascii="Segoe UI" w:hAnsi="Segoe UI" w:eastAsia="Segoe UI" w:cs="Segoe UI"/>
          <w:b w:val="1"/>
          <w:bCs w:val="1"/>
          <w:noProof w:val="0"/>
          <w:sz w:val="40"/>
          <w:szCs w:val="40"/>
          <w:lang w:val="en-GB"/>
        </w:rPr>
      </w:pPr>
    </w:p>
    <w:p w:rsidR="7F6C09CA" w:rsidP="5921F049" w:rsidRDefault="7F6C09CA" w14:paraId="70CA720B" w14:textId="68147ED8">
      <w:pPr>
        <w:pStyle w:val="Normal"/>
        <w:rPr>
          <w:rFonts w:ascii="Arial" w:hAnsi="Arial" w:eastAsia="Arial" w:cs="Arial"/>
          <w:noProof w:val="0"/>
          <w:sz w:val="24"/>
          <w:szCs w:val="24"/>
          <w:u w:val="single"/>
          <w:lang w:val="en-GB"/>
        </w:rPr>
      </w:pPr>
      <w:r w:rsidRPr="5921F049" w:rsidR="7F6C09CA">
        <w:rPr>
          <w:rFonts w:ascii="Arial" w:hAnsi="Arial" w:eastAsia="Arial" w:cs="Arial"/>
          <w:b w:val="1"/>
          <w:bCs w:val="1"/>
          <w:noProof w:val="0"/>
          <w:sz w:val="24"/>
          <w:szCs w:val="24"/>
          <w:u w:val="single"/>
          <w:lang w:val="en-GB"/>
        </w:rPr>
        <w:t>Critically evaluate the impact of the National Vulnerability Action Plan (NVAP) on police practices in safeguarding vulnerable people. To what extent has NVAP improved multi-agency collaboration, early intervention, and outcomes for at-risk vulnerable people?</w:t>
      </w:r>
    </w:p>
    <w:p w:rsidR="7458E2BB" w:rsidP="5921F049" w:rsidRDefault="7458E2BB" w14:paraId="7A0ABA57" w14:textId="42A50E32">
      <w:pPr>
        <w:pStyle w:val="Normal"/>
        <w:spacing w:before="240" w:beforeAutospacing="off" w:after="240" w:afterAutospacing="off" w:line="480" w:lineRule="auto"/>
        <w:rPr>
          <w:rFonts w:ascii="Arial" w:hAnsi="Arial" w:eastAsia="Arial" w:cs="Arial"/>
          <w:noProof w:val="0"/>
          <w:sz w:val="24"/>
          <w:szCs w:val="24"/>
          <w:lang w:val="en-GB"/>
        </w:rPr>
      </w:pPr>
      <w:r w:rsidRPr="5921F049" w:rsidR="7458E2BB">
        <w:rPr>
          <w:rFonts w:ascii="Arial" w:hAnsi="Arial" w:eastAsia="Arial" w:cs="Arial"/>
          <w:noProof w:val="0"/>
          <w:sz w:val="24"/>
          <w:szCs w:val="24"/>
          <w:lang w:val="en-GB"/>
        </w:rPr>
        <w:t xml:space="preserve"> </w:t>
      </w:r>
      <w:r w:rsidRPr="5921F049" w:rsidR="6B0DD70B">
        <w:rPr>
          <w:rFonts w:ascii="Arial" w:hAnsi="Arial" w:eastAsia="Arial" w:cs="Arial"/>
          <w:noProof w:val="0"/>
          <w:sz w:val="24"/>
          <w:szCs w:val="24"/>
          <w:lang w:val="en-GB"/>
        </w:rPr>
        <w:t>The National Vulnerability Action Plan (NVAP) was introduced by the National Police Chiefs’ Council (2018) to strengthen the police response to individuals considered vulnerable. It provides a structured framework that guides police forces in recognising and managing vulnerability, aiming to ensure a consistent approach across all regions. The plan highlights key priorities such as prevention, early intervention, information sharing, and partnership working with other agencies</w:t>
      </w:r>
      <w:r w:rsidRPr="5921F049" w:rsidR="2D6B864D">
        <w:rPr>
          <w:rFonts w:ascii="Arial" w:hAnsi="Arial" w:eastAsia="Arial" w:cs="Arial"/>
          <w:noProof w:val="0"/>
          <w:sz w:val="24"/>
          <w:szCs w:val="24"/>
          <w:lang w:val="en-GB"/>
        </w:rPr>
        <w:t xml:space="preserve"> (National Police Chiefs’ Council, 2018)</w:t>
      </w:r>
      <w:r w:rsidRPr="5921F049" w:rsidR="6B0DD70B">
        <w:rPr>
          <w:rFonts w:ascii="Arial" w:hAnsi="Arial" w:eastAsia="Arial" w:cs="Arial"/>
          <w:noProof w:val="0"/>
          <w:sz w:val="24"/>
          <w:szCs w:val="24"/>
          <w:lang w:val="en-GB"/>
        </w:rPr>
        <w:t xml:space="preserve">. This essay will critically examine how the NVAP has influenced police practice in safeguarding vulnerable people, with particular focus on its effectiveness in promoting multi-agency collaboration, early intervention, and improved outcomes for those most at risk. The NVAP was introduced to make safeguarding and vulnerability a key focus in policing across the country. It came about after concerns were raised by HMICFRS (2015) that police forces were not always </w:t>
      </w:r>
      <w:r w:rsidRPr="5921F049" w:rsidR="6B0DD70B">
        <w:rPr>
          <w:rFonts w:ascii="Arial" w:hAnsi="Arial" w:eastAsia="Arial" w:cs="Arial"/>
          <w:noProof w:val="0"/>
          <w:sz w:val="24"/>
          <w:szCs w:val="24"/>
          <w:lang w:val="en-GB"/>
        </w:rPr>
        <w:t>identifying</w:t>
      </w:r>
      <w:r w:rsidRPr="5921F049" w:rsidR="6B0DD70B">
        <w:rPr>
          <w:rFonts w:ascii="Arial" w:hAnsi="Arial" w:eastAsia="Arial" w:cs="Arial"/>
          <w:noProof w:val="0"/>
          <w:sz w:val="24"/>
          <w:szCs w:val="24"/>
          <w:lang w:val="en-GB"/>
        </w:rPr>
        <w:t xml:space="preserve"> or responding to vulnerable people in the same way. The plan also aligns with the College of Policing’s guidance on recognising and responding to vulnerability-related risks (College of Policing, 2021), which promotes an approach that focuses on the individual and encourages early intervention to prevent harm. The NVAP has influenced police practices by providing a structured framework for </w:t>
      </w:r>
      <w:r w:rsidRPr="5921F049" w:rsidR="6B0DD70B">
        <w:rPr>
          <w:rFonts w:ascii="Arial" w:hAnsi="Arial" w:eastAsia="Arial" w:cs="Arial"/>
          <w:noProof w:val="0"/>
          <w:sz w:val="24"/>
          <w:szCs w:val="24"/>
          <w:lang w:val="en-GB"/>
        </w:rPr>
        <w:t>identifying</w:t>
      </w:r>
      <w:r w:rsidRPr="5921F049" w:rsidR="6B0DD70B">
        <w:rPr>
          <w:rFonts w:ascii="Arial" w:hAnsi="Arial" w:eastAsia="Arial" w:cs="Arial"/>
          <w:noProof w:val="0"/>
          <w:sz w:val="24"/>
          <w:szCs w:val="24"/>
          <w:lang w:val="en-GB"/>
        </w:rPr>
        <w:t xml:space="preserve"> and responding to vulnerability, which has helped forces adopt a more consistent and proactive approach. Prior to the NVAP, forces often relied on individual officers’ discretion, resulting in variation in how vulnerable people were assessed and safeguarded (HMICFRS, 2015). The plan encourages officers to embed safeguarding considerations into all aspects of policing, from </w:t>
      </w:r>
      <w:r w:rsidRPr="5921F049" w:rsidR="6B0DD70B">
        <w:rPr>
          <w:rFonts w:ascii="Arial" w:hAnsi="Arial" w:eastAsia="Arial" w:cs="Arial"/>
          <w:noProof w:val="0"/>
          <w:sz w:val="24"/>
          <w:szCs w:val="24"/>
          <w:lang w:val="en-GB"/>
        </w:rPr>
        <w:t>initial</w:t>
      </w:r>
      <w:r w:rsidRPr="5921F049" w:rsidR="6B0DD70B">
        <w:rPr>
          <w:rFonts w:ascii="Arial" w:hAnsi="Arial" w:eastAsia="Arial" w:cs="Arial"/>
          <w:noProof w:val="0"/>
          <w:sz w:val="24"/>
          <w:szCs w:val="24"/>
          <w:lang w:val="en-GB"/>
        </w:rPr>
        <w:t xml:space="preserve"> contact through investigation and follow-up.</w:t>
      </w:r>
    </w:p>
    <w:p w:rsidR="6B0DD70B" w:rsidP="5921F049" w:rsidRDefault="6B0DD70B" w14:paraId="42F233ED" w14:textId="01BC2C39">
      <w:pPr>
        <w:pStyle w:val="Normal"/>
        <w:spacing w:before="240" w:beforeAutospacing="off" w:after="240" w:afterAutospacing="off" w:line="480" w:lineRule="auto"/>
      </w:pPr>
      <w:r w:rsidRPr="5921F049" w:rsidR="6B0DD70B">
        <w:rPr>
          <w:rFonts w:ascii="Arial" w:hAnsi="Arial" w:eastAsia="Arial" w:cs="Arial"/>
          <w:noProof w:val="0"/>
          <w:sz w:val="24"/>
          <w:szCs w:val="24"/>
          <w:lang w:val="en-GB"/>
        </w:rPr>
        <w:t xml:space="preserve">Implementation of the NVAP has prompted forces to develop specific tools and processes for recording and monitoring vulnerability, which supports more informed decision-making. For example, the NVAP promotes the use of risk assessments, vulnerability matrices, and referral pathways, allowing officers to prioritise resources and intervene earlier in situations where individuals are at risk of harm (National Police Chiefs’ Council, 2018). </w:t>
      </w:r>
      <w:r w:rsidRPr="5921F049" w:rsidR="77195907">
        <w:rPr>
          <w:rFonts w:ascii="Arial" w:hAnsi="Arial" w:eastAsia="Arial" w:cs="Arial"/>
          <w:noProof w:val="0"/>
          <w:sz w:val="24"/>
          <w:szCs w:val="24"/>
          <w:lang w:val="en-GB"/>
        </w:rPr>
        <w:t xml:space="preserve">The development of the NVAP was intended to help forces take a more structured and consistent approach when responding to vulnerability. </w:t>
      </w:r>
      <w:r w:rsidRPr="5921F049" w:rsidR="5B149FC3">
        <w:rPr>
          <w:rFonts w:ascii="Arial" w:hAnsi="Arial" w:eastAsia="Arial" w:cs="Arial"/>
          <w:noProof w:val="0"/>
          <w:sz w:val="24"/>
          <w:szCs w:val="24"/>
          <w:lang w:val="en-GB"/>
        </w:rPr>
        <w:t xml:space="preserve">The College of Policing guidelines (2021) outline the core skills and knowledge required for officers to identify vulnerability, assess risk, and work effectively alongside partner agencies. This guidance supports a more person-centred approach, encouraging officers to consider individual circumstances rather than relying on reactive or standardised responses. Building on this, the NVAP supports forces in embedding vulnerability awareness across everyday policing practice and promotes joint working with safeguarding partners. The plan also reinforces the importance of ongoing training and professional development, helping to ensure that frontline officers are better equipped to recognise and respond appropriately to complex and evolving forms of vulnerability (College of Policing, 2024). </w:t>
      </w:r>
      <w:r w:rsidRPr="5921F049" w:rsidR="6B0DD70B">
        <w:rPr>
          <w:rFonts w:ascii="Arial" w:hAnsi="Arial" w:eastAsia="Arial" w:cs="Arial"/>
          <w:noProof w:val="0"/>
          <w:sz w:val="24"/>
          <w:szCs w:val="24"/>
          <w:lang w:val="en-GB"/>
        </w:rPr>
        <w:t xml:space="preserve">Effective safeguarding of vulnerable people relies heavily on strong multi‑agency collaboration. Research shows that working “together” continues to be challenging because roles are often unclear, information </w:t>
      </w:r>
      <w:r w:rsidRPr="5921F049" w:rsidR="6B0DD70B">
        <w:rPr>
          <w:rFonts w:ascii="Arial" w:hAnsi="Arial" w:eastAsia="Arial" w:cs="Arial"/>
          <w:noProof w:val="0"/>
          <w:sz w:val="24"/>
          <w:szCs w:val="24"/>
          <w:lang w:val="en-GB"/>
        </w:rPr>
        <w:t>isn’t</w:t>
      </w:r>
      <w:r w:rsidRPr="5921F049" w:rsidR="6B0DD70B">
        <w:rPr>
          <w:rFonts w:ascii="Arial" w:hAnsi="Arial" w:eastAsia="Arial" w:cs="Arial"/>
          <w:noProof w:val="0"/>
          <w:sz w:val="24"/>
          <w:szCs w:val="24"/>
          <w:lang w:val="en-GB"/>
        </w:rPr>
        <w:t xml:space="preserve"> always shared effectively, and coordination between agencies can be inconsistent (Crawford, 2024). The NVAP makes partnership working a central goal, encouraging the police to move beyond working alone and build stronger connections with health services, social care, education, and voluntary organisations. However, studies suggest that the police sometimes must fill gaps left by other agencies and are not always in the best position to act on their own (Crawford, 2024). Early intervention projects have shown </w:t>
      </w:r>
      <w:r w:rsidRPr="5921F049" w:rsidR="6B0DD70B">
        <w:rPr>
          <w:rFonts w:ascii="Arial" w:hAnsi="Arial" w:eastAsia="Arial" w:cs="Arial"/>
          <w:noProof w:val="0"/>
          <w:sz w:val="24"/>
          <w:szCs w:val="24"/>
          <w:lang w:val="en-GB"/>
        </w:rPr>
        <w:t>good results</w:t>
      </w:r>
      <w:r w:rsidRPr="5921F049" w:rsidR="6B0DD70B">
        <w:rPr>
          <w:rFonts w:ascii="Arial" w:hAnsi="Arial" w:eastAsia="Arial" w:cs="Arial"/>
          <w:noProof w:val="0"/>
          <w:sz w:val="24"/>
          <w:szCs w:val="24"/>
          <w:lang w:val="en-GB"/>
        </w:rPr>
        <w:t xml:space="preserve"> when police use data to </w:t>
      </w:r>
      <w:r w:rsidRPr="5921F049" w:rsidR="6B0DD70B">
        <w:rPr>
          <w:rFonts w:ascii="Arial" w:hAnsi="Arial" w:eastAsia="Arial" w:cs="Arial"/>
          <w:noProof w:val="0"/>
          <w:sz w:val="24"/>
          <w:szCs w:val="24"/>
          <w:lang w:val="en-GB"/>
        </w:rPr>
        <w:t>identify</w:t>
      </w:r>
      <w:r w:rsidRPr="5921F049" w:rsidR="6B0DD70B">
        <w:rPr>
          <w:rFonts w:ascii="Arial" w:hAnsi="Arial" w:eastAsia="Arial" w:cs="Arial"/>
          <w:noProof w:val="0"/>
          <w:sz w:val="24"/>
          <w:szCs w:val="24"/>
          <w:lang w:val="en-GB"/>
        </w:rPr>
        <w:t xml:space="preserve"> children experiencing adverse childhood experiences (ACEs) and work alongside partner agencies to provide support (Chandan et al., 2020). Evidence </w:t>
      </w:r>
      <w:r w:rsidRPr="5921F049" w:rsidR="6B0DD70B">
        <w:rPr>
          <w:rFonts w:ascii="Arial" w:hAnsi="Arial" w:eastAsia="Arial" w:cs="Arial"/>
          <w:noProof w:val="0"/>
          <w:sz w:val="24"/>
          <w:szCs w:val="24"/>
          <w:lang w:val="en-GB"/>
        </w:rPr>
        <w:t>indicates</w:t>
      </w:r>
      <w:r w:rsidRPr="5921F049" w:rsidR="6B0DD70B">
        <w:rPr>
          <w:rFonts w:ascii="Arial" w:hAnsi="Arial" w:eastAsia="Arial" w:cs="Arial"/>
          <w:noProof w:val="0"/>
          <w:sz w:val="24"/>
          <w:szCs w:val="24"/>
          <w:lang w:val="en-GB"/>
        </w:rPr>
        <w:t xml:space="preserve"> that when agencies share clear procedures, train together regularly, and have agreed ways of working, outcomes improve but without consistent frameworks, the NVAP’s aim of full multi-agency collaboration may remain difficult to achieve.</w:t>
      </w:r>
    </w:p>
    <w:p w:rsidR="6B0DD70B" w:rsidP="5921F049" w:rsidRDefault="6B0DD70B" w14:paraId="10AB0263" w14:textId="74949CC9">
      <w:pPr>
        <w:spacing w:before="240" w:beforeAutospacing="off" w:after="240" w:afterAutospacing="off" w:line="480" w:lineRule="auto"/>
      </w:pPr>
      <w:r w:rsidRPr="5921F049" w:rsidR="6B0DD70B">
        <w:rPr>
          <w:rFonts w:ascii="Arial" w:hAnsi="Arial" w:eastAsia="Arial" w:cs="Arial"/>
          <w:noProof w:val="0"/>
          <w:sz w:val="24"/>
          <w:szCs w:val="24"/>
          <w:lang w:val="en-GB"/>
        </w:rPr>
        <w:t xml:space="preserve">The NVAP’s focus on collaboration is backed up by research: a meta‑analysis of serious case reviews found that many missed opportunities were due to weak collaboration rather than lack of effort (VKPP, 2020). Likewise, evaluations of early intervention programmes show that outcomes are better when multiple agencies are involved from the start (College of Policing, 2022). While national frameworks like the NVAP provide a clear structure for safeguarding, putting policy into practice has historically been inconsistent. HMICFRS (2015) found that officers do not always record or act on vulnerability consistently in case files, which can affect victims’ ability to give evidence and access support. The report also noted that training and guidance from the College of Policing, alongside the National File Standard, helped officers understand and respond to vulnerability more effectively. Despite these improvements, turning policy into consistent outcomes depends on how </w:t>
      </w:r>
      <w:r w:rsidRPr="5921F049" w:rsidR="6B0DD70B">
        <w:rPr>
          <w:rFonts w:ascii="Arial" w:hAnsi="Arial" w:eastAsia="Arial" w:cs="Arial"/>
          <w:noProof w:val="0"/>
          <w:sz w:val="24"/>
          <w:szCs w:val="24"/>
          <w:lang w:val="en-GB"/>
        </w:rPr>
        <w:t>well training</w:t>
      </w:r>
      <w:r w:rsidRPr="5921F049" w:rsidR="6B0DD70B">
        <w:rPr>
          <w:rFonts w:ascii="Arial" w:hAnsi="Arial" w:eastAsia="Arial" w:cs="Arial"/>
          <w:noProof w:val="0"/>
          <w:sz w:val="24"/>
          <w:szCs w:val="24"/>
          <w:lang w:val="en-GB"/>
        </w:rPr>
        <w:t>, governance, and resources are applied locally.</w:t>
      </w:r>
    </w:p>
    <w:p w:rsidR="6B0DD70B" w:rsidP="5921F049" w:rsidRDefault="6B0DD70B" w14:paraId="3C7F4015" w14:textId="587A80A4">
      <w:pPr>
        <w:spacing w:before="240" w:beforeAutospacing="off" w:after="240" w:afterAutospacing="off" w:line="480" w:lineRule="auto"/>
      </w:pPr>
      <w:r w:rsidRPr="5921F049" w:rsidR="6B0DD70B">
        <w:rPr>
          <w:rFonts w:ascii="Arial" w:hAnsi="Arial" w:eastAsia="Arial" w:cs="Arial"/>
          <w:noProof w:val="0"/>
          <w:sz w:val="24"/>
          <w:szCs w:val="24"/>
          <w:lang w:val="en-GB"/>
        </w:rPr>
        <w:t xml:space="preserve">Recent inspection evidence highlights that these challenges persist. HMICFRS (2025) reported that at Gwent Police, staff in safeguarding roles often lack structured training, and processes for </w:t>
      </w:r>
      <w:r w:rsidRPr="5921F049" w:rsidR="6B0DD70B">
        <w:rPr>
          <w:rFonts w:ascii="Arial" w:hAnsi="Arial" w:eastAsia="Arial" w:cs="Arial"/>
          <w:noProof w:val="0"/>
          <w:sz w:val="24"/>
          <w:szCs w:val="24"/>
          <w:lang w:val="en-GB"/>
        </w:rPr>
        <w:t>identifying</w:t>
      </w:r>
      <w:r w:rsidRPr="5921F049" w:rsidR="6B0DD70B">
        <w:rPr>
          <w:rFonts w:ascii="Arial" w:hAnsi="Arial" w:eastAsia="Arial" w:cs="Arial"/>
          <w:noProof w:val="0"/>
          <w:sz w:val="24"/>
          <w:szCs w:val="24"/>
          <w:lang w:val="en-GB"/>
        </w:rPr>
        <w:t xml:space="preserve"> and sharing risks with partner agencies can vary between hubs. As a result, some vulnerable children and adults are not referred to social care promptly, and multi-agency coordination is inconsistent. Even though MARAC arrangements are in place, quality assurance and follow-up are limited. This shows that while the NVAP guides strategic planning and encourages multi-agency collaboration, effective protection of vulnerable people still depends on local workforce skills, clear procedures, and </w:t>
      </w:r>
      <w:r w:rsidRPr="5921F049" w:rsidR="6B0DD70B">
        <w:rPr>
          <w:rFonts w:ascii="Arial" w:hAnsi="Arial" w:eastAsia="Arial" w:cs="Arial"/>
          <w:noProof w:val="0"/>
          <w:sz w:val="24"/>
          <w:szCs w:val="24"/>
          <w:lang w:val="en-GB"/>
        </w:rPr>
        <w:t>strong communication</w:t>
      </w:r>
      <w:r w:rsidRPr="5921F049" w:rsidR="6B0DD70B">
        <w:rPr>
          <w:rFonts w:ascii="Arial" w:hAnsi="Arial" w:eastAsia="Arial" w:cs="Arial"/>
          <w:noProof w:val="0"/>
          <w:sz w:val="24"/>
          <w:szCs w:val="24"/>
          <w:lang w:val="en-GB"/>
        </w:rPr>
        <w:t xml:space="preserve"> between agencies.</w:t>
      </w:r>
    </w:p>
    <w:p w:rsidR="6B0DD70B" w:rsidP="5921F049" w:rsidRDefault="6B0DD70B" w14:paraId="6290C55E" w14:textId="380529C1">
      <w:pPr>
        <w:spacing w:before="240" w:beforeAutospacing="off" w:after="240" w:afterAutospacing="off" w:line="480" w:lineRule="auto"/>
      </w:pPr>
      <w:r w:rsidRPr="5921F049" w:rsidR="6B0DD70B">
        <w:rPr>
          <w:rFonts w:ascii="Arial" w:hAnsi="Arial" w:eastAsia="Arial" w:cs="Arial"/>
          <w:noProof w:val="0"/>
          <w:sz w:val="24"/>
          <w:szCs w:val="24"/>
          <w:lang w:val="en-GB"/>
        </w:rPr>
        <w:t xml:space="preserve">Early intervention is </w:t>
      </w:r>
      <w:r w:rsidRPr="5921F049" w:rsidR="6B0DD70B">
        <w:rPr>
          <w:rFonts w:ascii="Arial" w:hAnsi="Arial" w:eastAsia="Arial" w:cs="Arial"/>
          <w:noProof w:val="0"/>
          <w:sz w:val="24"/>
          <w:szCs w:val="24"/>
          <w:lang w:val="en-GB"/>
        </w:rPr>
        <w:t>a central component</w:t>
      </w:r>
      <w:r w:rsidRPr="5921F049" w:rsidR="6B0DD70B">
        <w:rPr>
          <w:rFonts w:ascii="Arial" w:hAnsi="Arial" w:eastAsia="Arial" w:cs="Arial"/>
          <w:noProof w:val="0"/>
          <w:sz w:val="24"/>
          <w:szCs w:val="24"/>
          <w:lang w:val="en-GB"/>
        </w:rPr>
        <w:t xml:space="preserve"> of the NVAP, aiming to support vulnerable individuals before risks escalate, and where possible, to prevent them from becoming victims in the first place (Williams, 2023, p. 29). Williams (2023) highlights that effective early intervention depends on officers recognising signs of vulnerability, making informed decisions tailored to each individual case, and engaging partner agencies promptly to provide </w:t>
      </w:r>
      <w:r w:rsidRPr="5921F049" w:rsidR="6B0DD70B">
        <w:rPr>
          <w:rFonts w:ascii="Arial" w:hAnsi="Arial" w:eastAsia="Arial" w:cs="Arial"/>
          <w:noProof w:val="0"/>
          <w:sz w:val="24"/>
          <w:szCs w:val="24"/>
          <w:lang w:val="en-GB"/>
        </w:rPr>
        <w:t>appropriate support</w:t>
      </w:r>
      <w:r w:rsidRPr="5921F049" w:rsidR="6B0DD70B">
        <w:rPr>
          <w:rFonts w:ascii="Arial" w:hAnsi="Arial" w:eastAsia="Arial" w:cs="Arial"/>
          <w:noProof w:val="0"/>
          <w:sz w:val="24"/>
          <w:szCs w:val="24"/>
          <w:lang w:val="en-GB"/>
        </w:rPr>
        <w:t xml:space="preserve">. Strong supervision and leadership within policing are also crucial to ensure these decisions are consistently applied. The NVAP </w:t>
      </w:r>
      <w:r w:rsidRPr="5921F049" w:rsidR="6B0DD70B">
        <w:rPr>
          <w:rFonts w:ascii="Arial" w:hAnsi="Arial" w:eastAsia="Arial" w:cs="Arial"/>
          <w:noProof w:val="0"/>
          <w:sz w:val="24"/>
          <w:szCs w:val="24"/>
          <w:lang w:val="en-GB"/>
        </w:rPr>
        <w:t>identifies</w:t>
      </w:r>
      <w:r w:rsidRPr="5921F049" w:rsidR="6B0DD70B">
        <w:rPr>
          <w:rFonts w:ascii="Arial" w:hAnsi="Arial" w:eastAsia="Arial" w:cs="Arial"/>
          <w:noProof w:val="0"/>
          <w:sz w:val="24"/>
          <w:szCs w:val="24"/>
          <w:lang w:val="en-GB"/>
        </w:rPr>
        <w:t xml:space="preserve"> multiple areas for improvement, including responses to mental health, emphasising that mental health considerations should be integrated into every assessment and that officers must provide suitable guidance and signposting for vulnerable individuals (Williams, 2023, p. 29). The factors that make a person vulnerable and at risk are often complex and connected, increasing the chance they might experience harm. Research has found links between certain factors and higher risk, but these correlations do not prove that one factor directly causes harm, and more detailed research would be needed to confirm any cause-and-effect relationships (Wood et al., 2024, p. 489). For frontline officers, spotting vulnerability during </w:t>
      </w:r>
      <w:r w:rsidRPr="5921F049" w:rsidR="6B0DD70B">
        <w:rPr>
          <w:rFonts w:ascii="Arial" w:hAnsi="Arial" w:eastAsia="Arial" w:cs="Arial"/>
          <w:noProof w:val="0"/>
          <w:sz w:val="24"/>
          <w:szCs w:val="24"/>
          <w:lang w:val="en-GB"/>
        </w:rPr>
        <w:t>an initial</w:t>
      </w:r>
      <w:r w:rsidRPr="5921F049" w:rsidR="6B0DD70B">
        <w:rPr>
          <w:rFonts w:ascii="Arial" w:hAnsi="Arial" w:eastAsia="Arial" w:cs="Arial"/>
          <w:noProof w:val="0"/>
          <w:sz w:val="24"/>
          <w:szCs w:val="24"/>
          <w:lang w:val="en-GB"/>
        </w:rPr>
        <w:t xml:space="preserve"> encounter can be </w:t>
      </w:r>
      <w:r w:rsidRPr="5921F049" w:rsidR="6B0DD70B">
        <w:rPr>
          <w:rFonts w:ascii="Arial" w:hAnsi="Arial" w:eastAsia="Arial" w:cs="Arial"/>
          <w:noProof w:val="0"/>
          <w:sz w:val="24"/>
          <w:szCs w:val="24"/>
          <w:lang w:val="en-GB"/>
        </w:rPr>
        <w:t>very challenging</w:t>
      </w:r>
      <w:r w:rsidRPr="5921F049" w:rsidR="6B0DD70B">
        <w:rPr>
          <w:rFonts w:ascii="Arial" w:hAnsi="Arial" w:eastAsia="Arial" w:cs="Arial"/>
          <w:noProof w:val="0"/>
          <w:sz w:val="24"/>
          <w:szCs w:val="24"/>
          <w:lang w:val="en-GB"/>
        </w:rPr>
        <w:t xml:space="preserve">. While it would be useful to have a standard test or checklist to </w:t>
      </w:r>
      <w:r w:rsidRPr="5921F049" w:rsidR="6B0DD70B">
        <w:rPr>
          <w:rFonts w:ascii="Arial" w:hAnsi="Arial" w:eastAsia="Arial" w:cs="Arial"/>
          <w:noProof w:val="0"/>
          <w:sz w:val="24"/>
          <w:szCs w:val="24"/>
          <w:lang w:val="en-GB"/>
        </w:rPr>
        <w:t>identify</w:t>
      </w:r>
      <w:r w:rsidRPr="5921F049" w:rsidR="6B0DD70B">
        <w:rPr>
          <w:rFonts w:ascii="Arial" w:hAnsi="Arial" w:eastAsia="Arial" w:cs="Arial"/>
          <w:noProof w:val="0"/>
          <w:sz w:val="24"/>
          <w:szCs w:val="24"/>
          <w:lang w:val="en-GB"/>
        </w:rPr>
        <w:t xml:space="preserve"> someone’s risk, the wide range of factors and the difficulty of spotting them straight away makes this unrealistic. Instead, officers need a good understanding of what vulnerability looks like, the ability to recognise signs, and </w:t>
      </w:r>
      <w:r w:rsidRPr="5921F049" w:rsidR="6B0DD70B">
        <w:rPr>
          <w:rFonts w:ascii="Arial" w:hAnsi="Arial" w:eastAsia="Arial" w:cs="Arial"/>
          <w:noProof w:val="0"/>
          <w:sz w:val="24"/>
          <w:szCs w:val="24"/>
          <w:lang w:val="en-GB"/>
        </w:rPr>
        <w:t>strong communication</w:t>
      </w:r>
      <w:r w:rsidRPr="5921F049" w:rsidR="6B0DD70B">
        <w:rPr>
          <w:rFonts w:ascii="Arial" w:hAnsi="Arial" w:eastAsia="Arial" w:cs="Arial"/>
          <w:noProof w:val="0"/>
          <w:sz w:val="24"/>
          <w:szCs w:val="24"/>
          <w:lang w:val="en-GB"/>
        </w:rPr>
        <w:t xml:space="preserve"> skills to gather </w:t>
      </w:r>
      <w:r w:rsidRPr="5921F049" w:rsidR="6B0DD70B">
        <w:rPr>
          <w:rFonts w:ascii="Arial" w:hAnsi="Arial" w:eastAsia="Arial" w:cs="Arial"/>
          <w:noProof w:val="0"/>
          <w:sz w:val="24"/>
          <w:szCs w:val="24"/>
          <w:lang w:val="en-GB"/>
        </w:rPr>
        <w:t>accurate</w:t>
      </w:r>
      <w:r w:rsidRPr="5921F049" w:rsidR="6B0DD70B">
        <w:rPr>
          <w:rFonts w:ascii="Arial" w:hAnsi="Arial" w:eastAsia="Arial" w:cs="Arial"/>
          <w:noProof w:val="0"/>
          <w:sz w:val="24"/>
          <w:szCs w:val="24"/>
          <w:lang w:val="en-GB"/>
        </w:rPr>
        <w:t xml:space="preserve"> information (Wood et al., 2024, p. 490).</w:t>
      </w:r>
    </w:p>
    <w:p w:rsidR="6B0DD70B" w:rsidP="5921F049" w:rsidRDefault="6B0DD70B" w14:paraId="377AFD12" w14:textId="0BF8E73E">
      <w:pPr>
        <w:pStyle w:val="Normal"/>
        <w:spacing w:before="240" w:beforeAutospacing="off" w:after="240" w:afterAutospacing="off" w:line="480" w:lineRule="auto"/>
      </w:pPr>
      <w:r w:rsidRPr="5921F049" w:rsidR="6B0DD70B">
        <w:rPr>
          <w:rFonts w:ascii="Arial" w:hAnsi="Arial" w:eastAsia="Arial" w:cs="Arial"/>
          <w:noProof w:val="0"/>
          <w:sz w:val="24"/>
          <w:szCs w:val="24"/>
          <w:lang w:val="en-GB"/>
        </w:rPr>
        <w:t xml:space="preserve">Building on the challenges of </w:t>
      </w:r>
      <w:r w:rsidRPr="5921F049" w:rsidR="6B0DD70B">
        <w:rPr>
          <w:rFonts w:ascii="Arial" w:hAnsi="Arial" w:eastAsia="Arial" w:cs="Arial"/>
          <w:noProof w:val="0"/>
          <w:sz w:val="24"/>
          <w:szCs w:val="24"/>
          <w:lang w:val="en-GB"/>
        </w:rPr>
        <w:t>identifying</w:t>
      </w:r>
      <w:r w:rsidRPr="5921F049" w:rsidR="6B0DD70B">
        <w:rPr>
          <w:rFonts w:ascii="Arial" w:hAnsi="Arial" w:eastAsia="Arial" w:cs="Arial"/>
          <w:noProof w:val="0"/>
          <w:sz w:val="24"/>
          <w:szCs w:val="24"/>
          <w:lang w:val="en-GB"/>
        </w:rPr>
        <w:t xml:space="preserve"> vulnerability at first contact, effective protection of at-risk individuals relies not only on officer judgment but also on coordinated action with other agencies. Multi-agency approaches are crucial for both preventing and addressing harm to vulnerable adults and children. Police officers need to communicate effectively with external agencies and be aware of any safeguarding strategies that are in place. While provision can differ across the country, good practice often involves a local strategic partnership that brings together representatives from local authorities, public and private sectors, as well as community and voluntary organisations. This collaborative approach allows for more comprehensive support plans, ensuring vulnerable individuals receive </w:t>
      </w:r>
      <w:r w:rsidRPr="5921F049" w:rsidR="6B0DD70B">
        <w:rPr>
          <w:rFonts w:ascii="Arial" w:hAnsi="Arial" w:eastAsia="Arial" w:cs="Arial"/>
          <w:noProof w:val="0"/>
          <w:sz w:val="24"/>
          <w:szCs w:val="24"/>
          <w:lang w:val="en-GB"/>
        </w:rPr>
        <w:t>timely</w:t>
      </w:r>
      <w:r w:rsidRPr="5921F049" w:rsidR="6B0DD70B">
        <w:rPr>
          <w:rFonts w:ascii="Arial" w:hAnsi="Arial" w:eastAsia="Arial" w:cs="Arial"/>
          <w:noProof w:val="0"/>
          <w:sz w:val="24"/>
          <w:szCs w:val="24"/>
          <w:lang w:val="en-GB"/>
        </w:rPr>
        <w:t xml:space="preserve"> and tailored interventions (Wood et al., 2024, p. 425). Research by Sidebotham et al. (2022) also highlights that integrated working improves early identification of risk, reduces duplication, and enhances protective measures for children and adults at risk. </w:t>
      </w:r>
      <w:r w:rsidRPr="5921F049" w:rsidR="275B65F2">
        <w:rPr>
          <w:rFonts w:ascii="Arial" w:hAnsi="Arial" w:eastAsia="Arial" w:cs="Arial"/>
          <w:noProof w:val="0"/>
          <w:sz w:val="24"/>
          <w:szCs w:val="24"/>
          <w:lang w:val="en-GB"/>
        </w:rPr>
        <w:t xml:space="preserve">However, both highlight that working together is not always straightforward. Agencies may have different priorities, information is not always shared well, and stretched resources can limit how effective the support </w:t>
      </w:r>
      <w:r w:rsidRPr="5921F049" w:rsidR="275B65F2">
        <w:rPr>
          <w:rFonts w:ascii="Arial" w:hAnsi="Arial" w:eastAsia="Arial" w:cs="Arial"/>
          <w:noProof w:val="0"/>
          <w:sz w:val="24"/>
          <w:szCs w:val="24"/>
          <w:lang w:val="en-GB"/>
        </w:rPr>
        <w:t>is.</w:t>
      </w:r>
      <w:r w:rsidRPr="5921F049" w:rsidR="6B0DD70B">
        <w:rPr>
          <w:rFonts w:ascii="Arial" w:hAnsi="Arial" w:eastAsia="Arial" w:cs="Arial"/>
          <w:noProof w:val="0"/>
          <w:sz w:val="24"/>
          <w:szCs w:val="24"/>
          <w:lang w:val="en-GB"/>
        </w:rPr>
        <w:t xml:space="preserve"> These findings </w:t>
      </w:r>
      <w:r w:rsidRPr="5921F049" w:rsidR="6B0DD70B">
        <w:rPr>
          <w:rFonts w:ascii="Arial" w:hAnsi="Arial" w:eastAsia="Arial" w:cs="Arial"/>
          <w:noProof w:val="0"/>
          <w:sz w:val="24"/>
          <w:szCs w:val="24"/>
          <w:lang w:val="en-GB"/>
        </w:rPr>
        <w:t>indicate</w:t>
      </w:r>
      <w:r w:rsidRPr="5921F049" w:rsidR="6B0DD70B">
        <w:rPr>
          <w:rFonts w:ascii="Arial" w:hAnsi="Arial" w:eastAsia="Arial" w:cs="Arial"/>
          <w:noProof w:val="0"/>
          <w:sz w:val="24"/>
          <w:szCs w:val="24"/>
          <w:lang w:val="en-GB"/>
        </w:rPr>
        <w:t xml:space="preserve"> that while NVAP provides a framework for partnership working, achieving consistent multi-agency engagement in practice </w:t>
      </w:r>
      <w:r w:rsidRPr="5921F049" w:rsidR="6B0DD70B">
        <w:rPr>
          <w:rFonts w:ascii="Arial" w:hAnsi="Arial" w:eastAsia="Arial" w:cs="Arial"/>
          <w:noProof w:val="0"/>
          <w:sz w:val="24"/>
          <w:szCs w:val="24"/>
          <w:lang w:val="en-GB"/>
        </w:rPr>
        <w:t>remains</w:t>
      </w:r>
      <w:r w:rsidRPr="5921F049" w:rsidR="6B0DD70B">
        <w:rPr>
          <w:rFonts w:ascii="Arial" w:hAnsi="Arial" w:eastAsia="Arial" w:cs="Arial"/>
          <w:noProof w:val="0"/>
          <w:sz w:val="24"/>
          <w:szCs w:val="24"/>
          <w:lang w:val="en-GB"/>
        </w:rPr>
        <w:t xml:space="preserve"> a work in progress.</w:t>
      </w:r>
    </w:p>
    <w:p w:rsidR="6B0DD70B" w:rsidP="5921F049" w:rsidRDefault="6B0DD70B" w14:paraId="2E0BF972" w14:textId="2CF19725">
      <w:pPr>
        <w:pStyle w:val="Normal"/>
        <w:spacing w:before="240" w:beforeAutospacing="off" w:after="240" w:afterAutospacing="off" w:line="480" w:lineRule="auto"/>
      </w:pPr>
      <w:r w:rsidRPr="5921F049" w:rsidR="6B0DD70B">
        <w:rPr>
          <w:rFonts w:ascii="Arial" w:hAnsi="Arial" w:eastAsia="Arial" w:cs="Arial"/>
          <w:noProof w:val="0"/>
          <w:sz w:val="24"/>
          <w:szCs w:val="24"/>
          <w:lang w:val="en-GB"/>
        </w:rPr>
        <w:t xml:space="preserve">While frameworks such as the NVAP and local multi-agency partnerships aim to strengthen protection for vulnerable people, evidence shows that outcomes are still inconsistent. The Annual Victims’ Survey 2023 conducted by the Victims’ Commissioner for England and Wales found that almost half of respondents felt they did not receive adequate support from the police, with communication and timeliness being the most common concerns (Victims’ Commissioner for England and Wales, 2023). </w:t>
      </w:r>
      <w:r w:rsidRPr="5921F049" w:rsidR="6F786F1D">
        <w:rPr>
          <w:rFonts w:ascii="Arial" w:hAnsi="Arial" w:eastAsia="Arial" w:cs="Arial"/>
          <w:noProof w:val="0"/>
          <w:sz w:val="24"/>
          <w:szCs w:val="24"/>
          <w:lang w:val="en-GB"/>
        </w:rPr>
        <w:t xml:space="preserve">This suggests that even though officers may understand how to respond to vulnerability, the pressures of day-to-day work, limited resources and gaps in follow-up mean that safeguarding is not always done as well as it should </w:t>
      </w:r>
      <w:r w:rsidRPr="5921F049" w:rsidR="6F786F1D">
        <w:rPr>
          <w:rFonts w:ascii="Arial" w:hAnsi="Arial" w:eastAsia="Arial" w:cs="Arial"/>
          <w:noProof w:val="0"/>
          <w:sz w:val="24"/>
          <w:szCs w:val="24"/>
          <w:lang w:val="en-GB"/>
        </w:rPr>
        <w:t>be</w:t>
      </w:r>
      <w:r w:rsidRPr="5921F049" w:rsidR="6B0DD70B">
        <w:rPr>
          <w:rFonts w:ascii="Arial" w:hAnsi="Arial" w:eastAsia="Arial" w:cs="Arial"/>
          <w:noProof w:val="0"/>
          <w:sz w:val="24"/>
          <w:szCs w:val="24"/>
          <w:lang w:val="en-GB"/>
        </w:rPr>
        <w:t>.</w:t>
      </w:r>
      <w:r w:rsidRPr="5921F049" w:rsidR="6B0DD70B">
        <w:rPr>
          <w:rFonts w:ascii="Arial" w:hAnsi="Arial" w:eastAsia="Arial" w:cs="Arial"/>
          <w:noProof w:val="0"/>
          <w:sz w:val="24"/>
          <w:szCs w:val="24"/>
          <w:lang w:val="en-GB"/>
        </w:rPr>
        <w:t xml:space="preserve"> This aligns with Williams (2023), who notes that the police’s ability to deliver early intervention depends heavily on supervision, leadership, and sustained partnership engagement rather than reactive responses. Strengthening victim engagement, embedding trauma-informed practice, and ensuring that follow-up support is consistent across regions are crucial if the NVAP’s intentions are to translate into tangible improvements for victims and vulnerable individuals.</w:t>
      </w:r>
    </w:p>
    <w:p w:rsidR="6B0DD70B" w:rsidP="5921F049" w:rsidRDefault="6B0DD70B" w14:paraId="4E7B02E2" w14:textId="144E035C">
      <w:pPr>
        <w:spacing w:before="240" w:beforeAutospacing="off" w:after="240" w:afterAutospacing="off" w:line="480" w:lineRule="auto"/>
      </w:pPr>
      <w:r w:rsidRPr="5921F049" w:rsidR="6B0DD70B">
        <w:rPr>
          <w:rFonts w:ascii="Arial" w:hAnsi="Arial" w:eastAsia="Arial" w:cs="Arial"/>
          <w:noProof w:val="0"/>
          <w:sz w:val="24"/>
          <w:szCs w:val="24"/>
          <w:lang w:val="en-GB"/>
        </w:rPr>
        <w:t xml:space="preserve">Operation Encompass </w:t>
      </w:r>
      <w:r w:rsidRPr="5921F049" w:rsidR="6B0DD70B">
        <w:rPr>
          <w:rFonts w:ascii="Arial" w:hAnsi="Arial" w:eastAsia="Arial" w:cs="Arial"/>
          <w:noProof w:val="0"/>
          <w:sz w:val="24"/>
          <w:szCs w:val="24"/>
          <w:lang w:val="en-GB"/>
        </w:rPr>
        <w:t>provides</w:t>
      </w:r>
      <w:r w:rsidRPr="5921F049" w:rsidR="6B0DD70B">
        <w:rPr>
          <w:rFonts w:ascii="Arial" w:hAnsi="Arial" w:eastAsia="Arial" w:cs="Arial"/>
          <w:noProof w:val="0"/>
          <w:sz w:val="24"/>
          <w:szCs w:val="24"/>
          <w:lang w:val="en-GB"/>
        </w:rPr>
        <w:t xml:space="preserve"> a clear example of how early intervention and multi‑agency working can be effective in safeguarding children. Since May 2024, the scheme has become statutory, requiring all police forces in England and Wales to notify schools when a child has been exposed to domestic abuse. This ensures that teachers are aware of the child’s situation before the start of the next school day and can provide </w:t>
      </w:r>
      <w:r w:rsidRPr="5921F049" w:rsidR="6B0DD70B">
        <w:rPr>
          <w:rFonts w:ascii="Arial" w:hAnsi="Arial" w:eastAsia="Arial" w:cs="Arial"/>
          <w:noProof w:val="0"/>
          <w:sz w:val="24"/>
          <w:szCs w:val="24"/>
          <w:lang w:val="en-GB"/>
        </w:rPr>
        <w:t>timely</w:t>
      </w:r>
      <w:r w:rsidRPr="5921F049" w:rsidR="6B0DD70B">
        <w:rPr>
          <w:rFonts w:ascii="Arial" w:hAnsi="Arial" w:eastAsia="Arial" w:cs="Arial"/>
          <w:noProof w:val="0"/>
          <w:sz w:val="24"/>
          <w:szCs w:val="24"/>
          <w:lang w:val="en-GB"/>
        </w:rPr>
        <w:t xml:space="preserve"> support and monitoring (Operation Encompass, 2024). The initiative reflects the key principles of the NVAP by embedding partnership working between the police, schools, and social care, and </w:t>
      </w:r>
      <w:r w:rsidRPr="5921F049" w:rsidR="6B0DD70B">
        <w:rPr>
          <w:rFonts w:ascii="Arial" w:hAnsi="Arial" w:eastAsia="Arial" w:cs="Arial"/>
          <w:noProof w:val="0"/>
          <w:sz w:val="24"/>
          <w:szCs w:val="24"/>
          <w:lang w:val="en-GB"/>
        </w:rPr>
        <w:t>demonstrates</w:t>
      </w:r>
      <w:r w:rsidRPr="5921F049" w:rsidR="6B0DD70B">
        <w:rPr>
          <w:rFonts w:ascii="Arial" w:hAnsi="Arial" w:eastAsia="Arial" w:cs="Arial"/>
          <w:noProof w:val="0"/>
          <w:sz w:val="24"/>
          <w:szCs w:val="24"/>
          <w:lang w:val="en-GB"/>
        </w:rPr>
        <w:t xml:space="preserve"> how a structured, national approach can improve outcomes for vulnerable children. Evaluations show that children </w:t>
      </w:r>
      <w:r w:rsidRPr="5921F049" w:rsidR="6B0DD70B">
        <w:rPr>
          <w:rFonts w:ascii="Arial" w:hAnsi="Arial" w:eastAsia="Arial" w:cs="Arial"/>
          <w:noProof w:val="0"/>
          <w:sz w:val="24"/>
          <w:szCs w:val="24"/>
          <w:lang w:val="en-GB"/>
        </w:rPr>
        <w:t>benefit</w:t>
      </w:r>
      <w:r w:rsidRPr="5921F049" w:rsidR="6B0DD70B">
        <w:rPr>
          <w:rFonts w:ascii="Arial" w:hAnsi="Arial" w:eastAsia="Arial" w:cs="Arial"/>
          <w:noProof w:val="0"/>
          <w:sz w:val="24"/>
          <w:szCs w:val="24"/>
          <w:lang w:val="en-GB"/>
        </w:rPr>
        <w:t xml:space="preserve"> from increased emotional support, improved safety, and earlier identification of risk, highlighting how effective collaboration and clear information-sharing can translate policy intentions into meaningful, practical safeguarding interventions (Home Office, 2022). While initiatives like Operation Encompass show how multi-agency working can improve early intervention, safeguarding failures </w:t>
      </w:r>
      <w:r w:rsidRPr="5921F049" w:rsidR="6B0DD70B">
        <w:rPr>
          <w:rFonts w:ascii="Arial" w:hAnsi="Arial" w:eastAsia="Arial" w:cs="Arial"/>
          <w:noProof w:val="0"/>
          <w:sz w:val="24"/>
          <w:szCs w:val="24"/>
          <w:lang w:val="en-GB"/>
        </w:rPr>
        <w:t>demonstrate</w:t>
      </w:r>
      <w:r w:rsidRPr="5921F049" w:rsidR="6B0DD70B">
        <w:rPr>
          <w:rFonts w:ascii="Arial" w:hAnsi="Arial" w:eastAsia="Arial" w:cs="Arial"/>
          <w:noProof w:val="0"/>
          <w:sz w:val="24"/>
          <w:szCs w:val="24"/>
          <w:lang w:val="en-GB"/>
        </w:rPr>
        <w:t xml:space="preserve"> that frameworks such as the NVAP are not always effectively implemented. The tragic case of Arthur </w:t>
      </w:r>
      <w:r w:rsidRPr="5921F049" w:rsidR="6B0DD70B">
        <w:rPr>
          <w:rFonts w:ascii="Arial" w:hAnsi="Arial" w:eastAsia="Arial" w:cs="Arial"/>
          <w:noProof w:val="0"/>
          <w:sz w:val="24"/>
          <w:szCs w:val="24"/>
          <w:lang w:val="en-GB"/>
        </w:rPr>
        <w:t>Labinjo</w:t>
      </w:r>
      <w:r w:rsidRPr="5921F049" w:rsidR="6B0DD70B">
        <w:rPr>
          <w:rFonts w:ascii="Arial" w:hAnsi="Arial" w:eastAsia="Arial" w:cs="Arial"/>
          <w:noProof w:val="0"/>
          <w:sz w:val="24"/>
          <w:szCs w:val="24"/>
          <w:lang w:val="en-GB"/>
        </w:rPr>
        <w:t xml:space="preserve">-Hughes highlights this gap: multiple warning signs were missed by police, social care, and health services, despite existing safeguarding frameworks (Department for Education, 2022). Investigations </w:t>
      </w:r>
      <w:r w:rsidRPr="5921F049" w:rsidR="6B0DD70B">
        <w:rPr>
          <w:rFonts w:ascii="Arial" w:hAnsi="Arial" w:eastAsia="Arial" w:cs="Arial"/>
          <w:noProof w:val="0"/>
          <w:sz w:val="24"/>
          <w:szCs w:val="24"/>
          <w:lang w:val="en-GB"/>
        </w:rPr>
        <w:t>identified</w:t>
      </w:r>
      <w:r w:rsidRPr="5921F049" w:rsidR="6B0DD70B">
        <w:rPr>
          <w:rFonts w:ascii="Arial" w:hAnsi="Arial" w:eastAsia="Arial" w:cs="Arial"/>
          <w:noProof w:val="0"/>
          <w:sz w:val="24"/>
          <w:szCs w:val="24"/>
          <w:lang w:val="en-GB"/>
        </w:rPr>
        <w:t xml:space="preserve"> failures in communication, oversight, and </w:t>
      </w:r>
      <w:r w:rsidRPr="5921F049" w:rsidR="6B0DD70B">
        <w:rPr>
          <w:rFonts w:ascii="Arial" w:hAnsi="Arial" w:eastAsia="Arial" w:cs="Arial"/>
          <w:noProof w:val="0"/>
          <w:sz w:val="24"/>
          <w:szCs w:val="24"/>
          <w:lang w:val="en-GB"/>
        </w:rPr>
        <w:t>timely</w:t>
      </w:r>
      <w:r w:rsidRPr="5921F049" w:rsidR="6B0DD70B">
        <w:rPr>
          <w:rFonts w:ascii="Arial" w:hAnsi="Arial" w:eastAsia="Arial" w:cs="Arial"/>
          <w:noProof w:val="0"/>
          <w:sz w:val="24"/>
          <w:szCs w:val="24"/>
          <w:lang w:val="en-GB"/>
        </w:rPr>
        <w:t xml:space="preserve"> intervention, showing that policy alone does not guarantee protection. This case underscores the need for operationalising NVAP principles through strong leadership, consistent supervision, and effective coordination across agencies. Embedding clear procedures, improving information-sharing, and </w:t>
      </w:r>
      <w:r w:rsidRPr="5921F049" w:rsidR="6B0DD70B">
        <w:rPr>
          <w:rFonts w:ascii="Arial" w:hAnsi="Arial" w:eastAsia="Arial" w:cs="Arial"/>
          <w:noProof w:val="0"/>
          <w:sz w:val="24"/>
          <w:szCs w:val="24"/>
          <w:lang w:val="en-GB"/>
        </w:rPr>
        <w:t>maintaining</w:t>
      </w:r>
      <w:r w:rsidRPr="5921F049" w:rsidR="6B0DD70B">
        <w:rPr>
          <w:rFonts w:ascii="Arial" w:hAnsi="Arial" w:eastAsia="Arial" w:cs="Arial"/>
          <w:noProof w:val="0"/>
          <w:sz w:val="24"/>
          <w:szCs w:val="24"/>
          <w:lang w:val="en-GB"/>
        </w:rPr>
        <w:t xml:space="preserve"> accountability are essential to ensure that vulnerable individuals are recognised and supported promptly. Lessons from such cases reinforce the importance of continual training, professional development, and the active application of national frameworks to prevent harm.</w:t>
      </w:r>
    </w:p>
    <w:p w:rsidR="6B0DD70B" w:rsidP="5921F049" w:rsidRDefault="6B0DD70B" w14:paraId="29CE06B0" w14:textId="336A0D9C">
      <w:pPr>
        <w:spacing w:before="240" w:beforeAutospacing="off" w:after="240" w:afterAutospacing="off" w:line="480" w:lineRule="auto"/>
        <w:rPr>
          <w:rFonts w:ascii="Arial" w:hAnsi="Arial" w:eastAsia="Arial" w:cs="Arial"/>
          <w:noProof w:val="0"/>
          <w:sz w:val="24"/>
          <w:szCs w:val="24"/>
          <w:lang w:val="en-GB"/>
        </w:rPr>
      </w:pPr>
      <w:r w:rsidRPr="5921F049" w:rsidR="6B0DD70B">
        <w:rPr>
          <w:rFonts w:ascii="Arial" w:hAnsi="Arial" w:eastAsia="Arial" w:cs="Arial"/>
          <w:noProof w:val="0"/>
          <w:sz w:val="24"/>
          <w:szCs w:val="24"/>
          <w:lang w:val="en-GB"/>
        </w:rPr>
        <w:t xml:space="preserve">The NVAP has clearly provided a structured framework that has improved policing practice by promoting multi-agency collaboration and early intervention. Evidence shows that initiatives like Operation Encompass, when applied consistently, can lead to earlier identification of risk and better outcomes for children and adults (Operation Encompass, 2024; Williams, 2023). However, both research and case reviews </w:t>
      </w:r>
      <w:r w:rsidRPr="5921F049" w:rsidR="6B0DD70B">
        <w:rPr>
          <w:rFonts w:ascii="Arial" w:hAnsi="Arial" w:eastAsia="Arial" w:cs="Arial"/>
          <w:noProof w:val="0"/>
          <w:sz w:val="24"/>
          <w:szCs w:val="24"/>
          <w:lang w:val="en-GB"/>
        </w:rPr>
        <w:t>indicate</w:t>
      </w:r>
      <w:r w:rsidRPr="5921F049" w:rsidR="6B0DD70B">
        <w:rPr>
          <w:rFonts w:ascii="Arial" w:hAnsi="Arial" w:eastAsia="Arial" w:cs="Arial"/>
          <w:noProof w:val="0"/>
          <w:sz w:val="24"/>
          <w:szCs w:val="24"/>
          <w:lang w:val="en-GB"/>
        </w:rPr>
        <w:t xml:space="preserve"> that translating policy into practice </w:t>
      </w:r>
      <w:r w:rsidRPr="5921F049" w:rsidR="6B0DD70B">
        <w:rPr>
          <w:rFonts w:ascii="Arial" w:hAnsi="Arial" w:eastAsia="Arial" w:cs="Arial"/>
          <w:noProof w:val="0"/>
          <w:sz w:val="24"/>
          <w:szCs w:val="24"/>
          <w:lang w:val="en-GB"/>
        </w:rPr>
        <w:t>remains</w:t>
      </w:r>
      <w:r w:rsidRPr="5921F049" w:rsidR="6B0DD70B">
        <w:rPr>
          <w:rFonts w:ascii="Arial" w:hAnsi="Arial" w:eastAsia="Arial" w:cs="Arial"/>
          <w:noProof w:val="0"/>
          <w:sz w:val="24"/>
          <w:szCs w:val="24"/>
          <w:lang w:val="en-GB"/>
        </w:rPr>
        <w:t xml:space="preserve"> inconsistent. Differences in organisational priorities, resource limitations, and operational pressures can undermine effective collaboration, meaning that some vulnerable individuals still do not receive adequate protection (Sidebotham et al., 2022; Victims’ Commissioner for England and Wales, 2023).</w:t>
      </w:r>
      <w:r w:rsidRPr="5921F049" w:rsidR="11E5A471">
        <w:rPr>
          <w:rFonts w:ascii="Arial" w:hAnsi="Arial" w:eastAsia="Arial" w:cs="Arial"/>
          <w:noProof w:val="0"/>
          <w:sz w:val="24"/>
          <w:szCs w:val="24"/>
          <w:lang w:val="en-GB"/>
        </w:rPr>
        <w:t xml:space="preserve"> </w:t>
      </w:r>
      <w:r w:rsidRPr="5921F049" w:rsidR="6B0DD70B">
        <w:rPr>
          <w:rFonts w:ascii="Arial" w:hAnsi="Arial" w:eastAsia="Arial" w:cs="Arial"/>
          <w:noProof w:val="0"/>
          <w:sz w:val="24"/>
          <w:szCs w:val="24"/>
          <w:lang w:val="en-GB"/>
        </w:rPr>
        <w:t>Effective safeguarding relies not only on the frameworks themselves but also on</w:t>
      </w:r>
      <w:r w:rsidRPr="5921F049" w:rsidR="59A409E6">
        <w:rPr>
          <w:rFonts w:ascii="Arial" w:hAnsi="Arial" w:eastAsia="Arial" w:cs="Arial"/>
          <w:noProof w:val="0"/>
          <w:sz w:val="24"/>
          <w:szCs w:val="24"/>
          <w:lang w:val="en-GB"/>
        </w:rPr>
        <w:t xml:space="preserve"> </w:t>
      </w:r>
      <w:r w:rsidRPr="5921F049" w:rsidR="6B0DD70B">
        <w:rPr>
          <w:rFonts w:ascii="Arial" w:hAnsi="Arial" w:eastAsia="Arial" w:cs="Arial"/>
          <w:noProof w:val="0"/>
          <w:sz w:val="24"/>
          <w:szCs w:val="24"/>
          <w:lang w:val="en-GB"/>
        </w:rPr>
        <w:t>leadership, supervision, and ongoing evaluation. The evidence suggests that while NVAP has strengthened awareness and provided guidance, outcomes depend on embedding good practice locally, ensuring officers have the skills, support, and authority to act, and that partner agencies are aligned. Critically, learning from past safeguarding failures is essential; without reflection and improvement, the positive intentions of NVAP risk being limited to policy rather than actual practice.</w:t>
      </w:r>
    </w:p>
    <w:p w:rsidR="3C7A502E" w:rsidP="5921F049" w:rsidRDefault="3C7A502E" w14:paraId="74404688" w14:textId="06E143C7">
      <w:pPr>
        <w:spacing w:before="240" w:beforeAutospacing="off" w:after="240" w:afterAutospacing="off" w:line="480" w:lineRule="auto"/>
      </w:pPr>
      <w:r w:rsidRPr="5921F049" w:rsidR="3C7A502E">
        <w:rPr>
          <w:rFonts w:ascii="Arial" w:hAnsi="Arial" w:eastAsia="Arial" w:cs="Arial"/>
          <w:noProof w:val="0"/>
          <w:sz w:val="24"/>
          <w:szCs w:val="24"/>
          <w:lang w:val="en-GB"/>
        </w:rPr>
        <w:t xml:space="preserve">In conclusion, the National Vulnerability Action Plan has significantly influenced policing by embedding awareness of vulnerability, promoting early intervention, and encouraging multi-agency collaboration. Initiatives such as Operation Encompass illustrate how structured frameworks can improve outcomes for vulnerable children, by enabling earlier identification of risk, fostering clear communication between agencies, and ensuring </w:t>
      </w:r>
      <w:r w:rsidRPr="5921F049" w:rsidR="3C7A502E">
        <w:rPr>
          <w:rFonts w:ascii="Arial" w:hAnsi="Arial" w:eastAsia="Arial" w:cs="Arial"/>
          <w:noProof w:val="0"/>
          <w:sz w:val="24"/>
          <w:szCs w:val="24"/>
          <w:lang w:val="en-GB"/>
        </w:rPr>
        <w:t>timely</w:t>
      </w:r>
      <w:r w:rsidRPr="5921F049" w:rsidR="3C7A502E">
        <w:rPr>
          <w:rFonts w:ascii="Arial" w:hAnsi="Arial" w:eastAsia="Arial" w:cs="Arial"/>
          <w:noProof w:val="0"/>
          <w:sz w:val="24"/>
          <w:szCs w:val="24"/>
          <w:lang w:val="en-GB"/>
        </w:rPr>
        <w:t xml:space="preserve"> support (Operation Encompass, 2024; Williams, 2023). However, evidence from case studies and inspection reports </w:t>
      </w:r>
      <w:r w:rsidRPr="5921F049" w:rsidR="3C7A502E">
        <w:rPr>
          <w:rFonts w:ascii="Arial" w:hAnsi="Arial" w:eastAsia="Arial" w:cs="Arial"/>
          <w:noProof w:val="0"/>
          <w:sz w:val="24"/>
          <w:szCs w:val="24"/>
          <w:lang w:val="en-GB"/>
        </w:rPr>
        <w:t>demonstrates</w:t>
      </w:r>
      <w:r w:rsidRPr="5921F049" w:rsidR="3C7A502E">
        <w:rPr>
          <w:rFonts w:ascii="Arial" w:hAnsi="Arial" w:eastAsia="Arial" w:cs="Arial"/>
          <w:noProof w:val="0"/>
          <w:sz w:val="24"/>
          <w:szCs w:val="24"/>
          <w:lang w:val="en-GB"/>
        </w:rPr>
        <w:t xml:space="preserve"> that translating policy into consistent practice </w:t>
      </w:r>
      <w:r w:rsidRPr="5921F049" w:rsidR="3C7A502E">
        <w:rPr>
          <w:rFonts w:ascii="Arial" w:hAnsi="Arial" w:eastAsia="Arial" w:cs="Arial"/>
          <w:noProof w:val="0"/>
          <w:sz w:val="24"/>
          <w:szCs w:val="24"/>
          <w:lang w:val="en-GB"/>
        </w:rPr>
        <w:t>remains</w:t>
      </w:r>
      <w:r w:rsidRPr="5921F049" w:rsidR="3C7A502E">
        <w:rPr>
          <w:rFonts w:ascii="Arial" w:hAnsi="Arial" w:eastAsia="Arial" w:cs="Arial"/>
          <w:noProof w:val="0"/>
          <w:sz w:val="24"/>
          <w:szCs w:val="24"/>
          <w:lang w:val="en-GB"/>
        </w:rPr>
        <w:t xml:space="preserve"> a challenge. Differences in organisational priorities, resource constraints, operational pressures, and variable supervision continue to limit the effectiveness of safeguarding interventions (Sidebotham et al., 2022; Victims’ Commissioner for England and Wales, 2023).</w:t>
      </w:r>
    </w:p>
    <w:p w:rsidR="3C7A502E" w:rsidP="5921F049" w:rsidRDefault="3C7A502E" w14:paraId="7C3282EF" w14:textId="30662822">
      <w:pPr>
        <w:spacing w:before="240" w:beforeAutospacing="off" w:after="240" w:afterAutospacing="off" w:line="480" w:lineRule="auto"/>
        <w:rPr>
          <w:rFonts w:ascii="Arial" w:hAnsi="Arial" w:eastAsia="Arial" w:cs="Arial"/>
          <w:noProof w:val="0"/>
          <w:sz w:val="24"/>
          <w:szCs w:val="24"/>
          <w:lang w:val="en-GB"/>
        </w:rPr>
      </w:pPr>
      <w:r w:rsidRPr="5921F049" w:rsidR="3C7A502E">
        <w:rPr>
          <w:rFonts w:ascii="Arial" w:hAnsi="Arial" w:eastAsia="Arial" w:cs="Arial"/>
          <w:noProof w:val="0"/>
          <w:sz w:val="24"/>
          <w:szCs w:val="24"/>
          <w:lang w:val="en-GB"/>
        </w:rPr>
        <w:t xml:space="preserve">The tragic case of Arthur </w:t>
      </w:r>
      <w:r w:rsidRPr="5921F049" w:rsidR="3C7A502E">
        <w:rPr>
          <w:rFonts w:ascii="Arial" w:hAnsi="Arial" w:eastAsia="Arial" w:cs="Arial"/>
          <w:noProof w:val="0"/>
          <w:sz w:val="24"/>
          <w:szCs w:val="24"/>
          <w:lang w:val="en-GB"/>
        </w:rPr>
        <w:t>Labinjo</w:t>
      </w:r>
      <w:r w:rsidRPr="5921F049" w:rsidR="3C7A502E">
        <w:rPr>
          <w:rFonts w:ascii="Arial" w:hAnsi="Arial" w:eastAsia="Arial" w:cs="Arial"/>
          <w:noProof w:val="0"/>
          <w:sz w:val="24"/>
          <w:szCs w:val="24"/>
          <w:lang w:val="en-GB"/>
        </w:rPr>
        <w:t>-Hughes highlights the consequences when safeguarding frameworks are not operationalised effectively, reinforcing the need for strong leadership, professional curiosity, clear multi-agency communication, and ongoing supervision (Department for Education, 2022; Child Safeguarding Practice Review Panel, 2022). The NVAP provides a clear national framework, but its success depends on local implementation, including continuous professional development for officers, consistent application of policies, and effective partnership working with other agencies (NPCC, 2021; College of Policing, 2024).</w:t>
      </w:r>
      <w:r w:rsidRPr="5921F049" w:rsidR="73C357DA">
        <w:rPr>
          <w:rFonts w:ascii="Arial" w:hAnsi="Arial" w:eastAsia="Arial" w:cs="Arial"/>
          <w:noProof w:val="0"/>
          <w:sz w:val="24"/>
          <w:szCs w:val="24"/>
          <w:lang w:val="en-GB"/>
        </w:rPr>
        <w:t xml:space="preserve"> </w:t>
      </w:r>
      <w:r w:rsidRPr="5921F049" w:rsidR="3C7A502E">
        <w:rPr>
          <w:rFonts w:ascii="Arial" w:hAnsi="Arial" w:eastAsia="Arial" w:cs="Arial"/>
          <w:noProof w:val="0"/>
          <w:sz w:val="24"/>
          <w:szCs w:val="24"/>
          <w:lang w:val="en-GB"/>
        </w:rPr>
        <w:t>Ultimately, the</w:t>
      </w:r>
      <w:r w:rsidRPr="5921F049" w:rsidR="3C7A502E">
        <w:rPr>
          <w:rFonts w:ascii="Arial" w:hAnsi="Arial" w:eastAsia="Arial" w:cs="Arial"/>
          <w:noProof w:val="0"/>
          <w:sz w:val="24"/>
          <w:szCs w:val="24"/>
          <w:lang w:val="en-GB"/>
        </w:rPr>
        <w:t xml:space="preserve"> NVAP offers a roadmap for improving policing responses to vulnerability, but its potential can only be fully realised when policy is matched by practice. </w:t>
      </w:r>
    </w:p>
    <w:p w:rsidR="5921F049" w:rsidP="5921F049" w:rsidRDefault="5921F049" w14:paraId="54B080CD" w14:textId="112E53A4">
      <w:pPr>
        <w:pStyle w:val="Normal"/>
        <w:rPr>
          <w:rFonts w:ascii="Arial" w:hAnsi="Arial" w:eastAsia="Arial" w:cs="Arial"/>
          <w:noProof w:val="0"/>
          <w:sz w:val="24"/>
          <w:szCs w:val="24"/>
          <w:lang w:val="en-GB"/>
        </w:rPr>
      </w:pPr>
    </w:p>
    <w:p w:rsidR="5921F049" w:rsidP="5921F049" w:rsidRDefault="5921F049" w14:paraId="6D6281E8" w14:textId="3323CDB8">
      <w:pPr>
        <w:pStyle w:val="Normal"/>
        <w:rPr>
          <w:rFonts w:ascii="Arial" w:hAnsi="Arial" w:eastAsia="Arial" w:cs="Arial"/>
          <w:noProof w:val="0"/>
          <w:sz w:val="24"/>
          <w:szCs w:val="24"/>
          <w:lang w:val="en-GB"/>
        </w:rPr>
      </w:pPr>
    </w:p>
    <w:p w:rsidR="5921F049" w:rsidP="5921F049" w:rsidRDefault="5921F049" w14:paraId="2D8A8297" w14:textId="179557DE">
      <w:pPr>
        <w:pStyle w:val="Normal"/>
        <w:rPr>
          <w:rFonts w:ascii="Arial" w:hAnsi="Arial" w:eastAsia="Arial" w:cs="Arial"/>
          <w:noProof w:val="0"/>
          <w:sz w:val="24"/>
          <w:szCs w:val="24"/>
          <w:lang w:val="en-GB"/>
        </w:rPr>
      </w:pPr>
    </w:p>
    <w:p w:rsidR="5921F049" w:rsidP="5921F049" w:rsidRDefault="5921F049" w14:paraId="09F2C33F" w14:textId="1223C74F">
      <w:pPr>
        <w:pStyle w:val="Normal"/>
        <w:rPr>
          <w:rFonts w:ascii="Arial" w:hAnsi="Arial" w:eastAsia="Arial" w:cs="Arial"/>
          <w:noProof w:val="0"/>
          <w:sz w:val="24"/>
          <w:szCs w:val="24"/>
          <w:lang w:val="en-GB"/>
        </w:rPr>
      </w:pPr>
    </w:p>
    <w:p w:rsidR="5921F049" w:rsidP="5921F049" w:rsidRDefault="5921F049" w14:paraId="426507E3" w14:textId="51C1B79B">
      <w:pPr>
        <w:pStyle w:val="Normal"/>
        <w:rPr>
          <w:rFonts w:ascii="Arial" w:hAnsi="Arial" w:eastAsia="Arial" w:cs="Arial"/>
          <w:noProof w:val="0"/>
          <w:sz w:val="24"/>
          <w:szCs w:val="24"/>
          <w:lang w:val="en-GB"/>
        </w:rPr>
      </w:pPr>
    </w:p>
    <w:p w:rsidR="5921F049" w:rsidP="5921F049" w:rsidRDefault="5921F049" w14:paraId="4B858BB2" w14:textId="7AC2D820">
      <w:pPr>
        <w:pStyle w:val="Normal"/>
        <w:rPr>
          <w:rFonts w:ascii="Arial" w:hAnsi="Arial" w:eastAsia="Arial" w:cs="Arial"/>
          <w:noProof w:val="0"/>
          <w:sz w:val="24"/>
          <w:szCs w:val="24"/>
          <w:lang w:val="en-GB"/>
        </w:rPr>
      </w:pPr>
    </w:p>
    <w:p w:rsidR="5921F049" w:rsidP="5921F049" w:rsidRDefault="5921F049" w14:paraId="69386336" w14:textId="666FAEAD">
      <w:pPr>
        <w:pStyle w:val="Normal"/>
        <w:rPr>
          <w:rFonts w:ascii="Arial" w:hAnsi="Arial" w:eastAsia="Arial" w:cs="Arial"/>
          <w:noProof w:val="0"/>
          <w:sz w:val="24"/>
          <w:szCs w:val="24"/>
          <w:lang w:val="en-GB"/>
        </w:rPr>
      </w:pPr>
    </w:p>
    <w:p w:rsidR="5921F049" w:rsidP="5921F049" w:rsidRDefault="5921F049" w14:paraId="7CC57D2F" w14:textId="1893423D">
      <w:pPr>
        <w:pStyle w:val="Normal"/>
        <w:rPr>
          <w:rFonts w:ascii="Arial" w:hAnsi="Arial" w:eastAsia="Arial" w:cs="Arial"/>
          <w:noProof w:val="0"/>
          <w:sz w:val="24"/>
          <w:szCs w:val="24"/>
          <w:lang w:val="en-GB"/>
        </w:rPr>
      </w:pPr>
    </w:p>
    <w:p w:rsidR="5921F049" w:rsidP="5921F049" w:rsidRDefault="5921F049" w14:paraId="1C397903" w14:textId="626874C8">
      <w:pPr>
        <w:pStyle w:val="Normal"/>
        <w:rPr>
          <w:rFonts w:ascii="Arial" w:hAnsi="Arial" w:eastAsia="Arial" w:cs="Arial"/>
          <w:noProof w:val="0"/>
          <w:sz w:val="24"/>
          <w:szCs w:val="24"/>
          <w:lang w:val="en-GB"/>
        </w:rPr>
      </w:pPr>
    </w:p>
    <w:p w:rsidR="5921F049" w:rsidP="5921F049" w:rsidRDefault="5921F049" w14:paraId="6D8D091C" w14:textId="6AECD57F">
      <w:pPr>
        <w:pStyle w:val="Normal"/>
        <w:rPr>
          <w:rFonts w:ascii="Arial" w:hAnsi="Arial" w:eastAsia="Arial" w:cs="Arial"/>
          <w:noProof w:val="0"/>
          <w:sz w:val="24"/>
          <w:szCs w:val="24"/>
          <w:lang w:val="en-GB"/>
        </w:rPr>
      </w:pPr>
    </w:p>
    <w:p w:rsidR="5921F049" w:rsidP="5921F049" w:rsidRDefault="5921F049" w14:paraId="01B9F38C" w14:textId="0B6C2C88">
      <w:pPr>
        <w:pStyle w:val="Normal"/>
        <w:rPr>
          <w:rFonts w:ascii="Arial" w:hAnsi="Arial" w:eastAsia="Arial" w:cs="Arial"/>
          <w:noProof w:val="0"/>
          <w:sz w:val="24"/>
          <w:szCs w:val="24"/>
          <w:lang w:val="en-GB"/>
        </w:rPr>
      </w:pPr>
    </w:p>
    <w:p w:rsidR="5921F049" w:rsidP="5921F049" w:rsidRDefault="5921F049" w14:paraId="36BFC96F" w14:textId="51B6F068">
      <w:pPr>
        <w:pStyle w:val="Normal"/>
        <w:rPr>
          <w:rFonts w:ascii="Arial" w:hAnsi="Arial" w:eastAsia="Arial" w:cs="Arial"/>
          <w:noProof w:val="0"/>
          <w:sz w:val="24"/>
          <w:szCs w:val="24"/>
          <w:lang w:val="en-GB"/>
        </w:rPr>
      </w:pPr>
    </w:p>
    <w:p w:rsidR="5921F049" w:rsidP="5921F049" w:rsidRDefault="5921F049" w14:paraId="5528215A" w14:textId="7973BE5D">
      <w:pPr>
        <w:pStyle w:val="Normal"/>
        <w:rPr>
          <w:rFonts w:ascii="Arial" w:hAnsi="Arial" w:eastAsia="Arial" w:cs="Arial"/>
          <w:noProof w:val="0"/>
          <w:sz w:val="24"/>
          <w:szCs w:val="24"/>
          <w:lang w:val="en-GB"/>
        </w:rPr>
      </w:pPr>
    </w:p>
    <w:p w:rsidR="5921F049" w:rsidP="5921F049" w:rsidRDefault="5921F049" w14:paraId="7035F7A1" w14:textId="45DB02B7">
      <w:pPr>
        <w:pStyle w:val="Normal"/>
        <w:rPr>
          <w:rFonts w:ascii="Arial" w:hAnsi="Arial" w:eastAsia="Arial" w:cs="Arial"/>
          <w:noProof w:val="0"/>
          <w:sz w:val="24"/>
          <w:szCs w:val="24"/>
          <w:lang w:val="en-GB"/>
        </w:rPr>
      </w:pPr>
    </w:p>
    <w:p w:rsidR="5921F049" w:rsidP="5921F049" w:rsidRDefault="5921F049" w14:paraId="39DB7570" w14:textId="39F42EB9">
      <w:pPr>
        <w:pStyle w:val="Normal"/>
        <w:rPr>
          <w:rFonts w:ascii="Arial" w:hAnsi="Arial" w:eastAsia="Arial" w:cs="Arial"/>
          <w:noProof w:val="0"/>
          <w:sz w:val="24"/>
          <w:szCs w:val="24"/>
          <w:lang w:val="en-GB"/>
        </w:rPr>
      </w:pPr>
    </w:p>
    <w:p w:rsidR="5921F049" w:rsidP="5921F049" w:rsidRDefault="5921F049" w14:paraId="60338FFD" w14:textId="2DD0F762">
      <w:pPr>
        <w:pStyle w:val="Normal"/>
        <w:rPr>
          <w:rFonts w:ascii="Arial" w:hAnsi="Arial" w:eastAsia="Arial" w:cs="Arial"/>
          <w:noProof w:val="0"/>
          <w:sz w:val="24"/>
          <w:szCs w:val="24"/>
          <w:lang w:val="en-GB"/>
        </w:rPr>
      </w:pPr>
    </w:p>
    <w:p w:rsidR="5921F049" w:rsidP="5921F049" w:rsidRDefault="5921F049" w14:paraId="04B298EB" w14:textId="35EB3859">
      <w:pPr>
        <w:pStyle w:val="Normal"/>
        <w:rPr>
          <w:rFonts w:ascii="Arial" w:hAnsi="Arial" w:eastAsia="Arial" w:cs="Arial"/>
          <w:noProof w:val="0"/>
          <w:sz w:val="24"/>
          <w:szCs w:val="24"/>
          <w:lang w:val="en-GB"/>
        </w:rPr>
      </w:pPr>
    </w:p>
    <w:p w:rsidR="5921F049" w:rsidP="5921F049" w:rsidRDefault="5921F049" w14:paraId="699E07B7" w14:textId="0A04F14E">
      <w:pPr>
        <w:pStyle w:val="Normal"/>
        <w:rPr>
          <w:rFonts w:ascii="Arial" w:hAnsi="Arial" w:eastAsia="Arial" w:cs="Arial"/>
          <w:noProof w:val="0"/>
          <w:sz w:val="24"/>
          <w:szCs w:val="24"/>
          <w:lang w:val="en-GB"/>
        </w:rPr>
      </w:pPr>
    </w:p>
    <w:p w:rsidR="5921F049" w:rsidP="5921F049" w:rsidRDefault="5921F049" w14:paraId="344F639B" w14:textId="06BA2A70">
      <w:pPr>
        <w:pStyle w:val="Normal"/>
        <w:rPr>
          <w:rFonts w:ascii="Arial" w:hAnsi="Arial" w:eastAsia="Arial" w:cs="Arial"/>
          <w:noProof w:val="0"/>
          <w:sz w:val="24"/>
          <w:szCs w:val="24"/>
          <w:lang w:val="en-GB"/>
        </w:rPr>
      </w:pPr>
    </w:p>
    <w:p w:rsidR="5921F049" w:rsidP="5921F049" w:rsidRDefault="5921F049" w14:paraId="0A295062" w14:textId="41B0E196">
      <w:pPr>
        <w:pStyle w:val="Normal"/>
        <w:rPr>
          <w:rFonts w:ascii="Arial" w:hAnsi="Arial" w:eastAsia="Arial" w:cs="Arial"/>
          <w:noProof w:val="0"/>
          <w:sz w:val="24"/>
          <w:szCs w:val="24"/>
          <w:lang w:val="en-GB"/>
        </w:rPr>
      </w:pPr>
    </w:p>
    <w:p w:rsidR="5921F049" w:rsidP="5921F049" w:rsidRDefault="5921F049" w14:paraId="01188689" w14:textId="496F5E8C">
      <w:pPr>
        <w:pStyle w:val="Normal"/>
        <w:rPr>
          <w:rFonts w:ascii="Arial" w:hAnsi="Arial" w:eastAsia="Arial" w:cs="Arial"/>
          <w:noProof w:val="0"/>
          <w:sz w:val="24"/>
          <w:szCs w:val="24"/>
          <w:lang w:val="en-GB"/>
        </w:rPr>
      </w:pPr>
    </w:p>
    <w:p w:rsidR="2977E886" w:rsidP="5921F049" w:rsidRDefault="2977E886" w14:paraId="51F0C958" w14:textId="0DDAE6FB">
      <w:pPr>
        <w:pStyle w:val="Normal"/>
        <w:rPr>
          <w:rFonts w:ascii="Arial" w:hAnsi="Arial" w:eastAsia="Arial" w:cs="Arial"/>
          <w:noProof w:val="0"/>
          <w:sz w:val="24"/>
          <w:szCs w:val="24"/>
          <w:u w:val="single"/>
          <w:lang w:val="en-GB"/>
        </w:rPr>
      </w:pPr>
      <w:r w:rsidRPr="5921F049" w:rsidR="2977E886">
        <w:rPr>
          <w:rFonts w:ascii="Arial" w:hAnsi="Arial" w:eastAsia="Arial" w:cs="Arial"/>
          <w:noProof w:val="0"/>
          <w:sz w:val="24"/>
          <w:szCs w:val="24"/>
          <w:u w:val="single"/>
          <w:lang w:val="en-GB"/>
        </w:rPr>
        <w:t>Reference List</w:t>
      </w:r>
    </w:p>
    <w:p w:rsidR="5921F049" w:rsidP="5921F049" w:rsidRDefault="5921F049" w14:paraId="400EE2EE" w14:textId="7CDFC7EA">
      <w:pPr>
        <w:pStyle w:val="Normal"/>
        <w:rPr>
          <w:rFonts w:ascii="Arial" w:hAnsi="Arial" w:eastAsia="Arial" w:cs="Arial"/>
          <w:noProof w:val="0"/>
          <w:sz w:val="24"/>
          <w:szCs w:val="24"/>
          <w:lang w:val="en-GB"/>
        </w:rPr>
      </w:pPr>
    </w:p>
    <w:p w:rsidR="5921F049" w:rsidP="5921F049" w:rsidRDefault="5921F049" w14:paraId="226594CE" w14:textId="29BB82AB">
      <w:pPr>
        <w:spacing w:before="0" w:beforeAutospacing="off" w:after="240" w:afterAutospacing="off" w:line="360" w:lineRule="auto"/>
        <w:rPr>
          <w:rFonts w:ascii="Arial" w:hAnsi="Arial" w:eastAsia="Arial" w:cs="Arial"/>
          <w:noProof w:val="0"/>
          <w:sz w:val="24"/>
          <w:szCs w:val="24"/>
          <w:lang w:val="en-GB"/>
        </w:rPr>
      </w:pPr>
    </w:p>
    <w:p w:rsidR="1781C1DF" w:rsidP="5921F049" w:rsidRDefault="1781C1DF" w14:paraId="1851AD8A" w14:textId="5339B2E6">
      <w:pPr>
        <w:spacing w:before="240" w:beforeAutospacing="off" w:after="240" w:afterAutospacing="off"/>
      </w:pPr>
      <w:r w:rsidRPr="5921F049" w:rsidR="1781C1DF">
        <w:rPr>
          <w:rFonts w:ascii="Arial" w:hAnsi="Arial" w:eastAsia="Arial" w:cs="Arial"/>
          <w:noProof w:val="0"/>
          <w:sz w:val="24"/>
          <w:szCs w:val="24"/>
          <w:lang w:val="en-GB"/>
        </w:rPr>
        <w:t xml:space="preserve">Carney, E., Obe, H. and Carney, D. (2023) ‘Operation Encompass has saved lives’ – Deputy Chief Constable Operation Encompass Impact Report. [online] Available at: </w:t>
      </w:r>
      <w:hyperlink r:id="Rdcb6402a73164ca2">
        <w:r w:rsidRPr="5921F049" w:rsidR="1781C1DF">
          <w:rPr>
            <w:rStyle w:val="Hyperlink"/>
            <w:rFonts w:ascii="Arial" w:hAnsi="Arial" w:eastAsia="Arial" w:cs="Arial"/>
            <w:noProof w:val="0"/>
            <w:sz w:val="24"/>
            <w:szCs w:val="24"/>
            <w:lang w:val="en-GB"/>
          </w:rPr>
          <w:t>https://www.operationencompass.org/SM4/Mutable/Uploads/resource_file/OE-impact-Report-fv-2024.pdf</w:t>
        </w:r>
      </w:hyperlink>
      <w:r w:rsidRPr="5921F049" w:rsidR="1781C1DF">
        <w:rPr>
          <w:rFonts w:ascii="Arial" w:hAnsi="Arial" w:eastAsia="Arial" w:cs="Arial"/>
          <w:noProof w:val="0"/>
          <w:sz w:val="24"/>
          <w:szCs w:val="24"/>
          <w:lang w:val="en-GB"/>
        </w:rPr>
        <w:t xml:space="preserve"> (Accessed: 1 Nov 2025).</w:t>
      </w:r>
    </w:p>
    <w:p w:rsidR="1781C1DF" w:rsidP="5921F049" w:rsidRDefault="1781C1DF" w14:paraId="1FE4BF03" w14:textId="1A5C3CDC">
      <w:pPr>
        <w:spacing w:before="240" w:beforeAutospacing="off" w:after="240" w:afterAutospacing="off"/>
      </w:pPr>
      <w:r w:rsidRPr="5921F049" w:rsidR="1781C1DF">
        <w:rPr>
          <w:rFonts w:ascii="Arial" w:hAnsi="Arial" w:eastAsia="Arial" w:cs="Arial"/>
          <w:noProof w:val="0"/>
          <w:sz w:val="24"/>
          <w:szCs w:val="24"/>
          <w:lang w:val="en-GB"/>
        </w:rPr>
        <w:t xml:space="preserve">Chandan, J. S., Hughes, N., Thomas, T. et al. (2020) ‘Exploration of a novel preventative policing approach in the United Kingdom to adverse childhood experiences’, </w:t>
      </w:r>
      <w:r w:rsidRPr="5921F049" w:rsidR="1781C1DF">
        <w:rPr>
          <w:rFonts w:ascii="Arial" w:hAnsi="Arial" w:eastAsia="Arial" w:cs="Arial"/>
          <w:i w:val="1"/>
          <w:iCs w:val="1"/>
          <w:noProof w:val="0"/>
          <w:sz w:val="24"/>
          <w:szCs w:val="24"/>
          <w:lang w:val="en-GB"/>
        </w:rPr>
        <w:t>Child Abuse Review</w:t>
      </w:r>
      <w:r w:rsidRPr="5921F049" w:rsidR="1781C1DF">
        <w:rPr>
          <w:rFonts w:ascii="Arial" w:hAnsi="Arial" w:eastAsia="Arial" w:cs="Arial"/>
          <w:noProof w:val="0"/>
          <w:sz w:val="24"/>
          <w:szCs w:val="24"/>
          <w:lang w:val="en-GB"/>
        </w:rPr>
        <w:t>, 29(2), pp. 144‑158. (Accessed: 1 Nov 2025).</w:t>
      </w:r>
    </w:p>
    <w:p w:rsidR="1781C1DF" w:rsidP="5921F049" w:rsidRDefault="1781C1DF" w14:paraId="432B291D" w14:textId="152128C7">
      <w:pPr>
        <w:spacing w:before="240" w:beforeAutospacing="off" w:after="240" w:afterAutospacing="off"/>
      </w:pPr>
      <w:r w:rsidRPr="5921F049" w:rsidR="1781C1DF">
        <w:rPr>
          <w:rFonts w:ascii="Arial" w:hAnsi="Arial" w:eastAsia="Arial" w:cs="Arial"/>
          <w:noProof w:val="0"/>
          <w:sz w:val="24"/>
          <w:szCs w:val="24"/>
          <w:lang w:val="en-GB"/>
        </w:rPr>
        <w:t xml:space="preserve">Child Safeguarding Practice Review Panel (2022) </w:t>
      </w:r>
      <w:r w:rsidRPr="5921F049" w:rsidR="1781C1DF">
        <w:rPr>
          <w:rFonts w:ascii="Arial" w:hAnsi="Arial" w:eastAsia="Arial" w:cs="Arial"/>
          <w:i w:val="1"/>
          <w:iCs w:val="1"/>
          <w:noProof w:val="0"/>
          <w:sz w:val="24"/>
          <w:szCs w:val="24"/>
          <w:lang w:val="en-GB"/>
        </w:rPr>
        <w:t>National review into the murders of Arthur Labinjo-Hughes and Star Hobson</w:t>
      </w:r>
      <w:r w:rsidRPr="5921F049" w:rsidR="1781C1DF">
        <w:rPr>
          <w:rFonts w:ascii="Arial" w:hAnsi="Arial" w:eastAsia="Arial" w:cs="Arial"/>
          <w:noProof w:val="0"/>
          <w:sz w:val="24"/>
          <w:szCs w:val="24"/>
          <w:lang w:val="en-GB"/>
        </w:rPr>
        <w:t xml:space="preserve">. [online] GOV.UK. Available at: </w:t>
      </w:r>
      <w:hyperlink r:id="R7f0f205f923d45ab">
        <w:r w:rsidRPr="5921F049" w:rsidR="1781C1DF">
          <w:rPr>
            <w:rStyle w:val="Hyperlink"/>
            <w:rFonts w:ascii="Arial" w:hAnsi="Arial" w:eastAsia="Arial" w:cs="Arial"/>
            <w:noProof w:val="0"/>
            <w:sz w:val="24"/>
            <w:szCs w:val="24"/>
            <w:lang w:val="en-GB"/>
          </w:rPr>
          <w:t>https://www.gov.uk/government/publications/national-review-into-the-murders-of-arthur-labinjo-hughes-and-star-hobson</w:t>
        </w:r>
      </w:hyperlink>
      <w:r w:rsidRPr="5921F049" w:rsidR="1781C1DF">
        <w:rPr>
          <w:rFonts w:ascii="Arial" w:hAnsi="Arial" w:eastAsia="Arial" w:cs="Arial"/>
          <w:noProof w:val="0"/>
          <w:sz w:val="24"/>
          <w:szCs w:val="24"/>
          <w:lang w:val="en-GB"/>
        </w:rPr>
        <w:t xml:space="preserve"> (Accessed: 7 Nov 2025).</w:t>
      </w:r>
    </w:p>
    <w:p w:rsidR="1781C1DF" w:rsidP="5921F049" w:rsidRDefault="1781C1DF" w14:paraId="3972921E" w14:textId="42D8FD5C">
      <w:pPr>
        <w:spacing w:before="240" w:beforeAutospacing="off" w:after="240" w:afterAutospacing="off"/>
      </w:pPr>
      <w:r w:rsidRPr="5921F049" w:rsidR="1781C1DF">
        <w:rPr>
          <w:rFonts w:ascii="Arial" w:hAnsi="Arial" w:eastAsia="Arial" w:cs="Arial"/>
          <w:noProof w:val="0"/>
          <w:sz w:val="24"/>
          <w:szCs w:val="24"/>
          <w:lang w:val="en-GB"/>
        </w:rPr>
        <w:t xml:space="preserve">Crawford, A. (2024) ‘Vulnerability and policing: Rethinking the role and limits of the police’, </w:t>
      </w:r>
      <w:r w:rsidRPr="5921F049" w:rsidR="1781C1DF">
        <w:rPr>
          <w:rFonts w:ascii="Arial" w:hAnsi="Arial" w:eastAsia="Arial" w:cs="Arial"/>
          <w:i w:val="1"/>
          <w:iCs w:val="1"/>
          <w:noProof w:val="0"/>
          <w:sz w:val="24"/>
          <w:szCs w:val="24"/>
          <w:lang w:val="en-GB"/>
        </w:rPr>
        <w:t>Political Quarterly</w:t>
      </w:r>
      <w:r w:rsidRPr="5921F049" w:rsidR="1781C1DF">
        <w:rPr>
          <w:rFonts w:ascii="Arial" w:hAnsi="Arial" w:eastAsia="Arial" w:cs="Arial"/>
          <w:noProof w:val="0"/>
          <w:sz w:val="24"/>
          <w:szCs w:val="24"/>
          <w:lang w:val="en-GB"/>
        </w:rPr>
        <w:t>, 95(3), pp. 431–441. (Accessed: 1 Nov 2025).</w:t>
      </w:r>
    </w:p>
    <w:p w:rsidR="1781C1DF" w:rsidP="5921F049" w:rsidRDefault="1781C1DF" w14:paraId="1BAB663D" w14:textId="7D293EC0">
      <w:pPr>
        <w:spacing w:before="240" w:beforeAutospacing="off" w:after="240" w:afterAutospacing="off"/>
      </w:pPr>
      <w:r w:rsidRPr="5921F049" w:rsidR="1781C1DF">
        <w:rPr>
          <w:rFonts w:ascii="Arial" w:hAnsi="Arial" w:eastAsia="Arial" w:cs="Arial"/>
          <w:noProof w:val="0"/>
          <w:sz w:val="24"/>
          <w:szCs w:val="24"/>
          <w:lang w:val="en-GB"/>
        </w:rPr>
        <w:t xml:space="preserve">College of Policing (2021) </w:t>
      </w:r>
      <w:r w:rsidRPr="5921F049" w:rsidR="1781C1DF">
        <w:rPr>
          <w:rFonts w:ascii="Arial" w:hAnsi="Arial" w:eastAsia="Arial" w:cs="Arial"/>
          <w:i w:val="1"/>
          <w:iCs w:val="1"/>
          <w:noProof w:val="0"/>
          <w:sz w:val="24"/>
          <w:szCs w:val="24"/>
          <w:lang w:val="en-GB"/>
        </w:rPr>
        <w:t>Recognising and responding to vulnerability‑related risks: Guidelines</w:t>
      </w:r>
      <w:r w:rsidRPr="5921F049" w:rsidR="1781C1DF">
        <w:rPr>
          <w:rFonts w:ascii="Arial" w:hAnsi="Arial" w:eastAsia="Arial" w:cs="Arial"/>
          <w:noProof w:val="0"/>
          <w:sz w:val="24"/>
          <w:szCs w:val="24"/>
          <w:lang w:val="en-GB"/>
        </w:rPr>
        <w:t xml:space="preserve">. Coventry: College of Policing. Available at: </w:t>
      </w:r>
      <w:hyperlink r:id="Rd9d8d61e477c4bd3">
        <w:r w:rsidRPr="5921F049" w:rsidR="1781C1DF">
          <w:rPr>
            <w:rStyle w:val="Hyperlink"/>
            <w:rFonts w:ascii="Arial" w:hAnsi="Arial" w:eastAsia="Arial" w:cs="Arial"/>
            <w:noProof w:val="0"/>
            <w:sz w:val="24"/>
            <w:szCs w:val="24"/>
            <w:lang w:val="en-GB"/>
          </w:rPr>
          <w:t>https://assets.college.police.uk/s3fs-public/2021-11/Recognising-responding-vulnerability-related-risks-guidelines.pdf</w:t>
        </w:r>
      </w:hyperlink>
      <w:r w:rsidRPr="5921F049" w:rsidR="1781C1DF">
        <w:rPr>
          <w:rFonts w:ascii="Arial" w:hAnsi="Arial" w:eastAsia="Arial" w:cs="Arial"/>
          <w:noProof w:val="0"/>
          <w:sz w:val="24"/>
          <w:szCs w:val="24"/>
          <w:lang w:val="en-GB"/>
        </w:rPr>
        <w:t xml:space="preserve"> (Accessed: 1 Nov 2025).</w:t>
      </w:r>
    </w:p>
    <w:p w:rsidR="1781C1DF" w:rsidP="5921F049" w:rsidRDefault="1781C1DF" w14:paraId="25458408" w14:textId="2A1C6910">
      <w:pPr>
        <w:spacing w:before="240" w:beforeAutospacing="off" w:after="240" w:afterAutospacing="off"/>
      </w:pPr>
      <w:r w:rsidRPr="5921F049" w:rsidR="1781C1DF">
        <w:rPr>
          <w:rFonts w:ascii="Arial" w:hAnsi="Arial" w:eastAsia="Arial" w:cs="Arial"/>
          <w:noProof w:val="0"/>
          <w:sz w:val="24"/>
          <w:szCs w:val="24"/>
          <w:lang w:val="en-GB"/>
        </w:rPr>
        <w:t xml:space="preserve">College of Policing (2022) </w:t>
      </w:r>
      <w:r w:rsidRPr="5921F049" w:rsidR="1781C1DF">
        <w:rPr>
          <w:rFonts w:ascii="Arial" w:hAnsi="Arial" w:eastAsia="Arial" w:cs="Arial"/>
          <w:i w:val="1"/>
          <w:iCs w:val="1"/>
          <w:noProof w:val="0"/>
          <w:sz w:val="24"/>
          <w:szCs w:val="24"/>
          <w:lang w:val="en-GB"/>
        </w:rPr>
        <w:t>Vulnerability and violent crime: A synthesis of evidence from three programme evaluations</w:t>
      </w:r>
      <w:r w:rsidRPr="5921F049" w:rsidR="1781C1DF">
        <w:rPr>
          <w:rFonts w:ascii="Arial" w:hAnsi="Arial" w:eastAsia="Arial" w:cs="Arial"/>
          <w:noProof w:val="0"/>
          <w:sz w:val="24"/>
          <w:szCs w:val="24"/>
          <w:lang w:val="en-GB"/>
        </w:rPr>
        <w:t xml:space="preserve">. Coventry: College of Policing. Available at: </w:t>
      </w:r>
      <w:hyperlink r:id="Rc22e468422854ab6">
        <w:r w:rsidRPr="5921F049" w:rsidR="1781C1DF">
          <w:rPr>
            <w:rStyle w:val="Hyperlink"/>
            <w:rFonts w:ascii="Arial" w:hAnsi="Arial" w:eastAsia="Arial" w:cs="Arial"/>
            <w:noProof w:val="0"/>
            <w:sz w:val="24"/>
            <w:szCs w:val="24"/>
            <w:lang w:val="en-GB"/>
          </w:rPr>
          <w:t>https://assets.college.police.uk/s3fs-public/2022-06/Synthesis-of-evidence-from-three-programme-evaluations.pdf</w:t>
        </w:r>
      </w:hyperlink>
      <w:r w:rsidRPr="5921F049" w:rsidR="1781C1DF">
        <w:rPr>
          <w:rFonts w:ascii="Arial" w:hAnsi="Arial" w:eastAsia="Arial" w:cs="Arial"/>
          <w:noProof w:val="0"/>
          <w:sz w:val="24"/>
          <w:szCs w:val="24"/>
          <w:lang w:val="en-GB"/>
        </w:rPr>
        <w:t xml:space="preserve"> (Accessed: 3 Nov 2025).</w:t>
      </w:r>
    </w:p>
    <w:p w:rsidR="1781C1DF" w:rsidP="5921F049" w:rsidRDefault="1781C1DF" w14:paraId="2D0869E3" w14:textId="0EEFA662">
      <w:pPr>
        <w:spacing w:before="240" w:beforeAutospacing="off" w:after="240" w:afterAutospacing="off"/>
      </w:pPr>
      <w:r w:rsidRPr="5921F049" w:rsidR="1781C1DF">
        <w:rPr>
          <w:rFonts w:ascii="Arial" w:hAnsi="Arial" w:eastAsia="Arial" w:cs="Arial"/>
          <w:noProof w:val="0"/>
          <w:sz w:val="24"/>
          <w:szCs w:val="24"/>
          <w:lang w:val="en-GB"/>
        </w:rPr>
        <w:t xml:space="preserve">College of Policing (2024) </w:t>
      </w:r>
      <w:r w:rsidRPr="5921F049" w:rsidR="1781C1DF">
        <w:rPr>
          <w:rFonts w:ascii="Arial" w:hAnsi="Arial" w:eastAsia="Arial" w:cs="Arial"/>
          <w:i w:val="1"/>
          <w:iCs w:val="1"/>
          <w:noProof w:val="0"/>
          <w:sz w:val="24"/>
          <w:szCs w:val="24"/>
          <w:lang w:val="en-GB"/>
        </w:rPr>
        <w:t>Force-wide vulnerability action plan</w:t>
      </w:r>
      <w:r w:rsidRPr="5921F049" w:rsidR="1781C1DF">
        <w:rPr>
          <w:rFonts w:ascii="Arial" w:hAnsi="Arial" w:eastAsia="Arial" w:cs="Arial"/>
          <w:noProof w:val="0"/>
          <w:sz w:val="24"/>
          <w:szCs w:val="24"/>
          <w:lang w:val="en-GB"/>
        </w:rPr>
        <w:t xml:space="preserve">. [online] Available at: </w:t>
      </w:r>
      <w:hyperlink r:id="R2e7276ce369e46da">
        <w:r w:rsidRPr="5921F049" w:rsidR="1781C1DF">
          <w:rPr>
            <w:rStyle w:val="Hyperlink"/>
            <w:rFonts w:ascii="Arial" w:hAnsi="Arial" w:eastAsia="Arial" w:cs="Arial"/>
            <w:noProof w:val="0"/>
            <w:sz w:val="24"/>
            <w:szCs w:val="24"/>
            <w:lang w:val="en-GB"/>
          </w:rPr>
          <w:t>https://www.college.police.uk/support-forces/practices/force-wide-vulnerability-action-plan</w:t>
        </w:r>
      </w:hyperlink>
      <w:r w:rsidRPr="5921F049" w:rsidR="1781C1DF">
        <w:rPr>
          <w:rFonts w:ascii="Arial" w:hAnsi="Arial" w:eastAsia="Arial" w:cs="Arial"/>
          <w:noProof w:val="0"/>
          <w:sz w:val="24"/>
          <w:szCs w:val="24"/>
          <w:lang w:val="en-GB"/>
        </w:rPr>
        <w:t xml:space="preserve"> (Accessed: 4 Nov 2025).</w:t>
      </w:r>
    </w:p>
    <w:p w:rsidR="3AE19E64" w:rsidP="5921F049" w:rsidRDefault="3AE19E64" w14:paraId="50ABB3F1" w14:textId="2A447B25">
      <w:pPr>
        <w:spacing w:before="240" w:beforeAutospacing="off" w:after="240" w:afterAutospacing="off"/>
        <w:rPr>
          <w:rFonts w:ascii="Arial" w:hAnsi="Arial" w:eastAsia="Arial" w:cs="Arial"/>
          <w:noProof w:val="0"/>
          <w:sz w:val="24"/>
          <w:szCs w:val="24"/>
          <w:lang w:val="en-GB"/>
        </w:rPr>
      </w:pPr>
      <w:r w:rsidRPr="5921F049" w:rsidR="3AE19E64">
        <w:rPr>
          <w:rFonts w:ascii="Arial" w:hAnsi="Arial" w:eastAsia="Arial" w:cs="Arial"/>
          <w:noProof w:val="0"/>
          <w:sz w:val="24"/>
          <w:szCs w:val="24"/>
          <w:lang w:val="en-GB"/>
        </w:rPr>
        <w:t xml:space="preserve"> </w:t>
      </w:r>
    </w:p>
    <w:p w:rsidR="1781C1DF" w:rsidP="5921F049" w:rsidRDefault="1781C1DF" w14:paraId="1067383B" w14:textId="6617E057">
      <w:pPr>
        <w:spacing w:before="240" w:beforeAutospacing="off" w:after="240" w:afterAutospacing="off"/>
      </w:pPr>
      <w:r w:rsidRPr="5921F049" w:rsidR="1781C1DF">
        <w:rPr>
          <w:rFonts w:ascii="Arial" w:hAnsi="Arial" w:eastAsia="Arial" w:cs="Arial"/>
          <w:noProof w:val="0"/>
          <w:sz w:val="24"/>
          <w:szCs w:val="24"/>
          <w:lang w:val="en-GB"/>
        </w:rPr>
        <w:t xml:space="preserve">Department for Education (2022) </w:t>
      </w:r>
      <w:r w:rsidRPr="5921F049" w:rsidR="1781C1DF">
        <w:rPr>
          <w:rFonts w:ascii="Arial" w:hAnsi="Arial" w:eastAsia="Arial" w:cs="Arial"/>
          <w:i w:val="1"/>
          <w:iCs w:val="1"/>
          <w:noProof w:val="0"/>
          <w:sz w:val="24"/>
          <w:szCs w:val="24"/>
          <w:lang w:val="en-GB"/>
        </w:rPr>
        <w:t>National review into the murders of Arthur Labinjo‑Hughes and Star Hobson</w:t>
      </w:r>
      <w:r w:rsidRPr="5921F049" w:rsidR="1781C1DF">
        <w:rPr>
          <w:rFonts w:ascii="Arial" w:hAnsi="Arial" w:eastAsia="Arial" w:cs="Arial"/>
          <w:noProof w:val="0"/>
          <w:sz w:val="24"/>
          <w:szCs w:val="24"/>
          <w:lang w:val="en-GB"/>
        </w:rPr>
        <w:t xml:space="preserve">. London: Department for Education. Available at: </w:t>
      </w:r>
      <w:hyperlink r:id="R0bed007e967c4c22">
        <w:r w:rsidRPr="5921F049" w:rsidR="1781C1DF">
          <w:rPr>
            <w:rStyle w:val="Hyperlink"/>
            <w:rFonts w:ascii="Arial" w:hAnsi="Arial" w:eastAsia="Arial" w:cs="Arial"/>
            <w:noProof w:val="0"/>
            <w:sz w:val="24"/>
            <w:szCs w:val="24"/>
            <w:lang w:val="en-GB"/>
          </w:rPr>
          <w:t>https://www.gov.uk/government/publications/national-review-into-the-murders-of-arthur-labinjo-hughes-and-star-hobson</w:t>
        </w:r>
      </w:hyperlink>
      <w:r w:rsidRPr="5921F049" w:rsidR="1781C1DF">
        <w:rPr>
          <w:rFonts w:ascii="Arial" w:hAnsi="Arial" w:eastAsia="Arial" w:cs="Arial"/>
          <w:noProof w:val="0"/>
          <w:sz w:val="24"/>
          <w:szCs w:val="24"/>
          <w:lang w:val="en-GB"/>
        </w:rPr>
        <w:t xml:space="preserve"> (Accessed: 4 Nov 2025).</w:t>
      </w:r>
    </w:p>
    <w:p w:rsidR="1781C1DF" w:rsidP="5921F049" w:rsidRDefault="1781C1DF" w14:paraId="0B1CCD3F" w14:textId="3BA0C719">
      <w:pPr>
        <w:spacing w:before="240" w:beforeAutospacing="off" w:after="240" w:afterAutospacing="off"/>
      </w:pPr>
      <w:r w:rsidRPr="5921F049" w:rsidR="1781C1DF">
        <w:rPr>
          <w:rFonts w:ascii="Arial" w:hAnsi="Arial" w:eastAsia="Arial" w:cs="Arial"/>
          <w:noProof w:val="0"/>
          <w:sz w:val="24"/>
          <w:szCs w:val="24"/>
          <w:lang w:val="en-GB"/>
        </w:rPr>
        <w:t xml:space="preserve">HMICFRS (2015) </w:t>
      </w:r>
      <w:r w:rsidRPr="5921F049" w:rsidR="1781C1DF">
        <w:rPr>
          <w:rFonts w:ascii="Arial" w:hAnsi="Arial" w:eastAsia="Arial" w:cs="Arial"/>
          <w:i w:val="1"/>
          <w:iCs w:val="1"/>
          <w:noProof w:val="0"/>
          <w:sz w:val="24"/>
          <w:szCs w:val="24"/>
          <w:lang w:val="en-GB"/>
        </w:rPr>
        <w:t>Witness for the prosecution: Identifying victim and witness vulnerability in criminal case files – An inspection of South Wales Police</w:t>
      </w:r>
      <w:r w:rsidRPr="5921F049" w:rsidR="1781C1DF">
        <w:rPr>
          <w:rFonts w:ascii="Arial" w:hAnsi="Arial" w:eastAsia="Arial" w:cs="Arial"/>
          <w:noProof w:val="0"/>
          <w:sz w:val="24"/>
          <w:szCs w:val="24"/>
          <w:lang w:val="en-GB"/>
        </w:rPr>
        <w:t xml:space="preserve">. London: HMIC. Available at: </w:t>
      </w:r>
      <w:hyperlink r:id="Rfca7f274c5384f4e">
        <w:r w:rsidRPr="5921F049" w:rsidR="1781C1DF">
          <w:rPr>
            <w:rStyle w:val="Hyperlink"/>
            <w:rFonts w:ascii="Arial" w:hAnsi="Arial" w:eastAsia="Arial" w:cs="Arial"/>
            <w:noProof w:val="0"/>
            <w:sz w:val="24"/>
            <w:szCs w:val="24"/>
            <w:lang w:val="en-GB"/>
          </w:rPr>
          <w:t>https://assets-hmicfrs.justiceinspectorates.gov.uk/uploads/vulnerability-in-criminal-case-files-south-wales.pdf</w:t>
        </w:r>
      </w:hyperlink>
      <w:r w:rsidRPr="5921F049" w:rsidR="1781C1DF">
        <w:rPr>
          <w:rFonts w:ascii="Arial" w:hAnsi="Arial" w:eastAsia="Arial" w:cs="Arial"/>
          <w:noProof w:val="0"/>
          <w:sz w:val="24"/>
          <w:szCs w:val="24"/>
          <w:lang w:val="en-GB"/>
        </w:rPr>
        <w:t xml:space="preserve"> (Accessed: 3 Nov 2025).</w:t>
      </w:r>
    </w:p>
    <w:p w:rsidR="1781C1DF" w:rsidP="5921F049" w:rsidRDefault="1781C1DF" w14:paraId="0E00F4F1" w14:textId="0A69F654">
      <w:pPr>
        <w:spacing w:before="240" w:beforeAutospacing="off" w:after="240" w:afterAutospacing="off"/>
      </w:pPr>
      <w:r w:rsidRPr="5921F049" w:rsidR="1781C1DF">
        <w:rPr>
          <w:rFonts w:ascii="Arial" w:hAnsi="Arial" w:eastAsia="Arial" w:cs="Arial"/>
          <w:noProof w:val="0"/>
          <w:sz w:val="24"/>
          <w:szCs w:val="24"/>
          <w:lang w:val="en-GB"/>
        </w:rPr>
        <w:t xml:space="preserve">Home Office (2022) </w:t>
      </w:r>
      <w:r w:rsidRPr="5921F049" w:rsidR="1781C1DF">
        <w:rPr>
          <w:rFonts w:ascii="Arial" w:hAnsi="Arial" w:eastAsia="Arial" w:cs="Arial"/>
          <w:i w:val="1"/>
          <w:iCs w:val="1"/>
          <w:noProof w:val="0"/>
          <w:sz w:val="24"/>
          <w:szCs w:val="24"/>
          <w:lang w:val="en-GB"/>
        </w:rPr>
        <w:t>Tackling Domestic Abuse Plan</w:t>
      </w:r>
      <w:r w:rsidRPr="5921F049" w:rsidR="1781C1DF">
        <w:rPr>
          <w:rFonts w:ascii="Arial" w:hAnsi="Arial" w:eastAsia="Arial" w:cs="Arial"/>
          <w:noProof w:val="0"/>
          <w:sz w:val="24"/>
          <w:szCs w:val="24"/>
          <w:lang w:val="en-GB"/>
        </w:rPr>
        <w:t xml:space="preserve">. London: Home Office. Available at: </w:t>
      </w:r>
      <w:hyperlink r:id="R3fbda3cb021547f4">
        <w:r w:rsidRPr="5921F049" w:rsidR="1781C1DF">
          <w:rPr>
            <w:rStyle w:val="Hyperlink"/>
            <w:rFonts w:ascii="Arial" w:hAnsi="Arial" w:eastAsia="Arial" w:cs="Arial"/>
            <w:noProof w:val="0"/>
            <w:sz w:val="24"/>
            <w:szCs w:val="24"/>
            <w:lang w:val="en-GB"/>
          </w:rPr>
          <w:t>https://www.gov.uk/government/publications/tackling-domestic-abuse-plan</w:t>
        </w:r>
      </w:hyperlink>
      <w:r w:rsidRPr="5921F049" w:rsidR="1781C1DF">
        <w:rPr>
          <w:rFonts w:ascii="Arial" w:hAnsi="Arial" w:eastAsia="Arial" w:cs="Arial"/>
          <w:noProof w:val="0"/>
          <w:sz w:val="24"/>
          <w:szCs w:val="24"/>
          <w:lang w:val="en-GB"/>
        </w:rPr>
        <w:t xml:space="preserve"> (Accessed: 4 Nov 2025).</w:t>
      </w:r>
    </w:p>
    <w:p w:rsidR="1781C1DF" w:rsidP="5921F049" w:rsidRDefault="1781C1DF" w14:paraId="5FA849CF" w14:textId="05712486">
      <w:pPr>
        <w:spacing w:before="240" w:beforeAutospacing="off" w:after="240" w:afterAutospacing="off"/>
      </w:pPr>
      <w:r w:rsidRPr="5921F049" w:rsidR="1781C1DF">
        <w:rPr>
          <w:rFonts w:ascii="Arial" w:hAnsi="Arial" w:eastAsia="Arial" w:cs="Arial"/>
          <w:noProof w:val="0"/>
          <w:sz w:val="24"/>
          <w:szCs w:val="24"/>
          <w:lang w:val="en-GB"/>
        </w:rPr>
        <w:t xml:space="preserve">Murray, S., Wellend, S. and Storry, M. (2024) </w:t>
      </w:r>
      <w:r w:rsidRPr="5921F049" w:rsidR="1781C1DF">
        <w:rPr>
          <w:rFonts w:ascii="Arial" w:hAnsi="Arial" w:eastAsia="Arial" w:cs="Arial"/>
          <w:i w:val="1"/>
          <w:iCs w:val="1"/>
          <w:noProof w:val="0"/>
          <w:sz w:val="24"/>
          <w:szCs w:val="24"/>
          <w:lang w:val="en-GB"/>
        </w:rPr>
        <w:t>Annual Victims’ Survey 2023</w:t>
      </w:r>
      <w:r w:rsidRPr="5921F049" w:rsidR="1781C1DF">
        <w:rPr>
          <w:rFonts w:ascii="Arial" w:hAnsi="Arial" w:eastAsia="Arial" w:cs="Arial"/>
          <w:noProof w:val="0"/>
          <w:sz w:val="24"/>
          <w:szCs w:val="24"/>
          <w:lang w:val="en-GB"/>
        </w:rPr>
        <w:t xml:space="preserve">. [online] Victims Commissioner. Available at: </w:t>
      </w:r>
      <w:hyperlink r:id="R09e15fc544bc4dcb">
        <w:r w:rsidRPr="5921F049" w:rsidR="1781C1DF">
          <w:rPr>
            <w:rStyle w:val="Hyperlink"/>
            <w:rFonts w:ascii="Arial" w:hAnsi="Arial" w:eastAsia="Arial" w:cs="Arial"/>
            <w:noProof w:val="0"/>
            <w:sz w:val="24"/>
            <w:szCs w:val="24"/>
            <w:lang w:val="en-GB"/>
          </w:rPr>
          <w:t>https://victimscommissioner.org.uk/document/2023-victim-survey</w:t>
        </w:r>
      </w:hyperlink>
      <w:r w:rsidRPr="5921F049" w:rsidR="1781C1DF">
        <w:rPr>
          <w:rFonts w:ascii="Arial" w:hAnsi="Arial" w:eastAsia="Arial" w:cs="Arial"/>
          <w:noProof w:val="0"/>
          <w:sz w:val="24"/>
          <w:szCs w:val="24"/>
          <w:lang w:val="en-GB"/>
        </w:rPr>
        <w:t xml:space="preserve"> (Accessed: 4 Nov 2025).</w:t>
      </w:r>
    </w:p>
    <w:p w:rsidR="1781C1DF" w:rsidP="5921F049" w:rsidRDefault="1781C1DF" w14:paraId="4C9B28ED" w14:textId="5ED11807">
      <w:pPr>
        <w:spacing w:before="240" w:beforeAutospacing="off" w:after="240" w:afterAutospacing="off"/>
      </w:pPr>
      <w:r w:rsidRPr="5921F049" w:rsidR="1781C1DF">
        <w:rPr>
          <w:rFonts w:ascii="Arial" w:hAnsi="Arial" w:eastAsia="Arial" w:cs="Arial"/>
          <w:noProof w:val="0"/>
          <w:sz w:val="24"/>
          <w:szCs w:val="24"/>
          <w:lang w:val="en-GB"/>
        </w:rPr>
        <w:t xml:space="preserve">National Police Chiefs’ Council (2018) </w:t>
      </w:r>
      <w:r w:rsidRPr="5921F049" w:rsidR="1781C1DF">
        <w:rPr>
          <w:rFonts w:ascii="Arial" w:hAnsi="Arial" w:eastAsia="Arial" w:cs="Arial"/>
          <w:i w:val="1"/>
          <w:iCs w:val="1"/>
          <w:noProof w:val="0"/>
          <w:sz w:val="24"/>
          <w:szCs w:val="24"/>
          <w:lang w:val="en-GB"/>
        </w:rPr>
        <w:t>National Vulnerability Action Plan 2018‑2021 (Version 1.1)</w:t>
      </w:r>
      <w:r w:rsidRPr="5921F049" w:rsidR="1781C1DF">
        <w:rPr>
          <w:rFonts w:ascii="Arial" w:hAnsi="Arial" w:eastAsia="Arial" w:cs="Arial"/>
          <w:noProof w:val="0"/>
          <w:sz w:val="24"/>
          <w:szCs w:val="24"/>
          <w:lang w:val="en-GB"/>
        </w:rPr>
        <w:t xml:space="preserve">. London: NPCC. Available at: </w:t>
      </w:r>
      <w:hyperlink r:id="R3592763ac73c452b">
        <w:r w:rsidRPr="5921F049" w:rsidR="1781C1DF">
          <w:rPr>
            <w:rStyle w:val="Hyperlink"/>
            <w:rFonts w:ascii="Arial" w:hAnsi="Arial" w:eastAsia="Arial" w:cs="Arial"/>
            <w:noProof w:val="0"/>
            <w:sz w:val="24"/>
            <w:szCs w:val="24"/>
            <w:lang w:val="en-GB"/>
          </w:rPr>
          <w:t>https://www.npcc.police.uk/SysSiteAssets/media/downloads/publications/publications-log/2018/national-vulnerability-action-plan-2018-2021.pdf</w:t>
        </w:r>
      </w:hyperlink>
      <w:r w:rsidRPr="5921F049" w:rsidR="1781C1DF">
        <w:rPr>
          <w:rFonts w:ascii="Arial" w:hAnsi="Arial" w:eastAsia="Arial" w:cs="Arial"/>
          <w:noProof w:val="0"/>
          <w:sz w:val="24"/>
          <w:szCs w:val="24"/>
          <w:lang w:val="en-GB"/>
        </w:rPr>
        <w:t xml:space="preserve"> (Accessed: 30 Oct 2025).</w:t>
      </w:r>
    </w:p>
    <w:p w:rsidR="1781C1DF" w:rsidP="5921F049" w:rsidRDefault="1781C1DF" w14:paraId="22F45AD2" w14:textId="748CE578">
      <w:pPr>
        <w:spacing w:before="240" w:beforeAutospacing="off" w:after="240" w:afterAutospacing="off"/>
      </w:pPr>
      <w:r w:rsidRPr="5921F049" w:rsidR="1781C1DF">
        <w:rPr>
          <w:rFonts w:ascii="Arial" w:hAnsi="Arial" w:eastAsia="Arial" w:cs="Arial"/>
          <w:noProof w:val="0"/>
          <w:sz w:val="24"/>
          <w:szCs w:val="24"/>
          <w:lang w:val="en-GB"/>
        </w:rPr>
        <w:t xml:space="preserve">PEEL (2025) </w:t>
      </w:r>
      <w:r w:rsidRPr="5921F049" w:rsidR="1781C1DF">
        <w:rPr>
          <w:rFonts w:ascii="Arial" w:hAnsi="Arial" w:eastAsia="Arial" w:cs="Arial"/>
          <w:i w:val="1"/>
          <w:iCs w:val="1"/>
          <w:noProof w:val="0"/>
          <w:sz w:val="24"/>
          <w:szCs w:val="24"/>
          <w:lang w:val="en-GB"/>
        </w:rPr>
        <w:t>Police effectiveness, efficiency and legitimacy: An inspection of Gwent Police 2023–25</w:t>
      </w:r>
      <w:r w:rsidRPr="5921F049" w:rsidR="1781C1DF">
        <w:rPr>
          <w:rFonts w:ascii="Arial" w:hAnsi="Arial" w:eastAsia="Arial" w:cs="Arial"/>
          <w:noProof w:val="0"/>
          <w:sz w:val="24"/>
          <w:szCs w:val="24"/>
          <w:lang w:val="en-GB"/>
        </w:rPr>
        <w:t xml:space="preserve">. Available at: </w:t>
      </w:r>
      <w:hyperlink r:id="Radc06ce37bfd4aa4">
        <w:r w:rsidRPr="5921F049" w:rsidR="1781C1DF">
          <w:rPr>
            <w:rStyle w:val="Hyperlink"/>
            <w:rFonts w:ascii="Arial" w:hAnsi="Arial" w:eastAsia="Arial" w:cs="Arial"/>
            <w:noProof w:val="0"/>
            <w:sz w:val="24"/>
            <w:szCs w:val="24"/>
            <w:lang w:val="en-GB"/>
          </w:rPr>
          <w:t>https://s3-eu-west-2.amazonaws.com/assets-hmicfrs.justiceinspectorates.gov.uk/uploads/peel-assessment-2023-25-gwent.pdf</w:t>
        </w:r>
      </w:hyperlink>
      <w:r w:rsidRPr="5921F049" w:rsidR="1781C1DF">
        <w:rPr>
          <w:rFonts w:ascii="Arial" w:hAnsi="Arial" w:eastAsia="Arial" w:cs="Arial"/>
          <w:noProof w:val="0"/>
          <w:sz w:val="24"/>
          <w:szCs w:val="24"/>
          <w:lang w:val="en-GB"/>
        </w:rPr>
        <w:t xml:space="preserve"> (Accessed: 30 Oct 2025).</w:t>
      </w:r>
    </w:p>
    <w:p w:rsidR="1781C1DF" w:rsidP="5921F049" w:rsidRDefault="1781C1DF" w14:paraId="1BC8818E" w14:textId="56CB89EF">
      <w:pPr>
        <w:spacing w:before="240" w:beforeAutospacing="off" w:after="240" w:afterAutospacing="off"/>
      </w:pPr>
      <w:r w:rsidRPr="5921F049" w:rsidR="1781C1DF">
        <w:rPr>
          <w:rFonts w:ascii="Arial" w:hAnsi="Arial" w:eastAsia="Arial" w:cs="Arial"/>
          <w:noProof w:val="0"/>
          <w:sz w:val="24"/>
          <w:szCs w:val="24"/>
          <w:lang w:val="en-GB"/>
        </w:rPr>
        <w:t xml:space="preserve">Sidebotham, P., Brandon, M., Bailey, S., Belderson, P., Dodsworth, J., Garstang, J., Harrison, E., Retzer, A. and Sorensen, P. (2016) </w:t>
      </w:r>
      <w:r w:rsidRPr="5921F049" w:rsidR="1781C1DF">
        <w:rPr>
          <w:rFonts w:ascii="Arial" w:hAnsi="Arial" w:eastAsia="Arial" w:cs="Arial"/>
          <w:i w:val="1"/>
          <w:iCs w:val="1"/>
          <w:noProof w:val="0"/>
          <w:sz w:val="24"/>
          <w:szCs w:val="24"/>
          <w:lang w:val="en-GB"/>
        </w:rPr>
        <w:t>Pathways to harm, pathways to protection: A triennial analysis of serious case reviews 2011 to 2014 – Final report</w:t>
      </w:r>
      <w:r w:rsidRPr="5921F049" w:rsidR="1781C1DF">
        <w:rPr>
          <w:rFonts w:ascii="Arial" w:hAnsi="Arial" w:eastAsia="Arial" w:cs="Arial"/>
          <w:noProof w:val="0"/>
          <w:sz w:val="24"/>
          <w:szCs w:val="24"/>
          <w:lang w:val="en-GB"/>
        </w:rPr>
        <w:t xml:space="preserve">. [online] Department for Education. Available at: </w:t>
      </w:r>
      <w:hyperlink r:id="Redbecd0c82ec4718">
        <w:r w:rsidRPr="5921F049" w:rsidR="1781C1DF">
          <w:rPr>
            <w:rStyle w:val="Hyperlink"/>
            <w:rFonts w:ascii="Arial" w:hAnsi="Arial" w:eastAsia="Arial" w:cs="Arial"/>
            <w:noProof w:val="0"/>
            <w:sz w:val="24"/>
            <w:szCs w:val="24"/>
            <w:lang w:val="en-GB"/>
          </w:rPr>
          <w:t>https://assets.publishing.service.gov.uk/government/uploads/system/uploads/attachment_data/file/533826/Triennial_Analysis_of_SCRs_2011-2014_-__Pathways_to_harm_and_protection.pdf</w:t>
        </w:r>
      </w:hyperlink>
      <w:r w:rsidRPr="5921F049" w:rsidR="1781C1DF">
        <w:rPr>
          <w:rFonts w:ascii="Arial" w:hAnsi="Arial" w:eastAsia="Arial" w:cs="Arial"/>
          <w:noProof w:val="0"/>
          <w:sz w:val="24"/>
          <w:szCs w:val="24"/>
          <w:lang w:val="en-GB"/>
        </w:rPr>
        <w:t xml:space="preserve"> (Accessed: 30 Oct 2025).</w:t>
      </w:r>
    </w:p>
    <w:p w:rsidR="1781C1DF" w:rsidP="5921F049" w:rsidRDefault="1781C1DF" w14:paraId="59AC74D9" w14:textId="47102143">
      <w:pPr>
        <w:spacing w:before="240" w:beforeAutospacing="off" w:after="240" w:afterAutospacing="off"/>
      </w:pPr>
      <w:r w:rsidRPr="5921F049" w:rsidR="1781C1DF">
        <w:rPr>
          <w:rFonts w:ascii="Arial" w:hAnsi="Arial" w:eastAsia="Arial" w:cs="Arial"/>
          <w:noProof w:val="0"/>
          <w:sz w:val="24"/>
          <w:szCs w:val="24"/>
          <w:lang w:val="en-GB"/>
        </w:rPr>
        <w:t xml:space="preserve">VKPP (2020) </w:t>
      </w:r>
      <w:r w:rsidRPr="5921F049" w:rsidR="1781C1DF">
        <w:rPr>
          <w:rFonts w:ascii="Arial" w:hAnsi="Arial" w:eastAsia="Arial" w:cs="Arial"/>
          <w:i w:val="1"/>
          <w:iCs w:val="1"/>
          <w:noProof w:val="0"/>
          <w:sz w:val="24"/>
          <w:szCs w:val="24"/>
          <w:lang w:val="en-GB"/>
        </w:rPr>
        <w:t>Meta Analysis 2020: Learning from Serious Case Reviews</w:t>
      </w:r>
      <w:r w:rsidRPr="5921F049" w:rsidR="1781C1DF">
        <w:rPr>
          <w:rFonts w:ascii="Arial" w:hAnsi="Arial" w:eastAsia="Arial" w:cs="Arial"/>
          <w:noProof w:val="0"/>
          <w:sz w:val="24"/>
          <w:szCs w:val="24"/>
          <w:lang w:val="en-GB"/>
        </w:rPr>
        <w:t xml:space="preserve">. Available at: </w:t>
      </w:r>
      <w:hyperlink r:id="Rb31a31a4cda943b6">
        <w:r w:rsidRPr="5921F049" w:rsidR="1781C1DF">
          <w:rPr>
            <w:rStyle w:val="Hyperlink"/>
            <w:rFonts w:ascii="Arial" w:hAnsi="Arial" w:eastAsia="Arial" w:cs="Arial"/>
            <w:noProof w:val="0"/>
            <w:sz w:val="24"/>
            <w:szCs w:val="24"/>
            <w:lang w:val="en-GB"/>
          </w:rPr>
          <w:t>https://www.vkpp.org.uk/vkpp-work/vkpp-research/meta-analysis/</w:t>
        </w:r>
      </w:hyperlink>
      <w:r w:rsidRPr="5921F049" w:rsidR="1781C1DF">
        <w:rPr>
          <w:rFonts w:ascii="Arial" w:hAnsi="Arial" w:eastAsia="Arial" w:cs="Arial"/>
          <w:noProof w:val="0"/>
          <w:sz w:val="24"/>
          <w:szCs w:val="24"/>
          <w:lang w:val="en-GB"/>
        </w:rPr>
        <w:t xml:space="preserve"> (Accessed: 3 Nov 2025).</w:t>
      </w:r>
    </w:p>
    <w:p w:rsidR="1781C1DF" w:rsidP="5921F049" w:rsidRDefault="1781C1DF" w14:paraId="095693BD" w14:textId="00A93DC2">
      <w:pPr>
        <w:spacing w:before="240" w:beforeAutospacing="off" w:after="240" w:afterAutospacing="off"/>
      </w:pPr>
      <w:r w:rsidRPr="5921F049" w:rsidR="1781C1DF">
        <w:rPr>
          <w:rFonts w:ascii="Arial" w:hAnsi="Arial" w:eastAsia="Arial" w:cs="Arial"/>
          <w:noProof w:val="0"/>
          <w:sz w:val="24"/>
          <w:szCs w:val="24"/>
          <w:lang w:val="en-GB"/>
        </w:rPr>
        <w:t xml:space="preserve">Williams, B. and Blockley, T. (2023) </w:t>
      </w:r>
      <w:r w:rsidRPr="5921F049" w:rsidR="1781C1DF">
        <w:rPr>
          <w:rFonts w:ascii="Arial" w:hAnsi="Arial" w:eastAsia="Arial" w:cs="Arial"/>
          <w:i w:val="1"/>
          <w:iCs w:val="1"/>
          <w:noProof w:val="0"/>
          <w:sz w:val="24"/>
          <w:szCs w:val="24"/>
          <w:lang w:val="en-GB"/>
        </w:rPr>
        <w:t>Policing Mental Health, Vulnerability and Risk: The Professional Policing Curriculum in Practice</w:t>
      </w:r>
      <w:r w:rsidRPr="5921F049" w:rsidR="1781C1DF">
        <w:rPr>
          <w:rFonts w:ascii="Arial" w:hAnsi="Arial" w:eastAsia="Arial" w:cs="Arial"/>
          <w:noProof w:val="0"/>
          <w:sz w:val="24"/>
          <w:szCs w:val="24"/>
          <w:lang w:val="en-GB"/>
        </w:rPr>
        <w:t>. London: Critical Publishing Ltd.</w:t>
      </w:r>
    </w:p>
    <w:p w:rsidR="1781C1DF" w:rsidP="5921F049" w:rsidRDefault="1781C1DF" w14:paraId="5A64A642" w14:textId="3DDF9DF2">
      <w:pPr>
        <w:spacing w:before="240" w:beforeAutospacing="off" w:after="240" w:afterAutospacing="off"/>
      </w:pPr>
      <w:r w:rsidRPr="5921F049" w:rsidR="1781C1DF">
        <w:rPr>
          <w:rFonts w:ascii="Arial" w:hAnsi="Arial" w:eastAsia="Arial" w:cs="Arial"/>
          <w:noProof w:val="0"/>
          <w:sz w:val="24"/>
          <w:szCs w:val="24"/>
          <w:lang w:val="en-GB"/>
        </w:rPr>
        <w:t xml:space="preserve">Wood, D., Bradshaw, S., Dickens, T., Parker-McLeod, J. and Davis, C. (2024) </w:t>
      </w:r>
      <w:r w:rsidRPr="5921F049" w:rsidR="1781C1DF">
        <w:rPr>
          <w:rFonts w:ascii="Arial" w:hAnsi="Arial" w:eastAsia="Arial" w:cs="Arial"/>
          <w:i w:val="1"/>
          <w:iCs w:val="1"/>
          <w:noProof w:val="0"/>
          <w:sz w:val="24"/>
          <w:szCs w:val="24"/>
          <w:lang w:val="en-GB"/>
        </w:rPr>
        <w:t>Blackstone’s Handbook for Policing Students 2024</w:t>
      </w:r>
      <w:r w:rsidRPr="5921F049" w:rsidR="1781C1DF">
        <w:rPr>
          <w:rFonts w:ascii="Arial" w:hAnsi="Arial" w:eastAsia="Arial" w:cs="Arial"/>
          <w:noProof w:val="0"/>
          <w:sz w:val="24"/>
          <w:szCs w:val="24"/>
          <w:lang w:val="en-GB"/>
        </w:rPr>
        <w:t>. Oxford: Oxford University Press.</w:t>
      </w:r>
    </w:p>
    <w:p w:rsidR="5921F049" w:rsidP="5921F049" w:rsidRDefault="5921F049" w14:paraId="6FE2FE81" w14:textId="30929155">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c521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8f3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9915C9"/>
    <w:rsid w:val="0296963A"/>
    <w:rsid w:val="02A0ADE4"/>
    <w:rsid w:val="030130CD"/>
    <w:rsid w:val="0367D4C9"/>
    <w:rsid w:val="05B532DE"/>
    <w:rsid w:val="05B532DE"/>
    <w:rsid w:val="05EDD0CB"/>
    <w:rsid w:val="05EDD0CB"/>
    <w:rsid w:val="06412356"/>
    <w:rsid w:val="0654B91B"/>
    <w:rsid w:val="0654B91B"/>
    <w:rsid w:val="07454754"/>
    <w:rsid w:val="092F7313"/>
    <w:rsid w:val="092F7313"/>
    <w:rsid w:val="0CEAC706"/>
    <w:rsid w:val="0D69A72E"/>
    <w:rsid w:val="0D69A72E"/>
    <w:rsid w:val="0F31878E"/>
    <w:rsid w:val="0F31878E"/>
    <w:rsid w:val="112F8E4F"/>
    <w:rsid w:val="11E5A471"/>
    <w:rsid w:val="129DE294"/>
    <w:rsid w:val="13A5D328"/>
    <w:rsid w:val="13CB6A7B"/>
    <w:rsid w:val="141AD390"/>
    <w:rsid w:val="14E4ECAC"/>
    <w:rsid w:val="1530878C"/>
    <w:rsid w:val="15C9D322"/>
    <w:rsid w:val="160F6A7A"/>
    <w:rsid w:val="167F8E18"/>
    <w:rsid w:val="1716AF29"/>
    <w:rsid w:val="17647034"/>
    <w:rsid w:val="1781C1DF"/>
    <w:rsid w:val="19974B93"/>
    <w:rsid w:val="1AC9BCD5"/>
    <w:rsid w:val="1B0F1E80"/>
    <w:rsid w:val="1B0F1E80"/>
    <w:rsid w:val="1B84A74B"/>
    <w:rsid w:val="1B84A74B"/>
    <w:rsid w:val="1BF7FDD0"/>
    <w:rsid w:val="1F28AD9C"/>
    <w:rsid w:val="200E56B9"/>
    <w:rsid w:val="200E56B9"/>
    <w:rsid w:val="20B91DB3"/>
    <w:rsid w:val="21260075"/>
    <w:rsid w:val="222B3715"/>
    <w:rsid w:val="224B33F5"/>
    <w:rsid w:val="224E5DE5"/>
    <w:rsid w:val="224E5DE5"/>
    <w:rsid w:val="2312CE93"/>
    <w:rsid w:val="248F6582"/>
    <w:rsid w:val="25EBD968"/>
    <w:rsid w:val="261A6035"/>
    <w:rsid w:val="275B65F2"/>
    <w:rsid w:val="292D4248"/>
    <w:rsid w:val="2977E886"/>
    <w:rsid w:val="29819A2E"/>
    <w:rsid w:val="29819A2E"/>
    <w:rsid w:val="2A2391FC"/>
    <w:rsid w:val="2C424395"/>
    <w:rsid w:val="2C424395"/>
    <w:rsid w:val="2D6B864D"/>
    <w:rsid w:val="2EE09DF7"/>
    <w:rsid w:val="2FF1B9FC"/>
    <w:rsid w:val="30B1A403"/>
    <w:rsid w:val="30E1D28B"/>
    <w:rsid w:val="314B5788"/>
    <w:rsid w:val="32D57791"/>
    <w:rsid w:val="33FD47A9"/>
    <w:rsid w:val="33FD47A9"/>
    <w:rsid w:val="34DA1539"/>
    <w:rsid w:val="35916E99"/>
    <w:rsid w:val="35EEFFF3"/>
    <w:rsid w:val="3AE19E64"/>
    <w:rsid w:val="3B0DF39E"/>
    <w:rsid w:val="3B55E5C4"/>
    <w:rsid w:val="3BCAF6C6"/>
    <w:rsid w:val="3BF72675"/>
    <w:rsid w:val="3BF72675"/>
    <w:rsid w:val="3C259423"/>
    <w:rsid w:val="3C6463A7"/>
    <w:rsid w:val="3C6463A7"/>
    <w:rsid w:val="3C7A502E"/>
    <w:rsid w:val="3E148A32"/>
    <w:rsid w:val="417FB785"/>
    <w:rsid w:val="42A36738"/>
    <w:rsid w:val="430FF46C"/>
    <w:rsid w:val="44D01F80"/>
    <w:rsid w:val="45D5882F"/>
    <w:rsid w:val="45D5882F"/>
    <w:rsid w:val="468A5915"/>
    <w:rsid w:val="468A5915"/>
    <w:rsid w:val="47FCB3BF"/>
    <w:rsid w:val="48065F5B"/>
    <w:rsid w:val="48065F5B"/>
    <w:rsid w:val="48DA4F55"/>
    <w:rsid w:val="4A3C0384"/>
    <w:rsid w:val="4A5B19D5"/>
    <w:rsid w:val="4D127F93"/>
    <w:rsid w:val="4DD1FD52"/>
    <w:rsid w:val="4DEAC1FC"/>
    <w:rsid w:val="4F327D2C"/>
    <w:rsid w:val="4FC10ACF"/>
    <w:rsid w:val="5028A3EE"/>
    <w:rsid w:val="510F9B9D"/>
    <w:rsid w:val="51AE1463"/>
    <w:rsid w:val="51E6735D"/>
    <w:rsid w:val="55E680E5"/>
    <w:rsid w:val="55E680E5"/>
    <w:rsid w:val="55EF22F5"/>
    <w:rsid w:val="56F6818F"/>
    <w:rsid w:val="57BD33A9"/>
    <w:rsid w:val="5868ED63"/>
    <w:rsid w:val="5891D310"/>
    <w:rsid w:val="5891D310"/>
    <w:rsid w:val="5921F049"/>
    <w:rsid w:val="59A409E6"/>
    <w:rsid w:val="5B149FC3"/>
    <w:rsid w:val="5B2AF334"/>
    <w:rsid w:val="5B74A175"/>
    <w:rsid w:val="5C01CA76"/>
    <w:rsid w:val="5D167752"/>
    <w:rsid w:val="5D489DDF"/>
    <w:rsid w:val="5DBE6742"/>
    <w:rsid w:val="5E31860A"/>
    <w:rsid w:val="603C36CC"/>
    <w:rsid w:val="6050136D"/>
    <w:rsid w:val="60665EDF"/>
    <w:rsid w:val="60665EDF"/>
    <w:rsid w:val="61F7BAED"/>
    <w:rsid w:val="61F7BAED"/>
    <w:rsid w:val="624809FC"/>
    <w:rsid w:val="629915C9"/>
    <w:rsid w:val="62B13FE4"/>
    <w:rsid w:val="630FD79B"/>
    <w:rsid w:val="65921893"/>
    <w:rsid w:val="66BE1B85"/>
    <w:rsid w:val="670B685C"/>
    <w:rsid w:val="67434C1D"/>
    <w:rsid w:val="69581089"/>
    <w:rsid w:val="69581089"/>
    <w:rsid w:val="6ABAFB0A"/>
    <w:rsid w:val="6B0DD70B"/>
    <w:rsid w:val="6E9784CF"/>
    <w:rsid w:val="6E9784CF"/>
    <w:rsid w:val="6F786F1D"/>
    <w:rsid w:val="6FDDC793"/>
    <w:rsid w:val="6FDDC793"/>
    <w:rsid w:val="720D9C11"/>
    <w:rsid w:val="725FD086"/>
    <w:rsid w:val="725FD086"/>
    <w:rsid w:val="72DEFF66"/>
    <w:rsid w:val="7337EE15"/>
    <w:rsid w:val="73C357DA"/>
    <w:rsid w:val="7458E2BB"/>
    <w:rsid w:val="75E109AB"/>
    <w:rsid w:val="760B781E"/>
    <w:rsid w:val="76E8120F"/>
    <w:rsid w:val="77195907"/>
    <w:rsid w:val="77827EAB"/>
    <w:rsid w:val="77827EAB"/>
    <w:rsid w:val="7893A0C6"/>
    <w:rsid w:val="78D68960"/>
    <w:rsid w:val="7951E0E2"/>
    <w:rsid w:val="7951E0E2"/>
    <w:rsid w:val="79D38ED3"/>
    <w:rsid w:val="7AABCA04"/>
    <w:rsid w:val="7BBE9A70"/>
    <w:rsid w:val="7D6E5C6E"/>
    <w:rsid w:val="7F39939E"/>
    <w:rsid w:val="7F39939E"/>
    <w:rsid w:val="7F6C0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15C9"/>
  <w15:chartTrackingRefBased/>
  <w15:docId w15:val="{F67CBB03-35BF-4C78-B90A-1122BCB01B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921F049"/>
    <w:rPr>
      <w:color w:val="467886"/>
      <w:u w:val="single"/>
    </w:rPr>
  </w:style>
  <w:style w:type="paragraph" w:styleId="ListParagraph">
    <w:uiPriority w:val="34"/>
    <w:name w:val="List Paragraph"/>
    <w:basedOn w:val="Normal"/>
    <w:qFormat/>
    <w:rsid w:val="5921F04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perationencompass.org/SM4/Mutable/Uploads/resource_file/OE-impact-Report-fv-2024.pdf" TargetMode="External" Id="Rdcb6402a73164ca2" /><Relationship Type="http://schemas.openxmlformats.org/officeDocument/2006/relationships/hyperlink" Target="https://www.gov.uk/government/publications/national-review-into-the-murders-of-arthur-labinjo-hughes-and-star-hobson?utm_source=chatgpt.com" TargetMode="External" Id="R7f0f205f923d45ab" /><Relationship Type="http://schemas.openxmlformats.org/officeDocument/2006/relationships/hyperlink" Target="https://assets.college.police.uk/s3fs-public/2021-11/Recognising-responding-vulnerability-related-risks-guidelines.pdf?utm_source=chatgpt.com" TargetMode="External" Id="Rd9d8d61e477c4bd3" /><Relationship Type="http://schemas.openxmlformats.org/officeDocument/2006/relationships/hyperlink" Target="https://assets.college.police.uk/s3fs-public/2022-06/Synthesis-of-evidence-from-three-programme-evaluations.pdf?utm_source=chatgpt.com" TargetMode="External" Id="Rc22e468422854ab6" /><Relationship Type="http://schemas.openxmlformats.org/officeDocument/2006/relationships/hyperlink" Target="https://www.college.police.uk/support-forces/practices/force-wide-vulnerability-action-plan?utm_source=chatgpt.com" TargetMode="External" Id="R2e7276ce369e46da" /><Relationship Type="http://schemas.openxmlformats.org/officeDocument/2006/relationships/hyperlink" Target="https://www.gov.uk/government/publications/national-review-into-the-murders-of-arthur-labinjo-hughes-and-star-hobson?utm_source=chatgpt.com" TargetMode="External" Id="R0bed007e967c4c22" /><Relationship Type="http://schemas.openxmlformats.org/officeDocument/2006/relationships/hyperlink" Target="https://assets-hmicfrs.justiceinspectorates.gov.uk/uploads/vulnerability-in-criminal-case-files-south-wales.pdf?utm_source=chatgpt.com" TargetMode="External" Id="Rfca7f274c5384f4e" /><Relationship Type="http://schemas.openxmlformats.org/officeDocument/2006/relationships/hyperlink" Target="https://www.gov.uk/government/publications/tackling-domestic-abuse-plan?utm_source=chatgpt.com" TargetMode="External" Id="R3fbda3cb021547f4" /><Relationship Type="http://schemas.openxmlformats.org/officeDocument/2006/relationships/hyperlink" Target="https://victimscommissioner.org.uk/document/2023-victim-survey?utm_source=chatgpt.com" TargetMode="External" Id="R09e15fc544bc4dcb" /><Relationship Type="http://schemas.openxmlformats.org/officeDocument/2006/relationships/hyperlink" Target="https://www.npcc.police.uk/SysSiteAssets/media/downloads/publications/publications-log/2018/national-vulnerability-action-plan-2018-2021.pdf?utm_source=chatgpt.com" TargetMode="External" Id="R3592763ac73c452b" /><Relationship Type="http://schemas.openxmlformats.org/officeDocument/2006/relationships/hyperlink" Target="https://s3-eu-west-2.amazonaws.com/assets-hmicfrs.justiceinspectorates.gov.uk/uploads/peel-assessment-2023-25-gwent.pdf" TargetMode="External" Id="Radc06ce37bfd4aa4" /><Relationship Type="http://schemas.openxmlformats.org/officeDocument/2006/relationships/hyperlink" Target="https://assets.publishing.service.gov.uk/government/uploads/system/uploads/attachment_data/file/533826/Triennial_Analysis_of_SCRs_2011-2014_-__Pathways_to_harm_and_protection.pdf" TargetMode="External" Id="Redbecd0c82ec4718" /><Relationship Type="http://schemas.openxmlformats.org/officeDocument/2006/relationships/hyperlink" Target="https://www.vkpp.org.uk/vkpp-work/vkpp-research/meta-analysis/?utm_source=chatgpt.com" TargetMode="External" Id="Rb31a31a4cda943b6" /><Relationship Type="http://schemas.openxmlformats.org/officeDocument/2006/relationships/numbering" Target="/word/numbering.xml" Id="R12130867d28b4f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Williams (2416992)</dc:creator>
  <keywords/>
  <dc:description/>
  <lastModifiedBy>Claire Williams (2416992)</lastModifiedBy>
  <revision>2</revision>
  <dcterms:created xsi:type="dcterms:W3CDTF">2025-11-03T10:52:53.6879726Z</dcterms:created>
  <dcterms:modified xsi:type="dcterms:W3CDTF">2025-11-07T13:48:54.5016005Z</dcterms:modified>
</coreProperties>
</file>