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F5AC37" w14:textId="77777777" w:rsidR="00CB368C" w:rsidRDefault="00CB368C" w:rsidP="00CB368C">
      <w:pPr>
        <w:pStyle w:val="NormalWeb"/>
        <w:spacing w:before="0" w:beforeAutospacing="0" w:after="0" w:afterAutospacing="0"/>
        <w:ind w:left="-180" w:right="-334"/>
      </w:pPr>
      <w:r>
        <w:rPr>
          <w:noProof/>
        </w:rPr>
        <w:drawing>
          <wp:inline distT="0" distB="0" distL="0" distR="0" wp14:anchorId="0962D964" wp14:editId="303A7944">
            <wp:extent cx="1905000" cy="635000"/>
            <wp:effectExtent l="19050" t="19050" r="19050" b="127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0DC73E7" w14:textId="77777777" w:rsidR="00CB368C" w:rsidRDefault="00CB368C" w:rsidP="00CB368C">
      <w:pPr>
        <w:pStyle w:val="NormalWeb"/>
        <w:spacing w:before="0" w:beforeAutospacing="0" w:after="0" w:afterAutospacing="0"/>
        <w:ind w:left="-180" w:right="-334"/>
      </w:pPr>
    </w:p>
    <w:p w14:paraId="1457280F" w14:textId="77777777" w:rsidR="00CB368C" w:rsidRDefault="00CB368C" w:rsidP="00CB368C">
      <w:pPr>
        <w:pStyle w:val="NormalWeb"/>
        <w:spacing w:before="0" w:beforeAutospacing="0" w:after="0" w:afterAutospacing="0"/>
        <w:ind w:left="-180" w:right="-334"/>
      </w:pPr>
    </w:p>
    <w:p w14:paraId="6EA87155" w14:textId="77777777" w:rsidR="00CB368C" w:rsidRDefault="00CB368C" w:rsidP="00CB368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F10B853" w14:textId="77777777" w:rsidR="00CB368C" w:rsidRPr="00230F35" w:rsidRDefault="00CB368C" w:rsidP="00CB368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F7C181A" w14:textId="77777777" w:rsidR="00CB368C" w:rsidRPr="00230F35" w:rsidRDefault="00CB368C" w:rsidP="00CB368C">
      <w:pPr>
        <w:rPr>
          <w:rFonts w:ascii="Arial" w:hAnsi="Arial" w:cs="Arial"/>
          <w:sz w:val="28"/>
          <w:szCs w:val="28"/>
          <w:lang w:val="cy-GB"/>
        </w:rPr>
      </w:pPr>
    </w:p>
    <w:p w14:paraId="66B57004" w14:textId="77777777" w:rsidR="00CB368C" w:rsidRDefault="00CB368C" w:rsidP="00CB368C">
      <w:pPr>
        <w:pStyle w:val="Heading3"/>
        <w:jc w:val="center"/>
        <w:rPr>
          <w:lang w:val="cy-GB"/>
        </w:rPr>
      </w:pPr>
      <w:r>
        <w:rPr>
          <w:lang w:val="cy-GB"/>
        </w:rPr>
        <w:t>THIS SHEET MUST BE THE FIRST PAGE OF THE ASSIGNMENT YOU ARE SUBMITTING  (DO NOT SEND AS A SEPARATE FILE)</w:t>
      </w:r>
    </w:p>
    <w:p w14:paraId="599729BC" w14:textId="77777777" w:rsidR="00CB368C" w:rsidRDefault="00CB368C" w:rsidP="00CB368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4"/>
        <w:gridCol w:w="420"/>
        <w:gridCol w:w="1512"/>
        <w:gridCol w:w="281"/>
        <w:gridCol w:w="1789"/>
      </w:tblGrid>
      <w:tr w:rsidR="00CB368C" w:rsidRPr="00230F35" w14:paraId="1A2A345C" w14:textId="77777777" w:rsidTr="003F2BEA">
        <w:trPr>
          <w:trHeight w:val="614"/>
        </w:trPr>
        <w:tc>
          <w:tcPr>
            <w:tcW w:w="8856" w:type="dxa"/>
            <w:gridSpan w:val="5"/>
          </w:tcPr>
          <w:p w14:paraId="1728FACC" w14:textId="77777777" w:rsidR="00CB368C" w:rsidRPr="00230F35"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B368C" w:rsidRPr="00230F35" w14:paraId="2B31F7DB" w14:textId="77777777" w:rsidTr="003F2BEA">
        <w:trPr>
          <w:trHeight w:val="718"/>
        </w:trPr>
        <w:tc>
          <w:tcPr>
            <w:tcW w:w="8856" w:type="dxa"/>
            <w:gridSpan w:val="5"/>
          </w:tcPr>
          <w:p w14:paraId="60277580" w14:textId="77777777" w:rsidR="00CB368C"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Amy C. Simes</w:t>
            </w:r>
          </w:p>
          <w:p w14:paraId="64D3A5A9" w14:textId="77777777" w:rsidR="00CB368C" w:rsidRPr="00230F35" w:rsidRDefault="00CB368C" w:rsidP="003F2BEA">
            <w:pPr>
              <w:pStyle w:val="NormalWeb"/>
              <w:spacing w:before="0" w:beforeAutospacing="0" w:after="0" w:afterAutospacing="0"/>
              <w:ind w:right="34"/>
              <w:rPr>
                <w:rFonts w:ascii="Arial" w:hAnsi="Arial" w:cs="Arial"/>
                <w:sz w:val="22"/>
                <w:szCs w:val="22"/>
              </w:rPr>
            </w:pPr>
          </w:p>
          <w:p w14:paraId="26872F65" w14:textId="77777777" w:rsidR="00CB368C" w:rsidRPr="00230F35"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1903888@student.uwtsd.ac.uk</w:t>
            </w:r>
          </w:p>
        </w:tc>
      </w:tr>
      <w:tr w:rsidR="00CB368C" w:rsidRPr="00230F35" w14:paraId="213DA0D8" w14:textId="77777777" w:rsidTr="003F2BEA">
        <w:trPr>
          <w:trHeight w:val="849"/>
        </w:trPr>
        <w:tc>
          <w:tcPr>
            <w:tcW w:w="4788" w:type="dxa"/>
          </w:tcPr>
          <w:p w14:paraId="36FE4EF2" w14:textId="77777777" w:rsidR="00CB368C" w:rsidRPr="00230F35"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55277134" w14:textId="77777777" w:rsidR="00CB368C" w:rsidRPr="00230F35" w:rsidRDefault="00CB368C" w:rsidP="003F2BEA">
            <w:pPr>
              <w:pStyle w:val="NormalWeb"/>
              <w:spacing w:before="0" w:beforeAutospacing="0" w:after="0" w:afterAutospacing="0"/>
              <w:ind w:right="34"/>
              <w:rPr>
                <w:rFonts w:ascii="Arial" w:hAnsi="Arial" w:cs="Arial"/>
                <w:sz w:val="22"/>
                <w:szCs w:val="22"/>
              </w:rPr>
            </w:pPr>
          </w:p>
          <w:p w14:paraId="652EC92E" w14:textId="77777777" w:rsidR="00CB368C"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4EE8DC20" w14:textId="77777777" w:rsidR="00CB368C" w:rsidRPr="00230F35" w:rsidRDefault="00CB368C" w:rsidP="003F2BEA">
            <w:pPr>
              <w:pStyle w:val="NormalWeb"/>
              <w:spacing w:before="0" w:beforeAutospacing="0" w:after="0" w:afterAutospacing="0"/>
              <w:ind w:right="34"/>
              <w:rPr>
                <w:rFonts w:ascii="Arial" w:hAnsi="Arial" w:cs="Arial"/>
                <w:sz w:val="22"/>
                <w:szCs w:val="22"/>
              </w:rPr>
            </w:pPr>
          </w:p>
        </w:tc>
        <w:tc>
          <w:tcPr>
            <w:tcW w:w="2266" w:type="dxa"/>
            <w:gridSpan w:val="3"/>
          </w:tcPr>
          <w:p w14:paraId="56519F79" w14:textId="77777777" w:rsidR="00CB368C" w:rsidRPr="00230F35"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1903888</w:t>
            </w:r>
          </w:p>
        </w:tc>
        <w:tc>
          <w:tcPr>
            <w:tcW w:w="1802" w:type="dxa"/>
          </w:tcPr>
          <w:p w14:paraId="145FDBB9" w14:textId="77777777" w:rsidR="00CB368C" w:rsidRPr="00230F35"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7CF7DD" w14:textId="77777777" w:rsidR="00CB368C" w:rsidRPr="00230F35"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r>
              <w:rPr>
                <w:rFonts w:ascii="Arial" w:hAnsi="Arial" w:cs="Arial"/>
                <w:sz w:val="22"/>
                <w:szCs w:val="22"/>
              </w:rPr>
              <w:t xml:space="preserve">   No</w:t>
            </w:r>
          </w:p>
        </w:tc>
      </w:tr>
      <w:tr w:rsidR="00CB368C" w:rsidRPr="00230F35" w14:paraId="514E8475" w14:textId="77777777" w:rsidTr="003F2BEA">
        <w:trPr>
          <w:trHeight w:val="1139"/>
        </w:trPr>
        <w:tc>
          <w:tcPr>
            <w:tcW w:w="8856" w:type="dxa"/>
            <w:gridSpan w:val="5"/>
          </w:tcPr>
          <w:p w14:paraId="545043DA" w14:textId="77777777" w:rsidR="00CB368C" w:rsidRPr="00230F35"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Comparison of Sky Mythologies in Two Cultures</w:t>
            </w:r>
          </w:p>
          <w:p w14:paraId="2647E3AE" w14:textId="77777777" w:rsidR="00CB368C" w:rsidRPr="00230F35" w:rsidRDefault="00CB368C" w:rsidP="003F2BEA">
            <w:pPr>
              <w:pStyle w:val="NormalWeb"/>
              <w:spacing w:before="0" w:beforeAutospacing="0" w:after="0" w:afterAutospacing="0"/>
              <w:ind w:right="34"/>
              <w:rPr>
                <w:rFonts w:ascii="Arial" w:hAnsi="Arial" w:cs="Arial"/>
                <w:sz w:val="22"/>
                <w:szCs w:val="22"/>
              </w:rPr>
            </w:pPr>
          </w:p>
          <w:p w14:paraId="2EF649C0" w14:textId="77777777" w:rsidR="00CB368C" w:rsidRDefault="00CB368C" w:rsidP="003F2BEA">
            <w:pPr>
              <w:pStyle w:val="NormalWeb"/>
              <w:spacing w:before="0" w:beforeAutospacing="0" w:after="0" w:afterAutospacing="0"/>
              <w:ind w:right="34"/>
              <w:rPr>
                <w:rFonts w:ascii="Arial" w:hAnsi="Arial" w:cs="Arial"/>
                <w:sz w:val="22"/>
                <w:szCs w:val="22"/>
              </w:rPr>
            </w:pPr>
          </w:p>
          <w:p w14:paraId="397825CA" w14:textId="77777777" w:rsidR="00CB368C" w:rsidRPr="00230F35"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 December, 2019</w:t>
            </w:r>
          </w:p>
        </w:tc>
      </w:tr>
      <w:tr w:rsidR="00CB368C" w:rsidRPr="00230F35" w14:paraId="4355EDCB" w14:textId="77777777" w:rsidTr="003F2BEA">
        <w:trPr>
          <w:trHeight w:val="978"/>
        </w:trPr>
        <w:tc>
          <w:tcPr>
            <w:tcW w:w="8856" w:type="dxa"/>
            <w:gridSpan w:val="5"/>
            <w:tcBorders>
              <w:bottom w:val="single" w:sz="4" w:space="0" w:color="000000"/>
            </w:tcBorders>
          </w:tcPr>
          <w:p w14:paraId="4C3C60AF" w14:textId="77777777" w:rsidR="00CB368C" w:rsidRPr="00230F35" w:rsidRDefault="00CB368C" w:rsidP="003F2BEA">
            <w:pPr>
              <w:rPr>
                <w:rFonts w:ascii="Arial" w:hAnsi="Arial" w:cs="Arial"/>
                <w:sz w:val="22"/>
                <w:szCs w:val="22"/>
              </w:rPr>
            </w:pPr>
            <w:r w:rsidRPr="00230F35">
              <w:rPr>
                <w:rFonts w:ascii="Arial" w:hAnsi="Arial" w:cs="Arial"/>
                <w:sz w:val="22"/>
                <w:szCs w:val="22"/>
              </w:rPr>
              <w:t xml:space="preserve">This assignment is for the       </w:t>
            </w:r>
            <w:r>
              <w:rPr>
                <w:rFonts w:ascii="Arial" w:hAnsi="Arial" w:cs="Arial"/>
                <w:sz w:val="22"/>
                <w:szCs w:val="22"/>
              </w:rPr>
              <w:t>x</w:t>
            </w: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CB368C" w:rsidRPr="00230F35" w14:paraId="78C68C27" w14:textId="77777777" w:rsidTr="003F2BEA">
        <w:trPr>
          <w:trHeight w:val="978"/>
        </w:trPr>
        <w:tc>
          <w:tcPr>
            <w:tcW w:w="8856" w:type="dxa"/>
            <w:gridSpan w:val="5"/>
            <w:shd w:val="clear" w:color="auto" w:fill="D9D9D9"/>
          </w:tcPr>
          <w:p w14:paraId="529064E1" w14:textId="77777777" w:rsidR="00CB368C" w:rsidRPr="00230F35"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87AE74E" w14:textId="77777777" w:rsidR="00CB368C" w:rsidRDefault="00CB368C" w:rsidP="003F2BE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Amy C. Simes</w:t>
            </w:r>
            <w:r w:rsidRPr="00230F35">
              <w:rPr>
                <w:rFonts w:ascii="Arial" w:hAnsi="Arial" w:cs="Arial"/>
                <w:sz w:val="22"/>
                <w:szCs w:val="22"/>
              </w:rPr>
              <w:t>…………………………………………………</w:t>
            </w:r>
          </w:p>
          <w:p w14:paraId="6E084D76" w14:textId="77777777" w:rsidR="00CB368C" w:rsidRDefault="00CB368C" w:rsidP="003F2BE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4F909590" w14:textId="77777777" w:rsidR="00CB368C" w:rsidRPr="00230F35" w:rsidRDefault="00CB368C" w:rsidP="003F2BE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B368C" w:rsidRPr="00230F35" w14:paraId="4EB54722" w14:textId="77777777" w:rsidTr="003F2BEA">
        <w:trPr>
          <w:trHeight w:val="3972"/>
        </w:trPr>
        <w:tc>
          <w:tcPr>
            <w:tcW w:w="8856" w:type="dxa"/>
            <w:gridSpan w:val="5"/>
          </w:tcPr>
          <w:p w14:paraId="73FBA203" w14:textId="77777777" w:rsidR="00CB368C" w:rsidRDefault="00CB368C" w:rsidP="003F2BEA">
            <w:pPr>
              <w:rPr>
                <w:rFonts w:ascii="Arial" w:hAnsi="Arial"/>
                <w:b/>
              </w:rPr>
            </w:pPr>
          </w:p>
          <w:p w14:paraId="17833205" w14:textId="77777777" w:rsidR="00CB368C" w:rsidRPr="00116CE6" w:rsidRDefault="00CB368C" w:rsidP="003F2BE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CB368C" w:rsidRPr="00116CE6" w14:paraId="1419ABD2" w14:textId="77777777" w:rsidTr="003F2BEA">
              <w:tc>
                <w:tcPr>
                  <w:tcW w:w="6970" w:type="dxa"/>
                </w:tcPr>
                <w:p w14:paraId="1F22B712" w14:textId="77777777" w:rsidR="00CB368C" w:rsidRPr="00116CE6" w:rsidRDefault="00CB368C" w:rsidP="003F2BEA">
                  <w:pPr>
                    <w:rPr>
                      <w:rFonts w:ascii="Arial" w:hAnsi="Arial"/>
                      <w:sz w:val="20"/>
                      <w:szCs w:val="20"/>
                    </w:rPr>
                  </w:pPr>
                </w:p>
                <w:p w14:paraId="11D5EB6F" w14:textId="77777777" w:rsidR="00CB368C" w:rsidRPr="00116CE6" w:rsidRDefault="00CB368C" w:rsidP="003F2BE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6B5B626" w14:textId="77777777" w:rsidR="00CB368C" w:rsidRPr="00116CE6" w:rsidRDefault="00CB368C" w:rsidP="003F2BEA">
                  <w:pPr>
                    <w:rPr>
                      <w:rFonts w:ascii="Arial" w:hAnsi="Arial"/>
                      <w:sz w:val="20"/>
                      <w:szCs w:val="20"/>
                    </w:rPr>
                  </w:pPr>
                </w:p>
              </w:tc>
            </w:tr>
            <w:tr w:rsidR="00CB368C" w:rsidRPr="00116CE6" w14:paraId="1BE1971C" w14:textId="77777777" w:rsidTr="003F2BEA">
              <w:tc>
                <w:tcPr>
                  <w:tcW w:w="6970" w:type="dxa"/>
                </w:tcPr>
                <w:p w14:paraId="37E14CDD" w14:textId="77777777" w:rsidR="00CB368C" w:rsidRPr="00116CE6" w:rsidRDefault="00CB368C" w:rsidP="003F2BEA">
                  <w:pPr>
                    <w:rPr>
                      <w:rFonts w:ascii="Arial" w:hAnsi="Arial"/>
                      <w:sz w:val="20"/>
                      <w:szCs w:val="20"/>
                    </w:rPr>
                  </w:pPr>
                </w:p>
                <w:p w14:paraId="594E8F41" w14:textId="77777777" w:rsidR="00CB368C" w:rsidRPr="00116CE6" w:rsidRDefault="00CB368C" w:rsidP="003F2BE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5DA89B4" w14:textId="77777777" w:rsidR="00CB368C" w:rsidRPr="00116CE6" w:rsidRDefault="00CB368C" w:rsidP="003F2BEA">
                  <w:pPr>
                    <w:rPr>
                      <w:rFonts w:ascii="Arial" w:hAnsi="Arial"/>
                      <w:sz w:val="20"/>
                      <w:szCs w:val="20"/>
                    </w:rPr>
                  </w:pPr>
                </w:p>
              </w:tc>
            </w:tr>
            <w:tr w:rsidR="00CB368C" w:rsidRPr="00116CE6" w14:paraId="7134B554" w14:textId="77777777" w:rsidTr="003F2BEA">
              <w:tc>
                <w:tcPr>
                  <w:tcW w:w="6970" w:type="dxa"/>
                </w:tcPr>
                <w:p w14:paraId="386EC30C" w14:textId="77777777" w:rsidR="00CB368C" w:rsidRPr="00116CE6" w:rsidRDefault="00CB368C" w:rsidP="003F2BEA">
                  <w:pPr>
                    <w:rPr>
                      <w:rFonts w:ascii="Arial" w:hAnsi="Arial"/>
                      <w:sz w:val="20"/>
                      <w:szCs w:val="20"/>
                    </w:rPr>
                  </w:pPr>
                </w:p>
                <w:p w14:paraId="0C3D6DD7" w14:textId="77777777" w:rsidR="00CB368C" w:rsidRPr="00116CE6" w:rsidRDefault="00CB368C" w:rsidP="003F2BE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BAB99B6" w14:textId="77777777" w:rsidR="00CB368C" w:rsidRPr="00116CE6" w:rsidRDefault="00CB368C" w:rsidP="003F2BEA">
                  <w:pPr>
                    <w:rPr>
                      <w:rFonts w:ascii="Arial" w:hAnsi="Arial"/>
                      <w:sz w:val="20"/>
                      <w:szCs w:val="20"/>
                    </w:rPr>
                  </w:pPr>
                </w:p>
              </w:tc>
            </w:tr>
            <w:tr w:rsidR="00CB368C" w:rsidRPr="00116CE6" w14:paraId="00DD06A3" w14:textId="77777777" w:rsidTr="003F2BEA">
              <w:tc>
                <w:tcPr>
                  <w:tcW w:w="6970" w:type="dxa"/>
                </w:tcPr>
                <w:p w14:paraId="0E1D4C08" w14:textId="77777777" w:rsidR="00CB368C" w:rsidRDefault="00CB368C" w:rsidP="003F2BEA">
                  <w:pPr>
                    <w:rPr>
                      <w:rFonts w:ascii="Arial" w:hAnsi="Arial"/>
                      <w:sz w:val="20"/>
                      <w:szCs w:val="20"/>
                    </w:rPr>
                  </w:pPr>
                </w:p>
                <w:p w14:paraId="14FA93C5" w14:textId="77777777" w:rsidR="00CB368C" w:rsidRPr="00022345" w:rsidRDefault="00CB368C" w:rsidP="003F2BEA">
                  <w:pPr>
                    <w:rPr>
                      <w:rFonts w:ascii="Arial" w:hAnsi="Arial"/>
                      <w:b/>
                      <w:sz w:val="20"/>
                      <w:szCs w:val="20"/>
                    </w:rPr>
                  </w:pPr>
                  <w:r w:rsidRPr="00022345">
                    <w:rPr>
                      <w:rFonts w:ascii="Arial" w:hAnsi="Arial"/>
                      <w:b/>
                      <w:sz w:val="20"/>
                      <w:szCs w:val="20"/>
                    </w:rPr>
                    <w:t>Final Mark</w:t>
                  </w:r>
                </w:p>
                <w:p w14:paraId="6C039D44" w14:textId="77777777" w:rsidR="00CB368C" w:rsidRPr="00116CE6" w:rsidRDefault="00CB368C" w:rsidP="003F2BEA">
                  <w:pPr>
                    <w:rPr>
                      <w:rFonts w:ascii="Arial" w:hAnsi="Arial"/>
                      <w:sz w:val="20"/>
                      <w:szCs w:val="20"/>
                    </w:rPr>
                  </w:pPr>
                </w:p>
              </w:tc>
              <w:tc>
                <w:tcPr>
                  <w:tcW w:w="1660" w:type="dxa"/>
                </w:tcPr>
                <w:p w14:paraId="61B53C74" w14:textId="77777777" w:rsidR="00CB368C" w:rsidRPr="00116CE6" w:rsidRDefault="00CB368C" w:rsidP="003F2BEA">
                  <w:pPr>
                    <w:rPr>
                      <w:rFonts w:ascii="Arial" w:hAnsi="Arial"/>
                      <w:sz w:val="20"/>
                      <w:szCs w:val="20"/>
                    </w:rPr>
                  </w:pPr>
                </w:p>
              </w:tc>
            </w:tr>
          </w:tbl>
          <w:p w14:paraId="3A543C2F" w14:textId="77777777" w:rsidR="00CB368C" w:rsidRDefault="00CB368C" w:rsidP="003F2BEA">
            <w:pPr>
              <w:pStyle w:val="NormalWeb"/>
              <w:spacing w:before="0" w:beforeAutospacing="0" w:after="0" w:afterAutospacing="0"/>
              <w:ind w:left="142" w:right="34"/>
              <w:rPr>
                <w:rFonts w:ascii="Arial" w:hAnsi="Arial" w:cs="Arial"/>
                <w:b/>
                <w:sz w:val="22"/>
                <w:szCs w:val="22"/>
              </w:rPr>
            </w:pPr>
          </w:p>
          <w:p w14:paraId="4C95ADEB" w14:textId="77777777" w:rsidR="00CB368C" w:rsidRPr="00230F35" w:rsidRDefault="00CB368C" w:rsidP="003F2BE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3DE352" w14:textId="77777777" w:rsidR="00CB368C" w:rsidRDefault="00CB368C" w:rsidP="003F2BEA">
            <w:pPr>
              <w:pStyle w:val="NormalWeb"/>
              <w:spacing w:before="0" w:beforeAutospacing="0" w:after="0" w:afterAutospacing="0"/>
              <w:rPr>
                <w:rFonts w:ascii="Arial" w:hAnsi="Arial" w:cs="Arial"/>
                <w:b/>
                <w:sz w:val="22"/>
                <w:szCs w:val="22"/>
              </w:rPr>
            </w:pPr>
          </w:p>
          <w:p w14:paraId="52467730" w14:textId="77777777" w:rsidR="00CB368C" w:rsidRDefault="00CB368C" w:rsidP="003F2BEA">
            <w:pPr>
              <w:pStyle w:val="NormalWeb"/>
              <w:spacing w:before="0" w:beforeAutospacing="0" w:after="0" w:afterAutospacing="0"/>
              <w:rPr>
                <w:rFonts w:ascii="Arial" w:hAnsi="Arial" w:cs="Arial"/>
                <w:b/>
                <w:sz w:val="22"/>
                <w:szCs w:val="22"/>
              </w:rPr>
            </w:pPr>
          </w:p>
          <w:p w14:paraId="74574154" w14:textId="77777777" w:rsidR="00CB368C" w:rsidRDefault="00CB368C" w:rsidP="003F2BEA">
            <w:pPr>
              <w:pStyle w:val="NormalWeb"/>
              <w:spacing w:before="0" w:beforeAutospacing="0" w:after="0" w:afterAutospacing="0"/>
              <w:rPr>
                <w:rFonts w:ascii="Arial" w:hAnsi="Arial" w:cs="Arial"/>
                <w:b/>
                <w:sz w:val="22"/>
                <w:szCs w:val="22"/>
              </w:rPr>
            </w:pPr>
          </w:p>
          <w:p w14:paraId="52722C00" w14:textId="77777777" w:rsidR="00CB368C" w:rsidRDefault="00CB368C" w:rsidP="003F2BEA">
            <w:pPr>
              <w:pStyle w:val="NormalWeb"/>
              <w:spacing w:before="0" w:beforeAutospacing="0" w:after="0" w:afterAutospacing="0"/>
              <w:rPr>
                <w:rFonts w:ascii="Arial" w:hAnsi="Arial" w:cs="Arial"/>
                <w:b/>
                <w:sz w:val="22"/>
                <w:szCs w:val="22"/>
              </w:rPr>
            </w:pPr>
          </w:p>
          <w:p w14:paraId="010ED8D7" w14:textId="77777777" w:rsidR="00CB368C" w:rsidRDefault="00CB368C" w:rsidP="003F2BEA">
            <w:pPr>
              <w:pStyle w:val="NormalWeb"/>
              <w:spacing w:before="0" w:beforeAutospacing="0" w:after="0" w:afterAutospacing="0"/>
              <w:rPr>
                <w:rFonts w:ascii="Arial" w:hAnsi="Arial" w:cs="Arial"/>
                <w:b/>
                <w:sz w:val="22"/>
                <w:szCs w:val="22"/>
              </w:rPr>
            </w:pPr>
          </w:p>
          <w:p w14:paraId="31A1659B" w14:textId="77777777" w:rsidR="00CB368C" w:rsidRPr="00230F35" w:rsidRDefault="00CB368C" w:rsidP="003F2BE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bookmarkStart w:id="6" w:name="_GoBack"/>
            <w:bookmarkEnd w:id="6"/>
          </w:p>
          <w:p w14:paraId="17C3B950" w14:textId="77777777" w:rsidR="00CB368C" w:rsidRDefault="00CB368C" w:rsidP="003F2BEA">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4AA8F469" w14:textId="77777777" w:rsidR="00CB368C" w:rsidRPr="00001C3B" w:rsidRDefault="00CB368C" w:rsidP="003F2BEA">
            <w:pPr>
              <w:pStyle w:val="NormalWeb"/>
              <w:rPr>
                <w:rFonts w:ascii="Arial" w:hAnsi="Arial" w:cs="Arial"/>
                <w:sz w:val="22"/>
                <w:szCs w:val="22"/>
              </w:rPr>
            </w:pPr>
          </w:p>
        </w:tc>
      </w:tr>
      <w:tr w:rsidR="00CB368C" w:rsidRPr="00230F35" w14:paraId="49AC6E0D" w14:textId="77777777" w:rsidTr="003F2BEA">
        <w:trPr>
          <w:trHeight w:val="492"/>
        </w:trPr>
        <w:tc>
          <w:tcPr>
            <w:tcW w:w="6768" w:type="dxa"/>
            <w:gridSpan w:val="3"/>
          </w:tcPr>
          <w:p w14:paraId="1B76C390" w14:textId="77777777" w:rsidR="00CB368C" w:rsidRPr="00230F35" w:rsidRDefault="00CB368C" w:rsidP="003F2BEA">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639277B" w14:textId="77777777" w:rsidR="00CB368C" w:rsidRPr="00230F35" w:rsidRDefault="00CB368C" w:rsidP="003F2BEA">
            <w:pPr>
              <w:pStyle w:val="NormalWeb"/>
              <w:spacing w:after="0"/>
              <w:ind w:left="142" w:right="34"/>
              <w:rPr>
                <w:rFonts w:ascii="Arial" w:hAnsi="Arial" w:cs="Arial"/>
                <w:sz w:val="22"/>
                <w:szCs w:val="22"/>
              </w:rPr>
            </w:pPr>
            <w:r w:rsidRPr="00230F35">
              <w:rPr>
                <w:rFonts w:ascii="Arial" w:hAnsi="Arial" w:cs="Arial"/>
                <w:sz w:val="22"/>
                <w:szCs w:val="22"/>
              </w:rPr>
              <w:t>Date:</w:t>
            </w:r>
          </w:p>
        </w:tc>
      </w:tr>
      <w:tr w:rsidR="00CB368C" w:rsidRPr="002F467C" w14:paraId="4D88E9B3" w14:textId="77777777" w:rsidTr="003F2BEA">
        <w:tc>
          <w:tcPr>
            <w:tcW w:w="8856" w:type="dxa"/>
            <w:gridSpan w:val="5"/>
          </w:tcPr>
          <w:p w14:paraId="7706D6CA" w14:textId="77777777" w:rsidR="00CB368C" w:rsidRPr="00230F35" w:rsidRDefault="00CB368C" w:rsidP="003F2BEA">
            <w:pPr>
              <w:pStyle w:val="NormalWeb"/>
              <w:spacing w:before="0" w:beforeAutospacing="0" w:after="0" w:afterAutospacing="0"/>
              <w:ind w:right="-334"/>
              <w:rPr>
                <w:rFonts w:ascii="Arial" w:hAnsi="Arial" w:cs="Arial"/>
                <w:bCs/>
                <w:i/>
                <w:sz w:val="22"/>
                <w:szCs w:val="22"/>
              </w:rPr>
            </w:pPr>
          </w:p>
          <w:p w14:paraId="5C6AFD11" w14:textId="77777777" w:rsidR="00CB368C" w:rsidRPr="00230F35" w:rsidRDefault="00CB368C" w:rsidP="003F2BE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F7B4E6B" w14:textId="77777777" w:rsidR="00CB368C" w:rsidRPr="00230F35" w:rsidRDefault="00CB368C" w:rsidP="003F2BEA">
            <w:pPr>
              <w:pStyle w:val="NormalWeb"/>
              <w:spacing w:before="0" w:beforeAutospacing="0" w:after="0" w:afterAutospacing="0"/>
              <w:ind w:right="-334"/>
              <w:rPr>
                <w:rFonts w:ascii="Arial" w:hAnsi="Arial" w:cs="Arial"/>
                <w:b/>
                <w:bCs/>
                <w:sz w:val="22"/>
                <w:szCs w:val="22"/>
              </w:rPr>
            </w:pPr>
          </w:p>
          <w:p w14:paraId="087C1F2A"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CC43BE4"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2F3A650F"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6E43B202"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3610F475"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437EFE8D"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79F83D16"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434C7B57"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6824864E"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5C414609" w14:textId="77777777" w:rsidR="00CB368C" w:rsidRDefault="00CB368C" w:rsidP="003F2BEA">
            <w:pPr>
              <w:pStyle w:val="NormalWeb"/>
              <w:spacing w:before="0" w:beforeAutospacing="0" w:after="0" w:afterAutospacing="0"/>
              <w:ind w:right="-334"/>
              <w:rPr>
                <w:rFonts w:ascii="Arial" w:hAnsi="Arial" w:cs="Arial"/>
                <w:bCs/>
                <w:sz w:val="22"/>
                <w:szCs w:val="22"/>
              </w:rPr>
            </w:pPr>
          </w:p>
          <w:p w14:paraId="4F28B018"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66F866FA"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629371FD"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tc>
      </w:tr>
      <w:tr w:rsidR="00CB368C" w:rsidRPr="002F467C" w14:paraId="1573A2E0" w14:textId="77777777" w:rsidTr="003F2BEA">
        <w:trPr>
          <w:trHeight w:val="720"/>
        </w:trPr>
        <w:tc>
          <w:tcPr>
            <w:tcW w:w="5211" w:type="dxa"/>
            <w:gridSpan w:val="2"/>
          </w:tcPr>
          <w:p w14:paraId="187A5C5C"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935F137"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B368C" w:rsidRPr="002F467C" w14:paraId="352DFB47" w14:textId="77777777" w:rsidTr="003F2BEA">
        <w:trPr>
          <w:trHeight w:val="720"/>
        </w:trPr>
        <w:tc>
          <w:tcPr>
            <w:tcW w:w="8856" w:type="dxa"/>
            <w:gridSpan w:val="5"/>
          </w:tcPr>
          <w:p w14:paraId="103C2154" w14:textId="77777777" w:rsidR="00CB368C" w:rsidRPr="00B34964" w:rsidRDefault="00CB368C" w:rsidP="003F2BEA">
            <w:pPr>
              <w:rPr>
                <w:rFonts w:ascii="Arial" w:hAnsi="Arial" w:cs="Arial"/>
                <w:b/>
                <w:sz w:val="22"/>
                <w:szCs w:val="22"/>
              </w:rPr>
            </w:pPr>
            <w:r w:rsidRPr="00B34964">
              <w:rPr>
                <w:rFonts w:ascii="Arial" w:hAnsi="Arial" w:cs="Arial"/>
                <w:b/>
                <w:sz w:val="22"/>
                <w:szCs w:val="22"/>
              </w:rPr>
              <w:t>External Examiner’s comments (if relevant)</w:t>
            </w:r>
          </w:p>
          <w:p w14:paraId="6DD73E99"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75895E6D"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31F87CB3"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24D4B7AB"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0F96F065"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2C90FAEE"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50F744B1"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39131809"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2C8DF407" w14:textId="77777777" w:rsidR="00CB368C" w:rsidRDefault="00CB368C" w:rsidP="003F2BEA">
            <w:pPr>
              <w:pStyle w:val="NormalWeb"/>
              <w:spacing w:before="0" w:beforeAutospacing="0" w:after="0" w:afterAutospacing="0"/>
              <w:ind w:right="-334"/>
              <w:rPr>
                <w:rFonts w:ascii="Arial" w:hAnsi="Arial" w:cs="Arial"/>
                <w:bCs/>
                <w:sz w:val="22"/>
                <w:szCs w:val="22"/>
              </w:rPr>
            </w:pPr>
          </w:p>
          <w:p w14:paraId="5CD77374"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p w14:paraId="50750AD9" w14:textId="77777777" w:rsidR="00CB368C" w:rsidRPr="00230F35" w:rsidRDefault="00CB368C" w:rsidP="003F2BEA">
            <w:pPr>
              <w:pStyle w:val="NormalWeb"/>
              <w:spacing w:before="0" w:beforeAutospacing="0" w:after="0" w:afterAutospacing="0"/>
              <w:ind w:right="-334"/>
              <w:rPr>
                <w:rFonts w:ascii="Arial" w:hAnsi="Arial" w:cs="Arial"/>
                <w:bCs/>
                <w:sz w:val="22"/>
                <w:szCs w:val="22"/>
              </w:rPr>
            </w:pPr>
          </w:p>
        </w:tc>
      </w:tr>
      <w:tr w:rsidR="00CB368C" w:rsidRPr="002F467C" w14:paraId="00E7105D" w14:textId="77777777" w:rsidTr="003F2BEA">
        <w:trPr>
          <w:trHeight w:val="720"/>
        </w:trPr>
        <w:tc>
          <w:tcPr>
            <w:tcW w:w="5211" w:type="dxa"/>
            <w:gridSpan w:val="2"/>
          </w:tcPr>
          <w:p w14:paraId="400DA178" w14:textId="77777777" w:rsidR="00CB368C" w:rsidRPr="00230F35" w:rsidRDefault="00CB368C" w:rsidP="003F2BEA">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5F847CA" w14:textId="77777777" w:rsidR="00CB368C" w:rsidRPr="00230F35" w:rsidRDefault="00CB368C" w:rsidP="003F2BEA">
            <w:pPr>
              <w:rPr>
                <w:rFonts w:ascii="Arial" w:hAnsi="Arial" w:cs="Arial"/>
                <w:sz w:val="22"/>
                <w:szCs w:val="22"/>
              </w:rPr>
            </w:pPr>
            <w:r w:rsidRPr="00230F35">
              <w:rPr>
                <w:rFonts w:ascii="Arial" w:hAnsi="Arial" w:cs="Arial"/>
                <w:sz w:val="22"/>
                <w:szCs w:val="22"/>
              </w:rPr>
              <w:t>Date:</w:t>
            </w:r>
          </w:p>
        </w:tc>
      </w:tr>
    </w:tbl>
    <w:p w14:paraId="78CEFFF0" w14:textId="77777777" w:rsidR="00CB368C" w:rsidRDefault="00CB368C" w:rsidP="00CB368C">
      <w:pPr>
        <w:rPr>
          <w:rFonts w:asciiTheme="minorHAnsi" w:hAnsiTheme="minorHAnsi" w:cstheme="minorHAnsi"/>
          <w:b/>
          <w:bCs/>
          <w:sz w:val="22"/>
          <w:szCs w:val="22"/>
        </w:rPr>
      </w:pPr>
    </w:p>
    <w:p w14:paraId="0C1DD96E" w14:textId="19234306" w:rsidR="00CB368C" w:rsidRPr="00CB368C" w:rsidRDefault="00CB368C" w:rsidP="00CB368C">
      <w:pPr>
        <w:jc w:val="center"/>
        <w:rPr>
          <w:rFonts w:asciiTheme="minorHAnsi" w:hAnsiTheme="minorHAnsi" w:cstheme="minorHAnsi"/>
          <w:b/>
          <w:bCs/>
          <w:sz w:val="22"/>
          <w:szCs w:val="22"/>
        </w:rPr>
      </w:pPr>
      <w:r w:rsidRPr="00CB368C">
        <w:rPr>
          <w:rFonts w:asciiTheme="minorHAnsi" w:hAnsiTheme="minorHAnsi" w:cstheme="minorHAnsi"/>
          <w:b/>
          <w:bCs/>
          <w:sz w:val="22"/>
          <w:szCs w:val="22"/>
        </w:rPr>
        <w:lastRenderedPageBreak/>
        <w:t>A Comparison of Sky Mythologies in Two Cultures</w:t>
      </w:r>
    </w:p>
    <w:p w14:paraId="702B0209" w14:textId="77777777" w:rsidR="00CB368C" w:rsidRPr="00CB368C" w:rsidRDefault="00CB368C" w:rsidP="00CB368C">
      <w:pPr>
        <w:jc w:val="center"/>
        <w:rPr>
          <w:rFonts w:asciiTheme="minorHAnsi" w:hAnsiTheme="minorHAnsi" w:cstheme="minorHAnsi"/>
          <w:b/>
          <w:bCs/>
          <w:sz w:val="22"/>
          <w:szCs w:val="22"/>
        </w:rPr>
      </w:pPr>
      <w:r w:rsidRPr="00CB368C">
        <w:rPr>
          <w:rFonts w:asciiTheme="minorHAnsi" w:hAnsiTheme="minorHAnsi" w:cstheme="minorHAnsi"/>
          <w:b/>
          <w:bCs/>
          <w:sz w:val="22"/>
          <w:szCs w:val="22"/>
        </w:rPr>
        <w:t>(Word count: 3681)</w:t>
      </w:r>
    </w:p>
    <w:p w14:paraId="3CFA1280" w14:textId="77777777" w:rsidR="00CB368C" w:rsidRPr="00CB368C" w:rsidRDefault="00CB368C" w:rsidP="00CB368C">
      <w:pPr>
        <w:jc w:val="center"/>
        <w:rPr>
          <w:rFonts w:asciiTheme="minorHAnsi" w:hAnsiTheme="minorHAnsi" w:cstheme="minorHAnsi"/>
          <w:b/>
          <w:bCs/>
          <w:sz w:val="22"/>
          <w:szCs w:val="22"/>
        </w:rPr>
      </w:pPr>
    </w:p>
    <w:p w14:paraId="60A47C75" w14:textId="77777777" w:rsidR="00CB368C" w:rsidRPr="00CB368C" w:rsidRDefault="00CB368C" w:rsidP="00CB368C">
      <w:pPr>
        <w:rPr>
          <w:rFonts w:asciiTheme="minorHAnsi" w:hAnsiTheme="minorHAnsi" w:cstheme="minorHAnsi"/>
          <w:b/>
          <w:bCs/>
          <w:sz w:val="22"/>
          <w:szCs w:val="22"/>
        </w:rPr>
      </w:pPr>
    </w:p>
    <w:p w14:paraId="21478B0B"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Introduction</w:t>
      </w:r>
    </w:p>
    <w:p w14:paraId="50ADE61C" w14:textId="77777777" w:rsidR="00CB368C" w:rsidRPr="00CB368C" w:rsidRDefault="00CB368C" w:rsidP="00CB368C">
      <w:pPr>
        <w:rPr>
          <w:rFonts w:asciiTheme="minorHAnsi" w:hAnsiTheme="minorHAnsi" w:cstheme="minorHAnsi"/>
          <w:sz w:val="22"/>
          <w:szCs w:val="22"/>
        </w:rPr>
      </w:pPr>
    </w:p>
    <w:p w14:paraId="3A619418"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This essay compares two ancient sky myths that share the common themes of cultural heroism, the origins of fire and the heavens, and the divine uses of trickery and magic.  One myth is the ancient Greek tale of Prometheus, thought to be originally told in poetic form by Hesiod in two of his works, </w:t>
      </w:r>
      <w:r w:rsidRPr="00CB368C">
        <w:rPr>
          <w:rFonts w:asciiTheme="minorHAnsi" w:hAnsiTheme="minorHAnsi" w:cstheme="minorHAnsi"/>
          <w:i/>
          <w:iCs/>
          <w:sz w:val="22"/>
          <w:szCs w:val="22"/>
        </w:rPr>
        <w:t>Theogony</w:t>
      </w:r>
      <w:r w:rsidRPr="00CB368C">
        <w:rPr>
          <w:rFonts w:asciiTheme="minorHAnsi" w:hAnsiTheme="minorHAnsi" w:cstheme="minorHAnsi"/>
          <w:sz w:val="22"/>
          <w:szCs w:val="22"/>
        </w:rPr>
        <w:t xml:space="preserve"> and </w:t>
      </w:r>
      <w:r w:rsidRPr="00CB368C">
        <w:rPr>
          <w:rFonts w:asciiTheme="minorHAnsi" w:hAnsiTheme="minorHAnsi" w:cstheme="minorHAnsi"/>
          <w:i/>
          <w:iCs/>
          <w:sz w:val="22"/>
          <w:szCs w:val="22"/>
        </w:rPr>
        <w:t>Works and Days</w:t>
      </w:r>
      <w:r w:rsidRPr="00CB368C">
        <w:rPr>
          <w:rFonts w:asciiTheme="minorHAnsi" w:hAnsiTheme="minorHAnsi" w:cstheme="minorHAnsi"/>
          <w:sz w:val="22"/>
          <w:szCs w:val="22"/>
        </w:rPr>
        <w:t>, both written somewhere around 750-650 BCE – and then later retold in many different accounts, including the play</w:t>
      </w:r>
      <w:r w:rsidRPr="00CB368C">
        <w:rPr>
          <w:rFonts w:asciiTheme="minorHAnsi" w:hAnsiTheme="minorHAnsi" w:cstheme="minorHAnsi"/>
          <w:i/>
          <w:iCs/>
          <w:sz w:val="22"/>
          <w:szCs w:val="22"/>
        </w:rPr>
        <w:t xml:space="preserve"> Prometheus Bound</w:t>
      </w:r>
      <w:r w:rsidRPr="00CB368C">
        <w:rPr>
          <w:rFonts w:asciiTheme="minorHAnsi" w:hAnsiTheme="minorHAnsi" w:cstheme="minorHAnsi"/>
          <w:sz w:val="22"/>
          <w:szCs w:val="22"/>
        </w:rPr>
        <w:t>, thought to be written by Aeschylus sometime around 430 BCE.</w:t>
      </w:r>
      <w:r w:rsidRPr="00CB368C">
        <w:rPr>
          <w:rStyle w:val="FootnoteReference"/>
          <w:rFonts w:asciiTheme="minorHAnsi" w:hAnsiTheme="minorHAnsi" w:cstheme="minorHAnsi"/>
          <w:sz w:val="22"/>
          <w:szCs w:val="22"/>
        </w:rPr>
        <w:footnoteReference w:id="1"/>
      </w:r>
      <w:r w:rsidRPr="00CB368C">
        <w:rPr>
          <w:rFonts w:asciiTheme="minorHAnsi" w:hAnsiTheme="minorHAnsi" w:cstheme="minorHAnsi"/>
          <w:sz w:val="22"/>
          <w:szCs w:val="22"/>
        </w:rPr>
        <w:t xml:space="preserve">  A second and parallel sky myth is the indigenous Haida tale, </w:t>
      </w:r>
      <w:r w:rsidRPr="00CB368C">
        <w:rPr>
          <w:rFonts w:asciiTheme="minorHAnsi" w:hAnsiTheme="minorHAnsi" w:cstheme="minorHAnsi"/>
          <w:i/>
          <w:iCs/>
          <w:sz w:val="22"/>
          <w:szCs w:val="22"/>
        </w:rPr>
        <w:t>The Raven Steals the Light</w:t>
      </w:r>
      <w:r w:rsidRPr="00CB368C">
        <w:rPr>
          <w:rFonts w:asciiTheme="minorHAnsi" w:hAnsiTheme="minorHAnsi" w:cstheme="minorHAnsi"/>
          <w:sz w:val="22"/>
          <w:szCs w:val="22"/>
        </w:rPr>
        <w:t>, one of many Raven tales common to Native American and First Nation peoples in the Pacific Northwest along the Alaskan panhandle and the Haida Gwaii (formerly the Charlotte Islands archipelago) of British Columbia.</w:t>
      </w:r>
      <w:r w:rsidRPr="00CB368C">
        <w:rPr>
          <w:rStyle w:val="FootnoteReference"/>
          <w:rFonts w:asciiTheme="minorHAnsi" w:hAnsiTheme="minorHAnsi" w:cstheme="minorHAnsi"/>
          <w:sz w:val="22"/>
          <w:szCs w:val="22"/>
        </w:rPr>
        <w:footnoteReference w:id="2"/>
      </w:r>
      <w:r w:rsidRPr="00CB368C">
        <w:rPr>
          <w:rFonts w:asciiTheme="minorHAnsi" w:hAnsiTheme="minorHAnsi" w:cstheme="minorHAnsi"/>
          <w:sz w:val="22"/>
          <w:szCs w:val="22"/>
        </w:rPr>
        <w:t xml:space="preserve"> </w:t>
      </w:r>
    </w:p>
    <w:p w14:paraId="4C7B20FA" w14:textId="77777777" w:rsidR="00CB368C" w:rsidRPr="00CB368C" w:rsidRDefault="00CB368C" w:rsidP="00CB368C">
      <w:pPr>
        <w:rPr>
          <w:rFonts w:asciiTheme="minorHAnsi" w:hAnsiTheme="minorHAnsi" w:cstheme="minorHAnsi"/>
          <w:sz w:val="22"/>
          <w:szCs w:val="22"/>
        </w:rPr>
      </w:pPr>
    </w:p>
    <w:p w14:paraId="2AAD02DE"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This essay explores these two light-bringer myths in view of several themes.  First, the role of the trickster is explored in both stories and the way in which this role reveals how these two cultures understand civilization and authority.  Secondly, both tales reflect cultural attitudes towards divine power, as well as freedom from such power, which, in tandem with the first theme, may explain the enduring popularity of these stories.  Finally, the symbol of fire, light, and the heavenly luminaries is explored in relation to the connection both tales have with the winter solstice, cyclic time and notions of hope and renewal. </w:t>
      </w:r>
    </w:p>
    <w:p w14:paraId="4A53D5A4" w14:textId="77777777" w:rsidR="00CB368C" w:rsidRPr="00CB368C" w:rsidRDefault="00CB368C" w:rsidP="00CB368C">
      <w:pPr>
        <w:rPr>
          <w:rFonts w:asciiTheme="minorHAnsi" w:hAnsiTheme="minorHAnsi" w:cstheme="minorHAnsi"/>
          <w:sz w:val="22"/>
          <w:szCs w:val="22"/>
        </w:rPr>
      </w:pPr>
    </w:p>
    <w:p w14:paraId="0D37CA00"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For the purposes of this essay, the Prometheus myth will draw from the works of Hesiod and Aeschylus, especially those verses concerned with the theft of fire.  Tales of the Raven are many, but for this essay the tale of how Raven stole the light will serve as the primary tale.  Many versions of this tale were communicated orally for thousands of years until 1900 when they were finally written down after being told to linguist John Swanton by the last Haida master storyteller.</w:t>
      </w:r>
      <w:r w:rsidRPr="00CB368C">
        <w:rPr>
          <w:rStyle w:val="FootnoteReference"/>
          <w:rFonts w:asciiTheme="minorHAnsi" w:hAnsiTheme="minorHAnsi" w:cstheme="minorHAnsi"/>
          <w:sz w:val="22"/>
          <w:szCs w:val="22"/>
        </w:rPr>
        <w:footnoteReference w:id="3"/>
      </w:r>
      <w:r w:rsidRPr="00CB368C">
        <w:rPr>
          <w:rFonts w:asciiTheme="minorHAnsi" w:hAnsiTheme="minorHAnsi" w:cstheme="minorHAnsi"/>
          <w:sz w:val="22"/>
          <w:szCs w:val="22"/>
        </w:rPr>
        <w:t xml:space="preserve">   A collection of Raven tales was later published by cultural historian and poet, Robert Bringhurst, and Haida artist, Bill Reid, in their collection called </w:t>
      </w:r>
      <w:r w:rsidRPr="00CB368C">
        <w:rPr>
          <w:rFonts w:asciiTheme="minorHAnsi" w:hAnsiTheme="minorHAnsi" w:cstheme="minorHAnsi"/>
          <w:i/>
          <w:sz w:val="22"/>
          <w:szCs w:val="22"/>
        </w:rPr>
        <w:t>The Raven Steals the Light</w:t>
      </w:r>
      <w:r w:rsidRPr="00CB368C">
        <w:rPr>
          <w:rFonts w:asciiTheme="minorHAnsi" w:hAnsiTheme="minorHAnsi" w:cstheme="minorHAnsi"/>
          <w:sz w:val="22"/>
          <w:szCs w:val="22"/>
        </w:rPr>
        <w:t>.</w:t>
      </w:r>
      <w:r w:rsidRPr="00CB368C">
        <w:rPr>
          <w:rStyle w:val="FootnoteReference"/>
          <w:rFonts w:asciiTheme="minorHAnsi" w:hAnsiTheme="minorHAnsi" w:cstheme="minorHAnsi"/>
          <w:sz w:val="22"/>
          <w:szCs w:val="22"/>
        </w:rPr>
        <w:footnoteReference w:id="4"/>
      </w:r>
    </w:p>
    <w:p w14:paraId="304D182D" w14:textId="77777777" w:rsidR="00CB368C" w:rsidRPr="00CB368C" w:rsidRDefault="00CB368C" w:rsidP="00CB368C">
      <w:pPr>
        <w:rPr>
          <w:rFonts w:asciiTheme="minorHAnsi" w:hAnsiTheme="minorHAnsi" w:cstheme="minorHAnsi"/>
          <w:sz w:val="22"/>
          <w:szCs w:val="22"/>
        </w:rPr>
      </w:pPr>
    </w:p>
    <w:p w14:paraId="18A53657"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Definitions and Types of Myth</w:t>
      </w:r>
    </w:p>
    <w:p w14:paraId="15225FBB" w14:textId="77777777" w:rsidR="00CB368C" w:rsidRPr="00CB368C" w:rsidRDefault="00CB368C" w:rsidP="00CB368C">
      <w:pPr>
        <w:rPr>
          <w:rFonts w:asciiTheme="minorHAnsi" w:hAnsiTheme="minorHAnsi" w:cstheme="minorHAnsi"/>
          <w:sz w:val="22"/>
          <w:szCs w:val="22"/>
        </w:rPr>
      </w:pPr>
    </w:p>
    <w:p w14:paraId="62BF3E48"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Myths are imaginative tales that are sometimes associated with religion.  Greek scholar, G.S. Kirk, noted that although the relationship between myth and religion is ‘a complex one,’ there is, nonetheless, ‘an important overlap between’ them, even when the religion in question is no longer practised (noting that much that is considered ‘traditional’ is often overlaid with modern </w:t>
      </w:r>
      <w:r w:rsidRPr="00CB368C">
        <w:rPr>
          <w:rFonts w:asciiTheme="minorHAnsi" w:hAnsiTheme="minorHAnsi" w:cstheme="minorHAnsi"/>
          <w:sz w:val="22"/>
          <w:szCs w:val="22"/>
        </w:rPr>
        <w:lastRenderedPageBreak/>
        <w:t>monotheistic influences).</w:t>
      </w:r>
      <w:r w:rsidRPr="00CB368C">
        <w:rPr>
          <w:rStyle w:val="FootnoteReference"/>
          <w:rFonts w:asciiTheme="minorHAnsi" w:hAnsiTheme="minorHAnsi" w:cstheme="minorHAnsi"/>
          <w:sz w:val="22"/>
          <w:szCs w:val="22"/>
        </w:rPr>
        <w:footnoteReference w:id="5"/>
      </w:r>
      <w:r w:rsidRPr="00CB368C">
        <w:rPr>
          <w:rFonts w:asciiTheme="minorHAnsi" w:hAnsiTheme="minorHAnsi" w:cstheme="minorHAnsi"/>
          <w:sz w:val="22"/>
          <w:szCs w:val="22"/>
        </w:rPr>
        <w:t xml:space="preserve">  The mythologist and scholar Joseph Campbell famously wrote that myth can be defined as ‘other people’s religion’.</w:t>
      </w:r>
      <w:r w:rsidRPr="00CB368C">
        <w:rPr>
          <w:rStyle w:val="FootnoteReference"/>
          <w:rFonts w:asciiTheme="minorHAnsi" w:hAnsiTheme="minorHAnsi" w:cstheme="minorHAnsi"/>
          <w:sz w:val="22"/>
          <w:szCs w:val="22"/>
        </w:rPr>
        <w:footnoteReference w:id="6"/>
      </w:r>
      <w:r w:rsidRPr="00CB368C">
        <w:rPr>
          <w:rFonts w:asciiTheme="minorHAnsi" w:hAnsiTheme="minorHAnsi" w:cstheme="minorHAnsi"/>
          <w:sz w:val="22"/>
          <w:szCs w:val="22"/>
        </w:rPr>
        <w:t xml:space="preserve">  His view was that myths are metaphorical tales, based in dreams and imagination, and functioning to educate and entertain, as well as to provide moral and ethical guidelines.</w:t>
      </w:r>
      <w:r w:rsidRPr="00CB368C">
        <w:rPr>
          <w:rStyle w:val="FootnoteReference"/>
          <w:rFonts w:asciiTheme="minorHAnsi" w:hAnsiTheme="minorHAnsi" w:cstheme="minorHAnsi"/>
          <w:sz w:val="22"/>
          <w:szCs w:val="22"/>
        </w:rPr>
        <w:footnoteReference w:id="7"/>
      </w:r>
      <w:r w:rsidRPr="00CB368C">
        <w:rPr>
          <w:rFonts w:asciiTheme="minorHAnsi" w:hAnsiTheme="minorHAnsi" w:cstheme="minorHAnsi"/>
          <w:sz w:val="22"/>
          <w:szCs w:val="22"/>
        </w:rPr>
        <w:t xml:space="preserve">  In the words of astrologer Stephen Arroyo, ‘People have always needed a pattern of order to guide their collective lives and to infuse their individual experience with meaning,’ and they do this ‘by showing man’s relationship to a larger, more universal reality.’</w:t>
      </w:r>
      <w:r w:rsidRPr="00CB368C">
        <w:rPr>
          <w:rStyle w:val="FootnoteReference"/>
          <w:rFonts w:asciiTheme="minorHAnsi" w:hAnsiTheme="minorHAnsi" w:cstheme="minorHAnsi"/>
          <w:sz w:val="22"/>
          <w:szCs w:val="22"/>
        </w:rPr>
        <w:footnoteReference w:id="8"/>
      </w:r>
      <w:r w:rsidRPr="00CB368C">
        <w:rPr>
          <w:rFonts w:asciiTheme="minorHAnsi" w:hAnsiTheme="minorHAnsi" w:cstheme="minorHAnsi"/>
          <w:sz w:val="22"/>
          <w:szCs w:val="22"/>
        </w:rPr>
        <w:t xml:space="preserve">  </w:t>
      </w:r>
    </w:p>
    <w:p w14:paraId="5DC53695" w14:textId="77777777" w:rsidR="00CB368C" w:rsidRPr="00CB368C" w:rsidRDefault="00CB368C" w:rsidP="00CB368C">
      <w:pPr>
        <w:rPr>
          <w:rFonts w:asciiTheme="minorHAnsi" w:hAnsiTheme="minorHAnsi" w:cstheme="minorHAnsi"/>
          <w:sz w:val="22"/>
          <w:szCs w:val="22"/>
        </w:rPr>
      </w:pPr>
    </w:p>
    <w:p w14:paraId="71CBD794"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Authors Scott Leonard and Michael McClure, who wrote about world mythologies, described myths as ‘ancient narratives that attempt to answer the enduring and fundamental human questions’ in life, such as who we are and why we are here.</w:t>
      </w:r>
      <w:r w:rsidRPr="00CB368C">
        <w:rPr>
          <w:rStyle w:val="FootnoteReference"/>
          <w:rFonts w:asciiTheme="minorHAnsi" w:hAnsiTheme="minorHAnsi" w:cstheme="minorHAnsi"/>
          <w:sz w:val="22"/>
          <w:szCs w:val="22"/>
        </w:rPr>
        <w:footnoteReference w:id="9"/>
      </w:r>
      <w:r w:rsidRPr="00CB368C">
        <w:rPr>
          <w:rFonts w:asciiTheme="minorHAnsi" w:hAnsiTheme="minorHAnsi" w:cstheme="minorHAnsi"/>
          <w:sz w:val="22"/>
          <w:szCs w:val="22"/>
        </w:rPr>
        <w:t xml:space="preserve">  Referring to the opening lines of Hesiod’s Theogony, they acknowledged that the use of the word ‘ancient’ is somewhat misleading, as myths have a ‘never-ending quality’ to them that allows ancient narratives to continue to be relevant today.</w:t>
      </w:r>
      <w:r w:rsidRPr="00CB368C">
        <w:rPr>
          <w:rStyle w:val="FootnoteReference"/>
          <w:rFonts w:asciiTheme="minorHAnsi" w:hAnsiTheme="minorHAnsi" w:cstheme="minorHAnsi"/>
          <w:sz w:val="22"/>
          <w:szCs w:val="22"/>
        </w:rPr>
        <w:footnoteReference w:id="10"/>
      </w:r>
      <w:r w:rsidRPr="00CB368C">
        <w:rPr>
          <w:rFonts w:asciiTheme="minorHAnsi" w:hAnsiTheme="minorHAnsi" w:cstheme="minorHAnsi"/>
          <w:sz w:val="22"/>
          <w:szCs w:val="22"/>
        </w:rPr>
        <w:t xml:space="preserve">  </w:t>
      </w:r>
    </w:p>
    <w:p w14:paraId="341A46B9" w14:textId="77777777" w:rsidR="00CB368C" w:rsidRPr="00CB368C" w:rsidRDefault="00CB368C" w:rsidP="00CB368C">
      <w:pPr>
        <w:rPr>
          <w:rFonts w:asciiTheme="minorHAnsi" w:hAnsiTheme="minorHAnsi" w:cstheme="minorHAnsi"/>
          <w:sz w:val="22"/>
          <w:szCs w:val="22"/>
        </w:rPr>
      </w:pPr>
    </w:p>
    <w:p w14:paraId="6F17E7B8"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Sometimes myths can function as explanations for natural phenomena, such as floods or earthquakes.  Elizabeth and Paul Barber speculated that the myth of Prometheus – along with other myths that involve the theme of fire or light and take place in volcanic areas, such as the Pacific Northwest – may actually be descriptions of volcanic eruptions, featuring fire symbolism that suggests ancient origins in oral tales of fire deities.</w:t>
      </w:r>
      <w:r w:rsidRPr="00CB368C">
        <w:rPr>
          <w:rStyle w:val="FootnoteReference"/>
          <w:rFonts w:asciiTheme="minorHAnsi" w:hAnsiTheme="minorHAnsi" w:cstheme="minorHAnsi"/>
          <w:sz w:val="22"/>
          <w:szCs w:val="22"/>
        </w:rPr>
        <w:footnoteReference w:id="11"/>
      </w:r>
      <w:r w:rsidRPr="00CB368C">
        <w:rPr>
          <w:rFonts w:asciiTheme="minorHAnsi" w:hAnsiTheme="minorHAnsi" w:cstheme="minorHAnsi"/>
          <w:sz w:val="22"/>
          <w:szCs w:val="22"/>
        </w:rPr>
        <w:t xml:space="preserve">  The presence of a threatening eagle in both stories, they maintained, could be suggestive of a spreading ash cloud above an erupting volcano.</w:t>
      </w:r>
      <w:r w:rsidRPr="00CB368C">
        <w:rPr>
          <w:rStyle w:val="FootnoteReference"/>
          <w:rFonts w:asciiTheme="minorHAnsi" w:hAnsiTheme="minorHAnsi" w:cstheme="minorHAnsi"/>
          <w:sz w:val="22"/>
          <w:szCs w:val="22"/>
        </w:rPr>
        <w:footnoteReference w:id="12"/>
      </w:r>
    </w:p>
    <w:p w14:paraId="032166BF" w14:textId="77777777" w:rsidR="00CB368C" w:rsidRPr="00CB368C" w:rsidRDefault="00CB368C" w:rsidP="00CB368C">
      <w:pPr>
        <w:rPr>
          <w:rFonts w:asciiTheme="minorHAnsi" w:hAnsiTheme="minorHAnsi" w:cstheme="minorHAnsi"/>
          <w:sz w:val="22"/>
          <w:szCs w:val="22"/>
        </w:rPr>
      </w:pPr>
    </w:p>
    <w:p w14:paraId="336F6C41"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Mircea Eliade defined myth as ‘sacred history.’</w:t>
      </w:r>
      <w:r w:rsidRPr="00CB368C">
        <w:rPr>
          <w:rStyle w:val="FootnoteReference"/>
          <w:rFonts w:asciiTheme="minorHAnsi" w:hAnsiTheme="minorHAnsi" w:cstheme="minorHAnsi"/>
          <w:sz w:val="22"/>
          <w:szCs w:val="22"/>
        </w:rPr>
        <w:footnoteReference w:id="13"/>
      </w:r>
      <w:r w:rsidRPr="00CB368C">
        <w:rPr>
          <w:rFonts w:asciiTheme="minorHAnsi" w:hAnsiTheme="minorHAnsi" w:cstheme="minorHAnsi"/>
          <w:sz w:val="22"/>
          <w:szCs w:val="22"/>
        </w:rPr>
        <w:t xml:space="preserve">  Because myths are often stories of profound and primordial events, they can be acted out or ritualized rather than just read as prose.  Hesiod’s narrative is poetic in nature and can be sung or recited.  Aeschylus turned the story into a play.  The myth of the Raven is often traditionally acted out by native Haida peoples in association with traditional winter solstice celebrations, as was portrayed on the popular 1990s TV series, </w:t>
      </w:r>
      <w:r w:rsidRPr="00CB368C">
        <w:rPr>
          <w:rFonts w:asciiTheme="minorHAnsi" w:hAnsiTheme="minorHAnsi" w:cstheme="minorHAnsi"/>
          <w:i/>
          <w:sz w:val="22"/>
          <w:szCs w:val="22"/>
        </w:rPr>
        <w:t>Northern Exposure</w:t>
      </w:r>
      <w:r w:rsidRPr="00CB368C">
        <w:rPr>
          <w:rFonts w:asciiTheme="minorHAnsi" w:hAnsiTheme="minorHAnsi" w:cstheme="minorHAnsi"/>
          <w:sz w:val="22"/>
          <w:szCs w:val="22"/>
        </w:rPr>
        <w:t>.</w:t>
      </w:r>
      <w:r w:rsidRPr="00CB368C">
        <w:rPr>
          <w:rStyle w:val="FootnoteReference"/>
          <w:rFonts w:asciiTheme="minorHAnsi" w:hAnsiTheme="minorHAnsi" w:cstheme="minorHAnsi"/>
          <w:sz w:val="22"/>
          <w:szCs w:val="22"/>
        </w:rPr>
        <w:footnoteReference w:id="14"/>
      </w:r>
    </w:p>
    <w:p w14:paraId="5498BC4D" w14:textId="77777777" w:rsidR="00CB368C" w:rsidRPr="00CB368C" w:rsidRDefault="00CB368C" w:rsidP="00CB368C">
      <w:pPr>
        <w:rPr>
          <w:rFonts w:asciiTheme="minorHAnsi" w:hAnsiTheme="minorHAnsi" w:cstheme="minorHAnsi"/>
          <w:sz w:val="22"/>
          <w:szCs w:val="22"/>
        </w:rPr>
      </w:pPr>
    </w:p>
    <w:p w14:paraId="027CB9C8"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There are many types of myths, and many myths belong to more than one type.  Both Prometheus and the Raven myths are forms of cosmogonies that describe the creation of </w:t>
      </w:r>
      <w:r w:rsidRPr="00CB368C">
        <w:rPr>
          <w:rFonts w:asciiTheme="minorHAnsi" w:hAnsiTheme="minorHAnsi" w:cstheme="minorHAnsi"/>
          <w:sz w:val="22"/>
          <w:szCs w:val="22"/>
        </w:rPr>
        <w:lastRenderedPageBreak/>
        <w:t xml:space="preserve">various phenomena, including both the cosmos and humanity.  Both stories are also ‘trickster’ tales, featuring theft and deceit on the part of the main characters.  Finally, both tales have evolved into stories of cultural heroism in the sense that both Prometheus and Raven steal fire/light that ultimately benefits humanity, civilization and the world, even at the cost of the hero’s freedom or security. </w:t>
      </w:r>
    </w:p>
    <w:p w14:paraId="05EFDF0A" w14:textId="77777777" w:rsidR="00CB368C" w:rsidRPr="00CB368C" w:rsidRDefault="00CB368C" w:rsidP="00CB368C">
      <w:pPr>
        <w:rPr>
          <w:rFonts w:asciiTheme="minorHAnsi" w:hAnsiTheme="minorHAnsi" w:cstheme="minorHAnsi"/>
          <w:sz w:val="22"/>
          <w:szCs w:val="22"/>
        </w:rPr>
      </w:pPr>
    </w:p>
    <w:p w14:paraId="5E4C2AA5"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Prometheus</w:t>
      </w:r>
    </w:p>
    <w:p w14:paraId="2B0CECA0" w14:textId="77777777" w:rsidR="00CB368C" w:rsidRPr="00CB368C" w:rsidRDefault="00CB368C" w:rsidP="00CB368C">
      <w:pPr>
        <w:rPr>
          <w:rFonts w:asciiTheme="minorHAnsi" w:hAnsiTheme="minorHAnsi" w:cstheme="minorHAnsi"/>
          <w:sz w:val="22"/>
          <w:szCs w:val="22"/>
        </w:rPr>
      </w:pPr>
    </w:p>
    <w:p w14:paraId="29DE87E0"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The origins of Prometheus may be Indo-European or possibly even Vedic, but such debates are beyond the scope of this essay.</w:t>
      </w:r>
      <w:r w:rsidRPr="00CB368C">
        <w:rPr>
          <w:rStyle w:val="FootnoteReference"/>
          <w:rFonts w:asciiTheme="minorHAnsi" w:hAnsiTheme="minorHAnsi" w:cstheme="minorHAnsi"/>
          <w:sz w:val="22"/>
          <w:szCs w:val="22"/>
        </w:rPr>
        <w:footnoteReference w:id="15"/>
      </w:r>
      <w:r w:rsidRPr="00CB368C">
        <w:rPr>
          <w:rFonts w:asciiTheme="minorHAnsi" w:hAnsiTheme="minorHAnsi" w:cstheme="minorHAnsi"/>
          <w:sz w:val="22"/>
          <w:szCs w:val="22"/>
        </w:rPr>
        <w:t xml:space="preserve">  Suffice to say that light-bringer myths are widespread and worldwide.  The story of Prometheus is both an origins/divine myth (or theogony) and a heroic tale, coinciding with the end of the Golden Age (the first of five ages created by Hesiod in </w:t>
      </w:r>
      <w:r w:rsidRPr="00CB368C">
        <w:rPr>
          <w:rFonts w:asciiTheme="minorHAnsi" w:hAnsiTheme="minorHAnsi" w:cstheme="minorHAnsi"/>
          <w:i/>
          <w:iCs/>
          <w:sz w:val="22"/>
          <w:szCs w:val="22"/>
        </w:rPr>
        <w:t>Works and Days</w:t>
      </w:r>
      <w:r w:rsidRPr="00CB368C">
        <w:rPr>
          <w:rFonts w:asciiTheme="minorHAnsi" w:hAnsiTheme="minorHAnsi" w:cstheme="minorHAnsi"/>
          <w:sz w:val="22"/>
          <w:szCs w:val="22"/>
        </w:rPr>
        <w:t xml:space="preserve">).  It provides a transformative tale depicting a character from an older race doing something completely new and different.  </w:t>
      </w:r>
    </w:p>
    <w:p w14:paraId="590F565E" w14:textId="77777777" w:rsidR="00CB368C" w:rsidRPr="00CB368C" w:rsidRDefault="00CB368C" w:rsidP="00CB368C">
      <w:pPr>
        <w:rPr>
          <w:rFonts w:asciiTheme="minorHAnsi" w:hAnsiTheme="minorHAnsi" w:cstheme="minorHAnsi"/>
          <w:sz w:val="22"/>
          <w:szCs w:val="22"/>
        </w:rPr>
      </w:pPr>
    </w:p>
    <w:p w14:paraId="3C71449E"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Prometheus (‘forethought’) was a Titan who lived amongst the gods and, therefore, straddled the worlds between giants and gods, much like the Norse god Loki.</w:t>
      </w:r>
      <w:r w:rsidRPr="00CB368C">
        <w:rPr>
          <w:rStyle w:val="FootnoteReference"/>
          <w:rFonts w:asciiTheme="minorHAnsi" w:hAnsiTheme="minorHAnsi" w:cstheme="minorHAnsi"/>
          <w:sz w:val="22"/>
          <w:szCs w:val="22"/>
        </w:rPr>
        <w:footnoteReference w:id="16"/>
      </w:r>
      <w:r w:rsidRPr="00CB368C">
        <w:rPr>
          <w:rFonts w:asciiTheme="minorHAnsi" w:hAnsiTheme="minorHAnsi" w:cstheme="minorHAnsi"/>
          <w:sz w:val="22"/>
          <w:szCs w:val="22"/>
        </w:rPr>
        <w:t xml:space="preserve">  In Hesiod’s </w:t>
      </w:r>
      <w:r w:rsidRPr="00CB368C">
        <w:rPr>
          <w:rFonts w:asciiTheme="minorHAnsi" w:hAnsiTheme="minorHAnsi" w:cstheme="minorHAnsi"/>
          <w:i/>
          <w:iCs/>
          <w:sz w:val="22"/>
          <w:szCs w:val="22"/>
        </w:rPr>
        <w:t>Theogony</w:t>
      </w:r>
      <w:r w:rsidRPr="00CB368C">
        <w:rPr>
          <w:rFonts w:asciiTheme="minorHAnsi" w:hAnsiTheme="minorHAnsi" w:cstheme="minorHAnsi"/>
          <w:sz w:val="22"/>
          <w:szCs w:val="22"/>
        </w:rPr>
        <w:t>, he is described by Zeus as a practitioner of a ‘deceptive craft,’ as one who knows ‘counsels beyond all others,’ a character renowned for his genius.</w:t>
      </w:r>
      <w:r w:rsidRPr="00CB368C">
        <w:rPr>
          <w:rStyle w:val="FootnoteReference"/>
          <w:rFonts w:asciiTheme="minorHAnsi" w:hAnsiTheme="minorHAnsi" w:cstheme="minorHAnsi"/>
          <w:sz w:val="22"/>
          <w:szCs w:val="22"/>
        </w:rPr>
        <w:footnoteReference w:id="17"/>
      </w:r>
      <w:r w:rsidRPr="00CB368C">
        <w:rPr>
          <w:rFonts w:asciiTheme="minorHAnsi" w:hAnsiTheme="minorHAnsi" w:cstheme="minorHAnsi"/>
          <w:sz w:val="22"/>
          <w:szCs w:val="22"/>
        </w:rPr>
        <w:t xml:space="preserve">  In </w:t>
      </w:r>
      <w:r w:rsidRPr="00CB368C">
        <w:rPr>
          <w:rFonts w:asciiTheme="minorHAnsi" w:hAnsiTheme="minorHAnsi" w:cstheme="minorHAnsi"/>
          <w:i/>
          <w:iCs/>
          <w:sz w:val="22"/>
          <w:szCs w:val="22"/>
        </w:rPr>
        <w:t>Prometheus Bound</w:t>
      </w:r>
      <w:r w:rsidRPr="00CB368C">
        <w:rPr>
          <w:rFonts w:asciiTheme="minorHAnsi" w:hAnsiTheme="minorHAnsi" w:cstheme="minorHAnsi"/>
          <w:sz w:val="22"/>
          <w:szCs w:val="22"/>
        </w:rPr>
        <w:t>, the god Hermes describes him as a ‘fire-thief’ who is ‘too spiteful for [his] own good.’</w:t>
      </w:r>
      <w:r w:rsidRPr="00CB368C">
        <w:rPr>
          <w:rStyle w:val="FootnoteReference"/>
          <w:rFonts w:asciiTheme="minorHAnsi" w:hAnsiTheme="minorHAnsi" w:cstheme="minorHAnsi"/>
          <w:sz w:val="22"/>
          <w:szCs w:val="22"/>
        </w:rPr>
        <w:footnoteReference w:id="18"/>
      </w:r>
      <w:r w:rsidRPr="00CB368C">
        <w:rPr>
          <w:rFonts w:asciiTheme="minorHAnsi" w:hAnsiTheme="minorHAnsi" w:cstheme="minorHAnsi"/>
          <w:sz w:val="22"/>
          <w:szCs w:val="22"/>
        </w:rPr>
        <w:t xml:space="preserve">  As his character developed he became more of a tragic figure who brought liberating civilization and enlightenment to humanity at the cost of his own freedom.</w:t>
      </w:r>
      <w:r w:rsidRPr="00CB368C">
        <w:rPr>
          <w:rStyle w:val="FootnoteReference"/>
          <w:rFonts w:asciiTheme="minorHAnsi" w:hAnsiTheme="minorHAnsi" w:cstheme="minorHAnsi"/>
          <w:sz w:val="22"/>
          <w:szCs w:val="22"/>
        </w:rPr>
        <w:footnoteReference w:id="19"/>
      </w:r>
      <w:r w:rsidRPr="00CB368C">
        <w:rPr>
          <w:rFonts w:asciiTheme="minorHAnsi" w:hAnsiTheme="minorHAnsi" w:cstheme="minorHAnsi"/>
          <w:sz w:val="22"/>
          <w:szCs w:val="22"/>
        </w:rPr>
        <w:t xml:space="preserve">  Whereas his early development in Hesiod’s two works formed an important stage ‘in the intellectual growth of archaic Greece,’ much of Hesiod’s attention was focused on creation stories, particularly the creation mythology of woman (Pandora) and evil rather than the more familiar tale of Prometheus’ gift of fire.</w:t>
      </w:r>
      <w:r w:rsidRPr="00CB368C">
        <w:rPr>
          <w:rStyle w:val="FootnoteReference"/>
          <w:rFonts w:asciiTheme="minorHAnsi" w:hAnsiTheme="minorHAnsi" w:cstheme="minorHAnsi"/>
          <w:sz w:val="22"/>
          <w:szCs w:val="22"/>
        </w:rPr>
        <w:footnoteReference w:id="20"/>
      </w:r>
      <w:r w:rsidRPr="00CB368C">
        <w:rPr>
          <w:rFonts w:asciiTheme="minorHAnsi" w:hAnsiTheme="minorHAnsi" w:cstheme="minorHAnsi"/>
          <w:sz w:val="22"/>
          <w:szCs w:val="22"/>
        </w:rPr>
        <w:t xml:space="preserve">  By the time he appeared in later works, Prometheus had taken on the mantel of a cultural hero who had not only created mortal men, but who had taught them all the tools of civilization.</w:t>
      </w:r>
      <w:r w:rsidRPr="00CB368C">
        <w:rPr>
          <w:rStyle w:val="FootnoteReference"/>
          <w:rFonts w:asciiTheme="minorHAnsi" w:hAnsiTheme="minorHAnsi" w:cstheme="minorHAnsi"/>
          <w:sz w:val="22"/>
          <w:szCs w:val="22"/>
        </w:rPr>
        <w:footnoteReference w:id="21"/>
      </w:r>
    </w:p>
    <w:p w14:paraId="60622D86"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 </w:t>
      </w:r>
    </w:p>
    <w:p w14:paraId="31795C80"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In Hesiod’s </w:t>
      </w:r>
      <w:r w:rsidRPr="00CB368C">
        <w:rPr>
          <w:rFonts w:asciiTheme="minorHAnsi" w:hAnsiTheme="minorHAnsi" w:cstheme="minorHAnsi"/>
          <w:i/>
          <w:iCs/>
          <w:sz w:val="22"/>
          <w:szCs w:val="22"/>
        </w:rPr>
        <w:t>Theogony</w:t>
      </w:r>
      <w:r w:rsidRPr="00CB368C">
        <w:rPr>
          <w:rFonts w:asciiTheme="minorHAnsi" w:hAnsiTheme="minorHAnsi" w:cstheme="minorHAnsi"/>
          <w:sz w:val="22"/>
          <w:szCs w:val="22"/>
        </w:rPr>
        <w:t xml:space="preserve">, Prometheus angered Zeus, king of the Olympian gods ‘by stealing the far-seen gleam of tireless fire in a hollow fennel stalk’ and presenting it to humans (or in </w:t>
      </w:r>
      <w:r w:rsidRPr="00CB368C">
        <w:rPr>
          <w:rFonts w:asciiTheme="minorHAnsi" w:hAnsiTheme="minorHAnsi" w:cstheme="minorHAnsi"/>
          <w:i/>
          <w:iCs/>
          <w:sz w:val="22"/>
          <w:szCs w:val="22"/>
        </w:rPr>
        <w:t>Works and Days</w:t>
      </w:r>
      <w:r w:rsidRPr="00CB368C">
        <w:rPr>
          <w:rFonts w:asciiTheme="minorHAnsi" w:hAnsiTheme="minorHAnsi" w:cstheme="minorHAnsi"/>
          <w:sz w:val="22"/>
          <w:szCs w:val="22"/>
        </w:rPr>
        <w:t>, returning it to humans after Zeus has concealed it).</w:t>
      </w:r>
      <w:r w:rsidRPr="00CB368C">
        <w:rPr>
          <w:rStyle w:val="FootnoteReference"/>
          <w:rFonts w:asciiTheme="minorHAnsi" w:hAnsiTheme="minorHAnsi" w:cstheme="minorHAnsi"/>
          <w:sz w:val="22"/>
          <w:szCs w:val="22"/>
        </w:rPr>
        <w:footnoteReference w:id="22"/>
      </w:r>
      <w:r w:rsidRPr="00CB368C">
        <w:rPr>
          <w:rFonts w:asciiTheme="minorHAnsi" w:hAnsiTheme="minorHAnsi" w:cstheme="minorHAnsi"/>
          <w:sz w:val="22"/>
          <w:szCs w:val="22"/>
        </w:rPr>
        <w:t xml:space="preserve">  Prometheus was punished for his theft by being chained to a mountain where each day an eagle (a symbol of Zeus, who is the shapeshifter in this tale) tore out his liver, which then grew back each night.  In some versions of the story he was condemned to the netherworld known as Tartarus for periods of time.</w:t>
      </w:r>
      <w:r w:rsidRPr="00CB368C">
        <w:rPr>
          <w:rStyle w:val="FootnoteReference"/>
          <w:rFonts w:asciiTheme="minorHAnsi" w:hAnsiTheme="minorHAnsi" w:cstheme="minorHAnsi"/>
          <w:sz w:val="22"/>
          <w:szCs w:val="22"/>
        </w:rPr>
        <w:footnoteReference w:id="23"/>
      </w:r>
      <w:r w:rsidRPr="00CB368C">
        <w:rPr>
          <w:rFonts w:asciiTheme="minorHAnsi" w:hAnsiTheme="minorHAnsi" w:cstheme="minorHAnsi"/>
          <w:sz w:val="22"/>
          <w:szCs w:val="22"/>
        </w:rPr>
        <w:t xml:space="preserve">  In later versions, his suffering was finally ended when Heracles convinced Zeus to release him in exchange for the immortal Chiron who Heracles had wounded with a poisoned arrow, but who cannot die.</w:t>
      </w:r>
      <w:r w:rsidRPr="00CB368C">
        <w:rPr>
          <w:rStyle w:val="FootnoteReference"/>
          <w:rFonts w:asciiTheme="minorHAnsi" w:hAnsiTheme="minorHAnsi" w:cstheme="minorHAnsi"/>
          <w:sz w:val="22"/>
          <w:szCs w:val="22"/>
        </w:rPr>
        <w:footnoteReference w:id="24"/>
      </w:r>
    </w:p>
    <w:p w14:paraId="17DE66C8" w14:textId="77777777" w:rsidR="00CB368C" w:rsidRPr="00CB368C" w:rsidRDefault="00CB368C" w:rsidP="00CB368C">
      <w:pPr>
        <w:rPr>
          <w:rFonts w:asciiTheme="minorHAnsi" w:hAnsiTheme="minorHAnsi" w:cstheme="minorHAnsi"/>
          <w:sz w:val="22"/>
          <w:szCs w:val="22"/>
        </w:rPr>
      </w:pPr>
    </w:p>
    <w:p w14:paraId="4A19B6AF"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lastRenderedPageBreak/>
        <w:t xml:space="preserve">Hesiod is thought to have authored both </w:t>
      </w:r>
      <w:r w:rsidRPr="00CB368C">
        <w:rPr>
          <w:rFonts w:asciiTheme="minorHAnsi" w:hAnsiTheme="minorHAnsi" w:cstheme="minorHAnsi"/>
          <w:i/>
          <w:iCs/>
          <w:sz w:val="22"/>
          <w:szCs w:val="22"/>
        </w:rPr>
        <w:t>Theogony</w:t>
      </w:r>
      <w:r w:rsidRPr="00CB368C">
        <w:rPr>
          <w:rFonts w:asciiTheme="minorHAnsi" w:hAnsiTheme="minorHAnsi" w:cstheme="minorHAnsi"/>
          <w:sz w:val="22"/>
          <w:szCs w:val="22"/>
        </w:rPr>
        <w:t xml:space="preserve"> and </w:t>
      </w:r>
      <w:r w:rsidRPr="00CB368C">
        <w:rPr>
          <w:rFonts w:asciiTheme="minorHAnsi" w:hAnsiTheme="minorHAnsi" w:cstheme="minorHAnsi"/>
          <w:i/>
          <w:iCs/>
          <w:sz w:val="22"/>
          <w:szCs w:val="22"/>
        </w:rPr>
        <w:t>Works and Days</w:t>
      </w:r>
      <w:r w:rsidRPr="00CB368C">
        <w:rPr>
          <w:rFonts w:asciiTheme="minorHAnsi" w:hAnsiTheme="minorHAnsi" w:cstheme="minorHAnsi"/>
          <w:sz w:val="22"/>
          <w:szCs w:val="22"/>
        </w:rPr>
        <w:t xml:space="preserve"> sometime in the eighth century BCE.  The myth of Prometheus appears in both poems, but seems to have been developed more in the second work.</w:t>
      </w:r>
      <w:r w:rsidRPr="00CB368C">
        <w:rPr>
          <w:rStyle w:val="FootnoteReference"/>
          <w:rFonts w:asciiTheme="minorHAnsi" w:hAnsiTheme="minorHAnsi" w:cstheme="minorHAnsi"/>
          <w:sz w:val="22"/>
          <w:szCs w:val="22"/>
        </w:rPr>
        <w:footnoteReference w:id="25"/>
      </w:r>
      <w:r w:rsidRPr="00CB368C">
        <w:rPr>
          <w:rFonts w:asciiTheme="minorHAnsi" w:hAnsiTheme="minorHAnsi" w:cstheme="minorHAnsi"/>
          <w:sz w:val="22"/>
          <w:szCs w:val="22"/>
        </w:rPr>
        <w:t xml:space="preserve">  Promethean themes were further developed by Aeschylus in his play, and then later by Plato and many Neoplatonists, and continues to find its way into popular literature, art, film, comic books and even software programmes up to the present day.</w:t>
      </w:r>
      <w:r w:rsidRPr="00CB368C">
        <w:rPr>
          <w:rStyle w:val="FootnoteReference"/>
          <w:rFonts w:asciiTheme="minorHAnsi" w:hAnsiTheme="minorHAnsi" w:cstheme="minorHAnsi"/>
          <w:sz w:val="22"/>
          <w:szCs w:val="22"/>
        </w:rPr>
        <w:footnoteReference w:id="26"/>
      </w:r>
    </w:p>
    <w:p w14:paraId="578241F9" w14:textId="77777777" w:rsidR="00CB368C" w:rsidRPr="00CB368C" w:rsidRDefault="00CB368C" w:rsidP="00CB368C">
      <w:pPr>
        <w:rPr>
          <w:rFonts w:asciiTheme="minorHAnsi" w:hAnsiTheme="minorHAnsi" w:cstheme="minorHAnsi"/>
          <w:sz w:val="22"/>
          <w:szCs w:val="22"/>
        </w:rPr>
      </w:pPr>
    </w:p>
    <w:p w14:paraId="3B29C499"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The Raven</w:t>
      </w:r>
    </w:p>
    <w:p w14:paraId="4C6804F0" w14:textId="77777777" w:rsidR="00CB368C" w:rsidRPr="00CB368C" w:rsidRDefault="00CB368C" w:rsidP="00CB368C">
      <w:pPr>
        <w:rPr>
          <w:rFonts w:asciiTheme="minorHAnsi" w:hAnsiTheme="minorHAnsi" w:cstheme="minorHAnsi"/>
          <w:sz w:val="22"/>
          <w:szCs w:val="22"/>
        </w:rPr>
      </w:pPr>
    </w:p>
    <w:p w14:paraId="4D923F7B"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Much of indigenous North American storytelling has been lost or altered ever since the arrival of Europeans more than 500 years ago and was likely in constant flux during the thousands of years prior to that moment for no other reason than the storytelling was almost exclusively oral in nature.  One advantage, however, of examining the myths and traditions of Pacific Northwest peoples is that their location – far removed from the eastern invasions and spread out among an archipelago off the west coast of Canada and Alaska – guaranteed a certain preservation of original material.  </w:t>
      </w:r>
    </w:p>
    <w:p w14:paraId="7E9A38C8" w14:textId="77777777" w:rsidR="00CB368C" w:rsidRPr="00CB368C" w:rsidRDefault="00CB368C" w:rsidP="00CB368C">
      <w:pPr>
        <w:rPr>
          <w:rFonts w:asciiTheme="minorHAnsi" w:hAnsiTheme="minorHAnsi" w:cstheme="minorHAnsi"/>
          <w:sz w:val="22"/>
          <w:szCs w:val="22"/>
        </w:rPr>
      </w:pPr>
    </w:p>
    <w:p w14:paraId="7D814E75"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Still, it must be noted that when linguist and cultural historian, John Swanton, first wrote down the many different tales of the Haida in the early 1900s, he was learning much about the culture and language as he was recording these tales.  As Robert Bringhurst wrote, ‘Everything we have in the way of classical Haida literature comes through the transcriptions of one man…’.</w:t>
      </w:r>
      <w:r w:rsidRPr="00CB368C">
        <w:rPr>
          <w:rStyle w:val="FootnoteReference"/>
          <w:rFonts w:asciiTheme="minorHAnsi" w:hAnsiTheme="minorHAnsi" w:cstheme="minorHAnsi"/>
          <w:sz w:val="22"/>
          <w:szCs w:val="22"/>
        </w:rPr>
        <w:footnoteReference w:id="27"/>
      </w:r>
      <w:r w:rsidRPr="00CB368C">
        <w:rPr>
          <w:rFonts w:asciiTheme="minorHAnsi" w:hAnsiTheme="minorHAnsi" w:cstheme="minorHAnsi"/>
          <w:sz w:val="22"/>
          <w:szCs w:val="22"/>
        </w:rPr>
        <w:t xml:space="preserve">  There is also the consideration of the many ways that both ancient and modern European cultural assumptions may have altered some of the original meaning of indigenous stories, including that of the Raven.  </w:t>
      </w:r>
    </w:p>
    <w:p w14:paraId="64ABDDCE" w14:textId="77777777" w:rsidR="00CB368C" w:rsidRPr="00CB368C" w:rsidRDefault="00CB368C" w:rsidP="00CB368C">
      <w:pPr>
        <w:rPr>
          <w:rFonts w:asciiTheme="minorHAnsi" w:hAnsiTheme="minorHAnsi" w:cstheme="minorHAnsi"/>
          <w:sz w:val="22"/>
          <w:szCs w:val="22"/>
        </w:rPr>
      </w:pPr>
    </w:p>
    <w:p w14:paraId="3069190E"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Nonetheless, it is clear from the many surviving tales of the Raven in both the Pacific Northwest as well as parts of Siberia that not only is the character a popular one, but also an enduring and endearing one.  The Raven is a primordial being, a trickster, and a magical creature who </w:t>
      </w:r>
      <w:proofErr w:type="gramStart"/>
      <w:r w:rsidRPr="00CB368C">
        <w:rPr>
          <w:rFonts w:asciiTheme="minorHAnsi" w:hAnsiTheme="minorHAnsi" w:cstheme="minorHAnsi"/>
          <w:sz w:val="22"/>
          <w:szCs w:val="22"/>
        </w:rPr>
        <w:t>is able to</w:t>
      </w:r>
      <w:proofErr w:type="gramEnd"/>
      <w:r w:rsidRPr="00CB368C">
        <w:rPr>
          <w:rFonts w:asciiTheme="minorHAnsi" w:hAnsiTheme="minorHAnsi" w:cstheme="minorHAnsi"/>
          <w:sz w:val="22"/>
          <w:szCs w:val="22"/>
        </w:rPr>
        <w:t xml:space="preserve"> shapeshift.  He is also a cultural hero who helps to create the Haida cosmos, and through his entertaining tales he explains how the world came to be.  The Raven cycle includes dozens of tales about the various ways that Raven steals items in order to bring the world into being.</w:t>
      </w:r>
      <w:r w:rsidRPr="00CB368C">
        <w:rPr>
          <w:rStyle w:val="FootnoteReference"/>
          <w:rFonts w:asciiTheme="minorHAnsi" w:hAnsiTheme="minorHAnsi" w:cstheme="minorHAnsi"/>
          <w:sz w:val="22"/>
          <w:szCs w:val="22"/>
        </w:rPr>
        <w:footnoteReference w:id="28"/>
      </w:r>
    </w:p>
    <w:p w14:paraId="4AF2F32B" w14:textId="77777777" w:rsidR="00CB368C" w:rsidRPr="00CB368C" w:rsidRDefault="00CB368C" w:rsidP="00CB368C">
      <w:pPr>
        <w:rPr>
          <w:rFonts w:asciiTheme="minorHAnsi" w:hAnsiTheme="minorHAnsi" w:cstheme="minorHAnsi"/>
          <w:sz w:val="22"/>
          <w:szCs w:val="22"/>
        </w:rPr>
      </w:pPr>
    </w:p>
    <w:p w14:paraId="6567A497"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The tale of stealing the light is particularly instructive, in that it reveals even older characters than the Raven – the old man (known as ‘Gray Eagle’ in some versions) and his daughter who live in a house by the river – and the origins of light, which in this version is originally guarded by the old man and kept in an infinite number of nesting boxes inside the old man’s house.  The Raven immediately decides to steal the light for himself but takes time ‘to invent a way to do so,’ demonstrating his inherent cleverness.</w:t>
      </w:r>
      <w:r w:rsidRPr="00CB368C">
        <w:rPr>
          <w:rStyle w:val="FootnoteReference"/>
          <w:rFonts w:asciiTheme="minorHAnsi" w:hAnsiTheme="minorHAnsi" w:cstheme="minorHAnsi"/>
          <w:sz w:val="22"/>
          <w:szCs w:val="22"/>
        </w:rPr>
        <w:footnoteReference w:id="29"/>
      </w:r>
    </w:p>
    <w:p w14:paraId="54222B3E" w14:textId="77777777" w:rsidR="00CB368C" w:rsidRPr="00CB368C" w:rsidRDefault="00CB368C" w:rsidP="00CB368C">
      <w:pPr>
        <w:rPr>
          <w:rFonts w:asciiTheme="minorHAnsi" w:hAnsiTheme="minorHAnsi" w:cstheme="minorHAnsi"/>
          <w:sz w:val="22"/>
          <w:szCs w:val="22"/>
        </w:rPr>
      </w:pPr>
    </w:p>
    <w:p w14:paraId="3DE1C310"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lastRenderedPageBreak/>
        <w:t>Much of the action of the story takes place in the dark, which protects the Raven’s identity from being revealed to the old man.  Following several shape-shifting events, including one that allows him to impregnate the old man’s daughter, he tricks the old man – who will do anything for his grandson – into eventually giving him the hidden light.  He then turns back into a raven, flies away with the light, and is pursued by a hungry eagle until he drops the light which shatters into several pieces, creating the moon, the stars, and the sun.</w:t>
      </w:r>
      <w:r w:rsidRPr="00CB368C">
        <w:rPr>
          <w:rStyle w:val="FootnoteReference"/>
          <w:rFonts w:asciiTheme="minorHAnsi" w:hAnsiTheme="minorHAnsi" w:cstheme="minorHAnsi"/>
          <w:sz w:val="22"/>
          <w:szCs w:val="22"/>
        </w:rPr>
        <w:footnoteReference w:id="30"/>
      </w:r>
      <w:r w:rsidRPr="00CB368C">
        <w:rPr>
          <w:rFonts w:asciiTheme="minorHAnsi" w:hAnsiTheme="minorHAnsi" w:cstheme="minorHAnsi"/>
          <w:sz w:val="22"/>
          <w:szCs w:val="22"/>
        </w:rPr>
        <w:t xml:space="preserve"> </w:t>
      </w:r>
    </w:p>
    <w:p w14:paraId="190518FA" w14:textId="77777777" w:rsidR="00CB368C" w:rsidRPr="00CB368C" w:rsidRDefault="00CB368C" w:rsidP="00CB368C">
      <w:pPr>
        <w:rPr>
          <w:rFonts w:asciiTheme="minorHAnsi" w:hAnsiTheme="minorHAnsi" w:cstheme="minorHAnsi"/>
          <w:sz w:val="22"/>
          <w:szCs w:val="22"/>
        </w:rPr>
      </w:pPr>
    </w:p>
    <w:p w14:paraId="739BF254"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The Trickster – Rebel, Cultural Hero, Transformer</w:t>
      </w:r>
    </w:p>
    <w:p w14:paraId="40AC739B" w14:textId="77777777" w:rsidR="00CB368C" w:rsidRPr="00CB368C" w:rsidRDefault="00CB368C" w:rsidP="00CB368C">
      <w:pPr>
        <w:rPr>
          <w:rFonts w:asciiTheme="minorHAnsi" w:hAnsiTheme="minorHAnsi" w:cstheme="minorHAnsi"/>
          <w:sz w:val="22"/>
          <w:szCs w:val="22"/>
        </w:rPr>
      </w:pPr>
    </w:p>
    <w:p w14:paraId="32DBDB26"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Tricksters are by their very nature magical creatures who are found in almost every indigenous culture and are thought to be some of the oldest characters in mythology.</w:t>
      </w:r>
      <w:r w:rsidRPr="00CB368C">
        <w:rPr>
          <w:rStyle w:val="FootnoteReference"/>
          <w:rFonts w:asciiTheme="minorHAnsi" w:hAnsiTheme="minorHAnsi" w:cstheme="minorHAnsi"/>
          <w:sz w:val="22"/>
          <w:szCs w:val="22"/>
        </w:rPr>
        <w:footnoteReference w:id="31"/>
      </w:r>
      <w:r w:rsidRPr="00CB368C">
        <w:rPr>
          <w:rFonts w:asciiTheme="minorHAnsi" w:hAnsiTheme="minorHAnsi" w:cstheme="minorHAnsi"/>
          <w:sz w:val="22"/>
          <w:szCs w:val="22"/>
        </w:rPr>
        <w:t xml:space="preserve">  Some tricksters, like Raven, are shapeshifters, able to acquire many different forms in order to carry out their missions.  Others, like Prometheus, are rebellious deities, noted for their brilliance.  This rebellion from authority is an essential quality of the trickster.  According to Barber and Barber, the trickster ‘is a plastic character who constantly plays tricks on others and predictably is not what he presents himself as…as he regularly </w:t>
      </w:r>
      <w:r w:rsidRPr="00CB368C">
        <w:rPr>
          <w:rFonts w:asciiTheme="minorHAnsi" w:hAnsiTheme="minorHAnsi" w:cstheme="minorHAnsi"/>
          <w:i/>
          <w:sz w:val="22"/>
          <w:szCs w:val="22"/>
        </w:rPr>
        <w:t>breaks</w:t>
      </w:r>
      <w:r w:rsidRPr="00CB368C">
        <w:rPr>
          <w:rFonts w:asciiTheme="minorHAnsi" w:hAnsiTheme="minorHAnsi" w:cstheme="minorHAnsi"/>
          <w:sz w:val="22"/>
          <w:szCs w:val="22"/>
        </w:rPr>
        <w:t xml:space="preserve"> the ‘proper’ rules and taboos, with comical and/or disastrous effects, he tells us much about what the assumed rules are.’</w:t>
      </w:r>
      <w:r w:rsidRPr="00CB368C">
        <w:rPr>
          <w:rStyle w:val="FootnoteReference"/>
          <w:rFonts w:asciiTheme="minorHAnsi" w:hAnsiTheme="minorHAnsi" w:cstheme="minorHAnsi"/>
          <w:sz w:val="22"/>
          <w:szCs w:val="22"/>
        </w:rPr>
        <w:footnoteReference w:id="32"/>
      </w:r>
      <w:r w:rsidRPr="00CB368C">
        <w:rPr>
          <w:rFonts w:asciiTheme="minorHAnsi" w:hAnsiTheme="minorHAnsi" w:cstheme="minorHAnsi"/>
          <w:sz w:val="22"/>
          <w:szCs w:val="22"/>
        </w:rPr>
        <w:t xml:space="preserve">  Barbara Babcock-Abrahams noted that the trickster personality often ‘arises at a time and a place’ of conflict and change, and she located tricksters on the margins of society, ambiguous, paradoxical, and ‘forever betwixt and between’ two worlds.</w:t>
      </w:r>
      <w:r w:rsidRPr="00CB368C">
        <w:rPr>
          <w:rStyle w:val="FootnoteReference"/>
          <w:rFonts w:asciiTheme="minorHAnsi" w:hAnsiTheme="minorHAnsi" w:cstheme="minorHAnsi"/>
          <w:sz w:val="22"/>
          <w:szCs w:val="22"/>
        </w:rPr>
        <w:footnoteReference w:id="33"/>
      </w:r>
    </w:p>
    <w:p w14:paraId="3773127A" w14:textId="77777777" w:rsidR="00CB368C" w:rsidRPr="00CB368C" w:rsidRDefault="00CB368C" w:rsidP="00CB368C">
      <w:pPr>
        <w:rPr>
          <w:rFonts w:asciiTheme="minorHAnsi" w:hAnsiTheme="minorHAnsi" w:cstheme="minorHAnsi"/>
          <w:sz w:val="22"/>
          <w:szCs w:val="22"/>
        </w:rPr>
      </w:pPr>
    </w:p>
    <w:p w14:paraId="5498ABB5"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Both Prometheus and Raven are far more than just rulebreakers, though.  According to Richard Tarnas, Prometheus was a ‘cosmic trickster,’ and ‘the wisest of his race’ who committed an ‘act of cosmic rebellion against a universal structure to free humanity of bondage,’ to the gods.</w:t>
      </w:r>
      <w:r w:rsidRPr="00CB368C">
        <w:rPr>
          <w:rStyle w:val="FootnoteReference"/>
          <w:rFonts w:asciiTheme="minorHAnsi" w:hAnsiTheme="minorHAnsi" w:cstheme="minorHAnsi"/>
          <w:sz w:val="22"/>
          <w:szCs w:val="22"/>
        </w:rPr>
        <w:footnoteReference w:id="34"/>
      </w:r>
      <w:r w:rsidRPr="00CB368C">
        <w:rPr>
          <w:rFonts w:asciiTheme="minorHAnsi" w:hAnsiTheme="minorHAnsi" w:cstheme="minorHAnsi"/>
          <w:sz w:val="22"/>
          <w:szCs w:val="22"/>
        </w:rPr>
        <w:t xml:space="preserve">  The gift of fire or light in both myths is far more than just a means to heat and light, it represents ‘the creative spark, cultural and technological breakthrough…the liberating gift from the heavens, sudden enlightenment, intellectual and spiritual awakening.’</w:t>
      </w:r>
      <w:r w:rsidRPr="00CB368C">
        <w:rPr>
          <w:rStyle w:val="FootnoteReference"/>
          <w:rFonts w:asciiTheme="minorHAnsi" w:hAnsiTheme="minorHAnsi" w:cstheme="minorHAnsi"/>
          <w:sz w:val="22"/>
          <w:szCs w:val="22"/>
        </w:rPr>
        <w:footnoteReference w:id="35"/>
      </w:r>
      <w:r w:rsidRPr="00CB368C">
        <w:rPr>
          <w:rFonts w:asciiTheme="minorHAnsi" w:hAnsiTheme="minorHAnsi" w:cstheme="minorHAnsi"/>
          <w:sz w:val="22"/>
          <w:szCs w:val="22"/>
        </w:rPr>
        <w:t xml:space="preserve">  In this role, the trickster is also a cultural hero (albeit an accidental one in the case of Raven) overcoming hostile forces in the cosmos and sacrificing something in order to transform the world and aid the advancement of humanity.</w:t>
      </w:r>
    </w:p>
    <w:p w14:paraId="00003359" w14:textId="77777777" w:rsidR="00CB368C" w:rsidRPr="00CB368C" w:rsidRDefault="00CB368C" w:rsidP="00CB368C">
      <w:pPr>
        <w:rPr>
          <w:rFonts w:asciiTheme="minorHAnsi" w:hAnsiTheme="minorHAnsi" w:cstheme="minorHAnsi"/>
          <w:sz w:val="22"/>
          <w:szCs w:val="22"/>
        </w:rPr>
      </w:pPr>
    </w:p>
    <w:p w14:paraId="22BE82B9"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The precious gift of light/fire is coveted by greater powers in both stories and requires stealth and cunning, as well as sacrifice, to acquire it.  Ricketts noted that ‘The earliest and most typical kind of trickster-hero myth is that of the </w:t>
      </w:r>
      <w:r w:rsidRPr="00CB368C">
        <w:rPr>
          <w:rFonts w:asciiTheme="minorHAnsi" w:hAnsiTheme="minorHAnsi" w:cstheme="minorHAnsi"/>
          <w:i/>
          <w:iCs/>
          <w:sz w:val="22"/>
          <w:szCs w:val="22"/>
        </w:rPr>
        <w:t>theft of fire</w:t>
      </w:r>
      <w:r w:rsidRPr="00CB368C">
        <w:rPr>
          <w:rFonts w:asciiTheme="minorHAnsi" w:hAnsiTheme="minorHAnsi" w:cstheme="minorHAnsi"/>
          <w:sz w:val="22"/>
          <w:szCs w:val="22"/>
        </w:rPr>
        <w:t>’ and that ‘if man is to advance, he must use all his cunning and wit, fair means and foul,’ in order to acquire this divine treasure.</w:t>
      </w:r>
      <w:r w:rsidRPr="00CB368C">
        <w:rPr>
          <w:rStyle w:val="FootnoteReference"/>
          <w:rFonts w:asciiTheme="minorHAnsi" w:hAnsiTheme="minorHAnsi" w:cstheme="minorHAnsi"/>
          <w:sz w:val="22"/>
          <w:szCs w:val="22"/>
        </w:rPr>
        <w:footnoteReference w:id="36"/>
      </w:r>
      <w:r w:rsidRPr="00CB368C">
        <w:rPr>
          <w:rFonts w:asciiTheme="minorHAnsi" w:hAnsiTheme="minorHAnsi" w:cstheme="minorHAnsi"/>
          <w:sz w:val="22"/>
          <w:szCs w:val="22"/>
        </w:rPr>
        <w:t xml:space="preserve"> Humans need spiritual assistance in order for this to happen, but rather than rely on the powers of a shaman or priest who ‘has respect for the supernatural powers and is humble before them,’ they require a trickster-hero who sees superior forces as only ‘a challenge to his own will to power’ that must be overcome.</w:t>
      </w:r>
      <w:r w:rsidRPr="00CB368C">
        <w:rPr>
          <w:rStyle w:val="FootnoteReference"/>
          <w:rFonts w:asciiTheme="minorHAnsi" w:hAnsiTheme="minorHAnsi" w:cstheme="minorHAnsi"/>
          <w:sz w:val="22"/>
          <w:szCs w:val="22"/>
        </w:rPr>
        <w:footnoteReference w:id="37"/>
      </w:r>
    </w:p>
    <w:p w14:paraId="01A9BF31" w14:textId="77777777" w:rsidR="00CB368C" w:rsidRPr="00CB368C" w:rsidRDefault="00CB368C" w:rsidP="00CB368C">
      <w:pPr>
        <w:rPr>
          <w:rFonts w:asciiTheme="minorHAnsi" w:hAnsiTheme="minorHAnsi" w:cstheme="minorHAnsi"/>
          <w:sz w:val="22"/>
          <w:szCs w:val="22"/>
        </w:rPr>
      </w:pPr>
    </w:p>
    <w:p w14:paraId="68185CBE"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lastRenderedPageBreak/>
        <w:t>Native American tricksters often take the form of an animal who is a ‘creative transformer of the world and heroic bringer of culture’ (coyote, hare, and mink are other examples), yet who is often ‘a prankster who is grossly erotic, insatiably hungry, inordinately vain…a restless wanderer upon the face of the earth…[and] a blunderer who is often the victim of his own tricks and follies.’</w:t>
      </w:r>
      <w:r w:rsidRPr="00CB368C">
        <w:rPr>
          <w:rStyle w:val="FootnoteReference"/>
          <w:rFonts w:asciiTheme="minorHAnsi" w:hAnsiTheme="minorHAnsi" w:cstheme="minorHAnsi"/>
          <w:sz w:val="22"/>
          <w:szCs w:val="22"/>
        </w:rPr>
        <w:footnoteReference w:id="38"/>
      </w:r>
      <w:r w:rsidRPr="00CB368C">
        <w:rPr>
          <w:rFonts w:asciiTheme="minorHAnsi" w:hAnsiTheme="minorHAnsi" w:cstheme="minorHAnsi"/>
          <w:sz w:val="22"/>
          <w:szCs w:val="22"/>
        </w:rPr>
        <w:t xml:space="preserve"> This divine clown is usually quite popular, and found throughout many archaic cultures worldwide, because his attempts at heroism, noble and well-meaning as they are, often backfire in hilarious and entertaining ways.  Ricketts echoed the views of Paul Radin and Carl Jung when he pointed out that trickster characters are ‘a reflection of the early, undifferentiated state of human consciousness’ that is in the process of becoming ‘a created, ordered being,’ and that they are popular characters because they are benefactors of humans and share human fallibilities.</w:t>
      </w:r>
      <w:r w:rsidRPr="00CB368C">
        <w:rPr>
          <w:rStyle w:val="FootnoteReference"/>
          <w:rFonts w:asciiTheme="minorHAnsi" w:hAnsiTheme="minorHAnsi" w:cstheme="minorHAnsi"/>
          <w:sz w:val="22"/>
          <w:szCs w:val="22"/>
        </w:rPr>
        <w:footnoteReference w:id="39"/>
      </w:r>
      <w:r w:rsidRPr="00CB368C">
        <w:rPr>
          <w:rFonts w:asciiTheme="minorHAnsi" w:hAnsiTheme="minorHAnsi" w:cstheme="minorHAnsi"/>
          <w:sz w:val="22"/>
          <w:szCs w:val="22"/>
        </w:rPr>
        <w:t xml:space="preserve">  Tricksters are loved by humans because tricksters </w:t>
      </w:r>
      <w:r w:rsidRPr="00CB368C">
        <w:rPr>
          <w:rFonts w:asciiTheme="minorHAnsi" w:hAnsiTheme="minorHAnsi" w:cstheme="minorHAnsi"/>
          <w:i/>
          <w:iCs/>
          <w:sz w:val="22"/>
          <w:szCs w:val="22"/>
        </w:rPr>
        <w:t>are themselves</w:t>
      </w:r>
      <w:r w:rsidRPr="00CB368C">
        <w:rPr>
          <w:rFonts w:asciiTheme="minorHAnsi" w:hAnsiTheme="minorHAnsi" w:cstheme="minorHAnsi"/>
          <w:sz w:val="22"/>
          <w:szCs w:val="22"/>
        </w:rPr>
        <w:t xml:space="preserve"> so human, and yet are able to overcome even the greatest odds against higher authorities in order to achieve a victory.  They also show through their actions that there are limits to what can be achieved, and that most victories require sacrifice.  In some ways, this explains the incredible similarities between the Prometheus myths and the Raven stories, despite the many cultural differences between ancient Greeks and indigenous Haida peoples, especially in the ways they view power, order and freedom.</w:t>
      </w:r>
    </w:p>
    <w:p w14:paraId="09AAC9BB" w14:textId="77777777" w:rsidR="00CB368C" w:rsidRPr="00CB368C" w:rsidRDefault="00CB368C" w:rsidP="00CB368C">
      <w:pPr>
        <w:rPr>
          <w:rFonts w:asciiTheme="minorHAnsi" w:hAnsiTheme="minorHAnsi" w:cstheme="minorHAnsi"/>
          <w:sz w:val="22"/>
          <w:szCs w:val="22"/>
        </w:rPr>
      </w:pPr>
    </w:p>
    <w:p w14:paraId="7809CEAA"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Freedom and Empowerment in Two Cultures</w:t>
      </w:r>
    </w:p>
    <w:p w14:paraId="2B4A57C1" w14:textId="77777777" w:rsidR="00CB368C" w:rsidRPr="00CB368C" w:rsidRDefault="00CB368C" w:rsidP="00CB368C">
      <w:pPr>
        <w:rPr>
          <w:rFonts w:asciiTheme="minorHAnsi" w:hAnsiTheme="minorHAnsi" w:cstheme="minorHAnsi"/>
          <w:b/>
          <w:bCs/>
          <w:sz w:val="22"/>
          <w:szCs w:val="22"/>
          <w:u w:val="single"/>
        </w:rPr>
      </w:pPr>
    </w:p>
    <w:p w14:paraId="5E1554AA"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Closely related to the concepts of authority and deviancy are the ways in which people across cultures view the concepts of freedom and empowerment.  Because Prometheus and the Raven rebel against authority they come to embody the universal principle of freedom, but they do this in significantly different ways.  In both myths, authority takes the form of some older and more powerful deity or character who has achieved power through ownership of things of value to humanity (fire, the heavens, light).  The Raven and Prometheus redistribute this power through the act of cleverly and heroically stealing these things of value and then sharing them with humanity, resulting in civilization and the heavenly lights.  The results of this theft, however, provides us with insight as to the differences between Greek and Haida cultures.</w:t>
      </w:r>
    </w:p>
    <w:p w14:paraId="735DD785" w14:textId="77777777" w:rsidR="00CB368C" w:rsidRPr="00CB368C" w:rsidRDefault="00CB368C" w:rsidP="00CB368C">
      <w:pPr>
        <w:rPr>
          <w:rFonts w:asciiTheme="minorHAnsi" w:hAnsiTheme="minorHAnsi" w:cstheme="minorHAnsi"/>
          <w:sz w:val="22"/>
          <w:szCs w:val="22"/>
        </w:rPr>
      </w:pPr>
    </w:p>
    <w:p w14:paraId="7221FA61"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This story of the less powerful and sometimes oppressed gaining power over, and freedom from, the more powerful is one of the most enduring and popular stories that humans tell themselves – what Babcock-Abrahams called the cycle of ‘social banditry.’</w:t>
      </w:r>
      <w:r w:rsidRPr="00CB368C">
        <w:rPr>
          <w:rStyle w:val="FootnoteReference"/>
          <w:rFonts w:asciiTheme="minorHAnsi" w:hAnsiTheme="minorHAnsi" w:cstheme="minorHAnsi"/>
          <w:sz w:val="22"/>
          <w:szCs w:val="22"/>
        </w:rPr>
        <w:footnoteReference w:id="40"/>
      </w:r>
      <w:r w:rsidRPr="00CB368C">
        <w:rPr>
          <w:rFonts w:asciiTheme="minorHAnsi" w:hAnsiTheme="minorHAnsi" w:cstheme="minorHAnsi"/>
          <w:sz w:val="22"/>
          <w:szCs w:val="22"/>
        </w:rPr>
        <w:t xml:space="preserve">  The different ways that these two stories are told, both within their respective cultures and over time, tells us a number of things about the differences between the ancient Greeks and Haida.  Patrick Curry noted that during the transition in Greek society from a pluralistic and sensuous polytheism to a more dualistic form of Platonism, there was a ‘fear of anything embodied,’ and a growing appreciation for the order brought about by a hierarchical power structure.</w:t>
      </w:r>
      <w:r w:rsidRPr="00CB368C">
        <w:rPr>
          <w:rStyle w:val="FootnoteReference"/>
          <w:rFonts w:asciiTheme="minorHAnsi" w:hAnsiTheme="minorHAnsi" w:cstheme="minorHAnsi"/>
          <w:sz w:val="22"/>
          <w:szCs w:val="22"/>
        </w:rPr>
        <w:footnoteReference w:id="41"/>
      </w:r>
      <w:r w:rsidRPr="00CB368C">
        <w:rPr>
          <w:rFonts w:asciiTheme="minorHAnsi" w:hAnsiTheme="minorHAnsi" w:cstheme="minorHAnsi"/>
          <w:sz w:val="22"/>
          <w:szCs w:val="22"/>
        </w:rPr>
        <w:t xml:space="preserve"> This is particularly noted in the misogynist connection between women and evil in the Pandora story.  Sulek added that the rise of the literary tradition at the time of Homer and Hesiod tended to bring with it notions of rational thought and moral order that made it necessary for both rebellion against such order, and for such rebellion to be severely punished.</w:t>
      </w:r>
      <w:r w:rsidRPr="00CB368C">
        <w:rPr>
          <w:rStyle w:val="FootnoteReference"/>
          <w:rFonts w:asciiTheme="minorHAnsi" w:hAnsiTheme="minorHAnsi" w:cstheme="minorHAnsi"/>
          <w:sz w:val="22"/>
          <w:szCs w:val="22"/>
        </w:rPr>
        <w:footnoteReference w:id="42"/>
      </w:r>
    </w:p>
    <w:p w14:paraId="1C8F5F31" w14:textId="77777777" w:rsidR="00CB368C" w:rsidRPr="00CB368C" w:rsidRDefault="00CB368C" w:rsidP="00CB368C">
      <w:pPr>
        <w:rPr>
          <w:rFonts w:asciiTheme="minorHAnsi" w:hAnsiTheme="minorHAnsi" w:cstheme="minorHAnsi"/>
          <w:sz w:val="22"/>
          <w:szCs w:val="22"/>
        </w:rPr>
      </w:pPr>
    </w:p>
    <w:p w14:paraId="43438955"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Kirk noted that the role of Prometheus as a mediator between gods and men is a radical departure from earlier inherited storylines from the Near East where men were essentially viewed as ‘slaves to the gods’.</w:t>
      </w:r>
      <w:r w:rsidRPr="00CB368C">
        <w:rPr>
          <w:rStyle w:val="FootnoteReference"/>
          <w:rFonts w:asciiTheme="minorHAnsi" w:hAnsiTheme="minorHAnsi" w:cstheme="minorHAnsi"/>
          <w:sz w:val="22"/>
          <w:szCs w:val="22"/>
        </w:rPr>
        <w:footnoteReference w:id="43"/>
      </w:r>
      <w:r w:rsidRPr="00CB368C">
        <w:rPr>
          <w:rFonts w:asciiTheme="minorHAnsi" w:hAnsiTheme="minorHAnsi" w:cstheme="minorHAnsi"/>
          <w:sz w:val="22"/>
          <w:szCs w:val="22"/>
        </w:rPr>
        <w:t xml:space="preserve">  Prometheus is described as ‘the original philanthropist,’ by Sulek, but he is punished for his good deeds.</w:t>
      </w:r>
      <w:r w:rsidRPr="00CB368C">
        <w:rPr>
          <w:rStyle w:val="FootnoteReference"/>
          <w:rFonts w:asciiTheme="minorHAnsi" w:hAnsiTheme="minorHAnsi" w:cstheme="minorHAnsi"/>
          <w:sz w:val="22"/>
          <w:szCs w:val="22"/>
        </w:rPr>
        <w:footnoteReference w:id="44"/>
      </w:r>
      <w:r w:rsidRPr="00CB368C">
        <w:rPr>
          <w:rFonts w:asciiTheme="minorHAnsi" w:hAnsiTheme="minorHAnsi" w:cstheme="minorHAnsi"/>
          <w:sz w:val="22"/>
          <w:szCs w:val="22"/>
        </w:rPr>
        <w:t xml:space="preserve">  The newer, more hierarchical order of Olympian gods could not allow such rebellion.</w:t>
      </w:r>
    </w:p>
    <w:p w14:paraId="10F85401" w14:textId="77777777" w:rsidR="00CB368C" w:rsidRPr="00CB368C" w:rsidRDefault="00CB368C" w:rsidP="00CB368C">
      <w:pPr>
        <w:rPr>
          <w:rFonts w:asciiTheme="minorHAnsi" w:hAnsiTheme="minorHAnsi" w:cstheme="minorHAnsi"/>
          <w:sz w:val="22"/>
          <w:szCs w:val="22"/>
        </w:rPr>
      </w:pPr>
    </w:p>
    <w:p w14:paraId="21BB60D7"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In contrast, the Raven tale comes from a more pluralistic, sensual and egalitarian society that recognized and celebrated the embodiment of all things human, including body, sexuality and humour.  The Haida trickster can laugh at himself and his mistakes, and such humour ‘enabled the Indians to laugh off their failures in hunting, in fighting, in romance, and in combatting the limitations imposed upon them by their environment, since they saw in the trickster how foolish man is.’</w:t>
      </w:r>
      <w:r w:rsidRPr="00CB368C">
        <w:rPr>
          <w:rStyle w:val="FootnoteReference"/>
          <w:rFonts w:asciiTheme="minorHAnsi" w:hAnsiTheme="minorHAnsi" w:cstheme="minorHAnsi"/>
          <w:sz w:val="22"/>
          <w:szCs w:val="22"/>
        </w:rPr>
        <w:footnoteReference w:id="45"/>
      </w:r>
      <w:r w:rsidRPr="00CB368C">
        <w:rPr>
          <w:rFonts w:asciiTheme="minorHAnsi" w:hAnsiTheme="minorHAnsi" w:cstheme="minorHAnsi"/>
          <w:sz w:val="22"/>
          <w:szCs w:val="22"/>
        </w:rPr>
        <w:t xml:space="preserve">  Haida society was less hierarchically structured, so there was no need for a punishing father god to make an example of the Raven so that order could be restored.  The act of Raven stealing the light </w:t>
      </w:r>
      <w:r w:rsidRPr="00CB368C">
        <w:rPr>
          <w:rFonts w:asciiTheme="minorHAnsi" w:hAnsiTheme="minorHAnsi" w:cstheme="minorHAnsi"/>
          <w:i/>
          <w:iCs/>
          <w:sz w:val="22"/>
          <w:szCs w:val="22"/>
        </w:rPr>
        <w:t>was</w:t>
      </w:r>
      <w:r w:rsidRPr="00CB368C">
        <w:rPr>
          <w:rFonts w:asciiTheme="minorHAnsi" w:hAnsiTheme="minorHAnsi" w:cstheme="minorHAnsi"/>
          <w:sz w:val="22"/>
          <w:szCs w:val="22"/>
        </w:rPr>
        <w:t xml:space="preserve"> the restoration of order to the cosmos.  Once everyone had light and fire, and could cook, hunt, stay warm, and see, balance was restored.</w:t>
      </w:r>
    </w:p>
    <w:p w14:paraId="2C7ECD9B" w14:textId="77777777" w:rsidR="00CB368C" w:rsidRPr="00CB368C" w:rsidRDefault="00CB368C" w:rsidP="00CB368C">
      <w:pPr>
        <w:rPr>
          <w:rFonts w:asciiTheme="minorHAnsi" w:hAnsiTheme="minorHAnsi" w:cstheme="minorHAnsi"/>
          <w:sz w:val="22"/>
          <w:szCs w:val="22"/>
        </w:rPr>
      </w:pPr>
    </w:p>
    <w:p w14:paraId="17A28150"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Solstice Symbolism and Cyclic Time:  Hope and renewal out of darkness</w:t>
      </w:r>
    </w:p>
    <w:p w14:paraId="504790E9" w14:textId="77777777" w:rsidR="00CB368C" w:rsidRPr="00CB368C" w:rsidRDefault="00CB368C" w:rsidP="00CB368C">
      <w:pPr>
        <w:rPr>
          <w:rFonts w:asciiTheme="minorHAnsi" w:hAnsiTheme="minorHAnsi" w:cstheme="minorHAnsi"/>
          <w:sz w:val="22"/>
          <w:szCs w:val="22"/>
        </w:rPr>
      </w:pPr>
    </w:p>
    <w:p w14:paraId="648F12FC"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In addition to being trickster and creation myths, both the Prometheus and Raven are myths of renewal.  Each time the myth is read or acted out the cosmos is created anew.  Such stories are designed not only to teach about the original creation, but to remind listeners that there is hope, redemption and the recurring victory of light over darkness, life over death.  Mythologies involving the gift of light or fire are often retold or ritualized each year around the time of the winter solstice, marking the belief that the light will </w:t>
      </w:r>
      <w:proofErr w:type="gramStart"/>
      <w:r w:rsidRPr="00CB368C">
        <w:rPr>
          <w:rFonts w:asciiTheme="minorHAnsi" w:hAnsiTheme="minorHAnsi" w:cstheme="minorHAnsi"/>
          <w:sz w:val="22"/>
          <w:szCs w:val="22"/>
        </w:rPr>
        <w:t>return again</w:t>
      </w:r>
      <w:proofErr w:type="gramEnd"/>
      <w:r w:rsidRPr="00CB368C">
        <w:rPr>
          <w:rFonts w:asciiTheme="minorHAnsi" w:hAnsiTheme="minorHAnsi" w:cstheme="minorHAnsi"/>
          <w:sz w:val="22"/>
          <w:szCs w:val="22"/>
        </w:rPr>
        <w:t>, just as Prometheus and Raven returned the light to humanity in the beginning.  Eliade noted that ‘a periodic regeneration of time presupposes…a new Creation, that is, a repetition of the cosmogonic act,’ and that such rituals ‘guarantee the continuity of the life of the community in its entirety.’</w:t>
      </w:r>
      <w:r w:rsidRPr="00CB368C">
        <w:rPr>
          <w:rStyle w:val="FootnoteReference"/>
          <w:rFonts w:asciiTheme="minorHAnsi" w:hAnsiTheme="minorHAnsi" w:cstheme="minorHAnsi"/>
          <w:sz w:val="22"/>
          <w:szCs w:val="22"/>
        </w:rPr>
        <w:footnoteReference w:id="46"/>
      </w:r>
    </w:p>
    <w:p w14:paraId="5FD82D4E" w14:textId="77777777" w:rsidR="00CB368C" w:rsidRPr="00CB368C" w:rsidRDefault="00CB368C" w:rsidP="00CB368C">
      <w:pPr>
        <w:rPr>
          <w:rFonts w:asciiTheme="minorHAnsi" w:hAnsiTheme="minorHAnsi" w:cstheme="minorHAnsi"/>
          <w:sz w:val="22"/>
          <w:szCs w:val="22"/>
        </w:rPr>
      </w:pPr>
    </w:p>
    <w:p w14:paraId="034EE86D"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In the case of the raven story, the actual myth is re-enacted by native Haida each year near the winter solstice to mark the cyclic return of the sun and to honour the Raven as a cultural hero.</w:t>
      </w:r>
      <w:r w:rsidRPr="00CB368C">
        <w:rPr>
          <w:rStyle w:val="FootnoteReference"/>
          <w:rFonts w:asciiTheme="minorHAnsi" w:hAnsiTheme="minorHAnsi" w:cstheme="minorHAnsi"/>
          <w:sz w:val="22"/>
          <w:szCs w:val="22"/>
        </w:rPr>
        <w:footnoteReference w:id="47"/>
      </w:r>
      <w:r w:rsidRPr="00CB368C">
        <w:rPr>
          <w:rFonts w:asciiTheme="minorHAnsi" w:hAnsiTheme="minorHAnsi" w:cstheme="minorHAnsi"/>
          <w:sz w:val="22"/>
          <w:szCs w:val="22"/>
        </w:rPr>
        <w:t xml:space="preserve">  Such rituals are sacred acts that confirm the continuity of the native community, despite long episodes of struggle and oppression since the arrival of Europeans.  </w:t>
      </w:r>
    </w:p>
    <w:p w14:paraId="05373DF8" w14:textId="77777777" w:rsidR="00CB368C" w:rsidRPr="00CB368C" w:rsidRDefault="00CB368C" w:rsidP="00CB368C">
      <w:pPr>
        <w:rPr>
          <w:rFonts w:asciiTheme="minorHAnsi" w:hAnsiTheme="minorHAnsi" w:cstheme="minorHAnsi"/>
          <w:sz w:val="22"/>
          <w:szCs w:val="22"/>
        </w:rPr>
      </w:pPr>
    </w:p>
    <w:p w14:paraId="3351188E"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The mythology of Prometheus has become a secular story in the modern world, replaced in Western society by Judeo-Christian winter celebrations of Hanukah and Christmas.  A modern example of these two worlds overlapping occurs each year in New York City.  One of the most popular statues in the United States is the Paul Manship depiction of Prometheus in front of the Rockefeller Center in Manhattan, New York City.  The statue was first installed in 1934 at the height of the Great Depression, a time when the need for a golden symbol of hope was greater than normal.  It now serves as the hub of activity each year for Christmas celebrations in New </w:t>
      </w:r>
      <w:r w:rsidRPr="00CB368C">
        <w:rPr>
          <w:rFonts w:asciiTheme="minorHAnsi" w:hAnsiTheme="minorHAnsi" w:cstheme="minorHAnsi"/>
          <w:sz w:val="22"/>
          <w:szCs w:val="22"/>
        </w:rPr>
        <w:lastRenderedPageBreak/>
        <w:t xml:space="preserve">York, including the lighting of the 80-foot Norway spruce tree, marking the start of the season of giving.  Although this is now a secular event, the remnants of sacred cyclic time remain, and the communal continuity survives.  </w:t>
      </w:r>
    </w:p>
    <w:p w14:paraId="4927D8AB" w14:textId="77777777" w:rsidR="00CB368C" w:rsidRPr="00CB368C" w:rsidRDefault="00CB368C" w:rsidP="00CB368C">
      <w:pPr>
        <w:rPr>
          <w:rFonts w:asciiTheme="minorHAnsi" w:hAnsiTheme="minorHAnsi" w:cstheme="minorHAnsi"/>
          <w:sz w:val="22"/>
          <w:szCs w:val="22"/>
        </w:rPr>
      </w:pPr>
    </w:p>
    <w:p w14:paraId="18AFE197"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The trickster is no longer worshipped as a god, but his myths continue to be held in awe.  Ricketts noted that ‘the deeds he does and what they reveal about man and the world, are the sacred reality.’</w:t>
      </w:r>
      <w:r w:rsidRPr="00CB368C">
        <w:rPr>
          <w:rStyle w:val="FootnoteReference"/>
          <w:rFonts w:asciiTheme="minorHAnsi" w:hAnsiTheme="minorHAnsi" w:cstheme="minorHAnsi"/>
          <w:sz w:val="22"/>
          <w:szCs w:val="22"/>
        </w:rPr>
        <w:footnoteReference w:id="48"/>
      </w:r>
      <w:r w:rsidRPr="00CB368C">
        <w:rPr>
          <w:rFonts w:asciiTheme="minorHAnsi" w:hAnsiTheme="minorHAnsi" w:cstheme="minorHAnsi"/>
          <w:sz w:val="22"/>
          <w:szCs w:val="22"/>
        </w:rPr>
        <w:t xml:space="preserve">  Not only do they provide continuity with a primordial past, they speak to a renewed hope for greater enlightenment and cultural progress in the present.</w:t>
      </w:r>
    </w:p>
    <w:p w14:paraId="2E6E2856" w14:textId="77777777" w:rsidR="00CB368C" w:rsidRPr="00CB368C" w:rsidRDefault="00CB368C" w:rsidP="00CB368C">
      <w:pPr>
        <w:rPr>
          <w:rFonts w:asciiTheme="minorHAnsi" w:hAnsiTheme="minorHAnsi" w:cstheme="minorHAnsi"/>
          <w:b/>
          <w:bCs/>
          <w:sz w:val="22"/>
          <w:szCs w:val="22"/>
          <w:u w:val="single"/>
        </w:rPr>
      </w:pPr>
    </w:p>
    <w:p w14:paraId="530E33D9"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Conclusion</w:t>
      </w:r>
    </w:p>
    <w:p w14:paraId="62E7E60B" w14:textId="77777777" w:rsidR="00CB368C" w:rsidRPr="00CB368C" w:rsidRDefault="00CB368C" w:rsidP="00CB368C">
      <w:pPr>
        <w:rPr>
          <w:rFonts w:asciiTheme="minorHAnsi" w:hAnsiTheme="minorHAnsi" w:cstheme="minorHAnsi"/>
          <w:b/>
          <w:bCs/>
          <w:sz w:val="22"/>
          <w:szCs w:val="22"/>
        </w:rPr>
      </w:pPr>
    </w:p>
    <w:p w14:paraId="75712882"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The stories of Prometheus and Raven are instructive trickster-creation myths in the way that they demonstrate important cultural concepts of authority, rebellion, oppression, freedom, and what each culture values.  They tell us much about the different ways in which Greek and Haida cultures view these universal concepts while at the same time demonstrate universal similarities between these and other cultures.</w:t>
      </w:r>
    </w:p>
    <w:p w14:paraId="112BEE61" w14:textId="77777777" w:rsidR="00CB368C" w:rsidRPr="00CB368C" w:rsidRDefault="00CB368C" w:rsidP="00CB368C">
      <w:pPr>
        <w:rPr>
          <w:rFonts w:asciiTheme="minorHAnsi" w:hAnsiTheme="minorHAnsi" w:cstheme="minorHAnsi"/>
          <w:sz w:val="22"/>
          <w:szCs w:val="22"/>
        </w:rPr>
      </w:pPr>
    </w:p>
    <w:p w14:paraId="5D64A91F"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This essay explored these two light-bringer myths in view of several themes.  First, the role of the trickster was explored in both stories and the way in which this role reveals how these two cultures understand civilization and authority.  Whereas ancient Greek culture placed greater emphasis on a hierarchical cosmos where there are severe consequences for deviant behaviour, the Haida culture emphasizes a more egalitarian world where rebellion is rewarded or at least tolerated.</w:t>
      </w:r>
    </w:p>
    <w:p w14:paraId="79B8F8B4" w14:textId="77777777" w:rsidR="00CB368C" w:rsidRPr="00CB368C" w:rsidRDefault="00CB368C" w:rsidP="00CB368C">
      <w:pPr>
        <w:rPr>
          <w:rFonts w:asciiTheme="minorHAnsi" w:hAnsiTheme="minorHAnsi" w:cstheme="minorHAnsi"/>
          <w:sz w:val="22"/>
          <w:szCs w:val="22"/>
        </w:rPr>
      </w:pPr>
    </w:p>
    <w:p w14:paraId="482A078D"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Both tales reflect cultural attitudes towards power, as well as freedom from such power, which, in tandem with the first theme, may explain the enduring popularity of these stories.  Raven and Prometheus are clever and courageous, but they also make mistakes, and they misjudge situations in undeniably human ways that make their heroism more endearing than if they were less flawed.</w:t>
      </w:r>
    </w:p>
    <w:p w14:paraId="0F70974C" w14:textId="77777777" w:rsidR="00CB368C" w:rsidRPr="00CB368C" w:rsidRDefault="00CB368C" w:rsidP="00CB368C">
      <w:pPr>
        <w:rPr>
          <w:rFonts w:asciiTheme="minorHAnsi" w:hAnsiTheme="minorHAnsi" w:cstheme="minorHAnsi"/>
          <w:sz w:val="22"/>
          <w:szCs w:val="22"/>
        </w:rPr>
      </w:pPr>
    </w:p>
    <w:p w14:paraId="6D6907BD"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Finally, the symbol of fire, light, and the heavenly luminaries is explored in relation to the connection both tales have with the winter solstice, cyclic time and notions of hope and renewal.  The gift of light or fire is not only about freedom from darkness and oppression, it is the story of the eternal return of the sun on our own planet each year, and the redemptive hope that this ancient and ultimate gift provides to all of humanity. </w:t>
      </w:r>
    </w:p>
    <w:p w14:paraId="715AC249" w14:textId="77777777" w:rsidR="00CB368C" w:rsidRPr="00CB368C" w:rsidRDefault="00CB368C" w:rsidP="00CB368C">
      <w:pPr>
        <w:rPr>
          <w:rFonts w:asciiTheme="minorHAnsi" w:hAnsiTheme="minorHAnsi" w:cstheme="minorHAnsi"/>
          <w:b/>
          <w:bCs/>
          <w:sz w:val="22"/>
          <w:szCs w:val="22"/>
        </w:rPr>
      </w:pPr>
    </w:p>
    <w:p w14:paraId="41DC68A0" w14:textId="77777777" w:rsidR="00CB368C" w:rsidRPr="00CB368C" w:rsidRDefault="00CB368C" w:rsidP="00CB368C">
      <w:pPr>
        <w:rPr>
          <w:rFonts w:asciiTheme="minorHAnsi" w:hAnsiTheme="minorHAnsi" w:cstheme="minorHAnsi"/>
          <w:b/>
          <w:bCs/>
          <w:sz w:val="22"/>
          <w:szCs w:val="22"/>
        </w:rPr>
      </w:pPr>
    </w:p>
    <w:p w14:paraId="3FA69093" w14:textId="77777777" w:rsidR="00CB368C" w:rsidRPr="00CB368C" w:rsidRDefault="00CB368C" w:rsidP="00CB368C">
      <w:pPr>
        <w:rPr>
          <w:rFonts w:asciiTheme="minorHAnsi" w:hAnsiTheme="minorHAnsi" w:cstheme="minorHAnsi"/>
          <w:b/>
          <w:bCs/>
          <w:sz w:val="22"/>
          <w:szCs w:val="22"/>
        </w:rPr>
      </w:pPr>
    </w:p>
    <w:p w14:paraId="7405380F" w14:textId="77777777" w:rsidR="00CB368C" w:rsidRPr="00CB368C" w:rsidRDefault="00CB368C" w:rsidP="00CB368C">
      <w:pPr>
        <w:rPr>
          <w:rFonts w:asciiTheme="minorHAnsi" w:hAnsiTheme="minorHAnsi" w:cstheme="minorHAnsi"/>
          <w:b/>
          <w:bCs/>
          <w:sz w:val="22"/>
          <w:szCs w:val="22"/>
        </w:rPr>
      </w:pPr>
    </w:p>
    <w:p w14:paraId="07447D6E" w14:textId="77777777" w:rsidR="00CB368C" w:rsidRPr="00CB368C" w:rsidRDefault="00CB368C" w:rsidP="00CB368C">
      <w:pPr>
        <w:rPr>
          <w:rFonts w:asciiTheme="minorHAnsi" w:hAnsiTheme="minorHAnsi" w:cstheme="minorHAnsi"/>
          <w:b/>
          <w:bCs/>
          <w:sz w:val="22"/>
          <w:szCs w:val="22"/>
        </w:rPr>
      </w:pPr>
    </w:p>
    <w:p w14:paraId="698CA0AD" w14:textId="77777777" w:rsidR="00CB368C" w:rsidRPr="00CB368C" w:rsidRDefault="00CB368C" w:rsidP="00CB368C">
      <w:pPr>
        <w:rPr>
          <w:rFonts w:asciiTheme="minorHAnsi" w:hAnsiTheme="minorHAnsi" w:cstheme="minorHAnsi"/>
          <w:b/>
          <w:bCs/>
          <w:sz w:val="22"/>
          <w:szCs w:val="22"/>
        </w:rPr>
      </w:pPr>
    </w:p>
    <w:p w14:paraId="52FD0422" w14:textId="77777777" w:rsidR="00CB368C" w:rsidRPr="00CB368C" w:rsidRDefault="00CB368C" w:rsidP="00CB368C">
      <w:pPr>
        <w:rPr>
          <w:rFonts w:asciiTheme="minorHAnsi" w:hAnsiTheme="minorHAnsi" w:cstheme="minorHAnsi"/>
          <w:b/>
          <w:bCs/>
          <w:sz w:val="22"/>
          <w:szCs w:val="22"/>
        </w:rPr>
      </w:pPr>
    </w:p>
    <w:p w14:paraId="4F946CC9" w14:textId="77777777" w:rsidR="00CB368C" w:rsidRPr="00CB368C" w:rsidRDefault="00CB368C" w:rsidP="00CB368C">
      <w:pPr>
        <w:rPr>
          <w:rFonts w:asciiTheme="minorHAnsi" w:hAnsiTheme="minorHAnsi" w:cstheme="minorHAnsi"/>
          <w:b/>
          <w:bCs/>
          <w:sz w:val="22"/>
          <w:szCs w:val="22"/>
        </w:rPr>
      </w:pPr>
    </w:p>
    <w:p w14:paraId="0C1E2C18" w14:textId="77777777" w:rsidR="00CB368C" w:rsidRPr="00CB368C" w:rsidRDefault="00CB368C" w:rsidP="00CB368C">
      <w:pPr>
        <w:rPr>
          <w:rFonts w:asciiTheme="minorHAnsi" w:hAnsiTheme="minorHAnsi" w:cstheme="minorHAnsi"/>
          <w:b/>
          <w:bCs/>
          <w:sz w:val="22"/>
          <w:szCs w:val="22"/>
        </w:rPr>
      </w:pPr>
    </w:p>
    <w:p w14:paraId="41ECFD46" w14:textId="77777777" w:rsidR="00CB368C" w:rsidRPr="00CB368C" w:rsidRDefault="00CB368C" w:rsidP="00CB368C">
      <w:pPr>
        <w:rPr>
          <w:rFonts w:asciiTheme="minorHAnsi" w:hAnsiTheme="minorHAnsi" w:cstheme="minorHAnsi"/>
          <w:b/>
          <w:bCs/>
          <w:sz w:val="22"/>
          <w:szCs w:val="22"/>
        </w:rPr>
      </w:pPr>
    </w:p>
    <w:p w14:paraId="65E91326" w14:textId="77777777" w:rsidR="00CB368C" w:rsidRDefault="00CB368C" w:rsidP="00CB368C">
      <w:pPr>
        <w:jc w:val="center"/>
        <w:rPr>
          <w:rFonts w:asciiTheme="minorHAnsi" w:hAnsiTheme="minorHAnsi" w:cstheme="minorHAnsi"/>
          <w:b/>
          <w:bCs/>
          <w:sz w:val="22"/>
          <w:szCs w:val="22"/>
        </w:rPr>
      </w:pPr>
    </w:p>
    <w:p w14:paraId="760C4FCA" w14:textId="77777777" w:rsidR="00CB368C" w:rsidRDefault="00CB368C" w:rsidP="00CB368C">
      <w:pPr>
        <w:jc w:val="center"/>
        <w:rPr>
          <w:rFonts w:asciiTheme="minorHAnsi" w:hAnsiTheme="minorHAnsi" w:cstheme="minorHAnsi"/>
          <w:b/>
          <w:bCs/>
          <w:sz w:val="22"/>
          <w:szCs w:val="22"/>
        </w:rPr>
      </w:pPr>
    </w:p>
    <w:p w14:paraId="1DF97A19" w14:textId="77777777" w:rsidR="00CB368C" w:rsidRDefault="00CB368C" w:rsidP="00CB368C">
      <w:pPr>
        <w:jc w:val="center"/>
        <w:rPr>
          <w:rFonts w:asciiTheme="minorHAnsi" w:hAnsiTheme="minorHAnsi" w:cstheme="minorHAnsi"/>
          <w:b/>
          <w:bCs/>
          <w:sz w:val="22"/>
          <w:szCs w:val="22"/>
        </w:rPr>
      </w:pPr>
    </w:p>
    <w:p w14:paraId="3BBD2FC9" w14:textId="515DFE81" w:rsidR="00CB368C" w:rsidRPr="00CB368C" w:rsidRDefault="00CB368C" w:rsidP="00CB368C">
      <w:pPr>
        <w:jc w:val="center"/>
        <w:rPr>
          <w:rFonts w:asciiTheme="minorHAnsi" w:hAnsiTheme="minorHAnsi" w:cstheme="minorHAnsi"/>
          <w:b/>
          <w:bCs/>
          <w:sz w:val="22"/>
          <w:szCs w:val="22"/>
        </w:rPr>
      </w:pPr>
      <w:r w:rsidRPr="00CB368C">
        <w:rPr>
          <w:rFonts w:asciiTheme="minorHAnsi" w:hAnsiTheme="minorHAnsi" w:cstheme="minorHAnsi"/>
          <w:b/>
          <w:bCs/>
          <w:sz w:val="22"/>
          <w:szCs w:val="22"/>
        </w:rPr>
        <w:lastRenderedPageBreak/>
        <w:t>Bibliography</w:t>
      </w:r>
    </w:p>
    <w:p w14:paraId="63DF0530" w14:textId="77777777" w:rsidR="00CB368C" w:rsidRPr="00CB368C" w:rsidRDefault="00CB368C" w:rsidP="00CB368C">
      <w:pPr>
        <w:rPr>
          <w:rFonts w:asciiTheme="minorHAnsi" w:hAnsiTheme="minorHAnsi" w:cstheme="minorHAnsi"/>
          <w:b/>
          <w:bCs/>
          <w:sz w:val="22"/>
          <w:szCs w:val="22"/>
        </w:rPr>
      </w:pPr>
    </w:p>
    <w:p w14:paraId="7DD6F41A"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Primary Sources</w:t>
      </w:r>
    </w:p>
    <w:p w14:paraId="3A5F7857" w14:textId="77777777" w:rsidR="00CB368C" w:rsidRPr="00CB368C" w:rsidRDefault="00CB368C" w:rsidP="00CB368C">
      <w:pPr>
        <w:rPr>
          <w:rFonts w:asciiTheme="minorHAnsi" w:hAnsiTheme="minorHAnsi" w:cstheme="minorHAnsi"/>
          <w:bCs/>
          <w:sz w:val="22"/>
          <w:szCs w:val="22"/>
        </w:rPr>
      </w:pPr>
    </w:p>
    <w:p w14:paraId="7B9874D9"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Aeschylus, </w:t>
      </w:r>
      <w:r w:rsidRPr="00CB368C">
        <w:rPr>
          <w:rFonts w:asciiTheme="minorHAnsi" w:hAnsiTheme="minorHAnsi" w:cstheme="minorHAnsi"/>
          <w:i/>
          <w:iCs/>
          <w:sz w:val="22"/>
          <w:szCs w:val="22"/>
        </w:rPr>
        <w:t>Prometheus Bound,</w:t>
      </w:r>
      <w:r w:rsidRPr="00CB368C">
        <w:rPr>
          <w:rFonts w:asciiTheme="minorHAnsi" w:hAnsiTheme="minorHAnsi" w:cstheme="minorHAnsi"/>
          <w:sz w:val="22"/>
          <w:szCs w:val="22"/>
        </w:rPr>
        <w:t xml:space="preserve"> Translated by Smyth, Herbert Weir, Loeb Classical Library, (Cambridge, MA. Harvard University Press. 1926) Volumes 145 &amp; 146, 455-563 [88-1093].  </w:t>
      </w:r>
    </w:p>
    <w:p w14:paraId="22C7A178" w14:textId="77777777" w:rsidR="00CB368C" w:rsidRPr="00CB368C" w:rsidRDefault="00CB368C" w:rsidP="00CB368C">
      <w:pPr>
        <w:pStyle w:val="NormalWeb"/>
        <w:spacing w:before="0" w:beforeAutospacing="0" w:after="0" w:afterAutospacing="0"/>
        <w:rPr>
          <w:rFonts w:asciiTheme="minorHAnsi" w:hAnsiTheme="minorHAnsi" w:cstheme="minorHAnsi"/>
          <w:sz w:val="22"/>
          <w:szCs w:val="22"/>
        </w:rPr>
      </w:pPr>
    </w:p>
    <w:p w14:paraId="5F8A3D27" w14:textId="77777777" w:rsidR="00CB368C" w:rsidRPr="00CB368C" w:rsidRDefault="00CB368C" w:rsidP="00CB368C">
      <w:pPr>
        <w:pStyle w:val="NormalWeb"/>
        <w:spacing w:before="0" w:beforeAutospacing="0" w:after="0" w:afterAutospacing="0"/>
        <w:rPr>
          <w:rFonts w:asciiTheme="minorHAnsi" w:hAnsiTheme="minorHAnsi" w:cstheme="minorHAnsi"/>
          <w:sz w:val="22"/>
          <w:szCs w:val="22"/>
        </w:rPr>
      </w:pPr>
      <w:r w:rsidRPr="00CB368C">
        <w:rPr>
          <w:rFonts w:asciiTheme="minorHAnsi" w:hAnsiTheme="minorHAnsi" w:cstheme="minorHAnsi"/>
          <w:iCs/>
          <w:sz w:val="22"/>
          <w:szCs w:val="22"/>
        </w:rPr>
        <w:t xml:space="preserve">Hesiod, </w:t>
      </w:r>
      <w:r w:rsidRPr="00CB368C">
        <w:rPr>
          <w:rFonts w:asciiTheme="minorHAnsi" w:hAnsiTheme="minorHAnsi" w:cstheme="minorHAnsi"/>
          <w:i/>
          <w:sz w:val="22"/>
          <w:szCs w:val="22"/>
        </w:rPr>
        <w:t xml:space="preserve">Homeric Hymns, </w:t>
      </w:r>
      <w:r w:rsidRPr="00CB368C">
        <w:rPr>
          <w:rFonts w:asciiTheme="minorHAnsi" w:hAnsiTheme="minorHAnsi" w:cstheme="minorHAnsi"/>
          <w:i/>
          <w:iCs/>
          <w:sz w:val="22"/>
          <w:szCs w:val="22"/>
        </w:rPr>
        <w:t>Theogony,</w:t>
      </w:r>
      <w:r w:rsidRPr="00CB368C">
        <w:rPr>
          <w:rFonts w:asciiTheme="minorHAnsi" w:hAnsiTheme="minorHAnsi" w:cstheme="minorHAnsi"/>
          <w:sz w:val="22"/>
          <w:szCs w:val="22"/>
        </w:rPr>
        <w:t xml:space="preserve"> Hugh G. Evelyn-White, Trans., Loeb Classical Library, (Cambridge, MA: Harvard University Press, 1964) Vol. 57, 43 – 53, [507-616].</w:t>
      </w:r>
    </w:p>
    <w:p w14:paraId="5558E2B9" w14:textId="77777777" w:rsidR="00CB368C" w:rsidRPr="00CB368C" w:rsidRDefault="00CB368C" w:rsidP="00CB368C">
      <w:pPr>
        <w:pStyle w:val="NormalWeb"/>
        <w:spacing w:before="0" w:beforeAutospacing="0" w:after="0" w:afterAutospacing="0"/>
        <w:rPr>
          <w:rFonts w:asciiTheme="minorHAnsi" w:hAnsiTheme="minorHAnsi" w:cstheme="minorHAnsi"/>
          <w:sz w:val="22"/>
          <w:szCs w:val="22"/>
        </w:rPr>
      </w:pPr>
    </w:p>
    <w:p w14:paraId="4DFEC014" w14:textId="77777777" w:rsidR="00CB368C" w:rsidRPr="00CB368C" w:rsidRDefault="00CB368C" w:rsidP="00CB368C">
      <w:pPr>
        <w:pStyle w:val="NormalWeb"/>
        <w:spacing w:before="0" w:beforeAutospacing="0" w:after="0" w:afterAutospacing="0"/>
        <w:rPr>
          <w:rFonts w:asciiTheme="minorHAnsi" w:hAnsiTheme="minorHAnsi" w:cstheme="minorHAnsi"/>
          <w:sz w:val="22"/>
          <w:szCs w:val="22"/>
        </w:rPr>
      </w:pPr>
      <w:r w:rsidRPr="00CB368C">
        <w:rPr>
          <w:rFonts w:asciiTheme="minorHAnsi" w:hAnsiTheme="minorHAnsi" w:cstheme="minorHAnsi"/>
          <w:sz w:val="22"/>
          <w:szCs w:val="22"/>
        </w:rPr>
        <w:t>Hesiod,</w:t>
      </w:r>
      <w:r w:rsidRPr="00CB368C">
        <w:rPr>
          <w:rFonts w:asciiTheme="minorHAnsi" w:hAnsiTheme="minorHAnsi" w:cstheme="minorHAnsi"/>
          <w:i/>
          <w:iCs/>
          <w:sz w:val="22"/>
          <w:szCs w:val="22"/>
        </w:rPr>
        <w:t xml:space="preserve"> Homeric Hymns, Works and Days,</w:t>
      </w:r>
      <w:r w:rsidRPr="00CB368C">
        <w:rPr>
          <w:rFonts w:asciiTheme="minorHAnsi" w:hAnsiTheme="minorHAnsi" w:cstheme="minorHAnsi"/>
          <w:sz w:val="22"/>
          <w:szCs w:val="22"/>
        </w:rPr>
        <w:t xml:space="preserve"> Hugh G. Evelyn-White, Trans., Loeb Classical Library, (Cambridge, MA: Harvard University Press, 1964) Vol. 57, 89 – 95 [42-105]. </w:t>
      </w:r>
    </w:p>
    <w:p w14:paraId="411B962F" w14:textId="77777777" w:rsidR="00CB368C" w:rsidRPr="00CB368C" w:rsidRDefault="00CB368C" w:rsidP="00CB368C">
      <w:pPr>
        <w:pStyle w:val="NormalWeb"/>
        <w:spacing w:before="0" w:beforeAutospacing="0" w:after="0" w:afterAutospacing="0"/>
        <w:rPr>
          <w:rFonts w:asciiTheme="minorHAnsi" w:hAnsiTheme="minorHAnsi" w:cstheme="minorHAnsi"/>
          <w:sz w:val="22"/>
          <w:szCs w:val="22"/>
        </w:rPr>
      </w:pPr>
    </w:p>
    <w:p w14:paraId="5A5D5786"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Reid, Bill and Robert Bringhurst, </w:t>
      </w:r>
      <w:r w:rsidRPr="00CB368C">
        <w:rPr>
          <w:rFonts w:asciiTheme="minorHAnsi" w:hAnsiTheme="minorHAnsi" w:cstheme="minorHAnsi"/>
          <w:i/>
          <w:sz w:val="22"/>
          <w:szCs w:val="22"/>
        </w:rPr>
        <w:t>The Raven Steals the Light</w:t>
      </w:r>
      <w:r w:rsidRPr="00CB368C">
        <w:rPr>
          <w:rFonts w:asciiTheme="minorHAnsi" w:hAnsiTheme="minorHAnsi" w:cstheme="minorHAnsi"/>
          <w:sz w:val="22"/>
          <w:szCs w:val="22"/>
        </w:rPr>
        <w:t>, (Vancouver/Toronto, Canada: Douglas &amp; McIntyre, 1996 [1984]).</w:t>
      </w:r>
    </w:p>
    <w:p w14:paraId="49F39056" w14:textId="77777777" w:rsidR="00CB368C" w:rsidRPr="00CB368C" w:rsidRDefault="00CB368C" w:rsidP="00CB368C">
      <w:pPr>
        <w:rPr>
          <w:rFonts w:asciiTheme="minorHAnsi" w:hAnsiTheme="minorHAnsi" w:cstheme="minorHAnsi"/>
          <w:bCs/>
          <w:sz w:val="22"/>
          <w:szCs w:val="22"/>
        </w:rPr>
      </w:pPr>
    </w:p>
    <w:p w14:paraId="1FF51939"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JSTOR Papers</w:t>
      </w:r>
    </w:p>
    <w:p w14:paraId="18D55B5A" w14:textId="77777777" w:rsidR="00CB368C" w:rsidRPr="00CB368C" w:rsidRDefault="00CB368C" w:rsidP="00CB368C">
      <w:pPr>
        <w:rPr>
          <w:rFonts w:asciiTheme="minorHAnsi" w:hAnsiTheme="minorHAnsi" w:cstheme="minorHAnsi"/>
          <w:bCs/>
          <w:sz w:val="22"/>
          <w:szCs w:val="22"/>
        </w:rPr>
      </w:pPr>
    </w:p>
    <w:p w14:paraId="4C1E55A6" w14:textId="77777777" w:rsidR="00CB368C" w:rsidRPr="00CB368C" w:rsidRDefault="00CB368C" w:rsidP="00CB368C">
      <w:pPr>
        <w:rPr>
          <w:rFonts w:asciiTheme="minorHAnsi" w:hAnsiTheme="minorHAnsi" w:cstheme="minorHAnsi"/>
          <w:bCs/>
          <w:sz w:val="22"/>
          <w:szCs w:val="22"/>
        </w:rPr>
      </w:pPr>
      <w:r w:rsidRPr="00CB368C">
        <w:rPr>
          <w:rFonts w:asciiTheme="minorHAnsi" w:hAnsiTheme="minorHAnsi" w:cstheme="minorHAnsi"/>
          <w:bCs/>
          <w:sz w:val="22"/>
          <w:szCs w:val="22"/>
        </w:rPr>
        <w:t xml:space="preserve">Babcock-Abrahams, Barbara, ‘”A Tolerated Margin of Mess”: The Trickster and his Tales Reconsidered’, </w:t>
      </w:r>
      <w:r w:rsidRPr="00CB368C">
        <w:rPr>
          <w:rFonts w:asciiTheme="minorHAnsi" w:hAnsiTheme="minorHAnsi" w:cstheme="minorHAnsi"/>
          <w:bCs/>
          <w:i/>
          <w:iCs/>
          <w:sz w:val="22"/>
          <w:szCs w:val="22"/>
        </w:rPr>
        <w:t>Journal of the Folklore Institute</w:t>
      </w:r>
      <w:r w:rsidRPr="00CB368C">
        <w:rPr>
          <w:rFonts w:asciiTheme="minorHAnsi" w:hAnsiTheme="minorHAnsi" w:cstheme="minorHAnsi"/>
          <w:bCs/>
          <w:sz w:val="22"/>
          <w:szCs w:val="22"/>
        </w:rPr>
        <w:t>, 11:3 (1975), 147-186.</w:t>
      </w:r>
    </w:p>
    <w:p w14:paraId="42C8A5DC" w14:textId="77777777" w:rsidR="00CB368C" w:rsidRPr="00CB368C" w:rsidRDefault="00CB368C" w:rsidP="00CB368C">
      <w:pPr>
        <w:rPr>
          <w:rFonts w:asciiTheme="minorHAnsi" w:hAnsiTheme="minorHAnsi" w:cstheme="minorHAnsi"/>
          <w:bCs/>
          <w:sz w:val="22"/>
          <w:szCs w:val="22"/>
        </w:rPr>
      </w:pPr>
    </w:p>
    <w:p w14:paraId="268FB99F" w14:textId="77777777" w:rsidR="00CB368C" w:rsidRPr="00CB368C" w:rsidRDefault="00CB368C" w:rsidP="00CB368C">
      <w:pPr>
        <w:rPr>
          <w:rFonts w:asciiTheme="minorHAnsi" w:hAnsiTheme="minorHAnsi" w:cstheme="minorHAnsi"/>
          <w:bCs/>
          <w:sz w:val="22"/>
          <w:szCs w:val="22"/>
        </w:rPr>
      </w:pPr>
      <w:r w:rsidRPr="00CB368C">
        <w:rPr>
          <w:rFonts w:asciiTheme="minorHAnsi" w:hAnsiTheme="minorHAnsi" w:cstheme="minorHAnsi"/>
          <w:bCs/>
          <w:sz w:val="22"/>
          <w:szCs w:val="22"/>
        </w:rPr>
        <w:t xml:space="preserve">Beall, E.F., ‘Hesiod’s Prometheus and Development in Myth’, </w:t>
      </w:r>
      <w:r w:rsidRPr="00CB368C">
        <w:rPr>
          <w:rFonts w:asciiTheme="minorHAnsi" w:hAnsiTheme="minorHAnsi" w:cstheme="minorHAnsi"/>
          <w:bCs/>
          <w:i/>
          <w:iCs/>
          <w:sz w:val="22"/>
          <w:szCs w:val="22"/>
        </w:rPr>
        <w:t>Journal of the History of Ideas</w:t>
      </w:r>
      <w:r w:rsidRPr="00CB368C">
        <w:rPr>
          <w:rFonts w:asciiTheme="minorHAnsi" w:hAnsiTheme="minorHAnsi" w:cstheme="minorHAnsi"/>
          <w:bCs/>
          <w:sz w:val="22"/>
          <w:szCs w:val="22"/>
        </w:rPr>
        <w:t>, 52:3, (1991), 355-371.</w:t>
      </w:r>
    </w:p>
    <w:p w14:paraId="72D0D449" w14:textId="77777777" w:rsidR="00CB368C" w:rsidRPr="00CB368C" w:rsidRDefault="00CB368C" w:rsidP="00CB368C">
      <w:pPr>
        <w:rPr>
          <w:rFonts w:asciiTheme="minorHAnsi" w:hAnsiTheme="minorHAnsi" w:cstheme="minorHAnsi"/>
          <w:bCs/>
          <w:sz w:val="22"/>
          <w:szCs w:val="22"/>
        </w:rPr>
      </w:pPr>
    </w:p>
    <w:p w14:paraId="506CF851" w14:textId="77777777" w:rsidR="00CB368C" w:rsidRPr="00CB368C" w:rsidRDefault="00CB368C" w:rsidP="00CB368C">
      <w:pPr>
        <w:rPr>
          <w:rFonts w:asciiTheme="minorHAnsi" w:hAnsiTheme="minorHAnsi" w:cstheme="minorHAnsi"/>
          <w:bCs/>
          <w:sz w:val="22"/>
          <w:szCs w:val="22"/>
        </w:rPr>
      </w:pPr>
      <w:r w:rsidRPr="00CB368C">
        <w:rPr>
          <w:rFonts w:asciiTheme="minorHAnsi" w:hAnsiTheme="minorHAnsi" w:cstheme="minorHAnsi"/>
          <w:bCs/>
          <w:sz w:val="22"/>
          <w:szCs w:val="22"/>
        </w:rPr>
        <w:t xml:space="preserve">Kirk, G.S., ‘Greek Mythology: Some New Perspectives,’ </w:t>
      </w:r>
      <w:r w:rsidRPr="00CB368C">
        <w:rPr>
          <w:rFonts w:asciiTheme="minorHAnsi" w:hAnsiTheme="minorHAnsi" w:cstheme="minorHAnsi"/>
          <w:bCs/>
          <w:i/>
          <w:iCs/>
          <w:sz w:val="22"/>
          <w:szCs w:val="22"/>
        </w:rPr>
        <w:t>The Journal of Hellenic Studies</w:t>
      </w:r>
      <w:r w:rsidRPr="00CB368C">
        <w:rPr>
          <w:rFonts w:asciiTheme="minorHAnsi" w:hAnsiTheme="minorHAnsi" w:cstheme="minorHAnsi"/>
          <w:bCs/>
          <w:sz w:val="22"/>
          <w:szCs w:val="22"/>
        </w:rPr>
        <w:t>, 92 (1972), 74-85.</w:t>
      </w:r>
    </w:p>
    <w:p w14:paraId="7F7F28BE" w14:textId="77777777" w:rsidR="00CB368C" w:rsidRPr="00CB368C" w:rsidRDefault="00CB368C" w:rsidP="00CB368C">
      <w:pPr>
        <w:rPr>
          <w:rFonts w:asciiTheme="minorHAnsi" w:hAnsiTheme="minorHAnsi" w:cstheme="minorHAnsi"/>
          <w:bCs/>
          <w:sz w:val="22"/>
          <w:szCs w:val="22"/>
        </w:rPr>
      </w:pPr>
    </w:p>
    <w:p w14:paraId="4C4B01C0" w14:textId="77777777" w:rsidR="00CB368C" w:rsidRPr="00CB368C" w:rsidRDefault="00CB368C" w:rsidP="00CB368C">
      <w:pPr>
        <w:rPr>
          <w:rFonts w:asciiTheme="minorHAnsi" w:hAnsiTheme="minorHAnsi" w:cstheme="minorHAnsi"/>
          <w:bCs/>
          <w:sz w:val="22"/>
          <w:szCs w:val="22"/>
        </w:rPr>
      </w:pPr>
      <w:r w:rsidRPr="00CB368C">
        <w:rPr>
          <w:rFonts w:asciiTheme="minorHAnsi" w:hAnsiTheme="minorHAnsi" w:cstheme="minorHAnsi"/>
          <w:bCs/>
          <w:sz w:val="22"/>
          <w:szCs w:val="22"/>
        </w:rPr>
        <w:t xml:space="preserve">Ricketts, Mac Linscott, ‘The North American Indian Trickster,’ </w:t>
      </w:r>
      <w:r w:rsidRPr="00CB368C">
        <w:rPr>
          <w:rFonts w:asciiTheme="minorHAnsi" w:hAnsiTheme="minorHAnsi" w:cstheme="minorHAnsi"/>
          <w:bCs/>
          <w:i/>
          <w:iCs/>
          <w:sz w:val="22"/>
          <w:szCs w:val="22"/>
        </w:rPr>
        <w:t>History of Religions</w:t>
      </w:r>
      <w:r w:rsidRPr="00CB368C">
        <w:rPr>
          <w:rFonts w:asciiTheme="minorHAnsi" w:hAnsiTheme="minorHAnsi" w:cstheme="minorHAnsi"/>
          <w:bCs/>
          <w:sz w:val="22"/>
          <w:szCs w:val="22"/>
        </w:rPr>
        <w:t>, 5:2, (1966), 327-350.</w:t>
      </w:r>
    </w:p>
    <w:p w14:paraId="748EFEFC" w14:textId="77777777" w:rsidR="00CB368C" w:rsidRPr="00CB368C" w:rsidRDefault="00CB368C" w:rsidP="00CB368C">
      <w:pPr>
        <w:rPr>
          <w:rFonts w:asciiTheme="minorHAnsi" w:hAnsiTheme="minorHAnsi" w:cstheme="minorHAnsi"/>
          <w:bCs/>
          <w:sz w:val="22"/>
          <w:szCs w:val="22"/>
        </w:rPr>
      </w:pPr>
    </w:p>
    <w:p w14:paraId="2CD8FA64" w14:textId="77777777" w:rsidR="00CB368C" w:rsidRPr="00CB368C" w:rsidRDefault="00CB368C" w:rsidP="00CB368C">
      <w:pPr>
        <w:rPr>
          <w:rFonts w:asciiTheme="minorHAnsi" w:hAnsiTheme="minorHAnsi" w:cstheme="minorHAnsi"/>
          <w:b/>
          <w:bCs/>
          <w:sz w:val="22"/>
          <w:szCs w:val="22"/>
          <w:u w:val="single"/>
        </w:rPr>
      </w:pPr>
      <w:r w:rsidRPr="00CB368C">
        <w:rPr>
          <w:rFonts w:asciiTheme="minorHAnsi" w:hAnsiTheme="minorHAnsi" w:cstheme="minorHAnsi"/>
          <w:b/>
          <w:bCs/>
          <w:sz w:val="22"/>
          <w:szCs w:val="22"/>
          <w:u w:val="single"/>
        </w:rPr>
        <w:t>Secondary Sources</w:t>
      </w:r>
    </w:p>
    <w:p w14:paraId="1B0A9716" w14:textId="77777777" w:rsidR="00CB368C" w:rsidRPr="00CB368C" w:rsidRDefault="00CB368C" w:rsidP="00CB368C">
      <w:pPr>
        <w:rPr>
          <w:rFonts w:asciiTheme="minorHAnsi" w:hAnsiTheme="minorHAnsi" w:cstheme="minorHAnsi"/>
          <w:bCs/>
          <w:sz w:val="22"/>
          <w:szCs w:val="22"/>
        </w:rPr>
      </w:pPr>
    </w:p>
    <w:p w14:paraId="0052E8C9" w14:textId="77777777" w:rsidR="00CB368C" w:rsidRPr="00CB368C" w:rsidRDefault="00CB368C" w:rsidP="00CB368C">
      <w:pPr>
        <w:pStyle w:val="FootnoteText"/>
        <w:rPr>
          <w:rFonts w:asciiTheme="minorHAnsi" w:hAnsiTheme="minorHAnsi" w:cstheme="minorHAnsi"/>
          <w:sz w:val="22"/>
          <w:szCs w:val="22"/>
          <w:lang w:val="en-GB"/>
        </w:rPr>
      </w:pPr>
      <w:r w:rsidRPr="00CB368C">
        <w:rPr>
          <w:rFonts w:asciiTheme="minorHAnsi" w:hAnsiTheme="minorHAnsi" w:cstheme="minorHAnsi"/>
          <w:sz w:val="22"/>
          <w:szCs w:val="22"/>
          <w:lang w:val="en-GB"/>
        </w:rPr>
        <w:t xml:space="preserve">Arroyo, Stephen, </w:t>
      </w:r>
      <w:r w:rsidRPr="00CB368C">
        <w:rPr>
          <w:rFonts w:asciiTheme="minorHAnsi" w:hAnsiTheme="minorHAnsi" w:cstheme="minorHAnsi"/>
          <w:i/>
          <w:iCs/>
          <w:sz w:val="22"/>
          <w:szCs w:val="22"/>
          <w:lang w:val="en-GB"/>
        </w:rPr>
        <w:t>Astrology, Psychology and The Four Elements,</w:t>
      </w:r>
      <w:r w:rsidRPr="00CB368C">
        <w:rPr>
          <w:rFonts w:asciiTheme="minorHAnsi" w:hAnsiTheme="minorHAnsi" w:cstheme="minorHAnsi"/>
          <w:sz w:val="22"/>
          <w:szCs w:val="22"/>
          <w:lang w:val="en-GB"/>
        </w:rPr>
        <w:t xml:space="preserve"> (Sebastopol, California: CRCS Publications, 1975).</w:t>
      </w:r>
    </w:p>
    <w:p w14:paraId="07B90691" w14:textId="77777777" w:rsidR="00CB368C" w:rsidRPr="00CB368C" w:rsidRDefault="00CB368C" w:rsidP="00CB368C">
      <w:pPr>
        <w:rPr>
          <w:rFonts w:asciiTheme="minorHAnsi" w:hAnsiTheme="minorHAnsi" w:cstheme="minorHAnsi"/>
          <w:sz w:val="22"/>
          <w:szCs w:val="22"/>
        </w:rPr>
      </w:pPr>
    </w:p>
    <w:p w14:paraId="603DAE36"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Barber, Elizabeth Wayland and Paul T. Barber, Chapter 17, ‘Prometheus’ in </w:t>
      </w:r>
      <w:r w:rsidRPr="00CB368C">
        <w:rPr>
          <w:rFonts w:asciiTheme="minorHAnsi" w:hAnsiTheme="minorHAnsi" w:cstheme="minorHAnsi"/>
          <w:i/>
          <w:iCs/>
          <w:sz w:val="22"/>
          <w:szCs w:val="22"/>
        </w:rPr>
        <w:t>When They Severed Earth from Sky: How the human mind shapes myth,</w:t>
      </w:r>
      <w:r w:rsidRPr="00CB368C">
        <w:rPr>
          <w:rFonts w:asciiTheme="minorHAnsi" w:hAnsiTheme="minorHAnsi" w:cstheme="minorHAnsi"/>
          <w:sz w:val="22"/>
          <w:szCs w:val="22"/>
        </w:rPr>
        <w:t xml:space="preserve"> (Princeton: Princeton University Press, 2004), pp. 218-230.</w:t>
      </w:r>
    </w:p>
    <w:p w14:paraId="3951250D" w14:textId="77777777" w:rsidR="00CB368C" w:rsidRPr="00CB368C" w:rsidRDefault="00CB368C" w:rsidP="00CB368C">
      <w:pPr>
        <w:rPr>
          <w:rFonts w:asciiTheme="minorHAnsi" w:hAnsiTheme="minorHAnsi" w:cstheme="minorHAnsi"/>
          <w:sz w:val="22"/>
          <w:szCs w:val="22"/>
        </w:rPr>
      </w:pPr>
    </w:p>
    <w:p w14:paraId="79072D4D"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Bringhurst, Robert, </w:t>
      </w:r>
      <w:r w:rsidRPr="00CB368C">
        <w:rPr>
          <w:rFonts w:asciiTheme="minorHAnsi" w:hAnsiTheme="minorHAnsi" w:cstheme="minorHAnsi"/>
          <w:i/>
          <w:sz w:val="22"/>
          <w:szCs w:val="22"/>
        </w:rPr>
        <w:t>A Story as Sharp as a Knife:  The Classical Haida Mythtellers and Their World,</w:t>
      </w:r>
      <w:r w:rsidRPr="00CB368C">
        <w:rPr>
          <w:rFonts w:asciiTheme="minorHAnsi" w:hAnsiTheme="minorHAnsi" w:cstheme="minorHAnsi"/>
          <w:sz w:val="22"/>
          <w:szCs w:val="22"/>
        </w:rPr>
        <w:t xml:space="preserve"> Masterworks of the Classical Haida Mythtellers, (Vancouver, BC: Douglas &amp; McIntyre, 2011 [1999]).</w:t>
      </w:r>
    </w:p>
    <w:p w14:paraId="2361CB0D" w14:textId="77777777" w:rsidR="00CB368C" w:rsidRPr="00CB368C" w:rsidRDefault="00CB368C" w:rsidP="00CB368C">
      <w:pPr>
        <w:rPr>
          <w:rFonts w:asciiTheme="minorHAnsi" w:hAnsiTheme="minorHAnsi" w:cstheme="minorHAnsi"/>
          <w:sz w:val="22"/>
          <w:szCs w:val="22"/>
        </w:rPr>
      </w:pPr>
    </w:p>
    <w:p w14:paraId="79B770BC"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Campbell, Joseph, </w:t>
      </w:r>
      <w:r w:rsidRPr="00CB368C">
        <w:rPr>
          <w:rFonts w:asciiTheme="minorHAnsi" w:hAnsiTheme="minorHAnsi" w:cstheme="minorHAnsi"/>
          <w:i/>
          <w:iCs/>
          <w:sz w:val="22"/>
          <w:szCs w:val="22"/>
        </w:rPr>
        <w:t>Thou Art That: Transforming Religious Metaphor</w:t>
      </w:r>
      <w:r w:rsidRPr="00CB368C">
        <w:rPr>
          <w:rFonts w:asciiTheme="minorHAnsi" w:hAnsiTheme="minorHAnsi" w:cstheme="minorHAnsi"/>
          <w:sz w:val="22"/>
          <w:szCs w:val="22"/>
        </w:rPr>
        <w:t>, (Novato, California: New World Library, 2001).</w:t>
      </w:r>
    </w:p>
    <w:p w14:paraId="0D6CD349" w14:textId="77777777" w:rsidR="00CB368C" w:rsidRPr="00CB368C" w:rsidRDefault="00CB368C" w:rsidP="00CB368C">
      <w:pPr>
        <w:rPr>
          <w:rFonts w:asciiTheme="minorHAnsi" w:hAnsiTheme="minorHAnsi" w:cstheme="minorHAnsi"/>
          <w:sz w:val="22"/>
          <w:szCs w:val="22"/>
        </w:rPr>
      </w:pPr>
    </w:p>
    <w:p w14:paraId="22F25C15"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Campbell, Joseph, </w:t>
      </w:r>
      <w:r w:rsidRPr="00CB368C">
        <w:rPr>
          <w:rFonts w:asciiTheme="minorHAnsi" w:hAnsiTheme="minorHAnsi" w:cstheme="minorHAnsi"/>
          <w:i/>
          <w:iCs/>
          <w:sz w:val="22"/>
          <w:szCs w:val="22"/>
        </w:rPr>
        <w:t>The Inner Reaches of Outer Space: Metaphor as Myth and as Religion</w:t>
      </w:r>
      <w:r w:rsidRPr="00CB368C">
        <w:rPr>
          <w:rFonts w:asciiTheme="minorHAnsi" w:hAnsiTheme="minorHAnsi" w:cstheme="minorHAnsi"/>
          <w:sz w:val="22"/>
          <w:szCs w:val="22"/>
        </w:rPr>
        <w:t>, (Novato, California: New World Library, 2002 [1986]).</w:t>
      </w:r>
    </w:p>
    <w:p w14:paraId="46C34CD2" w14:textId="77777777" w:rsidR="00CB368C" w:rsidRPr="00CB368C" w:rsidRDefault="00CB368C" w:rsidP="00CB368C">
      <w:pPr>
        <w:rPr>
          <w:rFonts w:asciiTheme="minorHAnsi" w:hAnsiTheme="minorHAnsi" w:cstheme="minorHAnsi"/>
          <w:sz w:val="22"/>
          <w:szCs w:val="22"/>
        </w:rPr>
      </w:pPr>
    </w:p>
    <w:p w14:paraId="4D670129"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lastRenderedPageBreak/>
        <w:t xml:space="preserve">Curry, Patrick, ‘Divination, Enchantment and Platonism,’ in Lall, Jean H. and Angela Voss (eds.), </w:t>
      </w:r>
      <w:r w:rsidRPr="00CB368C">
        <w:rPr>
          <w:rFonts w:asciiTheme="minorHAnsi" w:hAnsiTheme="minorHAnsi" w:cstheme="minorHAnsi"/>
          <w:i/>
          <w:iCs/>
          <w:sz w:val="22"/>
          <w:szCs w:val="22"/>
        </w:rPr>
        <w:t>The Imaginal Cosmos</w:t>
      </w:r>
      <w:r w:rsidRPr="00CB368C">
        <w:rPr>
          <w:rFonts w:asciiTheme="minorHAnsi" w:hAnsiTheme="minorHAnsi" w:cstheme="minorHAnsi"/>
          <w:sz w:val="22"/>
          <w:szCs w:val="22"/>
        </w:rPr>
        <w:t xml:space="preserve"> (Canterbury: University of Kent, 2006), pp. 1-14.</w:t>
      </w:r>
    </w:p>
    <w:p w14:paraId="03A458D1" w14:textId="77777777" w:rsidR="00CB368C" w:rsidRPr="00CB368C" w:rsidRDefault="00CB368C" w:rsidP="00CB368C">
      <w:pPr>
        <w:rPr>
          <w:rFonts w:asciiTheme="minorHAnsi" w:hAnsiTheme="minorHAnsi" w:cstheme="minorHAnsi"/>
          <w:sz w:val="22"/>
          <w:szCs w:val="22"/>
        </w:rPr>
      </w:pPr>
    </w:p>
    <w:p w14:paraId="52EFF203"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Eliade, Mircea, </w:t>
      </w:r>
      <w:r w:rsidRPr="00CB368C">
        <w:rPr>
          <w:rFonts w:asciiTheme="minorHAnsi" w:hAnsiTheme="minorHAnsi" w:cstheme="minorHAnsi"/>
          <w:i/>
          <w:iCs/>
          <w:sz w:val="22"/>
          <w:szCs w:val="22"/>
        </w:rPr>
        <w:t>The Myth of the Eternal Return</w:t>
      </w:r>
      <w:r w:rsidRPr="00CB368C">
        <w:rPr>
          <w:rFonts w:asciiTheme="minorHAnsi" w:hAnsiTheme="minorHAnsi" w:cstheme="minorHAnsi"/>
          <w:sz w:val="22"/>
          <w:szCs w:val="22"/>
        </w:rPr>
        <w:t>, (Princeton, NJ: Princeton University Press, 2005 [1954]).</w:t>
      </w:r>
    </w:p>
    <w:p w14:paraId="5A243DBF" w14:textId="77777777" w:rsidR="00CB368C" w:rsidRPr="00CB368C" w:rsidRDefault="00CB368C" w:rsidP="00CB368C">
      <w:pPr>
        <w:rPr>
          <w:rFonts w:asciiTheme="minorHAnsi" w:hAnsiTheme="minorHAnsi" w:cstheme="minorHAnsi"/>
          <w:sz w:val="22"/>
          <w:szCs w:val="22"/>
        </w:rPr>
      </w:pPr>
    </w:p>
    <w:p w14:paraId="3B61AE5D"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Eliade, Mircea, </w:t>
      </w:r>
      <w:r w:rsidRPr="00CB368C">
        <w:rPr>
          <w:rFonts w:asciiTheme="minorHAnsi" w:hAnsiTheme="minorHAnsi" w:cstheme="minorHAnsi"/>
          <w:i/>
          <w:iCs/>
          <w:sz w:val="22"/>
          <w:szCs w:val="22"/>
        </w:rPr>
        <w:t>Myth and Reality</w:t>
      </w:r>
      <w:r w:rsidRPr="00CB368C">
        <w:rPr>
          <w:rFonts w:asciiTheme="minorHAnsi" w:hAnsiTheme="minorHAnsi" w:cstheme="minorHAnsi"/>
          <w:sz w:val="22"/>
          <w:szCs w:val="22"/>
        </w:rPr>
        <w:t>, (Long Grove, Illinois: Waveland Press, 1998 [1963]).</w:t>
      </w:r>
    </w:p>
    <w:p w14:paraId="2D6B07CB" w14:textId="77777777" w:rsidR="00CB368C" w:rsidRPr="00CB368C" w:rsidRDefault="00CB368C" w:rsidP="00CB368C">
      <w:pPr>
        <w:rPr>
          <w:rFonts w:asciiTheme="minorHAnsi" w:hAnsiTheme="minorHAnsi" w:cstheme="minorHAnsi"/>
          <w:sz w:val="22"/>
          <w:szCs w:val="22"/>
        </w:rPr>
      </w:pPr>
    </w:p>
    <w:p w14:paraId="7E16C0B2"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Hartz, Paula R., ‘Native American Ceremonies and Rituals,’ Chapter 4 in </w:t>
      </w:r>
      <w:r w:rsidRPr="00CB368C">
        <w:rPr>
          <w:rFonts w:asciiTheme="minorHAnsi" w:hAnsiTheme="minorHAnsi" w:cstheme="minorHAnsi"/>
          <w:i/>
          <w:iCs/>
          <w:sz w:val="22"/>
          <w:szCs w:val="22"/>
        </w:rPr>
        <w:t>Native American Religions</w:t>
      </w:r>
      <w:r w:rsidRPr="00CB368C">
        <w:rPr>
          <w:rFonts w:asciiTheme="minorHAnsi" w:hAnsiTheme="minorHAnsi" w:cstheme="minorHAnsi"/>
          <w:sz w:val="22"/>
          <w:szCs w:val="22"/>
        </w:rPr>
        <w:t>, (Joanne O’Brien and Martin Palmer, series eds.), 3</w:t>
      </w:r>
      <w:r w:rsidRPr="00CB368C">
        <w:rPr>
          <w:rFonts w:asciiTheme="minorHAnsi" w:hAnsiTheme="minorHAnsi" w:cstheme="minorHAnsi"/>
          <w:sz w:val="22"/>
          <w:szCs w:val="22"/>
          <w:vertAlign w:val="superscript"/>
        </w:rPr>
        <w:t>rd</w:t>
      </w:r>
      <w:r w:rsidRPr="00CB368C">
        <w:rPr>
          <w:rFonts w:asciiTheme="minorHAnsi" w:hAnsiTheme="minorHAnsi" w:cstheme="minorHAnsi"/>
          <w:sz w:val="22"/>
          <w:szCs w:val="22"/>
        </w:rPr>
        <w:t xml:space="preserve"> ed. (NY: Chelsea House Publications, 2009 [1997]), pp. 56-74.</w:t>
      </w:r>
    </w:p>
    <w:p w14:paraId="49EB7795" w14:textId="77777777" w:rsidR="00CB368C" w:rsidRPr="00CB368C" w:rsidRDefault="00CB368C" w:rsidP="00CB368C">
      <w:pPr>
        <w:rPr>
          <w:rFonts w:asciiTheme="minorHAnsi" w:hAnsiTheme="minorHAnsi" w:cstheme="minorHAnsi"/>
          <w:sz w:val="22"/>
          <w:szCs w:val="22"/>
        </w:rPr>
      </w:pPr>
    </w:p>
    <w:p w14:paraId="69575FF9"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Leonard, Scott and Michael McClure, </w:t>
      </w:r>
      <w:r w:rsidRPr="00CB368C">
        <w:rPr>
          <w:rFonts w:asciiTheme="minorHAnsi" w:hAnsiTheme="minorHAnsi" w:cstheme="minorHAnsi"/>
          <w:i/>
          <w:sz w:val="22"/>
          <w:szCs w:val="22"/>
        </w:rPr>
        <w:t>Myth and Knowing: An Introduction to World Mythology</w:t>
      </w:r>
      <w:r w:rsidRPr="00CB368C">
        <w:rPr>
          <w:rFonts w:asciiTheme="minorHAnsi" w:hAnsiTheme="minorHAnsi" w:cstheme="minorHAnsi"/>
          <w:sz w:val="22"/>
          <w:szCs w:val="22"/>
        </w:rPr>
        <w:t>, (Boston, MA: McGraw-Hill, 2004).</w:t>
      </w:r>
    </w:p>
    <w:p w14:paraId="5809D349" w14:textId="77777777" w:rsidR="00CB368C" w:rsidRPr="00CB368C" w:rsidRDefault="00CB368C" w:rsidP="00CB368C">
      <w:pPr>
        <w:rPr>
          <w:rFonts w:asciiTheme="minorHAnsi" w:hAnsiTheme="minorHAnsi" w:cstheme="minorHAnsi"/>
          <w:sz w:val="22"/>
          <w:szCs w:val="22"/>
        </w:rPr>
      </w:pPr>
    </w:p>
    <w:p w14:paraId="0BFB6CB7"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March, Jennifer R., </w:t>
      </w:r>
      <w:r w:rsidRPr="00CB368C">
        <w:rPr>
          <w:rFonts w:asciiTheme="minorHAnsi" w:hAnsiTheme="minorHAnsi" w:cstheme="minorHAnsi"/>
          <w:i/>
          <w:iCs/>
          <w:sz w:val="22"/>
          <w:szCs w:val="22"/>
        </w:rPr>
        <w:t>Dictionary of Classical Mythology</w:t>
      </w:r>
      <w:r w:rsidRPr="00CB368C">
        <w:rPr>
          <w:rFonts w:asciiTheme="minorHAnsi" w:hAnsiTheme="minorHAnsi" w:cstheme="minorHAnsi"/>
          <w:sz w:val="22"/>
          <w:szCs w:val="22"/>
        </w:rPr>
        <w:t>, (Oxbow Books, 2014 [1998]).</w:t>
      </w:r>
    </w:p>
    <w:p w14:paraId="4786701D" w14:textId="77777777" w:rsidR="00CB368C" w:rsidRPr="00CB368C" w:rsidRDefault="00CB368C" w:rsidP="00CB368C">
      <w:pPr>
        <w:rPr>
          <w:rFonts w:asciiTheme="minorHAnsi" w:hAnsiTheme="minorHAnsi" w:cstheme="minorHAnsi"/>
          <w:sz w:val="22"/>
          <w:szCs w:val="22"/>
        </w:rPr>
      </w:pPr>
    </w:p>
    <w:p w14:paraId="0B87D4E4"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‘Seoul Mates’, Season 3, Episode 10 of </w:t>
      </w:r>
      <w:r w:rsidRPr="00CB368C">
        <w:rPr>
          <w:rFonts w:asciiTheme="minorHAnsi" w:hAnsiTheme="minorHAnsi" w:cstheme="minorHAnsi"/>
          <w:i/>
          <w:sz w:val="22"/>
          <w:szCs w:val="22"/>
        </w:rPr>
        <w:t>Northern Exposure,</w:t>
      </w:r>
      <w:r w:rsidRPr="00CB368C">
        <w:rPr>
          <w:rFonts w:asciiTheme="minorHAnsi" w:hAnsiTheme="minorHAnsi" w:cstheme="minorHAnsi"/>
          <w:sz w:val="22"/>
          <w:szCs w:val="22"/>
        </w:rPr>
        <w:t xml:space="preserve"> CBS, 16 December 1991.</w:t>
      </w:r>
    </w:p>
    <w:p w14:paraId="74FEE5D3" w14:textId="77777777" w:rsidR="00CB368C" w:rsidRPr="00CB368C" w:rsidRDefault="00CB368C" w:rsidP="00CB368C">
      <w:pPr>
        <w:rPr>
          <w:rFonts w:asciiTheme="minorHAnsi" w:hAnsiTheme="minorHAnsi" w:cstheme="minorHAnsi"/>
          <w:sz w:val="22"/>
          <w:szCs w:val="22"/>
        </w:rPr>
      </w:pPr>
    </w:p>
    <w:p w14:paraId="71C3B5ED"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Sulek, Marty James John, ‘Gifts of Fire: An Historical Analysis of the Promethean Myth for the Light it Casts on the Philosophical Philanthropy on Protagoras, Socrates and Plato; and </w:t>
      </w:r>
      <w:r w:rsidRPr="00CB368C">
        <w:rPr>
          <w:rFonts w:asciiTheme="minorHAnsi" w:hAnsiTheme="minorHAnsi" w:cstheme="minorHAnsi"/>
          <w:i/>
          <w:iCs/>
          <w:sz w:val="22"/>
          <w:szCs w:val="22"/>
        </w:rPr>
        <w:t>Prolegomena</w:t>
      </w:r>
      <w:r w:rsidRPr="00CB368C">
        <w:rPr>
          <w:rFonts w:asciiTheme="minorHAnsi" w:hAnsiTheme="minorHAnsi" w:cstheme="minorHAnsi"/>
          <w:sz w:val="22"/>
          <w:szCs w:val="22"/>
        </w:rPr>
        <w:t xml:space="preserve"> to Consideration of the Same in Bacon and Nietzsche,’ (PhD dissertation, Indiana University, 2011).</w:t>
      </w:r>
    </w:p>
    <w:p w14:paraId="7C27430C" w14:textId="77777777" w:rsidR="00CB368C" w:rsidRPr="00CB368C" w:rsidRDefault="00CB368C" w:rsidP="00CB368C">
      <w:pPr>
        <w:rPr>
          <w:rFonts w:asciiTheme="minorHAnsi" w:hAnsiTheme="minorHAnsi" w:cstheme="minorHAnsi"/>
          <w:sz w:val="22"/>
          <w:szCs w:val="22"/>
        </w:rPr>
      </w:pPr>
    </w:p>
    <w:p w14:paraId="0944309A" w14:textId="77777777" w:rsidR="00CB368C" w:rsidRPr="00CB368C" w:rsidRDefault="00CB368C" w:rsidP="00CB368C">
      <w:pPr>
        <w:rPr>
          <w:rFonts w:asciiTheme="minorHAnsi" w:hAnsiTheme="minorHAnsi" w:cstheme="minorHAnsi"/>
          <w:sz w:val="22"/>
          <w:szCs w:val="22"/>
        </w:rPr>
      </w:pPr>
      <w:r w:rsidRPr="00CB368C">
        <w:rPr>
          <w:rFonts w:asciiTheme="minorHAnsi" w:hAnsiTheme="minorHAnsi" w:cstheme="minorHAnsi"/>
          <w:sz w:val="22"/>
          <w:szCs w:val="22"/>
        </w:rPr>
        <w:t xml:space="preserve">Tarnas, Richard, </w:t>
      </w:r>
      <w:r w:rsidRPr="00CB368C">
        <w:rPr>
          <w:rFonts w:asciiTheme="minorHAnsi" w:hAnsiTheme="minorHAnsi" w:cstheme="minorHAnsi"/>
          <w:i/>
          <w:iCs/>
          <w:sz w:val="22"/>
          <w:szCs w:val="22"/>
        </w:rPr>
        <w:t>Prometheus the Awakener</w:t>
      </w:r>
      <w:r w:rsidRPr="00CB368C">
        <w:rPr>
          <w:rFonts w:asciiTheme="minorHAnsi" w:hAnsiTheme="minorHAnsi" w:cstheme="minorHAnsi"/>
          <w:sz w:val="22"/>
          <w:szCs w:val="22"/>
        </w:rPr>
        <w:t>, (Putnum, CT: Spring Publications, 1995).</w:t>
      </w:r>
    </w:p>
    <w:p w14:paraId="1809468F" w14:textId="77777777" w:rsidR="00CB368C" w:rsidRPr="00CB368C" w:rsidRDefault="00CB368C" w:rsidP="00CB368C">
      <w:pPr>
        <w:rPr>
          <w:rFonts w:asciiTheme="minorHAnsi" w:hAnsiTheme="minorHAnsi" w:cstheme="minorHAnsi"/>
          <w:sz w:val="22"/>
          <w:szCs w:val="22"/>
        </w:rPr>
      </w:pPr>
    </w:p>
    <w:p w14:paraId="36E4A1C9" w14:textId="77777777" w:rsidR="00CB368C" w:rsidRPr="00CB368C" w:rsidRDefault="00CB368C" w:rsidP="00CB368C">
      <w:pPr>
        <w:pStyle w:val="FootnoteText"/>
        <w:rPr>
          <w:rFonts w:asciiTheme="minorHAnsi" w:hAnsiTheme="minorHAnsi" w:cstheme="minorHAnsi"/>
          <w:sz w:val="22"/>
          <w:szCs w:val="22"/>
        </w:rPr>
      </w:pPr>
      <w:r w:rsidRPr="00CB368C">
        <w:rPr>
          <w:rFonts w:asciiTheme="minorHAnsi" w:hAnsiTheme="minorHAnsi" w:cstheme="minorHAnsi"/>
          <w:sz w:val="22"/>
          <w:szCs w:val="22"/>
        </w:rPr>
        <w:t xml:space="preserve">Teit, James A., ‘Tahltan Tales,’ </w:t>
      </w:r>
      <w:r w:rsidRPr="00CB368C">
        <w:rPr>
          <w:rFonts w:asciiTheme="minorHAnsi" w:hAnsiTheme="minorHAnsi" w:cstheme="minorHAnsi"/>
          <w:i/>
          <w:iCs/>
          <w:sz w:val="22"/>
          <w:szCs w:val="22"/>
        </w:rPr>
        <w:t>The Journal of American Folklore</w:t>
      </w:r>
      <w:r w:rsidRPr="00CB368C">
        <w:rPr>
          <w:rFonts w:asciiTheme="minorHAnsi" w:hAnsiTheme="minorHAnsi" w:cstheme="minorHAnsi"/>
          <w:sz w:val="22"/>
          <w:szCs w:val="22"/>
        </w:rPr>
        <w:t>, 32:124, (1919), pp. 198-250.</w:t>
      </w:r>
    </w:p>
    <w:p w14:paraId="7C1F5A95" w14:textId="77777777" w:rsidR="00CB368C" w:rsidRPr="0009078B" w:rsidRDefault="00CB368C" w:rsidP="00CB368C">
      <w:pPr>
        <w:rPr>
          <w:rFonts w:cs="Calibri"/>
        </w:rPr>
      </w:pPr>
    </w:p>
    <w:p w14:paraId="59E2F9AB" w14:textId="77777777" w:rsidR="00CB368C" w:rsidRPr="0009078B" w:rsidRDefault="00CB368C" w:rsidP="00CB368C">
      <w:pPr>
        <w:rPr>
          <w:bCs/>
        </w:rPr>
      </w:pPr>
    </w:p>
    <w:p w14:paraId="7390F28E" w14:textId="77777777" w:rsidR="00CB368C" w:rsidRPr="0009078B" w:rsidRDefault="00CB368C" w:rsidP="00CB368C">
      <w:pPr>
        <w:jc w:val="center"/>
        <w:rPr>
          <w:b/>
          <w:bCs/>
        </w:rPr>
      </w:pPr>
    </w:p>
    <w:p w14:paraId="09FBC894" w14:textId="77777777" w:rsidR="00CB368C" w:rsidRDefault="00CB368C"/>
    <w:sectPr w:rsidR="00CB368C" w:rsidSect="00CB368C">
      <w:headerReference w:type="default" r:id="rId8"/>
      <w:footerReference w:type="default" r:id="rId9"/>
      <w:pgSz w:w="12240" w:h="15840"/>
      <w:pgMar w:top="567" w:right="1797" w:bottom="567" w:left="1797"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771346" w14:textId="77777777" w:rsidR="00FD6F7C" w:rsidRDefault="00FD6F7C" w:rsidP="00CB368C">
      <w:r>
        <w:separator/>
      </w:r>
    </w:p>
  </w:endnote>
  <w:endnote w:type="continuationSeparator" w:id="0">
    <w:p w14:paraId="0A901141" w14:textId="77777777" w:rsidR="00FD6F7C" w:rsidRDefault="00FD6F7C" w:rsidP="00CB36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4AF86C" w14:textId="77777777" w:rsidR="009C1A08" w:rsidRPr="00337A70" w:rsidRDefault="00FD6F7C">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45021" w14:textId="77777777" w:rsidR="00FD6F7C" w:rsidRDefault="00FD6F7C" w:rsidP="00CB368C">
      <w:r>
        <w:separator/>
      </w:r>
    </w:p>
  </w:footnote>
  <w:footnote w:type="continuationSeparator" w:id="0">
    <w:p w14:paraId="2304321B" w14:textId="77777777" w:rsidR="00FD6F7C" w:rsidRDefault="00FD6F7C" w:rsidP="00CB368C">
      <w:r>
        <w:continuationSeparator/>
      </w:r>
    </w:p>
  </w:footnote>
  <w:footnote w:id="1">
    <w:p w14:paraId="1AB61ED6" w14:textId="77777777" w:rsidR="00CB368C" w:rsidRPr="00CB368C" w:rsidRDefault="00CB368C" w:rsidP="00CB368C">
      <w:pPr>
        <w:pStyle w:val="NormalWeb"/>
        <w:spacing w:before="0" w:beforeAutospacing="0" w:after="0" w:afterAutospacing="0"/>
        <w:rPr>
          <w:rFonts w:asciiTheme="minorHAnsi" w:hAnsiTheme="minorHAnsi" w:cstheme="minorHAnsi"/>
          <w:sz w:val="20"/>
          <w:szCs w:val="20"/>
        </w:rPr>
      </w:pPr>
      <w:r w:rsidRPr="00931610">
        <w:rPr>
          <w:rStyle w:val="FootnoteReference"/>
          <w:rFonts w:ascii="Calibri" w:hAnsi="Calibri" w:cs="Calibri"/>
          <w:sz w:val="20"/>
          <w:szCs w:val="20"/>
        </w:rPr>
        <w:footnoteRef/>
      </w:r>
      <w:r>
        <w:rPr>
          <w:rFonts w:ascii="Calibri" w:hAnsi="Calibri" w:cs="Calibri"/>
          <w:sz w:val="20"/>
          <w:szCs w:val="20"/>
        </w:rPr>
        <w:t xml:space="preserve"> </w:t>
      </w:r>
      <w:r w:rsidRPr="00CB368C">
        <w:rPr>
          <w:rFonts w:asciiTheme="minorHAnsi" w:hAnsiTheme="minorHAnsi" w:cstheme="minorHAnsi"/>
          <w:iCs/>
          <w:sz w:val="20"/>
          <w:szCs w:val="20"/>
        </w:rPr>
        <w:t xml:space="preserve">Hesiod, </w:t>
      </w:r>
      <w:r w:rsidRPr="00CB368C">
        <w:rPr>
          <w:rFonts w:asciiTheme="minorHAnsi" w:hAnsiTheme="minorHAnsi" w:cstheme="minorHAnsi"/>
          <w:i/>
          <w:sz w:val="20"/>
          <w:szCs w:val="20"/>
        </w:rPr>
        <w:t xml:space="preserve">Homeric Hymns: </w:t>
      </w:r>
      <w:r w:rsidRPr="00CB368C">
        <w:rPr>
          <w:rFonts w:asciiTheme="minorHAnsi" w:hAnsiTheme="minorHAnsi" w:cstheme="minorHAnsi"/>
          <w:i/>
          <w:iCs/>
          <w:sz w:val="20"/>
          <w:szCs w:val="20"/>
        </w:rPr>
        <w:t>Theogony,</w:t>
      </w:r>
      <w:r w:rsidRPr="00CB368C">
        <w:rPr>
          <w:rFonts w:asciiTheme="minorHAnsi" w:hAnsiTheme="minorHAnsi" w:cstheme="minorHAnsi"/>
          <w:sz w:val="20"/>
          <w:szCs w:val="20"/>
        </w:rPr>
        <w:t xml:space="preserve"> Hugh G. Evelyn-White, Trans Loeb Classical Library, Vol. 57, pp. 43 – 53, [507-616] and Hesiod, </w:t>
      </w:r>
      <w:r w:rsidRPr="00CB368C">
        <w:rPr>
          <w:rFonts w:asciiTheme="minorHAnsi" w:hAnsiTheme="minorHAnsi" w:cstheme="minorHAnsi"/>
          <w:i/>
          <w:iCs/>
          <w:sz w:val="20"/>
          <w:szCs w:val="20"/>
        </w:rPr>
        <w:t>Homeric Hymns:</w:t>
      </w:r>
      <w:r w:rsidRPr="00CB368C">
        <w:rPr>
          <w:rFonts w:asciiTheme="minorHAnsi" w:hAnsiTheme="minorHAnsi" w:cstheme="minorHAnsi"/>
          <w:sz w:val="20"/>
          <w:szCs w:val="20"/>
        </w:rPr>
        <w:t xml:space="preserve"> </w:t>
      </w:r>
      <w:r w:rsidRPr="00CB368C">
        <w:rPr>
          <w:rFonts w:asciiTheme="minorHAnsi" w:hAnsiTheme="minorHAnsi" w:cstheme="minorHAnsi"/>
          <w:i/>
          <w:iCs/>
          <w:sz w:val="20"/>
          <w:szCs w:val="20"/>
        </w:rPr>
        <w:t>Works and Days,</w:t>
      </w:r>
      <w:r w:rsidRPr="00CB368C">
        <w:rPr>
          <w:rFonts w:asciiTheme="minorHAnsi" w:hAnsiTheme="minorHAnsi" w:cstheme="minorHAnsi"/>
          <w:sz w:val="20"/>
          <w:szCs w:val="20"/>
        </w:rPr>
        <w:t xml:space="preserve"> Hugh G. Evelyn-White, Trans., Loeb Classical Library, Vol. 57, pp. 89 – 95 [42-105], (Cambridge, MA: Harvard University Press, 1964);</w:t>
      </w:r>
      <w:r w:rsidRPr="00CB368C">
        <w:rPr>
          <w:rFonts w:asciiTheme="minorHAnsi" w:hAnsiTheme="minorHAnsi" w:cstheme="minorHAnsi"/>
          <w:i/>
          <w:iCs/>
          <w:sz w:val="20"/>
          <w:szCs w:val="20"/>
        </w:rPr>
        <w:t xml:space="preserve"> </w:t>
      </w:r>
      <w:r w:rsidRPr="00CB368C">
        <w:rPr>
          <w:rFonts w:asciiTheme="minorHAnsi" w:hAnsiTheme="minorHAnsi" w:cstheme="minorHAnsi"/>
          <w:sz w:val="20"/>
          <w:szCs w:val="20"/>
        </w:rPr>
        <w:t xml:space="preserve">Aeschylus, </w:t>
      </w:r>
      <w:r w:rsidRPr="00CB368C">
        <w:rPr>
          <w:rFonts w:asciiTheme="minorHAnsi" w:hAnsiTheme="minorHAnsi" w:cstheme="minorHAnsi"/>
          <w:i/>
          <w:iCs/>
          <w:sz w:val="20"/>
          <w:szCs w:val="20"/>
        </w:rPr>
        <w:t>Prometheus Bound,</w:t>
      </w:r>
      <w:r w:rsidRPr="00CB368C">
        <w:rPr>
          <w:rFonts w:asciiTheme="minorHAnsi" w:hAnsiTheme="minorHAnsi" w:cstheme="minorHAnsi"/>
          <w:sz w:val="20"/>
          <w:szCs w:val="20"/>
        </w:rPr>
        <w:t xml:space="preserve"> Herbert Weir Smyth, Trans., Loeb Classical Library, Volumes 145 &amp; 146, (Cambridge, MA. Harvard University Press. 1926).  </w:t>
      </w:r>
    </w:p>
  </w:footnote>
  <w:footnote w:id="2">
    <w:p w14:paraId="57C9A4EC"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Bill Reid and Robert Bringhurst, </w:t>
      </w:r>
      <w:r w:rsidRPr="00CB368C">
        <w:rPr>
          <w:rFonts w:asciiTheme="minorHAnsi" w:hAnsiTheme="minorHAnsi" w:cstheme="minorHAnsi"/>
          <w:i/>
        </w:rPr>
        <w:t>The Raven Steals the Light</w:t>
      </w:r>
      <w:r w:rsidRPr="00CB368C">
        <w:rPr>
          <w:rFonts w:asciiTheme="minorHAnsi" w:hAnsiTheme="minorHAnsi" w:cstheme="minorHAnsi"/>
        </w:rPr>
        <w:t>, (Vancouver/Toronto: Douglas &amp; McIntyre, 1996 [1984]), pp. 19-24.</w:t>
      </w:r>
    </w:p>
  </w:footnote>
  <w:footnote w:id="3">
    <w:p w14:paraId="6DC8DFE0" w14:textId="58F92798" w:rsidR="00CB368C" w:rsidRPr="00CB368C" w:rsidRDefault="00CB368C" w:rsidP="00CB368C">
      <w:pPr>
        <w:rPr>
          <w:rFonts w:asciiTheme="minorHAnsi" w:hAnsiTheme="minorHAnsi" w:cstheme="minorHAnsi"/>
          <w:sz w:val="20"/>
          <w:szCs w:val="20"/>
        </w:rPr>
      </w:pPr>
      <w:r w:rsidRPr="00CB368C">
        <w:rPr>
          <w:rStyle w:val="FootnoteReference"/>
          <w:rFonts w:asciiTheme="minorHAnsi" w:hAnsiTheme="minorHAnsi" w:cstheme="minorHAnsi"/>
          <w:sz w:val="20"/>
          <w:szCs w:val="20"/>
        </w:rPr>
        <w:footnoteRef/>
      </w:r>
      <w:r w:rsidRPr="00CB368C">
        <w:rPr>
          <w:rFonts w:asciiTheme="minorHAnsi" w:hAnsiTheme="minorHAnsi" w:cstheme="minorHAnsi"/>
          <w:sz w:val="20"/>
          <w:szCs w:val="20"/>
        </w:rPr>
        <w:t xml:space="preserve"> Bringhurst, Robert, </w:t>
      </w:r>
      <w:r w:rsidRPr="00CB368C">
        <w:rPr>
          <w:rFonts w:asciiTheme="minorHAnsi" w:hAnsiTheme="minorHAnsi" w:cstheme="minorHAnsi"/>
          <w:i/>
          <w:sz w:val="20"/>
          <w:szCs w:val="20"/>
        </w:rPr>
        <w:t>A Story as Sharp as a Knife:  The Classical Haida Mythtellers and Their World,</w:t>
      </w:r>
      <w:r w:rsidRPr="00CB368C">
        <w:rPr>
          <w:rFonts w:asciiTheme="minorHAnsi" w:hAnsiTheme="minorHAnsi" w:cstheme="minorHAnsi"/>
          <w:sz w:val="20"/>
          <w:szCs w:val="20"/>
        </w:rPr>
        <w:t xml:space="preserve"> Masterworks of the Classical Haida Mythtellers, (Vancouver, BC: Douglas &amp; McIntyre, 2011 [1999]), p. 9.</w:t>
      </w:r>
    </w:p>
  </w:footnote>
  <w:footnote w:id="4">
    <w:p w14:paraId="4E419507" w14:textId="77777777" w:rsidR="00CB368C" w:rsidRPr="00CB368C" w:rsidRDefault="00CB368C" w:rsidP="00CB368C">
      <w:pPr>
        <w:pStyle w:val="FootnoteText"/>
        <w:rPr>
          <w:rFonts w:asciiTheme="minorHAnsi" w:hAnsiTheme="minorHAnsi" w:cstheme="minorHAnsi"/>
          <w:lang w:val="en-GB"/>
        </w:rPr>
      </w:pPr>
      <w:r w:rsidRPr="00CB368C">
        <w:rPr>
          <w:rStyle w:val="FootnoteReference"/>
          <w:rFonts w:asciiTheme="minorHAnsi" w:hAnsiTheme="minorHAnsi" w:cstheme="minorHAnsi"/>
        </w:rPr>
        <w:footnoteRef/>
      </w:r>
      <w:r w:rsidRPr="00CB368C">
        <w:rPr>
          <w:rFonts w:asciiTheme="minorHAnsi" w:hAnsiTheme="minorHAnsi" w:cstheme="minorHAnsi"/>
        </w:rPr>
        <w:t xml:space="preserve"> Reid and Bringhurst, </w:t>
      </w:r>
      <w:r w:rsidRPr="00CB368C">
        <w:rPr>
          <w:rFonts w:asciiTheme="minorHAnsi" w:hAnsiTheme="minorHAnsi" w:cstheme="minorHAnsi"/>
          <w:i/>
          <w:iCs/>
        </w:rPr>
        <w:t>The Raven Steals the Light</w:t>
      </w:r>
      <w:r w:rsidRPr="00CB368C">
        <w:rPr>
          <w:rFonts w:asciiTheme="minorHAnsi" w:hAnsiTheme="minorHAnsi" w:cstheme="minorHAnsi"/>
        </w:rPr>
        <w:t>.</w:t>
      </w:r>
    </w:p>
  </w:footnote>
  <w:footnote w:id="5">
    <w:p w14:paraId="44FF02BD" w14:textId="77777777" w:rsidR="00CB368C" w:rsidRPr="00CB368C" w:rsidRDefault="00CB368C" w:rsidP="00CB368C">
      <w:pPr>
        <w:rPr>
          <w:rFonts w:asciiTheme="minorHAnsi" w:hAnsiTheme="minorHAnsi" w:cstheme="minorHAnsi"/>
          <w:sz w:val="20"/>
          <w:szCs w:val="20"/>
        </w:rPr>
      </w:pPr>
      <w:r>
        <w:rPr>
          <w:rStyle w:val="FootnoteReference"/>
        </w:rPr>
        <w:footnoteRef/>
      </w:r>
      <w:r>
        <w:t xml:space="preserve"> </w:t>
      </w:r>
      <w:r w:rsidRPr="00CB368C">
        <w:rPr>
          <w:rFonts w:asciiTheme="minorHAnsi" w:hAnsiTheme="minorHAnsi" w:cstheme="minorHAnsi"/>
          <w:sz w:val="20"/>
          <w:szCs w:val="20"/>
        </w:rPr>
        <w:t xml:space="preserve">G. S. Kirk, ‘Greek Mythology: Some New Perspectives,’ </w:t>
      </w:r>
      <w:r w:rsidRPr="00CB368C">
        <w:rPr>
          <w:rFonts w:asciiTheme="minorHAnsi" w:hAnsiTheme="minorHAnsi" w:cstheme="minorHAnsi"/>
          <w:i/>
          <w:iCs/>
          <w:sz w:val="20"/>
          <w:szCs w:val="20"/>
        </w:rPr>
        <w:t>The Journal of Hellenic Studies</w:t>
      </w:r>
      <w:r w:rsidRPr="00CB368C">
        <w:rPr>
          <w:rFonts w:asciiTheme="minorHAnsi" w:hAnsiTheme="minorHAnsi" w:cstheme="minorHAnsi"/>
          <w:sz w:val="20"/>
          <w:szCs w:val="20"/>
        </w:rPr>
        <w:t>, 92 (1972), p. 74, 76.</w:t>
      </w:r>
    </w:p>
  </w:footnote>
  <w:footnote w:id="6">
    <w:p w14:paraId="0618D44C"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Joseph Campbell, </w:t>
      </w:r>
      <w:r w:rsidRPr="00CB368C">
        <w:rPr>
          <w:rFonts w:asciiTheme="minorHAnsi" w:hAnsiTheme="minorHAnsi" w:cstheme="minorHAnsi"/>
          <w:i/>
          <w:iCs/>
        </w:rPr>
        <w:t>Thou Art That: Transforming Religious Metaphor</w:t>
      </w:r>
      <w:r w:rsidRPr="00CB368C">
        <w:rPr>
          <w:rFonts w:asciiTheme="minorHAnsi" w:hAnsiTheme="minorHAnsi" w:cstheme="minorHAnsi"/>
        </w:rPr>
        <w:t>, (Novato, California: New World Library, 2001), p. 8.</w:t>
      </w:r>
    </w:p>
  </w:footnote>
  <w:footnote w:id="7">
    <w:p w14:paraId="01950D9A"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Joseph Campbell, </w:t>
      </w:r>
      <w:r w:rsidRPr="00CB368C">
        <w:rPr>
          <w:rFonts w:asciiTheme="minorHAnsi" w:hAnsiTheme="minorHAnsi" w:cstheme="minorHAnsi"/>
          <w:i/>
          <w:iCs/>
        </w:rPr>
        <w:t>The Inner Reaches of Outer Space: Metaphor as Myth and as Religion</w:t>
      </w:r>
      <w:r w:rsidRPr="00CB368C">
        <w:rPr>
          <w:rFonts w:asciiTheme="minorHAnsi" w:hAnsiTheme="minorHAnsi" w:cstheme="minorHAnsi"/>
        </w:rPr>
        <w:t>, (Novato, California: New World Library, 2002 [1986]), pp. 27-35.</w:t>
      </w:r>
    </w:p>
  </w:footnote>
  <w:footnote w:id="8">
    <w:p w14:paraId="4E3783F1"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Stephen Arroyo, </w:t>
      </w:r>
      <w:r w:rsidRPr="00CB368C">
        <w:rPr>
          <w:rFonts w:asciiTheme="minorHAnsi" w:hAnsiTheme="minorHAnsi" w:cstheme="minorHAnsi"/>
          <w:i/>
          <w:iCs/>
        </w:rPr>
        <w:t>Astrology, Psychology and The Four Elements,</w:t>
      </w:r>
      <w:r w:rsidRPr="00CB368C">
        <w:rPr>
          <w:rFonts w:asciiTheme="minorHAnsi" w:hAnsiTheme="minorHAnsi" w:cstheme="minorHAnsi"/>
        </w:rPr>
        <w:t xml:space="preserve"> (Sebastopol, California: CRCS Publications, 1975), p. xv</w:t>
      </w:r>
    </w:p>
  </w:footnote>
  <w:footnote w:id="9">
    <w:p w14:paraId="42CD9AD4" w14:textId="77777777" w:rsidR="00CB368C" w:rsidRPr="00CB368C" w:rsidRDefault="00CB368C" w:rsidP="00CB368C">
      <w:pPr>
        <w:pStyle w:val="FootnoteText"/>
        <w:rPr>
          <w:rFonts w:asciiTheme="minorHAnsi" w:hAnsiTheme="minorHAnsi" w:cstheme="minorHAnsi"/>
          <w:lang w:val="en-GB"/>
        </w:rPr>
      </w:pPr>
      <w:r w:rsidRPr="00CB368C">
        <w:rPr>
          <w:rStyle w:val="FootnoteReference"/>
          <w:rFonts w:asciiTheme="minorHAnsi" w:hAnsiTheme="minorHAnsi" w:cstheme="minorHAnsi"/>
        </w:rPr>
        <w:footnoteRef/>
      </w:r>
      <w:r w:rsidRPr="00CB368C">
        <w:rPr>
          <w:rFonts w:asciiTheme="minorHAnsi" w:hAnsiTheme="minorHAnsi" w:cstheme="minorHAnsi"/>
        </w:rPr>
        <w:t xml:space="preserve"> </w:t>
      </w:r>
      <w:r w:rsidRPr="00CB368C">
        <w:rPr>
          <w:rFonts w:asciiTheme="minorHAnsi" w:hAnsiTheme="minorHAnsi" w:cstheme="minorHAnsi"/>
          <w:lang w:val="en-GB"/>
        </w:rPr>
        <w:t xml:space="preserve">Scott Leonard and Michael McClure, </w:t>
      </w:r>
      <w:r w:rsidRPr="00CB368C">
        <w:rPr>
          <w:rFonts w:asciiTheme="minorHAnsi" w:hAnsiTheme="minorHAnsi" w:cstheme="minorHAnsi"/>
          <w:i/>
          <w:iCs/>
          <w:lang w:val="en-GB"/>
        </w:rPr>
        <w:t>Myth and Knowing: An Introduction to World Mythology,</w:t>
      </w:r>
      <w:r w:rsidRPr="00CB368C">
        <w:rPr>
          <w:rFonts w:asciiTheme="minorHAnsi" w:hAnsiTheme="minorHAnsi" w:cstheme="minorHAnsi"/>
          <w:lang w:val="en-GB"/>
        </w:rPr>
        <w:t xml:space="preserve"> (Boston, MA: McGraw-Hill, 2004), p. 1.</w:t>
      </w:r>
    </w:p>
  </w:footnote>
  <w:footnote w:id="10">
    <w:p w14:paraId="64B999FE" w14:textId="77777777" w:rsidR="00CB368C" w:rsidRPr="00CB368C" w:rsidRDefault="00CB368C" w:rsidP="00CB368C">
      <w:pPr>
        <w:pStyle w:val="FootnoteText"/>
        <w:rPr>
          <w:rFonts w:asciiTheme="minorHAnsi" w:hAnsiTheme="minorHAnsi" w:cstheme="minorHAnsi"/>
          <w:lang w:val="en-GB"/>
        </w:rPr>
      </w:pPr>
      <w:r w:rsidRPr="00CB368C">
        <w:rPr>
          <w:rStyle w:val="FootnoteReference"/>
          <w:rFonts w:asciiTheme="minorHAnsi" w:hAnsiTheme="minorHAnsi" w:cstheme="minorHAnsi"/>
        </w:rPr>
        <w:footnoteRef/>
      </w:r>
      <w:r w:rsidRPr="00CB368C">
        <w:rPr>
          <w:rFonts w:asciiTheme="minorHAnsi" w:hAnsiTheme="minorHAnsi" w:cstheme="minorHAnsi"/>
        </w:rPr>
        <w:t xml:space="preserve"> </w:t>
      </w:r>
      <w:r w:rsidRPr="00CB368C">
        <w:rPr>
          <w:rFonts w:asciiTheme="minorHAnsi" w:hAnsiTheme="minorHAnsi" w:cstheme="minorHAnsi"/>
          <w:lang w:val="en-GB"/>
        </w:rPr>
        <w:t xml:space="preserve">Leonard, McClure, </w:t>
      </w:r>
      <w:r w:rsidRPr="00CB368C">
        <w:rPr>
          <w:rFonts w:asciiTheme="minorHAnsi" w:hAnsiTheme="minorHAnsi" w:cstheme="minorHAnsi"/>
          <w:i/>
          <w:iCs/>
          <w:lang w:val="en-GB"/>
        </w:rPr>
        <w:t>Myth and Knowing</w:t>
      </w:r>
      <w:r w:rsidRPr="00CB368C">
        <w:rPr>
          <w:rFonts w:asciiTheme="minorHAnsi" w:hAnsiTheme="minorHAnsi" w:cstheme="minorHAnsi"/>
          <w:lang w:val="en-GB"/>
        </w:rPr>
        <w:t>, p. 2.</w:t>
      </w:r>
    </w:p>
  </w:footnote>
  <w:footnote w:id="11">
    <w:p w14:paraId="3F55A374" w14:textId="77777777" w:rsidR="00CB368C" w:rsidRPr="00CB368C" w:rsidRDefault="00CB368C" w:rsidP="00CB368C">
      <w:pPr>
        <w:rPr>
          <w:rFonts w:asciiTheme="minorHAnsi" w:hAnsiTheme="minorHAnsi" w:cstheme="minorHAnsi"/>
          <w:sz w:val="20"/>
          <w:szCs w:val="20"/>
        </w:rPr>
      </w:pPr>
      <w:r w:rsidRPr="00CB368C">
        <w:rPr>
          <w:rStyle w:val="FootnoteReference"/>
          <w:rFonts w:asciiTheme="minorHAnsi" w:hAnsiTheme="minorHAnsi" w:cstheme="minorHAnsi"/>
          <w:sz w:val="20"/>
          <w:szCs w:val="20"/>
        </w:rPr>
        <w:footnoteRef/>
      </w:r>
      <w:r w:rsidRPr="00CB368C">
        <w:rPr>
          <w:rFonts w:asciiTheme="minorHAnsi" w:hAnsiTheme="minorHAnsi" w:cstheme="minorHAnsi"/>
          <w:sz w:val="20"/>
          <w:szCs w:val="20"/>
        </w:rPr>
        <w:t xml:space="preserve"> Elizabeth Wayland Barber and Paul T. Barber, Chapter 17, ‘Prometheus’ in </w:t>
      </w:r>
      <w:r w:rsidRPr="00CB368C">
        <w:rPr>
          <w:rFonts w:asciiTheme="minorHAnsi" w:hAnsiTheme="minorHAnsi" w:cstheme="minorHAnsi"/>
          <w:i/>
          <w:iCs/>
          <w:sz w:val="20"/>
          <w:szCs w:val="20"/>
        </w:rPr>
        <w:t>When They Severed Earth from Sky: How the human mind shapes myth,</w:t>
      </w:r>
      <w:r w:rsidRPr="00CB368C">
        <w:rPr>
          <w:rFonts w:asciiTheme="minorHAnsi" w:hAnsiTheme="minorHAnsi" w:cstheme="minorHAnsi"/>
          <w:sz w:val="20"/>
          <w:szCs w:val="20"/>
        </w:rPr>
        <w:t xml:space="preserve"> (Princeton, NJ: Princeton University Press, 2004), pp. 218-230; </w:t>
      </w:r>
      <w:r w:rsidRPr="00CB368C">
        <w:rPr>
          <w:rFonts w:asciiTheme="minorHAnsi" w:hAnsiTheme="minorHAnsi" w:cstheme="minorHAnsi"/>
          <w:bCs/>
          <w:sz w:val="20"/>
          <w:szCs w:val="20"/>
        </w:rPr>
        <w:t xml:space="preserve">Beall, E.F., ‘Hesiod’s Prometheus and Development in Myth’, </w:t>
      </w:r>
      <w:r w:rsidRPr="00CB368C">
        <w:rPr>
          <w:rFonts w:asciiTheme="minorHAnsi" w:hAnsiTheme="minorHAnsi" w:cstheme="minorHAnsi"/>
          <w:bCs/>
          <w:i/>
          <w:iCs/>
          <w:sz w:val="20"/>
          <w:szCs w:val="20"/>
        </w:rPr>
        <w:t>Journal of the History of Ideas</w:t>
      </w:r>
      <w:r w:rsidRPr="00CB368C">
        <w:rPr>
          <w:rFonts w:asciiTheme="minorHAnsi" w:hAnsiTheme="minorHAnsi" w:cstheme="minorHAnsi"/>
          <w:bCs/>
          <w:sz w:val="20"/>
          <w:szCs w:val="20"/>
        </w:rPr>
        <w:t>, 52:3, (1991), p. 363.</w:t>
      </w:r>
    </w:p>
  </w:footnote>
  <w:footnote w:id="12">
    <w:p w14:paraId="536C6E7C"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Barber and Barber, </w:t>
      </w:r>
      <w:r w:rsidRPr="00CB368C">
        <w:rPr>
          <w:rFonts w:asciiTheme="minorHAnsi" w:hAnsiTheme="minorHAnsi" w:cstheme="minorHAnsi"/>
          <w:i/>
          <w:iCs/>
        </w:rPr>
        <w:t>When They Severed Earth from Sky</w:t>
      </w:r>
      <w:r w:rsidRPr="00CB368C">
        <w:rPr>
          <w:rFonts w:asciiTheme="minorHAnsi" w:hAnsiTheme="minorHAnsi" w:cstheme="minorHAnsi"/>
        </w:rPr>
        <w:t>, p. 225.</w:t>
      </w:r>
    </w:p>
  </w:footnote>
  <w:footnote w:id="13">
    <w:p w14:paraId="01D7609E" w14:textId="77777777" w:rsidR="00CB368C" w:rsidRPr="00CB368C" w:rsidRDefault="00CB368C" w:rsidP="00CB368C">
      <w:pPr>
        <w:pStyle w:val="FootnoteText"/>
        <w:rPr>
          <w:rFonts w:asciiTheme="minorHAnsi" w:hAnsiTheme="minorHAnsi" w:cstheme="minorHAnsi"/>
          <w:lang w:val="en-GB"/>
        </w:rPr>
      </w:pPr>
      <w:r w:rsidRPr="00CB368C">
        <w:rPr>
          <w:rStyle w:val="FootnoteReference"/>
          <w:rFonts w:asciiTheme="minorHAnsi" w:hAnsiTheme="minorHAnsi" w:cstheme="minorHAnsi"/>
        </w:rPr>
        <w:footnoteRef/>
      </w:r>
      <w:r w:rsidRPr="00CB368C">
        <w:rPr>
          <w:rFonts w:asciiTheme="minorHAnsi" w:hAnsiTheme="minorHAnsi" w:cstheme="minorHAnsi"/>
        </w:rPr>
        <w:t xml:space="preserve"> </w:t>
      </w:r>
      <w:r w:rsidRPr="00CB368C">
        <w:rPr>
          <w:rFonts w:asciiTheme="minorHAnsi" w:hAnsiTheme="minorHAnsi" w:cstheme="minorHAnsi"/>
          <w:lang w:val="en-GB"/>
        </w:rPr>
        <w:t xml:space="preserve">Mircea Eliade, </w:t>
      </w:r>
      <w:r w:rsidRPr="00CB368C">
        <w:rPr>
          <w:rFonts w:asciiTheme="minorHAnsi" w:hAnsiTheme="minorHAnsi" w:cstheme="minorHAnsi"/>
          <w:i/>
          <w:iCs/>
          <w:lang w:val="en-GB"/>
        </w:rPr>
        <w:t>Myth and Reality</w:t>
      </w:r>
      <w:r w:rsidRPr="00CB368C">
        <w:rPr>
          <w:rFonts w:asciiTheme="minorHAnsi" w:hAnsiTheme="minorHAnsi" w:cstheme="minorHAnsi"/>
          <w:lang w:val="en-GB"/>
        </w:rPr>
        <w:t>, (Long Grove, Illinois: Waveland Press, 1998 [1963]), p. 5.</w:t>
      </w:r>
    </w:p>
  </w:footnote>
  <w:footnote w:id="14">
    <w:p w14:paraId="3EA25182"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‘Seoul Mates’, Season 3, Episode 10 of </w:t>
      </w:r>
      <w:r w:rsidRPr="00CB368C">
        <w:rPr>
          <w:rFonts w:asciiTheme="minorHAnsi" w:hAnsiTheme="minorHAnsi" w:cstheme="minorHAnsi"/>
          <w:i/>
        </w:rPr>
        <w:t>Northern Exposure,</w:t>
      </w:r>
      <w:r w:rsidRPr="00CB368C">
        <w:rPr>
          <w:rFonts w:asciiTheme="minorHAnsi" w:hAnsiTheme="minorHAnsi" w:cstheme="minorHAnsi"/>
        </w:rPr>
        <w:t xml:space="preserve"> CBS, 16 December 1991.</w:t>
      </w:r>
    </w:p>
  </w:footnote>
  <w:footnote w:id="15">
    <w:p w14:paraId="741DC656"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For further discussion, see M.J.J. Sulek, ‘Gifts of Fire’ (PhD dissertation, Indiana University, 2011) Chapter 2, pp. 11-12.</w:t>
      </w:r>
    </w:p>
  </w:footnote>
  <w:footnote w:id="16">
    <w:p w14:paraId="354EC77B"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Barber and Barber, </w:t>
      </w:r>
      <w:r w:rsidRPr="00CB368C">
        <w:rPr>
          <w:rFonts w:asciiTheme="minorHAnsi" w:hAnsiTheme="minorHAnsi" w:cstheme="minorHAnsi"/>
          <w:i/>
          <w:iCs/>
        </w:rPr>
        <w:t>When They Severed Earth from Sky</w:t>
      </w:r>
      <w:r w:rsidRPr="00CB368C">
        <w:rPr>
          <w:rFonts w:asciiTheme="minorHAnsi" w:hAnsiTheme="minorHAnsi" w:cstheme="minorHAnsi"/>
        </w:rPr>
        <w:t>, pp.228-9.</w:t>
      </w:r>
    </w:p>
  </w:footnote>
  <w:footnote w:id="17">
    <w:p w14:paraId="2A478570"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w:t>
      </w:r>
      <w:r w:rsidRPr="00CB368C">
        <w:rPr>
          <w:rFonts w:asciiTheme="minorHAnsi" w:hAnsiTheme="minorHAnsi" w:cstheme="minorHAnsi"/>
          <w:iCs/>
        </w:rPr>
        <w:t>Hesiod,</w:t>
      </w:r>
      <w:r w:rsidRPr="00CB368C">
        <w:rPr>
          <w:rFonts w:asciiTheme="minorHAnsi" w:hAnsiTheme="minorHAnsi" w:cstheme="minorHAnsi"/>
          <w:i/>
        </w:rPr>
        <w:t xml:space="preserve"> Homeric Hymns, </w:t>
      </w:r>
      <w:r w:rsidRPr="00CB368C">
        <w:rPr>
          <w:rFonts w:asciiTheme="minorHAnsi" w:hAnsiTheme="minorHAnsi" w:cstheme="minorHAnsi"/>
          <w:i/>
          <w:iCs/>
        </w:rPr>
        <w:t>Theogony</w:t>
      </w:r>
      <w:r w:rsidRPr="00CB368C">
        <w:rPr>
          <w:rFonts w:asciiTheme="minorHAnsi" w:hAnsiTheme="minorHAnsi" w:cstheme="minorHAnsi"/>
        </w:rPr>
        <w:t>, V 57, p. 47, 560.</w:t>
      </w:r>
    </w:p>
  </w:footnote>
  <w:footnote w:id="18">
    <w:p w14:paraId="14D6E5AB"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w:t>
      </w:r>
      <w:r w:rsidRPr="00CB368C">
        <w:rPr>
          <w:rFonts w:asciiTheme="minorHAnsi" w:hAnsiTheme="minorHAnsi" w:cstheme="minorHAnsi"/>
          <w:lang w:val="en-GB"/>
        </w:rPr>
        <w:t xml:space="preserve">Aeschylus, </w:t>
      </w:r>
      <w:r w:rsidRPr="00CB368C">
        <w:rPr>
          <w:rFonts w:asciiTheme="minorHAnsi" w:hAnsiTheme="minorHAnsi" w:cstheme="minorHAnsi"/>
          <w:i/>
          <w:iCs/>
          <w:lang w:val="en-GB"/>
        </w:rPr>
        <w:t>Prometheus Bound,</w:t>
      </w:r>
      <w:r w:rsidRPr="00CB368C">
        <w:rPr>
          <w:rFonts w:asciiTheme="minorHAnsi" w:hAnsiTheme="minorHAnsi" w:cstheme="minorHAnsi"/>
          <w:lang w:val="en-GB"/>
        </w:rPr>
        <w:t xml:space="preserve"> p. 547, [944-946].</w:t>
      </w:r>
    </w:p>
  </w:footnote>
  <w:footnote w:id="19">
    <w:p w14:paraId="13358BA5"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Sulek, ‘Gifts of Fire’, pp. 51-75.</w:t>
      </w:r>
    </w:p>
  </w:footnote>
  <w:footnote w:id="20">
    <w:p w14:paraId="083AE71A" w14:textId="77777777" w:rsidR="00CB368C" w:rsidRPr="00CB368C" w:rsidRDefault="00CB368C" w:rsidP="00CB368C">
      <w:pPr>
        <w:pStyle w:val="FootnoteText"/>
        <w:rPr>
          <w:rFonts w:asciiTheme="minorHAnsi" w:hAnsiTheme="minorHAnsi" w:cstheme="minorHAnsi"/>
          <w:lang w:val="en-GB"/>
        </w:rPr>
      </w:pPr>
      <w:r w:rsidRPr="00CB368C">
        <w:rPr>
          <w:rStyle w:val="FootnoteReference"/>
          <w:rFonts w:asciiTheme="minorHAnsi" w:hAnsiTheme="minorHAnsi" w:cstheme="minorHAnsi"/>
        </w:rPr>
        <w:footnoteRef/>
      </w:r>
      <w:r w:rsidRPr="00CB368C">
        <w:rPr>
          <w:rFonts w:asciiTheme="minorHAnsi" w:hAnsiTheme="minorHAnsi" w:cstheme="minorHAnsi"/>
        </w:rPr>
        <w:t xml:space="preserve"> </w:t>
      </w:r>
      <w:r w:rsidRPr="00CB368C">
        <w:rPr>
          <w:rFonts w:asciiTheme="minorHAnsi" w:hAnsiTheme="minorHAnsi" w:cstheme="minorHAnsi"/>
          <w:bCs/>
        </w:rPr>
        <w:t xml:space="preserve">Beall, E.F., ‘Hesiod’s Prometheus and Development in Myth’, </w:t>
      </w:r>
      <w:r w:rsidRPr="00CB368C">
        <w:rPr>
          <w:rFonts w:asciiTheme="minorHAnsi" w:hAnsiTheme="minorHAnsi" w:cstheme="minorHAnsi"/>
          <w:bCs/>
          <w:i/>
          <w:iCs/>
        </w:rPr>
        <w:t>Journal of the History of Ideas</w:t>
      </w:r>
      <w:r w:rsidRPr="00CB368C">
        <w:rPr>
          <w:rFonts w:asciiTheme="minorHAnsi" w:hAnsiTheme="minorHAnsi" w:cstheme="minorHAnsi"/>
          <w:bCs/>
        </w:rPr>
        <w:t>, 52:3, (1991), p. 356.</w:t>
      </w:r>
    </w:p>
  </w:footnote>
  <w:footnote w:id="21">
    <w:p w14:paraId="56C07FB9"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Aeschylus, </w:t>
      </w:r>
      <w:r w:rsidRPr="00CB368C">
        <w:rPr>
          <w:rFonts w:asciiTheme="minorHAnsi" w:hAnsiTheme="minorHAnsi" w:cstheme="minorHAnsi"/>
          <w:i/>
          <w:iCs/>
        </w:rPr>
        <w:t>Prometheus Bound</w:t>
      </w:r>
      <w:r w:rsidRPr="00CB368C">
        <w:rPr>
          <w:rFonts w:asciiTheme="minorHAnsi" w:hAnsiTheme="minorHAnsi" w:cstheme="minorHAnsi"/>
        </w:rPr>
        <w:t>, p.493, [446-471]; Sulek, ‘Gifts of Fire’, pp. 51-75.</w:t>
      </w:r>
    </w:p>
  </w:footnote>
  <w:footnote w:id="22">
    <w:p w14:paraId="31F0CDA6"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Hesiod, </w:t>
      </w:r>
      <w:r w:rsidRPr="00CB368C">
        <w:rPr>
          <w:rFonts w:asciiTheme="minorHAnsi" w:hAnsiTheme="minorHAnsi" w:cstheme="minorHAnsi"/>
          <w:i/>
          <w:iCs/>
        </w:rPr>
        <w:t>Homeric Hymns, Theogony</w:t>
      </w:r>
      <w:r w:rsidRPr="00CB368C">
        <w:rPr>
          <w:rFonts w:asciiTheme="minorHAnsi" w:hAnsiTheme="minorHAnsi" w:cstheme="minorHAnsi"/>
        </w:rPr>
        <w:t xml:space="preserve">, p. 47, 565; Hesiod, </w:t>
      </w:r>
      <w:r w:rsidRPr="00CB368C">
        <w:rPr>
          <w:rFonts w:asciiTheme="minorHAnsi" w:hAnsiTheme="minorHAnsi" w:cstheme="minorHAnsi"/>
          <w:i/>
          <w:iCs/>
        </w:rPr>
        <w:t>Homeric Hymns, Works and Days</w:t>
      </w:r>
      <w:r w:rsidRPr="00CB368C">
        <w:rPr>
          <w:rFonts w:asciiTheme="minorHAnsi" w:hAnsiTheme="minorHAnsi" w:cstheme="minorHAnsi"/>
        </w:rPr>
        <w:t>, p. 90, 48.</w:t>
      </w:r>
    </w:p>
  </w:footnote>
  <w:footnote w:id="23">
    <w:p w14:paraId="7E0E334A" w14:textId="77777777" w:rsidR="00CB368C" w:rsidRPr="00CB368C" w:rsidRDefault="00CB368C" w:rsidP="00CB368C">
      <w:pPr>
        <w:rPr>
          <w:rFonts w:asciiTheme="minorHAnsi" w:hAnsiTheme="minorHAnsi" w:cstheme="minorHAnsi"/>
          <w:sz w:val="20"/>
          <w:szCs w:val="20"/>
        </w:rPr>
      </w:pPr>
      <w:r w:rsidRPr="00CB368C">
        <w:rPr>
          <w:rStyle w:val="FootnoteReference"/>
          <w:rFonts w:asciiTheme="minorHAnsi" w:hAnsiTheme="minorHAnsi" w:cstheme="minorHAnsi"/>
          <w:sz w:val="20"/>
          <w:szCs w:val="20"/>
        </w:rPr>
        <w:footnoteRef/>
      </w:r>
      <w:r w:rsidRPr="00CB368C">
        <w:rPr>
          <w:rFonts w:asciiTheme="minorHAnsi" w:hAnsiTheme="minorHAnsi" w:cstheme="minorHAnsi"/>
          <w:sz w:val="20"/>
          <w:szCs w:val="20"/>
        </w:rPr>
        <w:t xml:space="preserve"> Aeschylus, </w:t>
      </w:r>
      <w:r w:rsidRPr="00CB368C">
        <w:rPr>
          <w:rFonts w:asciiTheme="minorHAnsi" w:hAnsiTheme="minorHAnsi" w:cstheme="minorHAnsi"/>
          <w:i/>
          <w:iCs/>
          <w:sz w:val="20"/>
          <w:szCs w:val="20"/>
        </w:rPr>
        <w:t>Prometheus Bound</w:t>
      </w:r>
      <w:r w:rsidRPr="00CB368C">
        <w:rPr>
          <w:rFonts w:asciiTheme="minorHAnsi" w:hAnsiTheme="minorHAnsi" w:cstheme="minorHAnsi"/>
          <w:sz w:val="20"/>
          <w:szCs w:val="20"/>
        </w:rPr>
        <w:t>, 461, 154.</w:t>
      </w:r>
    </w:p>
  </w:footnote>
  <w:footnote w:id="24">
    <w:p w14:paraId="01D2A3DC" w14:textId="77777777" w:rsidR="00CB368C" w:rsidRPr="00CB368C" w:rsidRDefault="00CB368C" w:rsidP="00CB368C">
      <w:pPr>
        <w:rPr>
          <w:rFonts w:asciiTheme="minorHAnsi" w:hAnsiTheme="minorHAnsi" w:cstheme="minorHAnsi"/>
          <w:sz w:val="20"/>
          <w:szCs w:val="20"/>
        </w:rPr>
      </w:pPr>
      <w:r w:rsidRPr="00CB368C">
        <w:rPr>
          <w:rStyle w:val="FootnoteReference"/>
          <w:rFonts w:asciiTheme="minorHAnsi" w:hAnsiTheme="minorHAnsi" w:cstheme="minorHAnsi"/>
          <w:sz w:val="20"/>
          <w:szCs w:val="20"/>
        </w:rPr>
        <w:footnoteRef/>
      </w:r>
      <w:r w:rsidRPr="00CB368C">
        <w:rPr>
          <w:rFonts w:asciiTheme="minorHAnsi" w:hAnsiTheme="minorHAnsi" w:cstheme="minorHAnsi"/>
          <w:sz w:val="20"/>
          <w:szCs w:val="20"/>
        </w:rPr>
        <w:t xml:space="preserve"> March, Jennifer R., </w:t>
      </w:r>
      <w:r w:rsidRPr="00CB368C">
        <w:rPr>
          <w:rFonts w:asciiTheme="minorHAnsi" w:hAnsiTheme="minorHAnsi" w:cstheme="minorHAnsi"/>
          <w:i/>
          <w:iCs/>
          <w:sz w:val="20"/>
          <w:szCs w:val="20"/>
        </w:rPr>
        <w:t>Dictionary of Classical Mythology</w:t>
      </w:r>
      <w:r w:rsidRPr="00CB368C">
        <w:rPr>
          <w:rFonts w:asciiTheme="minorHAnsi" w:hAnsiTheme="minorHAnsi" w:cstheme="minorHAnsi"/>
          <w:sz w:val="20"/>
          <w:szCs w:val="20"/>
        </w:rPr>
        <w:t>, (Oxbow Books, 2014 [1998]), p. 203.</w:t>
      </w:r>
    </w:p>
  </w:footnote>
  <w:footnote w:id="25">
    <w:p w14:paraId="08E4D9B6" w14:textId="77777777" w:rsidR="00CB368C" w:rsidRPr="00CB368C" w:rsidRDefault="00CB368C" w:rsidP="00CB368C">
      <w:pPr>
        <w:rPr>
          <w:rFonts w:asciiTheme="minorHAnsi" w:hAnsiTheme="minorHAnsi" w:cstheme="minorHAnsi"/>
          <w:bCs/>
        </w:rPr>
      </w:pPr>
      <w:r>
        <w:rPr>
          <w:rStyle w:val="FootnoteReference"/>
        </w:rPr>
        <w:footnoteRef/>
      </w:r>
      <w:r>
        <w:t xml:space="preserve"> </w:t>
      </w:r>
      <w:r w:rsidRPr="00CB368C">
        <w:rPr>
          <w:rFonts w:asciiTheme="minorHAnsi" w:hAnsiTheme="minorHAnsi" w:cstheme="minorHAnsi"/>
          <w:bCs/>
          <w:sz w:val="20"/>
          <w:szCs w:val="20"/>
        </w:rPr>
        <w:t>Beall, ‘Hesiod’s Prometheus’, p. 356.</w:t>
      </w:r>
    </w:p>
  </w:footnote>
  <w:footnote w:id="26">
    <w:p w14:paraId="4E80C3BB"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Sulek, ‘Gifts of Fire’, pp. 283-332; other examples include Ficino’s 1477 </w:t>
      </w:r>
      <w:r w:rsidRPr="00CB368C">
        <w:rPr>
          <w:rFonts w:asciiTheme="minorHAnsi" w:hAnsiTheme="minorHAnsi" w:cstheme="minorHAnsi"/>
          <w:i/>
          <w:iCs/>
        </w:rPr>
        <w:t>Quaestiones Quinque de Mente</w:t>
      </w:r>
      <w:r w:rsidRPr="00CB368C">
        <w:rPr>
          <w:rFonts w:asciiTheme="minorHAnsi" w:hAnsiTheme="minorHAnsi" w:cstheme="minorHAnsi"/>
        </w:rPr>
        <w:t xml:space="preserve">, Baburen’s 1623 ‘Prometheus Being Chained,’ Goethe’s 1789 poem, ‘Prometheus,’ Mary Shelley’s 1818 </w:t>
      </w:r>
      <w:r w:rsidRPr="00CB368C">
        <w:rPr>
          <w:rFonts w:asciiTheme="minorHAnsi" w:hAnsiTheme="minorHAnsi" w:cstheme="minorHAnsi"/>
          <w:i/>
          <w:iCs/>
        </w:rPr>
        <w:t>Frankenstein or The Modern Prometheus</w:t>
      </w:r>
      <w:r w:rsidRPr="00CB368C">
        <w:rPr>
          <w:rFonts w:asciiTheme="minorHAnsi" w:hAnsiTheme="minorHAnsi" w:cstheme="minorHAnsi"/>
        </w:rPr>
        <w:t>, Griepenkerl’s 1878 ‘The Theft of Fire,’ and a host of symphonies, operas and ballets, as well as modern literature, video games, films and television shows, societies such as The Prometheus Society founded in 1982 for people with high IQs, and scientific discoveries of moons and asteroids.</w:t>
      </w:r>
    </w:p>
  </w:footnote>
  <w:footnote w:id="27">
    <w:p w14:paraId="3CE1B8A3"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Robert Broadhurst, </w:t>
      </w:r>
      <w:r w:rsidRPr="00CB368C">
        <w:rPr>
          <w:rFonts w:asciiTheme="minorHAnsi" w:hAnsiTheme="minorHAnsi" w:cstheme="minorHAnsi"/>
          <w:i/>
          <w:lang w:val="en-GB"/>
        </w:rPr>
        <w:t>A Story as Sharp as a Knife</w:t>
      </w:r>
      <w:r w:rsidRPr="00CB368C">
        <w:rPr>
          <w:rFonts w:asciiTheme="minorHAnsi" w:hAnsiTheme="minorHAnsi" w:cstheme="minorHAnsi"/>
          <w:lang w:val="en-GB"/>
        </w:rPr>
        <w:t>, p. 13.</w:t>
      </w:r>
    </w:p>
  </w:footnote>
  <w:footnote w:id="28">
    <w:p w14:paraId="3A751C5B"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James A. Teit, ‘Tahltan Tales,’ </w:t>
      </w:r>
      <w:r w:rsidRPr="00CB368C">
        <w:rPr>
          <w:rFonts w:asciiTheme="minorHAnsi" w:hAnsiTheme="minorHAnsi" w:cstheme="minorHAnsi"/>
          <w:i/>
          <w:iCs/>
        </w:rPr>
        <w:t>The Journal of American Folklore</w:t>
      </w:r>
      <w:r w:rsidRPr="00CB368C">
        <w:rPr>
          <w:rFonts w:asciiTheme="minorHAnsi" w:hAnsiTheme="minorHAnsi" w:cstheme="minorHAnsi"/>
        </w:rPr>
        <w:t>, 32:124, (Apr. – Jun. 1919), pp. 204-5</w:t>
      </w:r>
    </w:p>
  </w:footnote>
  <w:footnote w:id="29">
    <w:p w14:paraId="39CDB26A"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Reid and Broadhurst, </w:t>
      </w:r>
      <w:r w:rsidRPr="00CB368C">
        <w:rPr>
          <w:rFonts w:asciiTheme="minorHAnsi" w:hAnsiTheme="minorHAnsi" w:cstheme="minorHAnsi"/>
          <w:i/>
          <w:iCs/>
        </w:rPr>
        <w:t>The Raven Steals the Light</w:t>
      </w:r>
      <w:r w:rsidRPr="00CB368C">
        <w:rPr>
          <w:rFonts w:asciiTheme="minorHAnsi" w:hAnsiTheme="minorHAnsi" w:cstheme="minorHAnsi"/>
        </w:rPr>
        <w:t>, p. 20.</w:t>
      </w:r>
    </w:p>
  </w:footnote>
  <w:footnote w:id="30">
    <w:p w14:paraId="234260CE"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Reid and Broadhurst, </w:t>
      </w:r>
      <w:r w:rsidRPr="00CB368C">
        <w:rPr>
          <w:rFonts w:asciiTheme="minorHAnsi" w:hAnsiTheme="minorHAnsi" w:cstheme="minorHAnsi"/>
          <w:i/>
          <w:lang w:val="en-GB"/>
        </w:rPr>
        <w:t>The Raven Steals the Light</w:t>
      </w:r>
      <w:r w:rsidRPr="00CB368C">
        <w:rPr>
          <w:rFonts w:asciiTheme="minorHAnsi" w:hAnsiTheme="minorHAnsi" w:cstheme="minorHAnsi"/>
          <w:lang w:val="en-GB"/>
        </w:rPr>
        <w:t>, pp. 23-24.</w:t>
      </w:r>
    </w:p>
  </w:footnote>
  <w:footnote w:id="31">
    <w:p w14:paraId="44887F93"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w:t>
      </w:r>
      <w:r w:rsidRPr="00CB368C">
        <w:rPr>
          <w:rFonts w:asciiTheme="minorHAnsi" w:hAnsiTheme="minorHAnsi" w:cstheme="minorHAnsi"/>
          <w:bCs/>
          <w:lang w:val="en-GB"/>
        </w:rPr>
        <w:t xml:space="preserve">Ricketts, Mac Linscott, ‘The North American Indian Trickster,’ </w:t>
      </w:r>
      <w:r w:rsidRPr="00CB368C">
        <w:rPr>
          <w:rFonts w:asciiTheme="minorHAnsi" w:hAnsiTheme="minorHAnsi" w:cstheme="minorHAnsi"/>
          <w:bCs/>
          <w:i/>
          <w:iCs/>
          <w:lang w:val="en-GB"/>
        </w:rPr>
        <w:t>History of Religions</w:t>
      </w:r>
      <w:r w:rsidRPr="00CB368C">
        <w:rPr>
          <w:rFonts w:asciiTheme="minorHAnsi" w:hAnsiTheme="minorHAnsi" w:cstheme="minorHAnsi"/>
          <w:bCs/>
          <w:lang w:val="en-GB"/>
        </w:rPr>
        <w:t>, 5:2, (1966), 332.</w:t>
      </w:r>
    </w:p>
  </w:footnote>
  <w:footnote w:id="32">
    <w:p w14:paraId="439301D8"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Barber and Barber, </w:t>
      </w:r>
      <w:r w:rsidRPr="00CB368C">
        <w:rPr>
          <w:rFonts w:asciiTheme="minorHAnsi" w:hAnsiTheme="minorHAnsi" w:cstheme="minorHAnsi"/>
          <w:i/>
          <w:iCs/>
        </w:rPr>
        <w:t>When They Severed Earth from Sky</w:t>
      </w:r>
      <w:r w:rsidRPr="00CB368C">
        <w:rPr>
          <w:rFonts w:asciiTheme="minorHAnsi" w:hAnsiTheme="minorHAnsi" w:cstheme="minorHAnsi"/>
        </w:rPr>
        <w:t>, p. 25.</w:t>
      </w:r>
    </w:p>
  </w:footnote>
  <w:footnote w:id="33">
    <w:p w14:paraId="79BA9455" w14:textId="77777777" w:rsidR="00CB368C" w:rsidRPr="00CB368C" w:rsidRDefault="00CB368C" w:rsidP="00CB368C">
      <w:pPr>
        <w:rPr>
          <w:rFonts w:asciiTheme="minorHAnsi" w:hAnsiTheme="minorHAnsi" w:cstheme="minorHAnsi"/>
          <w:bCs/>
          <w:sz w:val="20"/>
          <w:szCs w:val="20"/>
        </w:rPr>
      </w:pPr>
      <w:r w:rsidRPr="00CB368C">
        <w:rPr>
          <w:rStyle w:val="FootnoteReference"/>
          <w:rFonts w:asciiTheme="minorHAnsi" w:hAnsiTheme="minorHAnsi" w:cstheme="minorHAnsi"/>
          <w:sz w:val="20"/>
          <w:szCs w:val="20"/>
        </w:rPr>
        <w:footnoteRef/>
      </w:r>
      <w:r w:rsidRPr="00CB368C">
        <w:rPr>
          <w:rFonts w:asciiTheme="minorHAnsi" w:hAnsiTheme="minorHAnsi" w:cstheme="minorHAnsi"/>
          <w:sz w:val="20"/>
          <w:szCs w:val="20"/>
        </w:rPr>
        <w:t xml:space="preserve"> </w:t>
      </w:r>
      <w:r w:rsidRPr="00CB368C">
        <w:rPr>
          <w:rFonts w:asciiTheme="minorHAnsi" w:hAnsiTheme="minorHAnsi" w:cstheme="minorHAnsi"/>
          <w:bCs/>
          <w:sz w:val="20"/>
          <w:szCs w:val="20"/>
        </w:rPr>
        <w:t xml:space="preserve">Babcock-Abrahams, Barbara, ‘”A Tolerated Margin of Mess”: The Trickster and his Tales Reconsidered’, </w:t>
      </w:r>
      <w:r w:rsidRPr="00CB368C">
        <w:rPr>
          <w:rFonts w:asciiTheme="minorHAnsi" w:hAnsiTheme="minorHAnsi" w:cstheme="minorHAnsi"/>
          <w:bCs/>
          <w:i/>
          <w:iCs/>
          <w:sz w:val="20"/>
          <w:szCs w:val="20"/>
        </w:rPr>
        <w:t>Journal of the Folklore Institute</w:t>
      </w:r>
      <w:r w:rsidRPr="00CB368C">
        <w:rPr>
          <w:rFonts w:asciiTheme="minorHAnsi" w:hAnsiTheme="minorHAnsi" w:cstheme="minorHAnsi"/>
          <w:bCs/>
          <w:sz w:val="20"/>
          <w:szCs w:val="20"/>
        </w:rPr>
        <w:t>, 11:3 (1975), pp. 148-9.</w:t>
      </w:r>
    </w:p>
  </w:footnote>
  <w:footnote w:id="34">
    <w:p w14:paraId="05D96B0E"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Richard Tarnas, </w:t>
      </w:r>
      <w:r w:rsidRPr="00CB368C">
        <w:rPr>
          <w:rFonts w:asciiTheme="minorHAnsi" w:hAnsiTheme="minorHAnsi" w:cstheme="minorHAnsi"/>
          <w:i/>
          <w:iCs/>
        </w:rPr>
        <w:t>Prometheus the Awakener</w:t>
      </w:r>
      <w:r w:rsidRPr="00CB368C">
        <w:rPr>
          <w:rFonts w:asciiTheme="minorHAnsi" w:hAnsiTheme="minorHAnsi" w:cstheme="minorHAnsi"/>
        </w:rPr>
        <w:t>, (Putnum, CT: Spring Publications, 1995), pp. 18-19.</w:t>
      </w:r>
    </w:p>
  </w:footnote>
  <w:footnote w:id="35">
    <w:p w14:paraId="00ECBA67"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Tarnas, </w:t>
      </w:r>
      <w:r w:rsidRPr="00CB368C">
        <w:rPr>
          <w:rFonts w:asciiTheme="minorHAnsi" w:hAnsiTheme="minorHAnsi" w:cstheme="minorHAnsi"/>
          <w:i/>
          <w:iCs/>
        </w:rPr>
        <w:t>Prometheus</w:t>
      </w:r>
      <w:r w:rsidRPr="00CB368C">
        <w:rPr>
          <w:rFonts w:asciiTheme="minorHAnsi" w:hAnsiTheme="minorHAnsi" w:cstheme="minorHAnsi"/>
        </w:rPr>
        <w:t>, p. 19.</w:t>
      </w:r>
    </w:p>
  </w:footnote>
  <w:footnote w:id="36">
    <w:p w14:paraId="14B7AB61"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w:t>
      </w:r>
      <w:r w:rsidRPr="00CB368C">
        <w:rPr>
          <w:rFonts w:asciiTheme="minorHAnsi" w:hAnsiTheme="minorHAnsi" w:cstheme="minorHAnsi"/>
          <w:bCs/>
          <w:lang w:val="en-GB"/>
        </w:rPr>
        <w:t>Ricketts, ‘Trickster,’ p. 334-335.</w:t>
      </w:r>
    </w:p>
  </w:footnote>
  <w:footnote w:id="37">
    <w:p w14:paraId="65367749" w14:textId="77777777" w:rsidR="00CB368C" w:rsidRPr="00CB368C" w:rsidRDefault="00CB368C" w:rsidP="00CB368C">
      <w:pPr>
        <w:pStyle w:val="FootnoteText"/>
        <w:rPr>
          <w:rFonts w:asciiTheme="minorHAnsi" w:hAnsiTheme="minorHAnsi" w:cstheme="minorHAnsi"/>
        </w:rPr>
      </w:pPr>
      <w:r w:rsidRPr="00CB368C">
        <w:rPr>
          <w:rStyle w:val="FootnoteReference"/>
          <w:rFonts w:asciiTheme="minorHAnsi" w:hAnsiTheme="minorHAnsi" w:cstheme="minorHAnsi"/>
        </w:rPr>
        <w:footnoteRef/>
      </w:r>
      <w:r w:rsidRPr="00CB368C">
        <w:rPr>
          <w:rFonts w:asciiTheme="minorHAnsi" w:hAnsiTheme="minorHAnsi" w:cstheme="minorHAnsi"/>
        </w:rPr>
        <w:t xml:space="preserve"> Ricketts, ‘Trickster,’ p. 335.</w:t>
      </w:r>
    </w:p>
  </w:footnote>
  <w:footnote w:id="38">
    <w:p w14:paraId="758B290F" w14:textId="77777777" w:rsidR="00CB368C" w:rsidRDefault="00CB368C" w:rsidP="00CB368C">
      <w:pPr>
        <w:pStyle w:val="FootnoteText"/>
      </w:pPr>
      <w:r>
        <w:rPr>
          <w:rStyle w:val="FootnoteReference"/>
        </w:rPr>
        <w:footnoteRef/>
      </w:r>
      <w:r>
        <w:t xml:space="preserve"> </w:t>
      </w:r>
      <w:r w:rsidRPr="0009078B">
        <w:rPr>
          <w:rFonts w:cs="Calibri"/>
          <w:bCs/>
          <w:lang w:val="en-GB"/>
        </w:rPr>
        <w:t xml:space="preserve">Ricketts, ‘Trickster,’ </w:t>
      </w:r>
      <w:r>
        <w:rPr>
          <w:rFonts w:cs="Calibri"/>
          <w:bCs/>
          <w:lang w:val="en-GB"/>
        </w:rPr>
        <w:t xml:space="preserve">p. </w:t>
      </w:r>
      <w:r w:rsidRPr="0009078B">
        <w:rPr>
          <w:rFonts w:cs="Calibri"/>
          <w:bCs/>
          <w:lang w:val="en-GB"/>
        </w:rPr>
        <w:t>327</w:t>
      </w:r>
      <w:r>
        <w:rPr>
          <w:rFonts w:cs="Calibri"/>
          <w:bCs/>
          <w:lang w:val="en-GB"/>
        </w:rPr>
        <w:t>-328.</w:t>
      </w:r>
    </w:p>
  </w:footnote>
  <w:footnote w:id="39">
    <w:p w14:paraId="76B31E6E" w14:textId="77777777" w:rsidR="00CB368C" w:rsidRDefault="00CB368C" w:rsidP="00CB368C">
      <w:pPr>
        <w:pStyle w:val="FootnoteText"/>
      </w:pPr>
      <w:r>
        <w:rPr>
          <w:rStyle w:val="FootnoteReference"/>
        </w:rPr>
        <w:footnoteRef/>
      </w:r>
      <w:r>
        <w:t xml:space="preserve"> Ricketts, ‘Trickster,’ p. 340.</w:t>
      </w:r>
    </w:p>
  </w:footnote>
  <w:footnote w:id="40">
    <w:p w14:paraId="50A35713" w14:textId="77777777" w:rsidR="00CB368C" w:rsidRDefault="00CB368C" w:rsidP="00CB368C">
      <w:pPr>
        <w:pStyle w:val="FootnoteText"/>
      </w:pPr>
      <w:r>
        <w:rPr>
          <w:rStyle w:val="FootnoteReference"/>
        </w:rPr>
        <w:footnoteRef/>
      </w:r>
      <w:r>
        <w:t xml:space="preserve"> Babcock-Abrahams, ‘A Tolerated Margin of Mess,’ p. 152; Another example of a similar enduring myth is that of Robin Hood.</w:t>
      </w:r>
    </w:p>
  </w:footnote>
  <w:footnote w:id="41">
    <w:p w14:paraId="25504A26" w14:textId="77777777" w:rsidR="00CB368C" w:rsidRDefault="00CB368C" w:rsidP="00CB368C">
      <w:pPr>
        <w:pStyle w:val="FootnoteText"/>
      </w:pPr>
      <w:r>
        <w:rPr>
          <w:rStyle w:val="FootnoteReference"/>
        </w:rPr>
        <w:footnoteRef/>
      </w:r>
      <w:r>
        <w:t xml:space="preserve"> Patrick Curry, </w:t>
      </w:r>
      <w:r>
        <w:rPr>
          <w:lang w:val="en-GB"/>
        </w:rPr>
        <w:t xml:space="preserve">‘Divination, Enchantment and Platonism,’ in Lall, Jean H. and Angela Voss (eds.), </w:t>
      </w:r>
      <w:r>
        <w:rPr>
          <w:i/>
          <w:iCs/>
          <w:lang w:val="en-GB"/>
        </w:rPr>
        <w:t>The Imaginal Cosmos</w:t>
      </w:r>
      <w:r>
        <w:rPr>
          <w:lang w:val="en-GB"/>
        </w:rPr>
        <w:t xml:space="preserve"> (Canterbury: University of Kent, 2006), pp. 4-5.</w:t>
      </w:r>
    </w:p>
  </w:footnote>
  <w:footnote w:id="42">
    <w:p w14:paraId="143949E8" w14:textId="77777777" w:rsidR="00CB368C" w:rsidRDefault="00CB368C" w:rsidP="00CB368C">
      <w:pPr>
        <w:pStyle w:val="FootnoteText"/>
      </w:pPr>
      <w:r>
        <w:rPr>
          <w:rStyle w:val="FootnoteReference"/>
        </w:rPr>
        <w:footnoteRef/>
      </w:r>
      <w:r>
        <w:t xml:space="preserve"> Sulek, ‘Gifts of Fire,’ p. 2.</w:t>
      </w:r>
    </w:p>
  </w:footnote>
  <w:footnote w:id="43">
    <w:p w14:paraId="74D5024C" w14:textId="77777777" w:rsidR="00CB368C" w:rsidRDefault="00CB368C" w:rsidP="00CB368C">
      <w:pPr>
        <w:pStyle w:val="FootnoteText"/>
      </w:pPr>
      <w:r>
        <w:rPr>
          <w:rStyle w:val="FootnoteReference"/>
        </w:rPr>
        <w:footnoteRef/>
      </w:r>
      <w:r>
        <w:t xml:space="preserve"> Kirk, ‘Greek Mythology,’ p. 82</w:t>
      </w:r>
    </w:p>
  </w:footnote>
  <w:footnote w:id="44">
    <w:p w14:paraId="2AC62694" w14:textId="77777777" w:rsidR="00CB368C" w:rsidRDefault="00CB368C" w:rsidP="00CB368C">
      <w:pPr>
        <w:pStyle w:val="FootnoteText"/>
      </w:pPr>
      <w:r>
        <w:rPr>
          <w:rStyle w:val="FootnoteReference"/>
        </w:rPr>
        <w:footnoteRef/>
      </w:r>
      <w:r>
        <w:t xml:space="preserve"> Sulek, ‘Gifts of Fire,’ p. 5.</w:t>
      </w:r>
    </w:p>
  </w:footnote>
  <w:footnote w:id="45">
    <w:p w14:paraId="0EC2D71B" w14:textId="77777777" w:rsidR="00CB368C" w:rsidRPr="00E110B5" w:rsidRDefault="00CB368C" w:rsidP="00CB368C">
      <w:pPr>
        <w:pStyle w:val="FootnoteText"/>
      </w:pPr>
      <w:r>
        <w:rPr>
          <w:rStyle w:val="FootnoteReference"/>
        </w:rPr>
        <w:footnoteRef/>
      </w:r>
      <w:r>
        <w:t xml:space="preserve"> Ricketts, </w:t>
      </w:r>
      <w:r>
        <w:rPr>
          <w:i/>
          <w:iCs/>
        </w:rPr>
        <w:t>Trickster</w:t>
      </w:r>
      <w:r>
        <w:t>, p. 347</w:t>
      </w:r>
    </w:p>
  </w:footnote>
  <w:footnote w:id="46">
    <w:p w14:paraId="63C2EA64" w14:textId="77777777" w:rsidR="00CB368C" w:rsidRPr="00545825" w:rsidRDefault="00CB368C" w:rsidP="00CB368C">
      <w:pPr>
        <w:pStyle w:val="FootnoteText"/>
      </w:pPr>
      <w:r>
        <w:rPr>
          <w:rStyle w:val="FootnoteReference"/>
        </w:rPr>
        <w:footnoteRef/>
      </w:r>
      <w:r>
        <w:t xml:space="preserve"> Mircea Eliade, </w:t>
      </w:r>
      <w:r>
        <w:rPr>
          <w:i/>
          <w:iCs/>
        </w:rPr>
        <w:t>The Myth of the Eternal Return</w:t>
      </w:r>
      <w:r>
        <w:t>, (Princeton, NJ: Princeton University Press, 2005 [1954]), pp. 51-2.</w:t>
      </w:r>
    </w:p>
  </w:footnote>
  <w:footnote w:id="47">
    <w:p w14:paraId="47A6F863" w14:textId="77777777" w:rsidR="00CB368C" w:rsidRPr="00CD5794" w:rsidRDefault="00CB368C" w:rsidP="00CB368C">
      <w:pPr>
        <w:pStyle w:val="FootnoteText"/>
      </w:pPr>
      <w:r>
        <w:rPr>
          <w:rStyle w:val="FootnoteReference"/>
        </w:rPr>
        <w:footnoteRef/>
      </w:r>
      <w:r>
        <w:t xml:space="preserve"> Paula R. Hartz, ‘Native American Ceremonies and Rituals,’ Chapter 4 in </w:t>
      </w:r>
      <w:r>
        <w:rPr>
          <w:i/>
          <w:iCs/>
        </w:rPr>
        <w:t>Native American Religions</w:t>
      </w:r>
      <w:r>
        <w:t>, (Joanne O’Brien and Martin Palmer, series eds.), 3</w:t>
      </w:r>
      <w:r w:rsidRPr="00CD5794">
        <w:rPr>
          <w:vertAlign w:val="superscript"/>
        </w:rPr>
        <w:t>rd</w:t>
      </w:r>
      <w:r>
        <w:t xml:space="preserve"> ed. (NY: Chelsea House Publications, 2009 [1997]), pp. 71-2.</w:t>
      </w:r>
    </w:p>
  </w:footnote>
  <w:footnote w:id="48">
    <w:p w14:paraId="6B93C3AE" w14:textId="77777777" w:rsidR="00CB368C" w:rsidRPr="000044B6" w:rsidRDefault="00CB368C" w:rsidP="00CB368C">
      <w:pPr>
        <w:pStyle w:val="FootnoteText"/>
      </w:pPr>
      <w:r>
        <w:rPr>
          <w:rStyle w:val="FootnoteReference"/>
        </w:rPr>
        <w:footnoteRef/>
      </w:r>
      <w:r>
        <w:t xml:space="preserve"> Ricketts, </w:t>
      </w:r>
      <w:r>
        <w:rPr>
          <w:i/>
          <w:iCs/>
        </w:rPr>
        <w:t>Trickster</w:t>
      </w:r>
      <w:r>
        <w:t>, p. 344.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szCs w:val="20"/>
      </w:rPr>
      <w:id w:val="-1318336367"/>
      <w:docPartObj>
        <w:docPartGallery w:val="Page Numbers (Top of Page)"/>
        <w:docPartUnique/>
      </w:docPartObj>
    </w:sdtPr>
    <w:sdtContent>
      <w:p w14:paraId="20264A20" w14:textId="26BD3D39" w:rsidR="00CB368C" w:rsidRPr="00CB368C" w:rsidRDefault="00CB368C">
        <w:pPr>
          <w:pStyle w:val="Header"/>
          <w:jc w:val="right"/>
          <w:rPr>
            <w:sz w:val="20"/>
            <w:szCs w:val="20"/>
          </w:rPr>
        </w:pPr>
        <w:r w:rsidRPr="00CB368C">
          <w:rPr>
            <w:sz w:val="20"/>
            <w:szCs w:val="20"/>
          </w:rPr>
          <w:t xml:space="preserve">Amy C. Simes </w:t>
        </w:r>
        <w:r>
          <w:rPr>
            <w:sz w:val="20"/>
            <w:szCs w:val="20"/>
          </w:rPr>
          <w:t xml:space="preserve"> </w:t>
        </w:r>
        <w:r w:rsidRPr="00CB368C">
          <w:rPr>
            <w:sz w:val="20"/>
            <w:szCs w:val="20"/>
          </w:rPr>
          <w:t xml:space="preserve"> 1903888   Page </w:t>
        </w:r>
        <w:r w:rsidRPr="00CB368C">
          <w:rPr>
            <w:b/>
            <w:bCs/>
            <w:sz w:val="20"/>
            <w:szCs w:val="20"/>
          </w:rPr>
          <w:fldChar w:fldCharType="begin"/>
        </w:r>
        <w:r w:rsidRPr="00CB368C">
          <w:rPr>
            <w:b/>
            <w:bCs/>
            <w:sz w:val="20"/>
            <w:szCs w:val="20"/>
          </w:rPr>
          <w:instrText xml:space="preserve"> PAGE </w:instrText>
        </w:r>
        <w:r w:rsidRPr="00CB368C">
          <w:rPr>
            <w:b/>
            <w:bCs/>
            <w:sz w:val="20"/>
            <w:szCs w:val="20"/>
          </w:rPr>
          <w:fldChar w:fldCharType="separate"/>
        </w:r>
        <w:r w:rsidRPr="00CB368C">
          <w:rPr>
            <w:b/>
            <w:bCs/>
            <w:noProof/>
            <w:sz w:val="20"/>
            <w:szCs w:val="20"/>
          </w:rPr>
          <w:t>2</w:t>
        </w:r>
        <w:r w:rsidRPr="00CB368C">
          <w:rPr>
            <w:b/>
            <w:bCs/>
            <w:sz w:val="20"/>
            <w:szCs w:val="20"/>
          </w:rPr>
          <w:fldChar w:fldCharType="end"/>
        </w:r>
        <w:r w:rsidRPr="00CB368C">
          <w:rPr>
            <w:sz w:val="20"/>
            <w:szCs w:val="20"/>
          </w:rPr>
          <w:t xml:space="preserve"> of </w:t>
        </w:r>
        <w:r w:rsidRPr="00CB368C">
          <w:rPr>
            <w:b/>
            <w:bCs/>
            <w:sz w:val="20"/>
            <w:szCs w:val="20"/>
          </w:rPr>
          <w:fldChar w:fldCharType="begin"/>
        </w:r>
        <w:r w:rsidRPr="00CB368C">
          <w:rPr>
            <w:b/>
            <w:bCs/>
            <w:sz w:val="20"/>
            <w:szCs w:val="20"/>
          </w:rPr>
          <w:instrText xml:space="preserve"> NUMPAGES  </w:instrText>
        </w:r>
        <w:r w:rsidRPr="00CB368C">
          <w:rPr>
            <w:b/>
            <w:bCs/>
            <w:sz w:val="20"/>
            <w:szCs w:val="20"/>
          </w:rPr>
          <w:fldChar w:fldCharType="separate"/>
        </w:r>
        <w:r w:rsidRPr="00CB368C">
          <w:rPr>
            <w:b/>
            <w:bCs/>
            <w:noProof/>
            <w:sz w:val="20"/>
            <w:szCs w:val="20"/>
          </w:rPr>
          <w:t>2</w:t>
        </w:r>
        <w:r w:rsidRPr="00CB368C">
          <w:rPr>
            <w:b/>
            <w:bCs/>
            <w:sz w:val="20"/>
            <w:szCs w:val="20"/>
          </w:rPr>
          <w:fldChar w:fldCharType="end"/>
        </w:r>
      </w:p>
    </w:sdtContent>
  </w:sdt>
  <w:p w14:paraId="6F76544A" w14:textId="77777777" w:rsidR="00CB368C" w:rsidRDefault="00CB36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84FDB"/>
    <w:multiLevelType w:val="hybridMultilevel"/>
    <w:tmpl w:val="A8DC9202"/>
    <w:lvl w:ilvl="0" w:tplc="F4609DF8">
      <w:start w:val="13"/>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68C"/>
    <w:rsid w:val="000E6923"/>
    <w:rsid w:val="001628F2"/>
    <w:rsid w:val="00CB368C"/>
    <w:rsid w:val="00FD6F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9B88D"/>
  <w15:chartTrackingRefBased/>
  <w15:docId w15:val="{50B49DB8-BDC8-4DDC-BEA2-C6EB2D544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68C"/>
    <w:pPr>
      <w:spacing w:after="0" w:line="240" w:lineRule="auto"/>
    </w:pPr>
    <w:rPr>
      <w:rFonts w:ascii="Times New Roman" w:eastAsia="SimSun" w:hAnsi="Times New Roman" w:cs="Times New Roman"/>
      <w:sz w:val="24"/>
      <w:szCs w:val="24"/>
      <w:lang w:val="en-GB" w:eastAsia="zh-CN"/>
    </w:rPr>
  </w:style>
  <w:style w:type="paragraph" w:styleId="Heading3">
    <w:name w:val="heading 3"/>
    <w:basedOn w:val="Normal"/>
    <w:link w:val="Heading3Char"/>
    <w:qFormat/>
    <w:rsid w:val="00CB368C"/>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B368C"/>
    <w:rPr>
      <w:rFonts w:ascii="Tahoma" w:eastAsia="SimSun" w:hAnsi="Tahoma" w:cs="Tahoma"/>
      <w:b/>
      <w:bCs/>
      <w:sz w:val="20"/>
      <w:szCs w:val="20"/>
      <w:lang w:val="en-GB" w:eastAsia="zh-CN"/>
    </w:rPr>
  </w:style>
  <w:style w:type="paragraph" w:styleId="NormalWeb">
    <w:name w:val="Normal (Web)"/>
    <w:basedOn w:val="Normal"/>
    <w:uiPriority w:val="99"/>
    <w:rsid w:val="00CB368C"/>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CB368C"/>
    <w:pPr>
      <w:tabs>
        <w:tab w:val="center" w:pos="4513"/>
        <w:tab w:val="right" w:pos="9026"/>
      </w:tabs>
    </w:pPr>
    <w:rPr>
      <w:lang w:val="x-none"/>
    </w:rPr>
  </w:style>
  <w:style w:type="character" w:customStyle="1" w:styleId="FooterChar">
    <w:name w:val="Footer Char"/>
    <w:basedOn w:val="DefaultParagraphFont"/>
    <w:link w:val="Footer"/>
    <w:uiPriority w:val="99"/>
    <w:rsid w:val="00CB368C"/>
    <w:rPr>
      <w:rFonts w:ascii="Times New Roman" w:eastAsia="SimSun" w:hAnsi="Times New Roman" w:cs="Times New Roman"/>
      <w:sz w:val="24"/>
      <w:szCs w:val="24"/>
      <w:lang w:val="x-none" w:eastAsia="zh-CN"/>
    </w:rPr>
  </w:style>
  <w:style w:type="paragraph" w:styleId="ListParagraph">
    <w:name w:val="List Paragraph"/>
    <w:basedOn w:val="Normal"/>
    <w:uiPriority w:val="34"/>
    <w:qFormat/>
    <w:rsid w:val="00CB368C"/>
    <w:pPr>
      <w:spacing w:after="160" w:line="259" w:lineRule="auto"/>
      <w:ind w:left="720"/>
      <w:contextualSpacing/>
    </w:pPr>
    <w:rPr>
      <w:rFonts w:ascii="Calibri" w:eastAsia="Calibri" w:hAnsi="Calibri"/>
      <w:sz w:val="22"/>
      <w:szCs w:val="22"/>
      <w:lang w:val="en-US" w:eastAsia="en-US"/>
    </w:rPr>
  </w:style>
  <w:style w:type="paragraph" w:styleId="FootnoteText">
    <w:name w:val="footnote text"/>
    <w:basedOn w:val="Normal"/>
    <w:link w:val="FootnoteTextChar"/>
    <w:uiPriority w:val="99"/>
    <w:semiHidden/>
    <w:unhideWhenUsed/>
    <w:rsid w:val="00CB368C"/>
    <w:rPr>
      <w:rFonts w:ascii="Calibri" w:eastAsia="Calibri" w:hAnsi="Calibri"/>
      <w:sz w:val="20"/>
      <w:szCs w:val="20"/>
      <w:lang w:val="en-US" w:eastAsia="en-US"/>
    </w:rPr>
  </w:style>
  <w:style w:type="character" w:customStyle="1" w:styleId="FootnoteTextChar">
    <w:name w:val="Footnote Text Char"/>
    <w:basedOn w:val="DefaultParagraphFont"/>
    <w:link w:val="FootnoteText"/>
    <w:uiPriority w:val="99"/>
    <w:semiHidden/>
    <w:rsid w:val="00CB368C"/>
    <w:rPr>
      <w:rFonts w:ascii="Calibri" w:eastAsia="Calibri" w:hAnsi="Calibri" w:cs="Times New Roman"/>
      <w:sz w:val="20"/>
      <w:szCs w:val="20"/>
    </w:rPr>
  </w:style>
  <w:style w:type="character" w:styleId="FootnoteReference">
    <w:name w:val="footnote reference"/>
    <w:uiPriority w:val="99"/>
    <w:semiHidden/>
    <w:unhideWhenUsed/>
    <w:rsid w:val="00CB368C"/>
    <w:rPr>
      <w:vertAlign w:val="superscript"/>
    </w:rPr>
  </w:style>
  <w:style w:type="character" w:styleId="UnresolvedMention">
    <w:name w:val="Unresolved Mention"/>
    <w:uiPriority w:val="99"/>
    <w:semiHidden/>
    <w:unhideWhenUsed/>
    <w:rsid w:val="00CB368C"/>
    <w:rPr>
      <w:color w:val="605E5C"/>
      <w:shd w:val="clear" w:color="auto" w:fill="E1DFDD"/>
    </w:rPr>
  </w:style>
  <w:style w:type="paragraph" w:styleId="Header">
    <w:name w:val="header"/>
    <w:basedOn w:val="Normal"/>
    <w:link w:val="HeaderChar"/>
    <w:uiPriority w:val="99"/>
    <w:unhideWhenUsed/>
    <w:rsid w:val="00CB368C"/>
    <w:pPr>
      <w:tabs>
        <w:tab w:val="center" w:pos="4680"/>
        <w:tab w:val="right" w:pos="9360"/>
      </w:tabs>
      <w:spacing w:after="160" w:line="259" w:lineRule="auto"/>
    </w:pPr>
    <w:rPr>
      <w:rFonts w:ascii="Calibri" w:eastAsia="Calibri" w:hAnsi="Calibri"/>
      <w:sz w:val="22"/>
      <w:szCs w:val="22"/>
      <w:lang w:val="en-US" w:eastAsia="en-US"/>
    </w:rPr>
  </w:style>
  <w:style w:type="character" w:customStyle="1" w:styleId="HeaderChar">
    <w:name w:val="Header Char"/>
    <w:basedOn w:val="DefaultParagraphFont"/>
    <w:link w:val="Header"/>
    <w:uiPriority w:val="99"/>
    <w:rsid w:val="00CB368C"/>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4109</Words>
  <Characters>23422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Maysi Sem</dc:creator>
  <cp:keywords/>
  <dc:description/>
  <cp:lastModifiedBy>Maysi Sem</cp:lastModifiedBy>
  <cp:revision>1</cp:revision>
  <dcterms:created xsi:type="dcterms:W3CDTF">2019-12-08T21:01:00Z</dcterms:created>
  <dcterms:modified xsi:type="dcterms:W3CDTF">2019-12-08T21:14:00Z</dcterms:modified>
</cp:coreProperties>
</file>