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04161190"/>
        <w:docPartObj>
          <w:docPartGallery w:val="Cover Pages"/>
          <w:docPartUnique/>
        </w:docPartObj>
      </w:sdtPr>
      <w:sdtEndPr>
        <w:rPr>
          <w:rFonts w:ascii="Arial" w:hAnsi="Arial" w:cs="Arial"/>
          <w:color w:val="222222"/>
          <w:sz w:val="28"/>
          <w:szCs w:val="28"/>
        </w:rPr>
      </w:sdtEndPr>
      <w:sdtContent>
        <w:p w14:paraId="24815442" w14:textId="64C0A2E9" w:rsidR="0083236B" w:rsidRDefault="0083236B">
          <w:r>
            <w:rPr>
              <w:noProof/>
            </w:rPr>
            <mc:AlternateContent>
              <mc:Choice Requires="wpg">
                <w:drawing>
                  <wp:anchor distT="0" distB="0" distL="114300" distR="114300" simplePos="0" relativeHeight="251659264" behindDoc="1" locked="0" layoutInCell="1" allowOverlap="1" wp14:anchorId="108A2A84" wp14:editId="1F8DC8D2">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5A6DD03" w14:textId="2919066E" w:rsidR="0083236B" w:rsidRDefault="0083236B">
                                      <w:pPr>
                                        <w:pStyle w:val="NoSpacing"/>
                                        <w:spacing w:before="120"/>
                                        <w:jc w:val="center"/>
                                        <w:rPr>
                                          <w:color w:val="FFFFFF" w:themeColor="background1"/>
                                        </w:rPr>
                                      </w:pPr>
                                      <w:r>
                                        <w:rPr>
                                          <w:color w:val="FFFFFF" w:themeColor="background1"/>
                                        </w:rPr>
                                        <w:t>Heresh Shareef Aubed (1705968)</w:t>
                                      </w:r>
                                    </w:p>
                                  </w:sdtContent>
                                </w:sdt>
                                <w:p w14:paraId="7D799C85" w14:textId="6A75FA64" w:rsidR="0083236B" w:rsidRDefault="0083236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proofErr w:type="gramStart"/>
                                      <w:r w:rsidR="00AB7983">
                                        <w:rPr>
                                          <w:caps/>
                                          <w:color w:val="FFFFFF" w:themeColor="background1"/>
                                        </w:rPr>
                                        <w:t>06,MAY</w:t>
                                      </w:r>
                                      <w:proofErr w:type="gramEnd"/>
                                      <w:r w:rsidR="00AB7983">
                                        <w:rPr>
                                          <w:caps/>
                                          <w:color w:val="FFFFFF" w:themeColor="background1"/>
                                        </w:rPr>
                                        <w:t>,2021</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8C26146" w14:textId="46029F08" w:rsidR="0083236B" w:rsidRDefault="0083236B">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aps/>
                                          <w:color w:val="4472C4" w:themeColor="accent1"/>
                                          <w:sz w:val="72"/>
                                          <w:szCs w:val="72"/>
                                        </w:rPr>
                                        <w:t>ASSIGHNMENT</w:t>
                                      </w:r>
                                    </w:sdtContent>
                                  </w:sdt>
                                  <w:r>
                                    <w:rPr>
                                      <w:rFonts w:asciiTheme="majorHAnsi" w:eastAsiaTheme="majorEastAsia" w:hAnsiTheme="majorHAnsi" w:cstheme="majorBidi"/>
                                      <w:caps/>
                                      <w:color w:val="4472C4" w:themeColor="accent1"/>
                                      <w:sz w:val="72"/>
                                      <w:szCs w:val="72"/>
                                    </w:rPr>
                                    <w:t xml:space="preserve"> 2</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08A2A84"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5A6DD03" w14:textId="2919066E" w:rsidR="0083236B" w:rsidRDefault="0083236B">
                                <w:pPr>
                                  <w:pStyle w:val="NoSpacing"/>
                                  <w:spacing w:before="120"/>
                                  <w:jc w:val="center"/>
                                  <w:rPr>
                                    <w:color w:val="FFFFFF" w:themeColor="background1"/>
                                  </w:rPr>
                                </w:pPr>
                                <w:r>
                                  <w:rPr>
                                    <w:color w:val="FFFFFF" w:themeColor="background1"/>
                                  </w:rPr>
                                  <w:t>Heresh Shareef Aubed (1705968)</w:t>
                                </w:r>
                              </w:p>
                            </w:sdtContent>
                          </w:sdt>
                          <w:p w14:paraId="7D799C85" w14:textId="6A75FA64" w:rsidR="0083236B" w:rsidRDefault="0083236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proofErr w:type="gramStart"/>
                                <w:r w:rsidR="00AB7983">
                                  <w:rPr>
                                    <w:caps/>
                                    <w:color w:val="FFFFFF" w:themeColor="background1"/>
                                  </w:rPr>
                                  <w:t>06,MAY</w:t>
                                </w:r>
                                <w:proofErr w:type="gramEnd"/>
                                <w:r w:rsidR="00AB7983">
                                  <w:rPr>
                                    <w:caps/>
                                    <w:color w:val="FFFFFF" w:themeColor="background1"/>
                                  </w:rPr>
                                  <w:t>,2021</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p w14:paraId="08C26146" w14:textId="46029F08" w:rsidR="0083236B" w:rsidRDefault="0083236B">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aps/>
                                    <w:color w:val="4472C4" w:themeColor="accent1"/>
                                    <w:sz w:val="72"/>
                                    <w:szCs w:val="72"/>
                                  </w:rPr>
                                  <w:t>ASSIGHNMENT</w:t>
                                </w:r>
                              </w:sdtContent>
                            </w:sdt>
                            <w:r>
                              <w:rPr>
                                <w:rFonts w:asciiTheme="majorHAnsi" w:eastAsiaTheme="majorEastAsia" w:hAnsiTheme="majorHAnsi" w:cstheme="majorBidi"/>
                                <w:caps/>
                                <w:color w:val="4472C4" w:themeColor="accent1"/>
                                <w:sz w:val="72"/>
                                <w:szCs w:val="72"/>
                              </w:rPr>
                              <w:t xml:space="preserve"> 2</w:t>
                            </w:r>
                          </w:p>
                        </w:txbxContent>
                      </v:textbox>
                    </v:shape>
                    <w10:wrap anchorx="page" anchory="page"/>
                  </v:group>
                </w:pict>
              </mc:Fallback>
            </mc:AlternateContent>
          </w:r>
        </w:p>
        <w:p w14:paraId="5CEA643D" w14:textId="1D5DE2FA" w:rsidR="0083236B" w:rsidRDefault="0083236B">
          <w:pPr>
            <w:rPr>
              <w:rFonts w:ascii="Arial" w:eastAsia="Times New Roman" w:hAnsi="Arial" w:cs="Arial"/>
              <w:color w:val="222222"/>
              <w:sz w:val="28"/>
              <w:szCs w:val="28"/>
              <w:lang w:eastAsia="en-GB"/>
            </w:rPr>
          </w:pPr>
          <w:r>
            <w:rPr>
              <w:rFonts w:ascii="Arial" w:hAnsi="Arial" w:cs="Arial"/>
              <w:color w:val="222222"/>
              <w:sz w:val="28"/>
              <w:szCs w:val="28"/>
            </w:rPr>
            <w:br w:type="page"/>
          </w:r>
        </w:p>
      </w:sdtContent>
    </w:sdt>
    <w:p w14:paraId="40E9D3C0" w14:textId="77777777" w:rsidR="002C38EF" w:rsidRPr="00DF37D7" w:rsidRDefault="002C38EF" w:rsidP="002C38EF">
      <w:pPr>
        <w:spacing w:line="480" w:lineRule="auto"/>
        <w:ind w:firstLine="720"/>
        <w:jc w:val="both"/>
        <w:rPr>
          <w:rFonts w:ascii="Times New Roman" w:hAnsi="Times New Roman" w:cs="Times New Roman"/>
        </w:rPr>
      </w:pPr>
      <w:r w:rsidRPr="00DF37D7">
        <w:rPr>
          <w:rFonts w:ascii="Times New Roman" w:hAnsi="Times New Roman" w:cs="Times New Roman"/>
        </w:rPr>
        <w:lastRenderedPageBreak/>
        <w:t xml:space="preserve">Contract law is a body of law that enforces, governs, and interprets covenants related to the exchange of services, properties, goods, and money. It is a covenant between two or more individuals or business organizations, in which there is a promise to do something to advantage or gain, is binding legally. Contract law is under the common law, and therefore the interpretation of the courts may vary among different counties and states. A contract must have participating individuals. It should be legal, mutual, and an offer. This paper will provide evidence in understanding the principles of the contract law and the evidence of case law considering undue influence and duress. The article will deploy techniques, models, methods, and theories to assess and formulate solutions to solving problems, hence evaluating the current situation. The paper will use the case laws to provide evidence and support and look at how both undue influence and duress operate. </w:t>
      </w:r>
    </w:p>
    <w:p w14:paraId="656D32E2" w14:textId="77777777" w:rsidR="002C38EF" w:rsidRPr="00DF37D7" w:rsidRDefault="002C38EF" w:rsidP="002C38EF">
      <w:pPr>
        <w:spacing w:line="480" w:lineRule="auto"/>
        <w:ind w:firstLine="720"/>
        <w:jc w:val="both"/>
        <w:rPr>
          <w:rFonts w:ascii="Times New Roman" w:hAnsi="Times New Roman" w:cs="Times New Roman"/>
        </w:rPr>
      </w:pPr>
      <w:r w:rsidRPr="00DF37D7">
        <w:rPr>
          <w:rFonts w:ascii="Times New Roman" w:hAnsi="Times New Roman" w:cs="Times New Roman"/>
        </w:rPr>
        <w:t>Economic duress to a contract occurs where a party (b) threatens to cancel a contract unless the other party (d) agrees to their condition and hence the party (d) has no other option but to agree to the new terms of the contract. The pressure of (b) is problematic for (d) to bear and the normal difficulty and tumble of the business negotiating and bargaining. The stress of economic coercion takes the form of a threat, and it is illegitimate. The pressure has to be the primary cause of inducing the innocent party to enter a contract for a successful duress claim. Another significant claim for economic duress to succeed is the lack of realistic choices or practical alternatives for the party under pressure.</w:t>
      </w:r>
    </w:p>
    <w:p w14:paraId="2945E28B" w14:textId="77777777" w:rsidR="002C38EF" w:rsidRPr="00DF37D7" w:rsidRDefault="002C38EF" w:rsidP="002C38EF">
      <w:pPr>
        <w:spacing w:line="480" w:lineRule="auto"/>
        <w:ind w:firstLine="720"/>
        <w:jc w:val="both"/>
        <w:rPr>
          <w:rFonts w:ascii="Times New Roman" w:hAnsi="Times New Roman" w:cs="Times New Roman"/>
        </w:rPr>
      </w:pPr>
      <w:r w:rsidRPr="00DF37D7">
        <w:rPr>
          <w:rFonts w:ascii="Times New Roman" w:hAnsi="Times New Roman" w:cs="Times New Roman"/>
        </w:rPr>
        <w:t>It is made clear through case law that not every threat involved in breaking a contract is illegitimate. For example, there was economic duress where a party (b) refused to pay money due under an agreement with the information that party (c) was in financial straits. (b)  He wanted to produce a low amount in full and last settlement on the condition that if the low amount were not accepted, he would pay nothing. However, (c) received the reduced amount as there was no alternative given his financial position.</w:t>
      </w:r>
    </w:p>
    <w:p w14:paraId="7910AB2F" w14:textId="77777777" w:rsidR="002C38EF" w:rsidRPr="00DF37D7" w:rsidRDefault="002C38EF" w:rsidP="002C38EF">
      <w:pPr>
        <w:spacing w:line="480" w:lineRule="auto"/>
        <w:ind w:firstLine="720"/>
        <w:jc w:val="both"/>
        <w:rPr>
          <w:rFonts w:ascii="Times New Roman" w:hAnsi="Times New Roman" w:cs="Times New Roman"/>
        </w:rPr>
      </w:pPr>
      <w:r w:rsidRPr="00DF37D7">
        <w:rPr>
          <w:rFonts w:ascii="Times New Roman" w:hAnsi="Times New Roman" w:cs="Times New Roman"/>
        </w:rPr>
        <w:lastRenderedPageBreak/>
        <w:t>Where a contracting party has no alternative but to agree to the existing contract with variation, to put itself in a position to claim economic duress, the innocent party should produce evidence that the agreement could not be successful in any other place. Secondly, the innocent should make it clear in writing that he is protesting for his right, and lastly, he should avoid the contract as early as possible to avoid loss. Courts do not aid a party engaged in a lousy bargain due to challenging and challenging economic conditions, but economic duress is proved; recession is the primary remedy of the damage or contact.</w:t>
      </w:r>
    </w:p>
    <w:p w14:paraId="0F842F3A" w14:textId="77777777" w:rsidR="002C38EF" w:rsidRPr="00DF37D7" w:rsidRDefault="002C38EF" w:rsidP="002C38EF">
      <w:pPr>
        <w:spacing w:line="480" w:lineRule="auto"/>
        <w:ind w:firstLine="720"/>
        <w:jc w:val="both"/>
        <w:rPr>
          <w:rFonts w:ascii="Times New Roman" w:hAnsi="Times New Roman" w:cs="Times New Roman"/>
        </w:rPr>
      </w:pPr>
      <w:r w:rsidRPr="00DF37D7">
        <w:rPr>
          <w:rFonts w:ascii="Times New Roman" w:hAnsi="Times New Roman" w:cs="Times New Roman"/>
        </w:rPr>
        <w:t>The fundamental concepts, rules, and principles of the contract law are the privy of the contact where a person is a third party and cannot be sued to obtain the agreed performance (</w:t>
      </w:r>
      <w:r w:rsidRPr="00DF37D7">
        <w:rPr>
          <w:rFonts w:ascii="Times New Roman" w:hAnsi="Times New Roman" w:cs="Times New Roman"/>
          <w:color w:val="222222"/>
          <w:shd w:val="clear" w:color="auto" w:fill="FFFFFF"/>
        </w:rPr>
        <w:t>Smits</w:t>
      </w:r>
      <w:r w:rsidRPr="00DF37D7">
        <w:rPr>
          <w:rFonts w:ascii="Times New Roman" w:hAnsi="Times New Roman" w:cs="Times New Roman"/>
        </w:rPr>
        <w:t xml:space="preserve"> 2015.p15</w:t>
      </w:r>
      <w:proofErr w:type="gramStart"/>
      <w:r w:rsidRPr="00DF37D7">
        <w:rPr>
          <w:rFonts w:ascii="Times New Roman" w:hAnsi="Times New Roman" w:cs="Times New Roman"/>
        </w:rPr>
        <w:t>) .Legal</w:t>
      </w:r>
      <w:proofErr w:type="gramEnd"/>
      <w:r w:rsidRPr="00DF37D7">
        <w:rPr>
          <w:rFonts w:ascii="Times New Roman" w:hAnsi="Times New Roman" w:cs="Times New Roman"/>
        </w:rPr>
        <w:t xml:space="preserve"> obligation to be sued or perform a contract arises from the principle of exclusivity of legal relationship .for a person to be sued or sue; he must be a party to the contract. For a written agreement, the person who signed is the legal party, and for an oral contact case, the person who agrees to the terms and conditions is the legal party.</w:t>
      </w:r>
    </w:p>
    <w:p w14:paraId="5D146F01" w14:textId="77777777" w:rsidR="002C38EF" w:rsidRPr="00DF37D7" w:rsidRDefault="002C38EF" w:rsidP="002C38EF">
      <w:pPr>
        <w:spacing w:line="480" w:lineRule="auto"/>
        <w:ind w:firstLine="720"/>
        <w:jc w:val="both"/>
        <w:rPr>
          <w:rFonts w:ascii="Times New Roman" w:hAnsi="Times New Roman" w:cs="Times New Roman"/>
        </w:rPr>
      </w:pPr>
      <w:r w:rsidRPr="00DF37D7">
        <w:rPr>
          <w:rFonts w:ascii="Times New Roman" w:hAnsi="Times New Roman" w:cs="Times New Roman"/>
        </w:rPr>
        <w:t xml:space="preserve">The second principle is that the contract cannot be changed unless the two parties involved agree. Variation of a contract or changing a contract requires the parties to enter into another binding legal agreement to change the previous legal agreement, implying that the terms and conditions of an agreement must be satisfied again. The terms include a new offer, intention to bound legally, acceptance, and considerations. Breach of contract occurs where one legal party of a contract forces on the performance of an agreement that was not </w:t>
      </w:r>
      <w:proofErr w:type="gramStart"/>
      <w:r w:rsidRPr="00DF37D7">
        <w:rPr>
          <w:rFonts w:ascii="Times New Roman" w:hAnsi="Times New Roman" w:cs="Times New Roman"/>
        </w:rPr>
        <w:t>promised</w:t>
      </w:r>
      <w:proofErr w:type="gramEnd"/>
      <w:r w:rsidRPr="00DF37D7">
        <w:rPr>
          <w:rFonts w:ascii="Times New Roman" w:hAnsi="Times New Roman" w:cs="Times New Roman"/>
        </w:rPr>
        <w:t xml:space="preserve"> or one party tries to establish terms different from the original contract state.</w:t>
      </w:r>
    </w:p>
    <w:p w14:paraId="73F35646" w14:textId="77777777" w:rsidR="002C38EF" w:rsidRPr="00DF37D7" w:rsidRDefault="002C38EF" w:rsidP="002C38EF">
      <w:pPr>
        <w:spacing w:line="480" w:lineRule="auto"/>
        <w:ind w:firstLine="720"/>
        <w:jc w:val="both"/>
        <w:rPr>
          <w:rFonts w:ascii="Times New Roman" w:hAnsi="Times New Roman" w:cs="Times New Roman"/>
        </w:rPr>
      </w:pPr>
      <w:r w:rsidRPr="00DF37D7">
        <w:rPr>
          <w:rFonts w:ascii="Times New Roman" w:hAnsi="Times New Roman" w:cs="Times New Roman"/>
        </w:rPr>
        <w:t xml:space="preserve">The capacity to enter into a contract is another principle to be considered before agreeing. Many factors may affect the ability to agree, such as the minor who does not have legal capacity. The mental state may be considered to establish whether the person can enter a legal contract. Courts consider the legality of contacts before they decide, and if a contract </w:t>
      </w:r>
      <w:r w:rsidRPr="00DF37D7">
        <w:rPr>
          <w:rFonts w:ascii="Times New Roman" w:hAnsi="Times New Roman" w:cs="Times New Roman"/>
        </w:rPr>
        <w:lastRenderedPageBreak/>
        <w:t>requires an illegal action, it is void. The rules to an agreement require the involved individuals to include all the considerations in the four corners.</w:t>
      </w:r>
    </w:p>
    <w:p w14:paraId="59419E42" w14:textId="77777777" w:rsidR="002C38EF" w:rsidRPr="00DF37D7" w:rsidRDefault="002C38EF" w:rsidP="002C38EF">
      <w:pPr>
        <w:spacing w:line="480" w:lineRule="auto"/>
        <w:ind w:firstLine="720"/>
        <w:jc w:val="both"/>
        <w:rPr>
          <w:rFonts w:ascii="Times New Roman" w:hAnsi="Times New Roman" w:cs="Times New Roman"/>
        </w:rPr>
      </w:pPr>
      <w:r w:rsidRPr="00DF37D7">
        <w:rPr>
          <w:rFonts w:ascii="Times New Roman" w:hAnsi="Times New Roman" w:cs="Times New Roman"/>
        </w:rPr>
        <w:t>The concept of undue influence aids the court in preventing conflict where there is a relationship of two parties with dependence, trust and confidence, and controlling others. The house of the lord in Etridge viewed the wives as debt securities to their husbands. The case gave the decision to banks on Inquiry of the risk in every case where the relationship between the parties, i.e., debtor and guarantor, is not commercial. The significance of the decision of Etridge is legal as it has come to the court where a reminder is the most recent representation of what they mean in a real sense for advisors, lenders, and borrowers.</w:t>
      </w:r>
    </w:p>
    <w:p w14:paraId="45613A4B" w14:textId="77777777" w:rsidR="002C38EF" w:rsidRPr="00DF37D7" w:rsidRDefault="002C38EF" w:rsidP="002C38EF">
      <w:pPr>
        <w:spacing w:line="480" w:lineRule="auto"/>
        <w:ind w:firstLine="720"/>
        <w:jc w:val="both"/>
        <w:rPr>
          <w:rFonts w:ascii="Times New Roman" w:hAnsi="Times New Roman" w:cs="Times New Roman"/>
        </w:rPr>
      </w:pPr>
      <w:r w:rsidRPr="00DF37D7">
        <w:rPr>
          <w:rFonts w:ascii="Times New Roman" w:hAnsi="Times New Roman" w:cs="Times New Roman"/>
        </w:rPr>
        <w:t xml:space="preserve"> Undue influence occurs when a person attempts to take advantage of another party or person because of their position in power and duress. A person can prove in a law court that he faced coercion, which led the party to agree directly or indirectly. Actual undue influence is proven and evident; an example is where a party threatens to end a relationship unless the other party agrees to specific terms and conditions. For a presumed influence, the victim must have trusted the other party, and the transactions needed explanation.</w:t>
      </w:r>
    </w:p>
    <w:p w14:paraId="3E0633CD" w14:textId="77777777" w:rsidR="002C38EF" w:rsidRPr="00DF37D7" w:rsidRDefault="002C38EF" w:rsidP="002C38EF">
      <w:pPr>
        <w:spacing w:line="480" w:lineRule="auto"/>
        <w:ind w:firstLine="720"/>
        <w:jc w:val="both"/>
        <w:rPr>
          <w:rFonts w:ascii="Times New Roman" w:hAnsi="Times New Roman" w:cs="Times New Roman"/>
        </w:rPr>
      </w:pPr>
      <w:r w:rsidRPr="00DF37D7">
        <w:rPr>
          <w:rFonts w:ascii="Times New Roman" w:hAnsi="Times New Roman" w:cs="Times New Roman"/>
        </w:rPr>
        <w:t xml:space="preserve">In a case where Mrs Brown owned a farm, Allen, her elder son, lived on the farm with his family. Mrs Brown agreed to act as a guarantor for Allen's debt and allegedly gave her farm to HSBC for surety. Allen failed to pay the debts in time, and the bank possessed the farm and argued in the court whether she could rely on the certificate of execution certifying that she had received legal advice </w:t>
      </w:r>
      <w:proofErr w:type="gramStart"/>
      <w:r w:rsidRPr="00DF37D7">
        <w:rPr>
          <w:rFonts w:ascii="Times New Roman" w:hAnsi="Times New Roman" w:cs="Times New Roman"/>
        </w:rPr>
        <w:t>(</w:t>
      </w:r>
      <w:r w:rsidRPr="00DF37D7">
        <w:rPr>
          <w:rFonts w:ascii="Times New Roman" w:hAnsi="Times New Roman" w:cs="Times New Roman"/>
          <w:color w:val="222222"/>
          <w:shd w:val="clear" w:color="auto" w:fill="FFFFFF"/>
        </w:rPr>
        <w:t xml:space="preserve"> Pachiti</w:t>
      </w:r>
      <w:proofErr w:type="gramEnd"/>
      <w:r w:rsidRPr="00DF37D7">
        <w:rPr>
          <w:rFonts w:ascii="Times New Roman" w:hAnsi="Times New Roman" w:cs="Times New Roman"/>
          <w:color w:val="222222"/>
          <w:shd w:val="clear" w:color="auto" w:fill="FFFFFF"/>
        </w:rPr>
        <w:t xml:space="preserve"> 2015.p15)</w:t>
      </w:r>
      <w:r w:rsidRPr="00DF37D7">
        <w:rPr>
          <w:rFonts w:ascii="Times New Roman" w:hAnsi="Times New Roman" w:cs="Times New Roman"/>
        </w:rPr>
        <w:t xml:space="preserve">. In the case, Mrs Brown denied that Mr Jones was the </w:t>
      </w:r>
      <w:proofErr w:type="gramStart"/>
      <w:r w:rsidRPr="00DF37D7">
        <w:rPr>
          <w:rFonts w:ascii="Times New Roman" w:hAnsi="Times New Roman" w:cs="Times New Roman"/>
        </w:rPr>
        <w:t>solicitor</w:t>
      </w:r>
      <w:proofErr w:type="gramEnd"/>
      <w:r w:rsidRPr="00DF37D7">
        <w:rPr>
          <w:rFonts w:ascii="Times New Roman" w:hAnsi="Times New Roman" w:cs="Times New Roman"/>
        </w:rPr>
        <w:t xml:space="preserve"> and her evidence was that she had been told to sigh, but Mrs Brown had not received advice.</w:t>
      </w:r>
    </w:p>
    <w:p w14:paraId="0EFE102C" w14:textId="77777777" w:rsidR="002C38EF" w:rsidRPr="00DF37D7" w:rsidRDefault="002C38EF" w:rsidP="002C38EF">
      <w:pPr>
        <w:spacing w:line="480" w:lineRule="auto"/>
        <w:ind w:firstLine="720"/>
        <w:jc w:val="both"/>
        <w:rPr>
          <w:rFonts w:ascii="Times New Roman" w:hAnsi="Times New Roman" w:cs="Times New Roman"/>
        </w:rPr>
      </w:pPr>
      <w:r w:rsidRPr="00DF37D7">
        <w:rPr>
          <w:rFonts w:ascii="Times New Roman" w:hAnsi="Times New Roman" w:cs="Times New Roman"/>
        </w:rPr>
        <w:t xml:space="preserve">The remedy and the decision of the court was the guidance to Etridge which objective is to prevent suspected borrowers from due influence. It arises where a family member requests security from the owner for a loan over their home. The guarantor should attend a private </w:t>
      </w:r>
      <w:r w:rsidRPr="00DF37D7">
        <w:rPr>
          <w:rFonts w:ascii="Times New Roman" w:hAnsi="Times New Roman" w:cs="Times New Roman"/>
        </w:rPr>
        <w:lastRenderedPageBreak/>
        <w:t>meeting where they are informed of the liability, advised to take legal advice, and informed of the risk as it was held by the house of the Lords in Etridge. On the other hand, the lender must ensure that the guarantor has been advised legally, and a written and signed confirmation should be made from the solicitor and should be detailed and thoroughly explained.</w:t>
      </w:r>
    </w:p>
    <w:p w14:paraId="43BF3383" w14:textId="77777777" w:rsidR="002C38EF" w:rsidRPr="00DF37D7" w:rsidRDefault="002C38EF" w:rsidP="002C38EF">
      <w:pPr>
        <w:spacing w:line="480" w:lineRule="auto"/>
        <w:ind w:firstLine="720"/>
        <w:jc w:val="both"/>
        <w:rPr>
          <w:rFonts w:ascii="Times New Roman" w:hAnsi="Times New Roman" w:cs="Times New Roman"/>
        </w:rPr>
      </w:pPr>
      <w:r w:rsidRPr="00DF37D7">
        <w:rPr>
          <w:rFonts w:ascii="Times New Roman" w:hAnsi="Times New Roman" w:cs="Times New Roman"/>
        </w:rPr>
        <w:t>The requirements which have to be fulfilled by the solicitor are set out in Etridge and include giving the guarantor the reasons for the legal advice, considering the conflict of roles, and ensuring he meets with the guarantor face-to-face. The document's details should be discussed in the meeting, including the risk and the alternatives should be listed, and it should be clear that only the surety should choose on the alternative. The court did not find undue influence or pressure by Allen over Mrs Brown, and it concluded that Mrs Brown had no financial gain in favour of Allen over her farm. Lack of invoice from the solicitor requiring Mrs Brown to pay for advice given over the charge was also noted. By not Meeting the guarantor, the court was determined to have failed to meet the requirement needed by Etridge. The bank also failed as they did not inform the surety to take legal advice, and they did not even ask on the name of the solicitor who was nominated, and thus the bank was not able to claim the farm, and the charge was unenforceable.</w:t>
      </w:r>
    </w:p>
    <w:p w14:paraId="19280607" w14:textId="77777777" w:rsidR="002C38EF" w:rsidRPr="00DF37D7" w:rsidRDefault="002C38EF" w:rsidP="002C38EF">
      <w:pPr>
        <w:spacing w:line="480" w:lineRule="auto"/>
        <w:ind w:firstLine="720"/>
        <w:jc w:val="both"/>
        <w:rPr>
          <w:rFonts w:ascii="Times New Roman" w:hAnsi="Times New Roman" w:cs="Times New Roman"/>
        </w:rPr>
      </w:pPr>
      <w:r w:rsidRPr="00DF37D7">
        <w:rPr>
          <w:rFonts w:ascii="Times New Roman" w:hAnsi="Times New Roman" w:cs="Times New Roman"/>
        </w:rPr>
        <w:t xml:space="preserve">The case shows depending on a certificate of execution, and any documentary evidence lacks showing that Etridge has complied. It was not enough to enforce a charge's lender should comply with the guidelines of the Etridge and minimize the risk of losing their finances in the future, and they should document the steps it will take. Compliance will aid in guiding the risk of a charge that is unenforceable and avoid the litigation expense. The lender should comply as it is crucial. The solicitors under Etridge have to provide advice to the guarantor, which is legal and </w:t>
      </w:r>
      <w:proofErr w:type="gramStart"/>
      <w:r w:rsidRPr="00DF37D7">
        <w:rPr>
          <w:rFonts w:ascii="Times New Roman" w:hAnsi="Times New Roman" w:cs="Times New Roman"/>
        </w:rPr>
        <w:t>independent .the</w:t>
      </w:r>
      <w:proofErr w:type="gramEnd"/>
      <w:r w:rsidRPr="00DF37D7">
        <w:rPr>
          <w:rFonts w:ascii="Times New Roman" w:hAnsi="Times New Roman" w:cs="Times New Roman"/>
        </w:rPr>
        <w:t xml:space="preserve"> lenders may claim against the solicitor if they find that they do not have a valid legal charge to enforce.</w:t>
      </w:r>
    </w:p>
    <w:p w14:paraId="2F7C016D" w14:textId="77777777" w:rsidR="002C38EF" w:rsidRPr="00DF37D7" w:rsidRDefault="002C38EF" w:rsidP="002C38EF">
      <w:pPr>
        <w:spacing w:line="480" w:lineRule="auto"/>
        <w:ind w:firstLine="720"/>
        <w:jc w:val="both"/>
        <w:rPr>
          <w:rFonts w:ascii="Times New Roman" w:hAnsi="Times New Roman" w:cs="Times New Roman"/>
        </w:rPr>
      </w:pPr>
      <w:r w:rsidRPr="00DF37D7">
        <w:rPr>
          <w:rFonts w:ascii="Times New Roman" w:hAnsi="Times New Roman" w:cs="Times New Roman"/>
        </w:rPr>
        <w:lastRenderedPageBreak/>
        <w:t>In Skeate v Beale, a covenant to return unlawful goods detained was valid as it was held. Tenant-owned money to the landlord, and therefore the landlord had taken goods owned by the tenant and pressurized to dispose of the goods unless the tenant entered into a contract to pay the amount overdue. The tenant set the agreement aside for duress and agreed to the terms, and it was held that it is not sufficient to render an agreement void due to duress to good. The principle in 1915 was criticized where it was held goods were recovered unlawfully by paying money.</w:t>
      </w:r>
    </w:p>
    <w:p w14:paraId="434F85FE" w14:textId="77777777" w:rsidR="002C38EF" w:rsidRPr="00DF37D7" w:rsidRDefault="002C38EF" w:rsidP="002C38EF">
      <w:pPr>
        <w:spacing w:line="480" w:lineRule="auto"/>
        <w:ind w:firstLine="720"/>
        <w:jc w:val="both"/>
        <w:rPr>
          <w:rFonts w:ascii="Times New Roman" w:hAnsi="Times New Roman" w:cs="Times New Roman"/>
        </w:rPr>
      </w:pPr>
      <w:r w:rsidRPr="00DF37D7">
        <w:rPr>
          <w:rFonts w:ascii="Times New Roman" w:hAnsi="Times New Roman" w:cs="Times New Roman"/>
        </w:rPr>
        <w:t>In an Australian case, Barton v Armstrong the threat involved was a death threat, but it does amount to be a reason to agree. The death threat did not involve physical harm, and it did not amount to coercion. The case was narrow when considering duress as both Armstrong and Barton were shareholders, and in a meeting, Armstrong's interest will be purchased by Barton. Both parties agreed, and the covenant was executed. Later Barton claimed that Armstrong had threatened to kill him, and hence he was threatened and ended up buying the shares. The pressure exerted by Armstrong made the terms of agreement voidable. It was held that it was sufficient to enter into an agreement where Armstrong threatened to kill him, and hence the contract could be set aside.</w:t>
      </w:r>
    </w:p>
    <w:p w14:paraId="5CD4417B" w14:textId="77777777" w:rsidR="002C38EF" w:rsidRPr="00DF37D7" w:rsidRDefault="002C38EF" w:rsidP="002C38EF">
      <w:pPr>
        <w:spacing w:line="480" w:lineRule="auto"/>
        <w:ind w:firstLine="720"/>
        <w:jc w:val="both"/>
        <w:rPr>
          <w:rFonts w:ascii="Times New Roman" w:hAnsi="Times New Roman" w:cs="Times New Roman"/>
        </w:rPr>
      </w:pPr>
      <w:r w:rsidRPr="00DF37D7">
        <w:rPr>
          <w:rFonts w:ascii="Times New Roman" w:hAnsi="Times New Roman" w:cs="Times New Roman"/>
        </w:rPr>
        <w:t xml:space="preserve">Lord Scarman established that two elements were required for economic coercion in Pao </w:t>
      </w:r>
      <w:proofErr w:type="gramStart"/>
      <w:r w:rsidRPr="00DF37D7">
        <w:rPr>
          <w:rFonts w:ascii="Times New Roman" w:hAnsi="Times New Roman" w:cs="Times New Roman"/>
        </w:rPr>
        <w:t>On</w:t>
      </w:r>
      <w:proofErr w:type="gramEnd"/>
      <w:r w:rsidRPr="00DF37D7">
        <w:rPr>
          <w:rFonts w:ascii="Times New Roman" w:hAnsi="Times New Roman" w:cs="Times New Roman"/>
        </w:rPr>
        <w:t xml:space="preserve"> v Lau Yiu Long: a pressure that vitiates consent from a threat of will and a threat or pressure illegitimate. There must be evidence that payment or the agreement was not voluntary for a case to amount to economic duress. In this case, the claimant threatened to fail to finish the signed agreement for buying shares unless the subsidiary's agreement was involving indemnity and good faith and a guarantee. There was a public announcement on the acquisition of shares. He was not interested in undermining the company's confidence in the public and was anxious to complete the prior agreement. The company's reputation would be damaged, and the matter would be delayed, and thus, the defendant could sue for the performance of the </w:t>
      </w:r>
      <w:r w:rsidRPr="00DF37D7">
        <w:rPr>
          <w:rFonts w:ascii="Times New Roman" w:hAnsi="Times New Roman" w:cs="Times New Roman"/>
        </w:rPr>
        <w:lastRenderedPageBreak/>
        <w:t xml:space="preserve">specific agreement. The defendant asked for legal advice on the matters before entering into the contract of indemnity and guarantee. The defendant had the promise set aside, and the claimant enforced the guarantee. It was held that there was no economic duress. In applying the Atlantic Baron approach, the Privy Council held no binding agreement or economic pressure in the usual </w:t>
      </w:r>
      <w:r>
        <w:rPr>
          <w:rFonts w:ascii="Times New Roman" w:hAnsi="Times New Roman" w:cs="Times New Roman"/>
        </w:rPr>
        <w:t>business standard</w:t>
      </w:r>
      <w:r w:rsidRPr="00DF37D7">
        <w:rPr>
          <w:rFonts w:ascii="Times New Roman" w:hAnsi="Times New Roman" w:cs="Times New Roman"/>
        </w:rPr>
        <w:t>s. The four factors to consider in determining the presence of economic duress identified by the Privy Council are whether they were threatened to agree, whether they were advised, whether there are any steps they took to avoid the contract and whether there was any other available course of action.</w:t>
      </w:r>
    </w:p>
    <w:p w14:paraId="55E0EE37" w14:textId="77777777" w:rsidR="002C38EF" w:rsidRPr="00DF37D7" w:rsidRDefault="002C38EF" w:rsidP="002C38EF">
      <w:pPr>
        <w:spacing w:line="480" w:lineRule="auto"/>
        <w:ind w:firstLine="720"/>
        <w:jc w:val="both"/>
        <w:rPr>
          <w:rFonts w:ascii="Times New Roman" w:hAnsi="Times New Roman" w:cs="Times New Roman"/>
        </w:rPr>
      </w:pPr>
      <w:r w:rsidRPr="00DF37D7">
        <w:rPr>
          <w:rFonts w:ascii="Times New Roman" w:hAnsi="Times New Roman" w:cs="Times New Roman"/>
        </w:rPr>
        <w:t xml:space="preserve">In the case ofAtlas v kafco (distributors and </w:t>
      </w:r>
      <w:proofErr w:type="gramStart"/>
      <w:r w:rsidRPr="00DF37D7">
        <w:rPr>
          <w:rFonts w:ascii="Times New Roman" w:hAnsi="Times New Roman" w:cs="Times New Roman"/>
        </w:rPr>
        <w:t>importers)ltd</w:t>
      </w:r>
      <w:proofErr w:type="gramEnd"/>
      <w:r w:rsidRPr="00DF37D7">
        <w:rPr>
          <w:rFonts w:ascii="Times New Roman" w:hAnsi="Times New Roman" w:cs="Times New Roman"/>
        </w:rPr>
        <w:t xml:space="preserve">, the bakeware company had been given a contract to supply Woolworth its valuable products. The carriers wanted to increase the charges when the contract was made and threatened to stop delivering the products unless the prices increased. This time was vulnerable for Kafco as it was during the Christmas period, and shops required deliveries. Hence, there was no time to find another carrier </w:t>
      </w:r>
      <w:proofErr w:type="gramStart"/>
      <w:r w:rsidRPr="00DF37D7">
        <w:rPr>
          <w:rFonts w:ascii="Times New Roman" w:hAnsi="Times New Roman" w:cs="Times New Roman"/>
        </w:rPr>
        <w:t>( Pachiti</w:t>
      </w:r>
      <w:proofErr w:type="gramEnd"/>
      <w:r w:rsidRPr="00DF37D7">
        <w:rPr>
          <w:rFonts w:ascii="Times New Roman" w:hAnsi="Times New Roman" w:cs="Times New Roman"/>
        </w:rPr>
        <w:t xml:space="preserve"> 2015.p15) Kafco agreed to the new terms and conditions. Still, later on, they denied paying the extra costs. the court held that the promise to pay the extra had been established through coercion, and it was not binding. Kafco had no alternative but to agree, and therefore, the pressure applied was illegitimate.</w:t>
      </w:r>
    </w:p>
    <w:p w14:paraId="311F885A" w14:textId="77777777" w:rsidR="002C38EF" w:rsidRPr="00DF37D7" w:rsidRDefault="002C38EF" w:rsidP="002C38EF">
      <w:pPr>
        <w:spacing w:line="480" w:lineRule="auto"/>
        <w:ind w:firstLine="720"/>
        <w:jc w:val="both"/>
        <w:rPr>
          <w:rFonts w:ascii="Times New Roman" w:hAnsi="Times New Roman" w:cs="Times New Roman"/>
        </w:rPr>
      </w:pPr>
      <w:r w:rsidRPr="00DF37D7">
        <w:rPr>
          <w:rFonts w:ascii="Times New Roman" w:hAnsi="Times New Roman" w:cs="Times New Roman"/>
        </w:rPr>
        <w:t xml:space="preserve">D.S.N.D. had a misinterpretation in the original term and condition with PGS, and they were therefore required to enter into a memorandum of understanding changing the prior agreement. P.S.G. cancelled the agreement, and he claimed that D.S.N.D. </w:t>
      </w:r>
      <w:r>
        <w:rPr>
          <w:rFonts w:ascii="Times New Roman" w:hAnsi="Times New Roman" w:cs="Times New Roman"/>
        </w:rPr>
        <w:t>It gave</w:t>
      </w:r>
      <w:r w:rsidRPr="00DF37D7">
        <w:rPr>
          <w:rFonts w:ascii="Times New Roman" w:hAnsi="Times New Roman" w:cs="Times New Roman"/>
        </w:rPr>
        <w:t xml:space="preserve"> a false representation and forced P.S.G. to agree under duress. Though they had both agreed to a variation, P.S.G. had not terminated the case with validity, and there was no coercion or misrepresentation. The case was dismissed; P.S.G. did not sign the agreement because of misrepresentation in the original agreement and lacked evidence of coercion. There was no breach of contract or notice to terminate the agreement.</w:t>
      </w:r>
    </w:p>
    <w:p w14:paraId="21BEAC67" w14:textId="77777777" w:rsidR="002C38EF" w:rsidRPr="00DF37D7" w:rsidRDefault="002C38EF" w:rsidP="002C38EF">
      <w:pPr>
        <w:spacing w:line="480" w:lineRule="auto"/>
        <w:ind w:firstLine="720"/>
        <w:jc w:val="both"/>
        <w:rPr>
          <w:rFonts w:ascii="Times New Roman" w:hAnsi="Times New Roman" w:cs="Times New Roman"/>
        </w:rPr>
      </w:pPr>
      <w:r w:rsidRPr="00DF37D7">
        <w:rPr>
          <w:rFonts w:ascii="Times New Roman" w:hAnsi="Times New Roman" w:cs="Times New Roman"/>
        </w:rPr>
        <w:lastRenderedPageBreak/>
        <w:t xml:space="preserve">Mr and Mrs Pitt signed an agreement with C.I.B.C. mortgages where Mr Pitt applied for a loan. The purpose of the loan was to buy a holiday home for the two </w:t>
      </w:r>
      <w:proofErr w:type="gramStart"/>
      <w:r w:rsidRPr="00DF37D7">
        <w:rPr>
          <w:rFonts w:ascii="Times New Roman" w:hAnsi="Times New Roman" w:cs="Times New Roman"/>
        </w:rPr>
        <w:t>(</w:t>
      </w:r>
      <w:r w:rsidRPr="00DF37D7">
        <w:rPr>
          <w:rFonts w:ascii="Times New Roman" w:hAnsi="Times New Roman" w:cs="Times New Roman"/>
          <w:color w:val="222222"/>
          <w:shd w:val="clear" w:color="auto" w:fill="FFFFFF"/>
        </w:rPr>
        <w:t xml:space="preserve"> Pachiti</w:t>
      </w:r>
      <w:proofErr w:type="gramEnd"/>
      <w:r w:rsidRPr="00DF37D7">
        <w:rPr>
          <w:rFonts w:ascii="Times New Roman" w:hAnsi="Times New Roman" w:cs="Times New Roman"/>
          <w:color w:val="222222"/>
          <w:shd w:val="clear" w:color="auto" w:fill="FFFFFF"/>
        </w:rPr>
        <w:t xml:space="preserve"> 2015.p15)</w:t>
      </w:r>
      <w:r w:rsidRPr="00DF37D7">
        <w:rPr>
          <w:rFonts w:ascii="Times New Roman" w:hAnsi="Times New Roman" w:cs="Times New Roman"/>
        </w:rPr>
        <w:t xml:space="preserve">. Mrs Pitt did not read through the document before she signed. In a trial before the court, Mrs Pitt said that the husband had induced her into the legal charge as she did not understand the </w:t>
      </w:r>
      <w:proofErr w:type="gramStart"/>
      <w:r w:rsidRPr="00DF37D7">
        <w:rPr>
          <w:rFonts w:ascii="Times New Roman" w:hAnsi="Times New Roman" w:cs="Times New Roman"/>
        </w:rPr>
        <w:t>obligation</w:t>
      </w:r>
      <w:proofErr w:type="gramEnd"/>
      <w:r w:rsidRPr="00DF37D7">
        <w:rPr>
          <w:rFonts w:ascii="Times New Roman" w:hAnsi="Times New Roman" w:cs="Times New Roman"/>
        </w:rPr>
        <w:t xml:space="preserve"> or the amount involved. The claim could not succeed based on undue influence.</w:t>
      </w:r>
    </w:p>
    <w:p w14:paraId="2AE8BEBD" w14:textId="77777777" w:rsidR="002C38EF" w:rsidRPr="00DF37D7" w:rsidRDefault="002C38EF" w:rsidP="002C38EF">
      <w:pPr>
        <w:spacing w:line="480" w:lineRule="auto"/>
        <w:ind w:firstLine="720"/>
        <w:jc w:val="both"/>
        <w:rPr>
          <w:rFonts w:ascii="Times New Roman" w:hAnsi="Times New Roman" w:cs="Times New Roman"/>
        </w:rPr>
      </w:pPr>
      <w:r w:rsidRPr="00DF37D7">
        <w:rPr>
          <w:rFonts w:ascii="Times New Roman" w:hAnsi="Times New Roman" w:cs="Times New Roman"/>
        </w:rPr>
        <w:t xml:space="preserve">In businesses and individuals, undue influence is a significant risk. Undue influence is common in financial sectors in mortgages and guarantees. In some cases, it is unable to agree with the judgment of the court. In the case of Morgan, the decision does not amount to undue influence, and hence, </w:t>
      </w:r>
      <w:proofErr w:type="gramStart"/>
      <w:r w:rsidRPr="00DF37D7">
        <w:rPr>
          <w:rFonts w:ascii="Times New Roman" w:hAnsi="Times New Roman" w:cs="Times New Roman"/>
        </w:rPr>
        <w:t>In</w:t>
      </w:r>
      <w:proofErr w:type="gramEnd"/>
      <w:r w:rsidRPr="00DF37D7">
        <w:rPr>
          <w:rFonts w:ascii="Times New Roman" w:hAnsi="Times New Roman" w:cs="Times New Roman"/>
        </w:rPr>
        <w:t xml:space="preserve"> my opinion, the court has no intention to lay guidelines that can apply to all cases of undue influence. There is no logic in showing the disadvantages of a presumed influence where actual undue influence has been exercised and proven in my judgment.</w:t>
      </w:r>
    </w:p>
    <w:p w14:paraId="3DEA31E6" w14:textId="77777777" w:rsidR="002C38EF" w:rsidRPr="00DF37D7" w:rsidRDefault="002C38EF" w:rsidP="002C38EF">
      <w:pPr>
        <w:spacing w:line="480" w:lineRule="auto"/>
        <w:ind w:firstLine="720"/>
        <w:jc w:val="both"/>
        <w:rPr>
          <w:rFonts w:ascii="Times New Roman" w:hAnsi="Times New Roman" w:cs="Times New Roman"/>
        </w:rPr>
      </w:pPr>
      <w:r w:rsidRPr="00DF37D7">
        <w:rPr>
          <w:rFonts w:ascii="Times New Roman" w:hAnsi="Times New Roman" w:cs="Times New Roman"/>
        </w:rPr>
        <w:t>References</w:t>
      </w:r>
    </w:p>
    <w:p w14:paraId="5C892B34" w14:textId="77777777" w:rsidR="002C38EF" w:rsidRPr="00DF37D7" w:rsidRDefault="002C38EF" w:rsidP="002C38EF">
      <w:pPr>
        <w:spacing w:line="480" w:lineRule="auto"/>
        <w:ind w:left="720" w:hanging="720"/>
        <w:jc w:val="both"/>
        <w:rPr>
          <w:rFonts w:ascii="Times New Roman" w:hAnsi="Times New Roman" w:cs="Times New Roman"/>
          <w:i/>
          <w:iCs/>
          <w:color w:val="222222"/>
          <w:shd w:val="clear" w:color="auto" w:fill="FFFFFF"/>
        </w:rPr>
      </w:pPr>
      <w:r w:rsidRPr="00DF37D7">
        <w:rPr>
          <w:rFonts w:ascii="Times New Roman" w:hAnsi="Times New Roman" w:cs="Times New Roman"/>
          <w:color w:val="222222"/>
          <w:shd w:val="clear" w:color="auto" w:fill="FFFFFF"/>
        </w:rPr>
        <w:t xml:space="preserve"> Ceil, C., 2015. Contractual Free Will: doctrines of economic duress &amp; undue influence. </w:t>
      </w:r>
      <w:r w:rsidRPr="00DF37D7">
        <w:rPr>
          <w:rFonts w:ascii="Times New Roman" w:hAnsi="Times New Roman" w:cs="Times New Roman"/>
          <w:i/>
          <w:iCs/>
          <w:color w:val="222222"/>
          <w:shd w:val="clear" w:color="auto" w:fill="FFFFFF"/>
        </w:rPr>
        <w:t>Available at SSRN 2596998</w:t>
      </w:r>
    </w:p>
    <w:p w14:paraId="154B6440" w14:textId="77777777" w:rsidR="002C38EF" w:rsidRPr="00DF37D7" w:rsidRDefault="002C38EF" w:rsidP="002C38EF">
      <w:pPr>
        <w:spacing w:line="480" w:lineRule="auto"/>
        <w:ind w:left="720" w:hanging="720"/>
        <w:jc w:val="both"/>
        <w:rPr>
          <w:rFonts w:ascii="Times New Roman" w:hAnsi="Times New Roman" w:cs="Times New Roman"/>
          <w:color w:val="222222"/>
          <w:shd w:val="clear" w:color="auto" w:fill="FFFFFF"/>
        </w:rPr>
      </w:pPr>
      <w:r w:rsidRPr="00DF37D7">
        <w:rPr>
          <w:rFonts w:ascii="Times New Roman" w:hAnsi="Times New Roman" w:cs="Times New Roman"/>
          <w:color w:val="222222"/>
          <w:shd w:val="clear" w:color="auto" w:fill="FFFFFF"/>
        </w:rPr>
        <w:t>Eyre, D.W., Tracey, L., Elliott, B., Slimings, C., Huntington, P.G., Stuart, R.L., Korman, T.M., Kotsiou, G., McCann, R., Griffiths, D. and Fawley, W.N., 2015. Emergence and spread of predominantly community-onset Clostridium difficile PCR ribotype 244 infection in Australia, 2010 to 2012. </w:t>
      </w:r>
      <w:r w:rsidRPr="00DF37D7">
        <w:rPr>
          <w:rFonts w:ascii="Times New Roman" w:hAnsi="Times New Roman" w:cs="Times New Roman"/>
          <w:i/>
          <w:iCs/>
          <w:color w:val="222222"/>
          <w:shd w:val="clear" w:color="auto" w:fill="FFFFFF"/>
        </w:rPr>
        <w:t>Eurosurveillance</w:t>
      </w:r>
      <w:r w:rsidRPr="00DF37D7">
        <w:rPr>
          <w:rFonts w:ascii="Times New Roman" w:hAnsi="Times New Roman" w:cs="Times New Roman"/>
          <w:color w:val="222222"/>
          <w:shd w:val="clear" w:color="auto" w:fill="FFFFFF"/>
        </w:rPr>
        <w:t>, </w:t>
      </w:r>
      <w:r w:rsidRPr="00DF37D7">
        <w:rPr>
          <w:rFonts w:ascii="Times New Roman" w:hAnsi="Times New Roman" w:cs="Times New Roman"/>
          <w:i/>
          <w:iCs/>
          <w:color w:val="222222"/>
          <w:shd w:val="clear" w:color="auto" w:fill="FFFFFF"/>
        </w:rPr>
        <w:t>20</w:t>
      </w:r>
      <w:r w:rsidRPr="00DF37D7">
        <w:rPr>
          <w:rFonts w:ascii="Times New Roman" w:hAnsi="Times New Roman" w:cs="Times New Roman"/>
          <w:color w:val="222222"/>
          <w:shd w:val="clear" w:color="auto" w:fill="FFFFFF"/>
        </w:rPr>
        <w:t>(10), p.21059.</w:t>
      </w:r>
    </w:p>
    <w:p w14:paraId="0851B67B" w14:textId="77777777" w:rsidR="002C38EF" w:rsidRPr="00DF37D7" w:rsidRDefault="002C38EF" w:rsidP="002C38EF">
      <w:pPr>
        <w:spacing w:line="480" w:lineRule="auto"/>
        <w:ind w:left="720" w:hanging="720"/>
        <w:jc w:val="both"/>
        <w:rPr>
          <w:rFonts w:ascii="Times New Roman" w:hAnsi="Times New Roman" w:cs="Times New Roman"/>
          <w:color w:val="222222"/>
          <w:shd w:val="clear" w:color="auto" w:fill="FFFFFF"/>
        </w:rPr>
      </w:pPr>
      <w:r w:rsidRPr="00DF37D7">
        <w:rPr>
          <w:rFonts w:ascii="Times New Roman" w:hAnsi="Times New Roman" w:cs="Times New Roman"/>
          <w:color w:val="222222"/>
          <w:shd w:val="clear" w:color="auto" w:fill="FFFFFF"/>
        </w:rPr>
        <w:t xml:space="preserve">Ferris, G.R.A.H.A.M., 2017. How should a system of registered title to property respond to fraud and sharp </w:t>
      </w:r>
      <w:proofErr w:type="gramStart"/>
      <w:r w:rsidRPr="00DF37D7">
        <w:rPr>
          <w:rFonts w:ascii="Times New Roman" w:hAnsi="Times New Roman" w:cs="Times New Roman"/>
          <w:color w:val="222222"/>
          <w:shd w:val="clear" w:color="auto" w:fill="FFFFFF"/>
        </w:rPr>
        <w:t>practice?.</w:t>
      </w:r>
      <w:proofErr w:type="gramEnd"/>
    </w:p>
    <w:p w14:paraId="41D24E3F" w14:textId="77777777" w:rsidR="002C38EF" w:rsidRPr="00DF37D7" w:rsidRDefault="002C38EF" w:rsidP="002C38EF">
      <w:pPr>
        <w:spacing w:line="480" w:lineRule="auto"/>
        <w:ind w:left="720" w:hanging="720"/>
        <w:jc w:val="both"/>
        <w:rPr>
          <w:rFonts w:ascii="Times New Roman" w:hAnsi="Times New Roman" w:cs="Times New Roman"/>
          <w:color w:val="222222"/>
          <w:shd w:val="clear" w:color="auto" w:fill="FFFFFF"/>
        </w:rPr>
      </w:pPr>
      <w:r w:rsidRPr="00DF37D7">
        <w:rPr>
          <w:rFonts w:ascii="Times New Roman" w:hAnsi="Times New Roman" w:cs="Times New Roman"/>
          <w:color w:val="222222"/>
          <w:shd w:val="clear" w:color="auto" w:fill="FFFFFF"/>
        </w:rPr>
        <w:t xml:space="preserve"> Kalondo, P.J., 2020. Duress, Undue Influence and the Ethics of Pre-contractual Negotiation. </w:t>
      </w:r>
      <w:r w:rsidRPr="00DF37D7">
        <w:rPr>
          <w:rFonts w:ascii="Times New Roman" w:hAnsi="Times New Roman" w:cs="Times New Roman"/>
          <w:i/>
          <w:iCs/>
          <w:color w:val="222222"/>
          <w:shd w:val="clear" w:color="auto" w:fill="FFFFFF"/>
        </w:rPr>
        <w:t>Available at SSRN 3533966</w:t>
      </w:r>
      <w:r w:rsidRPr="00DF37D7">
        <w:rPr>
          <w:rFonts w:ascii="Times New Roman" w:hAnsi="Times New Roman" w:cs="Times New Roman"/>
          <w:color w:val="222222"/>
          <w:shd w:val="clear" w:color="auto" w:fill="FFFFFF"/>
        </w:rPr>
        <w:t>.</w:t>
      </w:r>
    </w:p>
    <w:p w14:paraId="3C109E41" w14:textId="77777777" w:rsidR="002C38EF" w:rsidRPr="00DF37D7" w:rsidRDefault="002C38EF" w:rsidP="002C38EF">
      <w:pPr>
        <w:spacing w:line="480" w:lineRule="auto"/>
        <w:ind w:left="720" w:hanging="720"/>
        <w:jc w:val="both"/>
        <w:rPr>
          <w:rFonts w:ascii="Times New Roman" w:hAnsi="Times New Roman" w:cs="Times New Roman"/>
          <w:color w:val="222222"/>
          <w:shd w:val="clear" w:color="auto" w:fill="FFFFFF"/>
        </w:rPr>
      </w:pPr>
      <w:r w:rsidRPr="00DF37D7">
        <w:rPr>
          <w:rFonts w:ascii="Times New Roman" w:hAnsi="Times New Roman" w:cs="Times New Roman"/>
          <w:color w:val="222222"/>
          <w:shd w:val="clear" w:color="auto" w:fill="FFFFFF"/>
        </w:rPr>
        <w:t>Moore, M., 2018. Why Does Lord Denning's Lead Balloon Intrigue Us Still? The Prospects of Finding a Unifying Principle for Duress, Undue Influence and Unconscionability. </w:t>
      </w:r>
      <w:r w:rsidRPr="00DF37D7">
        <w:rPr>
          <w:rFonts w:ascii="Times New Roman" w:hAnsi="Times New Roman" w:cs="Times New Roman"/>
          <w:i/>
          <w:iCs/>
          <w:color w:val="222222"/>
          <w:shd w:val="clear" w:color="auto" w:fill="FFFFFF"/>
        </w:rPr>
        <w:t xml:space="preserve">The </w:t>
      </w:r>
      <w:r w:rsidRPr="00DF37D7">
        <w:rPr>
          <w:rFonts w:ascii="Times New Roman" w:hAnsi="Times New Roman" w:cs="Times New Roman"/>
          <w:i/>
          <w:iCs/>
          <w:color w:val="222222"/>
          <w:shd w:val="clear" w:color="auto" w:fill="FFFFFF"/>
        </w:rPr>
        <w:lastRenderedPageBreak/>
        <w:t>Prospects of Finding a Unifying Principle for Duress, Undue Influence and Unconscionability (February 3, 2016)</w:t>
      </w:r>
      <w:r w:rsidRPr="00DF37D7">
        <w:rPr>
          <w:rFonts w:ascii="Times New Roman" w:hAnsi="Times New Roman" w:cs="Times New Roman"/>
          <w:color w:val="222222"/>
          <w:shd w:val="clear" w:color="auto" w:fill="FFFFFF"/>
        </w:rPr>
        <w:t>, </w:t>
      </w:r>
      <w:r w:rsidRPr="00DF37D7">
        <w:rPr>
          <w:rFonts w:ascii="Times New Roman" w:hAnsi="Times New Roman" w:cs="Times New Roman"/>
          <w:i/>
          <w:iCs/>
          <w:color w:val="222222"/>
          <w:shd w:val="clear" w:color="auto" w:fill="FFFFFF"/>
        </w:rPr>
        <w:t>134</w:t>
      </w:r>
      <w:r w:rsidRPr="00DF37D7">
        <w:rPr>
          <w:rFonts w:ascii="Times New Roman" w:hAnsi="Times New Roman" w:cs="Times New Roman"/>
          <w:color w:val="222222"/>
          <w:shd w:val="clear" w:color="auto" w:fill="FFFFFF"/>
        </w:rPr>
        <w:t>.</w:t>
      </w:r>
    </w:p>
    <w:p w14:paraId="6493F582" w14:textId="77777777" w:rsidR="002C38EF" w:rsidRPr="00DF37D7" w:rsidRDefault="002C38EF" w:rsidP="002C38EF">
      <w:pPr>
        <w:spacing w:line="480" w:lineRule="auto"/>
        <w:ind w:left="720" w:hanging="720"/>
        <w:jc w:val="both"/>
        <w:rPr>
          <w:rFonts w:ascii="Times New Roman" w:hAnsi="Times New Roman" w:cs="Times New Roman"/>
        </w:rPr>
      </w:pPr>
      <w:r w:rsidRPr="00DF37D7">
        <w:rPr>
          <w:rFonts w:ascii="Times New Roman" w:hAnsi="Times New Roman" w:cs="Times New Roman"/>
          <w:color w:val="222222"/>
          <w:shd w:val="clear" w:color="auto" w:fill="FFFFFF"/>
        </w:rPr>
        <w:t>Mtui, Y.V., 2019. </w:t>
      </w:r>
      <w:r w:rsidRPr="00DF37D7">
        <w:rPr>
          <w:rFonts w:ascii="Times New Roman" w:hAnsi="Times New Roman" w:cs="Times New Roman"/>
          <w:i/>
          <w:iCs/>
          <w:color w:val="222222"/>
          <w:shd w:val="clear" w:color="auto" w:fill="FFFFFF"/>
        </w:rPr>
        <w:t>Enforcement of Mortagage by Commercial Banks in Circumstances Influenced by Undue Influence: Analysis of the Law and Practice</w:t>
      </w:r>
      <w:r w:rsidRPr="00DF37D7">
        <w:rPr>
          <w:rFonts w:ascii="Times New Roman" w:hAnsi="Times New Roman" w:cs="Times New Roman"/>
          <w:color w:val="222222"/>
          <w:shd w:val="clear" w:color="auto" w:fill="FFFFFF"/>
        </w:rPr>
        <w:t> (Doctoral dissertation, Mzumbe University).</w:t>
      </w:r>
    </w:p>
    <w:p w14:paraId="1B3E6A86" w14:textId="77777777" w:rsidR="002C38EF" w:rsidRPr="00DF37D7" w:rsidRDefault="002C38EF" w:rsidP="002C38EF">
      <w:pPr>
        <w:spacing w:line="480" w:lineRule="auto"/>
        <w:ind w:left="720" w:hanging="720"/>
        <w:jc w:val="both"/>
        <w:rPr>
          <w:rFonts w:ascii="Times New Roman" w:hAnsi="Times New Roman" w:cs="Times New Roman"/>
          <w:color w:val="222222"/>
          <w:shd w:val="clear" w:color="auto" w:fill="FFFFFF"/>
        </w:rPr>
      </w:pPr>
      <w:r w:rsidRPr="00DF37D7">
        <w:rPr>
          <w:rFonts w:ascii="Times New Roman" w:hAnsi="Times New Roman" w:cs="Times New Roman"/>
          <w:color w:val="222222"/>
          <w:shd w:val="clear" w:color="auto" w:fill="FFFFFF"/>
        </w:rPr>
        <w:t>Njagi, S.W., Unconscionable Contracts: A review of the Law on Duress and Undue Influence. Davies, P.S. and Day, W., 2018. " Lawful act" duress. </w:t>
      </w:r>
      <w:r w:rsidRPr="00DF37D7">
        <w:rPr>
          <w:rFonts w:ascii="Times New Roman" w:hAnsi="Times New Roman" w:cs="Times New Roman"/>
          <w:i/>
          <w:iCs/>
          <w:color w:val="222222"/>
          <w:shd w:val="clear" w:color="auto" w:fill="FFFFFF"/>
        </w:rPr>
        <w:t>Law Quarterly Review</w:t>
      </w:r>
      <w:r w:rsidRPr="00DF37D7">
        <w:rPr>
          <w:rFonts w:ascii="Times New Roman" w:hAnsi="Times New Roman" w:cs="Times New Roman"/>
          <w:color w:val="222222"/>
          <w:shd w:val="clear" w:color="auto" w:fill="FFFFFF"/>
        </w:rPr>
        <w:t>, </w:t>
      </w:r>
      <w:r w:rsidRPr="00DF37D7">
        <w:rPr>
          <w:rFonts w:ascii="Times New Roman" w:hAnsi="Times New Roman" w:cs="Times New Roman"/>
          <w:i/>
          <w:iCs/>
          <w:color w:val="222222"/>
          <w:shd w:val="clear" w:color="auto" w:fill="FFFFFF"/>
        </w:rPr>
        <w:t>134</w:t>
      </w:r>
      <w:r w:rsidRPr="00DF37D7">
        <w:rPr>
          <w:rFonts w:ascii="Times New Roman" w:hAnsi="Times New Roman" w:cs="Times New Roman"/>
          <w:color w:val="222222"/>
          <w:shd w:val="clear" w:color="auto" w:fill="FFFFFF"/>
        </w:rPr>
        <w:t>(1), pp.5-10.</w:t>
      </w:r>
    </w:p>
    <w:p w14:paraId="4489588B" w14:textId="77777777" w:rsidR="002C38EF" w:rsidRPr="00DF37D7" w:rsidRDefault="002C38EF" w:rsidP="002C38EF">
      <w:pPr>
        <w:spacing w:line="480" w:lineRule="auto"/>
        <w:ind w:left="720" w:hanging="720"/>
        <w:jc w:val="both"/>
        <w:rPr>
          <w:rFonts w:ascii="Times New Roman" w:hAnsi="Times New Roman" w:cs="Times New Roman"/>
          <w:color w:val="222222"/>
          <w:shd w:val="clear" w:color="auto" w:fill="FFFFFF"/>
        </w:rPr>
      </w:pPr>
      <w:r w:rsidRPr="00DF37D7">
        <w:rPr>
          <w:rFonts w:ascii="Times New Roman" w:hAnsi="Times New Roman" w:cs="Times New Roman"/>
          <w:color w:val="222222"/>
          <w:shd w:val="clear" w:color="auto" w:fill="FFFFFF"/>
        </w:rPr>
        <w:t xml:space="preserve"> Pachiti, M., 2015. The Legal Framework of Economic Duress: A Critical Approach of the Recent Case No. 2784/10 (2014). </w:t>
      </w:r>
      <w:r w:rsidRPr="00DF37D7">
        <w:rPr>
          <w:rFonts w:ascii="Times New Roman" w:hAnsi="Times New Roman" w:cs="Times New Roman"/>
          <w:i/>
          <w:iCs/>
          <w:color w:val="222222"/>
          <w:shd w:val="clear" w:color="auto" w:fill="FFFFFF"/>
        </w:rPr>
        <w:t>E.N.T.H.A.</w:t>
      </w:r>
      <w:r w:rsidRPr="00DF37D7">
        <w:rPr>
          <w:rFonts w:ascii="Times New Roman" w:hAnsi="Times New Roman" w:cs="Times New Roman"/>
          <w:color w:val="222222"/>
          <w:shd w:val="clear" w:color="auto" w:fill="FFFFFF"/>
        </w:rPr>
        <w:t>, </w:t>
      </w:r>
      <w:r w:rsidRPr="00DF37D7">
        <w:rPr>
          <w:rFonts w:ascii="Times New Roman" w:hAnsi="Times New Roman" w:cs="Times New Roman"/>
          <w:i/>
          <w:iCs/>
          <w:color w:val="222222"/>
          <w:shd w:val="clear" w:color="auto" w:fill="FFFFFF"/>
        </w:rPr>
        <w:t>3</w:t>
      </w:r>
      <w:r w:rsidRPr="00DF37D7">
        <w:rPr>
          <w:rFonts w:ascii="Times New Roman" w:hAnsi="Times New Roman" w:cs="Times New Roman"/>
          <w:color w:val="222222"/>
          <w:shd w:val="clear" w:color="auto" w:fill="FFFFFF"/>
        </w:rPr>
        <w:t>, p.15.</w:t>
      </w:r>
    </w:p>
    <w:p w14:paraId="6416995F" w14:textId="77777777" w:rsidR="002C38EF" w:rsidRPr="00DF37D7" w:rsidRDefault="002C38EF" w:rsidP="002C38EF">
      <w:pPr>
        <w:spacing w:line="480" w:lineRule="auto"/>
        <w:ind w:left="720" w:hanging="720"/>
        <w:jc w:val="both"/>
        <w:rPr>
          <w:rFonts w:ascii="Times New Roman" w:hAnsi="Times New Roman" w:cs="Times New Roman"/>
          <w:color w:val="222222"/>
          <w:shd w:val="clear" w:color="auto" w:fill="FFFFFF"/>
        </w:rPr>
      </w:pPr>
      <w:r w:rsidRPr="00DF37D7">
        <w:rPr>
          <w:rFonts w:ascii="Times New Roman" w:hAnsi="Times New Roman" w:cs="Times New Roman"/>
          <w:color w:val="222222"/>
          <w:shd w:val="clear" w:color="auto" w:fill="FFFFFF"/>
        </w:rPr>
        <w:t>Pawlowski, M., 2019. </w:t>
      </w:r>
      <w:r w:rsidRPr="00DF37D7">
        <w:rPr>
          <w:rFonts w:ascii="Times New Roman" w:hAnsi="Times New Roman" w:cs="Times New Roman"/>
          <w:i/>
          <w:iCs/>
          <w:color w:val="222222"/>
          <w:shd w:val="clear" w:color="auto" w:fill="FFFFFF"/>
        </w:rPr>
        <w:t>Undue influence and the family home</w:t>
      </w:r>
      <w:r w:rsidRPr="00DF37D7">
        <w:rPr>
          <w:rFonts w:ascii="Times New Roman" w:hAnsi="Times New Roman" w:cs="Times New Roman"/>
          <w:color w:val="222222"/>
          <w:shd w:val="clear" w:color="auto" w:fill="FFFFFF"/>
        </w:rPr>
        <w:t>. Routledge-Cavendish. Pachiti, M., 2015. The Legal Framework of Economic Duress: A Critical Approach of the Recent Case No. 2784/10 (2014). </w:t>
      </w:r>
      <w:r w:rsidRPr="00DF37D7">
        <w:rPr>
          <w:rFonts w:ascii="Times New Roman" w:hAnsi="Times New Roman" w:cs="Times New Roman"/>
          <w:i/>
          <w:iCs/>
          <w:color w:val="222222"/>
          <w:shd w:val="clear" w:color="auto" w:fill="FFFFFF"/>
        </w:rPr>
        <w:t>E.N.T.H.A.</w:t>
      </w:r>
      <w:r w:rsidRPr="00DF37D7">
        <w:rPr>
          <w:rFonts w:ascii="Times New Roman" w:hAnsi="Times New Roman" w:cs="Times New Roman"/>
          <w:color w:val="222222"/>
          <w:shd w:val="clear" w:color="auto" w:fill="FFFFFF"/>
        </w:rPr>
        <w:t>, </w:t>
      </w:r>
      <w:r w:rsidRPr="00DF37D7">
        <w:rPr>
          <w:rFonts w:ascii="Times New Roman" w:hAnsi="Times New Roman" w:cs="Times New Roman"/>
          <w:i/>
          <w:iCs/>
          <w:color w:val="222222"/>
          <w:shd w:val="clear" w:color="auto" w:fill="FFFFFF"/>
        </w:rPr>
        <w:t>3</w:t>
      </w:r>
      <w:r w:rsidRPr="00DF37D7">
        <w:rPr>
          <w:rFonts w:ascii="Times New Roman" w:hAnsi="Times New Roman" w:cs="Times New Roman"/>
          <w:color w:val="222222"/>
          <w:shd w:val="clear" w:color="auto" w:fill="FFFFFF"/>
        </w:rPr>
        <w:t>, p.15.</w:t>
      </w:r>
    </w:p>
    <w:p w14:paraId="5206B949" w14:textId="77777777" w:rsidR="002C38EF" w:rsidRPr="00DF37D7" w:rsidRDefault="002C38EF" w:rsidP="002C38EF">
      <w:pPr>
        <w:spacing w:line="480" w:lineRule="auto"/>
        <w:ind w:left="720" w:hanging="720"/>
        <w:jc w:val="both"/>
        <w:rPr>
          <w:rFonts w:ascii="Times New Roman" w:hAnsi="Times New Roman" w:cs="Times New Roman"/>
          <w:color w:val="222222"/>
          <w:shd w:val="clear" w:color="auto" w:fill="FFFFFF"/>
        </w:rPr>
      </w:pPr>
      <w:r w:rsidRPr="00DF37D7">
        <w:rPr>
          <w:rFonts w:ascii="Times New Roman" w:hAnsi="Times New Roman" w:cs="Times New Roman"/>
          <w:color w:val="222222"/>
          <w:shd w:val="clear" w:color="auto" w:fill="FFFFFF"/>
        </w:rPr>
        <w:t xml:space="preserve"> Rosher, P., 2016. French contract law reform. </w:t>
      </w:r>
      <w:r w:rsidRPr="00DF37D7">
        <w:rPr>
          <w:rFonts w:ascii="Times New Roman" w:hAnsi="Times New Roman" w:cs="Times New Roman"/>
          <w:i/>
          <w:iCs/>
          <w:color w:val="222222"/>
          <w:shd w:val="clear" w:color="auto" w:fill="FFFFFF"/>
        </w:rPr>
        <w:t>Bus. L. Int'l</w:t>
      </w:r>
      <w:r w:rsidRPr="00DF37D7">
        <w:rPr>
          <w:rFonts w:ascii="Times New Roman" w:hAnsi="Times New Roman" w:cs="Times New Roman"/>
          <w:color w:val="222222"/>
          <w:shd w:val="clear" w:color="auto" w:fill="FFFFFF"/>
        </w:rPr>
        <w:t>, </w:t>
      </w:r>
      <w:r w:rsidRPr="00DF37D7">
        <w:rPr>
          <w:rFonts w:ascii="Times New Roman" w:hAnsi="Times New Roman" w:cs="Times New Roman"/>
          <w:i/>
          <w:iCs/>
          <w:color w:val="222222"/>
          <w:shd w:val="clear" w:color="auto" w:fill="FFFFFF"/>
        </w:rPr>
        <w:t>17</w:t>
      </w:r>
      <w:r w:rsidRPr="00DF37D7">
        <w:rPr>
          <w:rFonts w:ascii="Times New Roman" w:hAnsi="Times New Roman" w:cs="Times New Roman"/>
          <w:color w:val="222222"/>
          <w:shd w:val="clear" w:color="auto" w:fill="FFFFFF"/>
        </w:rPr>
        <w:t>, p.59.</w:t>
      </w:r>
    </w:p>
    <w:p w14:paraId="66FF154F" w14:textId="77777777" w:rsidR="002C38EF" w:rsidRPr="00DF37D7" w:rsidRDefault="002C38EF" w:rsidP="002C38EF">
      <w:pPr>
        <w:spacing w:line="480" w:lineRule="auto"/>
        <w:ind w:left="720" w:hanging="720"/>
        <w:jc w:val="both"/>
        <w:rPr>
          <w:rFonts w:ascii="Times New Roman" w:hAnsi="Times New Roman" w:cs="Times New Roman"/>
          <w:i/>
          <w:iCs/>
          <w:color w:val="222222"/>
          <w:shd w:val="clear" w:color="auto" w:fill="FFFFFF"/>
        </w:rPr>
      </w:pPr>
      <w:r w:rsidRPr="00DF37D7">
        <w:rPr>
          <w:rFonts w:ascii="Times New Roman" w:hAnsi="Times New Roman" w:cs="Times New Roman"/>
          <w:color w:val="222222"/>
          <w:shd w:val="clear" w:color="auto" w:fill="FFFFFF"/>
        </w:rPr>
        <w:t xml:space="preserve"> Saprai, P., 2019. Promising Under Duress. </w:t>
      </w:r>
      <w:r w:rsidRPr="00DF37D7">
        <w:rPr>
          <w:rFonts w:ascii="Times New Roman" w:hAnsi="Times New Roman" w:cs="Times New Roman"/>
          <w:i/>
          <w:iCs/>
          <w:color w:val="222222"/>
          <w:shd w:val="clear" w:color="auto" w:fill="FFFFFF"/>
        </w:rPr>
        <w:t>Law and Philosophy</w:t>
      </w:r>
      <w:r w:rsidRPr="00DF37D7">
        <w:rPr>
          <w:rFonts w:ascii="Times New Roman" w:hAnsi="Times New Roman" w:cs="Times New Roman"/>
          <w:color w:val="222222"/>
          <w:shd w:val="clear" w:color="auto" w:fill="FFFFFF"/>
        </w:rPr>
        <w:t>, </w:t>
      </w:r>
      <w:r w:rsidRPr="00DF37D7">
        <w:rPr>
          <w:rFonts w:ascii="Times New Roman" w:hAnsi="Times New Roman" w:cs="Times New Roman"/>
          <w:i/>
          <w:iCs/>
          <w:color w:val="222222"/>
          <w:shd w:val="clear" w:color="auto" w:fill="FFFFFF"/>
        </w:rPr>
        <w:t>38</w:t>
      </w:r>
      <w:r w:rsidRPr="00DF37D7">
        <w:rPr>
          <w:rFonts w:ascii="Times New Roman" w:hAnsi="Times New Roman" w:cs="Times New Roman"/>
          <w:color w:val="222222"/>
          <w:shd w:val="clear" w:color="auto" w:fill="FFFFFF"/>
        </w:rPr>
        <w:t>(5), pp.465-480.</w:t>
      </w:r>
    </w:p>
    <w:p w14:paraId="62E17833" w14:textId="77777777" w:rsidR="002C38EF" w:rsidRPr="00DF37D7" w:rsidRDefault="002C38EF" w:rsidP="002C38EF">
      <w:pPr>
        <w:spacing w:line="480" w:lineRule="auto"/>
        <w:ind w:left="720" w:hanging="720"/>
        <w:jc w:val="both"/>
        <w:rPr>
          <w:rFonts w:ascii="Times New Roman" w:hAnsi="Times New Roman" w:cs="Times New Roman"/>
          <w:color w:val="222222"/>
          <w:shd w:val="clear" w:color="auto" w:fill="FFFFFF"/>
        </w:rPr>
      </w:pPr>
      <w:r w:rsidRPr="00DF37D7">
        <w:rPr>
          <w:rFonts w:ascii="Times New Roman" w:hAnsi="Times New Roman" w:cs="Times New Roman"/>
          <w:color w:val="222222"/>
          <w:shd w:val="clear" w:color="auto" w:fill="FFFFFF"/>
        </w:rPr>
        <w:t>Schuch, G., Serrao-Neumann, S., Morgan, E. and Choy, D.L., 2017. Water in the city: Green open spaces, land use planning and flood management–An Australian case study. </w:t>
      </w:r>
      <w:r w:rsidRPr="00DF37D7">
        <w:rPr>
          <w:rFonts w:ascii="Times New Roman" w:hAnsi="Times New Roman" w:cs="Times New Roman"/>
          <w:i/>
          <w:iCs/>
          <w:color w:val="222222"/>
          <w:shd w:val="clear" w:color="auto" w:fill="FFFFFF"/>
        </w:rPr>
        <w:t>Land use policy</w:t>
      </w:r>
      <w:r w:rsidRPr="00DF37D7">
        <w:rPr>
          <w:rFonts w:ascii="Times New Roman" w:hAnsi="Times New Roman" w:cs="Times New Roman"/>
          <w:color w:val="222222"/>
          <w:shd w:val="clear" w:color="auto" w:fill="FFFFFF"/>
        </w:rPr>
        <w:t>, </w:t>
      </w:r>
      <w:r w:rsidRPr="00DF37D7">
        <w:rPr>
          <w:rFonts w:ascii="Times New Roman" w:hAnsi="Times New Roman" w:cs="Times New Roman"/>
          <w:i/>
          <w:iCs/>
          <w:color w:val="222222"/>
          <w:shd w:val="clear" w:color="auto" w:fill="FFFFFF"/>
        </w:rPr>
        <w:t>63</w:t>
      </w:r>
      <w:r w:rsidRPr="00DF37D7">
        <w:rPr>
          <w:rFonts w:ascii="Times New Roman" w:hAnsi="Times New Roman" w:cs="Times New Roman"/>
          <w:color w:val="222222"/>
          <w:shd w:val="clear" w:color="auto" w:fill="FFFFFF"/>
        </w:rPr>
        <w:t>, pp.539-550.</w:t>
      </w:r>
    </w:p>
    <w:p w14:paraId="7ECD2A12" w14:textId="77777777" w:rsidR="002C38EF" w:rsidRPr="00DF37D7" w:rsidRDefault="002C38EF" w:rsidP="002C38EF">
      <w:pPr>
        <w:spacing w:line="480" w:lineRule="auto"/>
        <w:ind w:left="720" w:hanging="720"/>
        <w:jc w:val="both"/>
        <w:rPr>
          <w:rFonts w:ascii="Times New Roman" w:hAnsi="Times New Roman" w:cs="Times New Roman"/>
          <w:color w:val="222222"/>
          <w:shd w:val="clear" w:color="auto" w:fill="FFFFFF"/>
        </w:rPr>
      </w:pPr>
      <w:r w:rsidRPr="00DF37D7">
        <w:rPr>
          <w:rFonts w:ascii="Times New Roman" w:hAnsi="Times New Roman" w:cs="Times New Roman"/>
          <w:color w:val="222222"/>
          <w:shd w:val="clear" w:color="auto" w:fill="FFFFFF"/>
        </w:rPr>
        <w:t xml:space="preserve"> Smits, J.M. ed., 2017. </w:t>
      </w:r>
      <w:r w:rsidRPr="00DF37D7">
        <w:rPr>
          <w:rFonts w:ascii="Times New Roman" w:hAnsi="Times New Roman" w:cs="Times New Roman"/>
          <w:i/>
          <w:iCs/>
          <w:color w:val="222222"/>
          <w:shd w:val="clear" w:color="auto" w:fill="FFFFFF"/>
        </w:rPr>
        <w:t>Contract law: a comparative introduction</w:t>
      </w:r>
      <w:r w:rsidRPr="00DF37D7">
        <w:rPr>
          <w:rFonts w:ascii="Times New Roman" w:hAnsi="Times New Roman" w:cs="Times New Roman"/>
          <w:color w:val="222222"/>
          <w:shd w:val="clear" w:color="auto" w:fill="FFFFFF"/>
        </w:rPr>
        <w:t>. Edward Elgar Publishing.</w:t>
      </w:r>
    </w:p>
    <w:p w14:paraId="1FD3E3CF" w14:textId="77777777" w:rsidR="002C38EF" w:rsidRPr="00DF37D7" w:rsidRDefault="002C38EF" w:rsidP="002C38EF">
      <w:pPr>
        <w:spacing w:line="480" w:lineRule="auto"/>
        <w:ind w:left="720" w:hanging="720"/>
        <w:jc w:val="both"/>
        <w:rPr>
          <w:rFonts w:ascii="Times New Roman" w:hAnsi="Times New Roman" w:cs="Times New Roman"/>
          <w:color w:val="222222"/>
          <w:shd w:val="clear" w:color="auto" w:fill="FFFFFF"/>
        </w:rPr>
      </w:pPr>
      <w:r w:rsidRPr="00DF37D7">
        <w:rPr>
          <w:rFonts w:ascii="Times New Roman" w:hAnsi="Times New Roman" w:cs="Times New Roman"/>
          <w:color w:val="222222"/>
          <w:shd w:val="clear" w:color="auto" w:fill="FFFFFF"/>
        </w:rPr>
        <w:t xml:space="preserve"> Stoler, A.L., 2016. Duress. In </w:t>
      </w:r>
      <w:r w:rsidRPr="00DF37D7">
        <w:rPr>
          <w:rFonts w:ascii="Times New Roman" w:hAnsi="Times New Roman" w:cs="Times New Roman"/>
          <w:i/>
          <w:iCs/>
          <w:color w:val="222222"/>
          <w:shd w:val="clear" w:color="auto" w:fill="FFFFFF"/>
        </w:rPr>
        <w:t>Duress</w:t>
      </w:r>
      <w:r w:rsidRPr="00DF37D7">
        <w:rPr>
          <w:rFonts w:ascii="Times New Roman" w:hAnsi="Times New Roman" w:cs="Times New Roman"/>
          <w:color w:val="222222"/>
          <w:shd w:val="clear" w:color="auto" w:fill="FFFFFF"/>
        </w:rPr>
        <w:t>. Duke University Press.</w:t>
      </w:r>
    </w:p>
    <w:p w14:paraId="1ED74C00" w14:textId="77777777" w:rsidR="002C38EF" w:rsidRPr="00DF37D7" w:rsidRDefault="002C38EF" w:rsidP="002C38EF">
      <w:pPr>
        <w:spacing w:line="480" w:lineRule="auto"/>
        <w:ind w:left="720" w:hanging="720"/>
        <w:jc w:val="both"/>
        <w:rPr>
          <w:rFonts w:ascii="Times New Roman" w:hAnsi="Times New Roman" w:cs="Times New Roman"/>
          <w:color w:val="222222"/>
          <w:shd w:val="clear" w:color="auto" w:fill="FFFFFF"/>
        </w:rPr>
      </w:pPr>
      <w:r w:rsidRPr="00DF37D7">
        <w:rPr>
          <w:rFonts w:ascii="Times New Roman" w:hAnsi="Times New Roman" w:cs="Times New Roman"/>
          <w:color w:val="222222"/>
          <w:shd w:val="clear" w:color="auto" w:fill="FFFFFF"/>
        </w:rPr>
        <w:t xml:space="preserve"> Westerveld, M.F., Armstrong, R.M. and Barton, G.M., 2020. </w:t>
      </w:r>
      <w:r w:rsidRPr="00DF37D7">
        <w:rPr>
          <w:rFonts w:ascii="Times New Roman" w:hAnsi="Times New Roman" w:cs="Times New Roman"/>
          <w:i/>
          <w:iCs/>
          <w:color w:val="222222"/>
          <w:shd w:val="clear" w:color="auto" w:fill="FFFFFF"/>
        </w:rPr>
        <w:t>Reading Success in the Primary Years: An Evidence-Based Interdisciplinary Approach to Guide Assessment and Intervention</w:t>
      </w:r>
      <w:r w:rsidRPr="00DF37D7">
        <w:rPr>
          <w:rFonts w:ascii="Times New Roman" w:hAnsi="Times New Roman" w:cs="Times New Roman"/>
          <w:color w:val="222222"/>
          <w:shd w:val="clear" w:color="auto" w:fill="FFFFFF"/>
        </w:rPr>
        <w:t> (p. 149). Springer Nature.</w:t>
      </w:r>
    </w:p>
    <w:p w14:paraId="2DDA105D" w14:textId="32070F61" w:rsidR="00134502" w:rsidRPr="002C38EF" w:rsidRDefault="002C38EF" w:rsidP="002C38EF">
      <w:pPr>
        <w:spacing w:line="480" w:lineRule="auto"/>
        <w:ind w:left="720" w:hanging="720"/>
        <w:jc w:val="both"/>
        <w:rPr>
          <w:rFonts w:ascii="Times New Roman" w:hAnsi="Times New Roman" w:cs="Times New Roman"/>
          <w:color w:val="222222"/>
          <w:shd w:val="clear" w:color="auto" w:fill="FFFFFF"/>
        </w:rPr>
      </w:pPr>
      <w:r w:rsidRPr="00DF37D7">
        <w:rPr>
          <w:rFonts w:ascii="Times New Roman" w:hAnsi="Times New Roman" w:cs="Times New Roman"/>
          <w:color w:val="222222"/>
          <w:shd w:val="clear" w:color="auto" w:fill="FFFFFF"/>
        </w:rPr>
        <w:t xml:space="preserve"> Wijeratna, Y.P., 2015. Entering a Contract at Will: </w:t>
      </w:r>
      <w:proofErr w:type="gramStart"/>
      <w:r w:rsidRPr="00DF37D7">
        <w:rPr>
          <w:rFonts w:ascii="Times New Roman" w:hAnsi="Times New Roman" w:cs="Times New Roman"/>
          <w:color w:val="222222"/>
          <w:shd w:val="clear" w:color="auto" w:fill="FFFFFF"/>
        </w:rPr>
        <w:t>a</w:t>
      </w:r>
      <w:proofErr w:type="gramEnd"/>
      <w:r w:rsidRPr="00DF37D7">
        <w:rPr>
          <w:rFonts w:ascii="Times New Roman" w:hAnsi="Times New Roman" w:cs="Times New Roman"/>
          <w:color w:val="222222"/>
          <w:shd w:val="clear" w:color="auto" w:fill="FFFFFF"/>
        </w:rPr>
        <w:t xml:space="preserve"> Critical Analysis of the Principles Governing Duress.</w:t>
      </w:r>
      <w:r w:rsidR="00134502" w:rsidRPr="00134502">
        <w:rPr>
          <w:rFonts w:ascii="Arial" w:eastAsia="Times New Roman" w:hAnsi="Arial" w:cs="Arial"/>
          <w:b/>
          <w:bCs/>
          <w:color w:val="222222"/>
          <w:sz w:val="20"/>
          <w:szCs w:val="20"/>
          <w:lang w:eastAsia="en-GB"/>
        </w:rPr>
        <w:t> </w:t>
      </w:r>
    </w:p>
    <w:p w14:paraId="21B28A6A" w14:textId="53E5BEA0" w:rsidR="00134502" w:rsidRPr="00134502" w:rsidRDefault="00134502" w:rsidP="00134502">
      <w:pPr>
        <w:spacing w:before="90" w:after="90"/>
        <w:rPr>
          <w:rFonts w:ascii="Arial" w:eastAsia="Times New Roman" w:hAnsi="Arial" w:cs="Arial"/>
          <w:color w:val="222222"/>
          <w:sz w:val="20"/>
          <w:szCs w:val="20"/>
          <w:lang w:eastAsia="en-GB"/>
        </w:rPr>
      </w:pPr>
    </w:p>
    <w:p w14:paraId="4C68F12D" w14:textId="2FA018C3" w:rsidR="00134502" w:rsidRPr="00134502" w:rsidRDefault="00134502" w:rsidP="00134502">
      <w:pPr>
        <w:spacing w:before="90" w:after="90"/>
        <w:rPr>
          <w:rFonts w:ascii="Arial" w:eastAsia="Times New Roman" w:hAnsi="Arial" w:cs="Arial"/>
          <w:color w:val="222222"/>
          <w:sz w:val="28"/>
          <w:szCs w:val="28"/>
          <w:lang w:eastAsia="en-GB"/>
        </w:rPr>
      </w:pPr>
    </w:p>
    <w:p w14:paraId="70F91992" w14:textId="77777777" w:rsidR="00134502" w:rsidRPr="00134502" w:rsidRDefault="00134502" w:rsidP="00134502">
      <w:pPr>
        <w:spacing w:before="90" w:after="90"/>
        <w:rPr>
          <w:rFonts w:ascii="Arial" w:eastAsia="Times New Roman" w:hAnsi="Arial" w:cs="Arial"/>
          <w:color w:val="222222"/>
          <w:sz w:val="28"/>
          <w:szCs w:val="28"/>
          <w:lang w:eastAsia="en-GB"/>
        </w:rPr>
      </w:pPr>
      <w:r w:rsidRPr="00134502">
        <w:rPr>
          <w:rFonts w:ascii="Arial" w:eastAsia="Times New Roman" w:hAnsi="Arial" w:cs="Arial"/>
          <w:color w:val="222222"/>
          <w:sz w:val="28"/>
          <w:szCs w:val="28"/>
          <w:lang w:eastAsia="en-GB"/>
        </w:rPr>
        <w:t> </w:t>
      </w:r>
    </w:p>
    <w:p w14:paraId="1F56E828" w14:textId="77777777" w:rsidR="00134502" w:rsidRPr="00134502" w:rsidRDefault="00134502" w:rsidP="00134502">
      <w:pPr>
        <w:spacing w:before="90" w:after="90"/>
        <w:rPr>
          <w:rFonts w:ascii="Arial" w:eastAsia="Times New Roman" w:hAnsi="Arial" w:cs="Arial"/>
          <w:color w:val="222222"/>
          <w:sz w:val="28"/>
          <w:szCs w:val="28"/>
          <w:lang w:eastAsia="en-GB"/>
        </w:rPr>
      </w:pPr>
      <w:r w:rsidRPr="00134502">
        <w:rPr>
          <w:rFonts w:ascii="Arial" w:eastAsia="Times New Roman" w:hAnsi="Arial" w:cs="Arial"/>
          <w:color w:val="222222"/>
          <w:sz w:val="28"/>
          <w:szCs w:val="28"/>
          <w:lang w:eastAsia="en-GB"/>
        </w:rPr>
        <w:t> </w:t>
      </w:r>
    </w:p>
    <w:p w14:paraId="30B05BDC" w14:textId="0A0832F6" w:rsidR="0056124F" w:rsidRPr="00134502" w:rsidRDefault="002C38EF" w:rsidP="00134502">
      <w:pPr>
        <w:shd w:val="clear" w:color="auto" w:fill="FFFFFF"/>
        <w:textAlignment w:val="center"/>
      </w:pPr>
    </w:p>
    <w:sectPr w:rsidR="0056124F" w:rsidRPr="00134502" w:rsidSect="0083236B">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3D2BAE"/>
    <w:multiLevelType w:val="multilevel"/>
    <w:tmpl w:val="CABAB6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1B76B0B"/>
    <w:multiLevelType w:val="multilevel"/>
    <w:tmpl w:val="B1B061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0A77998"/>
    <w:multiLevelType w:val="multilevel"/>
    <w:tmpl w:val="077805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1715C46"/>
    <w:multiLevelType w:val="multilevel"/>
    <w:tmpl w:val="4254F2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2213E1D"/>
    <w:multiLevelType w:val="multilevel"/>
    <w:tmpl w:val="43AEF6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3DA47CF"/>
    <w:multiLevelType w:val="multilevel"/>
    <w:tmpl w:val="12CC90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40A3DA5"/>
    <w:multiLevelType w:val="multilevel"/>
    <w:tmpl w:val="2E445F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C7839AC"/>
    <w:multiLevelType w:val="multilevel"/>
    <w:tmpl w:val="6B146A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E036BF8"/>
    <w:multiLevelType w:val="multilevel"/>
    <w:tmpl w:val="AC0CC6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50522D4"/>
    <w:multiLevelType w:val="multilevel"/>
    <w:tmpl w:val="C8CE0B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5"/>
  </w:num>
  <w:num w:numId="3">
    <w:abstractNumId w:val="1"/>
  </w:num>
  <w:num w:numId="4">
    <w:abstractNumId w:val="9"/>
  </w:num>
  <w:num w:numId="5">
    <w:abstractNumId w:val="2"/>
  </w:num>
  <w:num w:numId="6">
    <w:abstractNumId w:val="6"/>
  </w:num>
  <w:num w:numId="7">
    <w:abstractNumId w:val="4"/>
  </w:num>
  <w:num w:numId="8">
    <w:abstractNumId w:val="8"/>
  </w:num>
  <w:num w:numId="9">
    <w:abstractNumId w:val="0"/>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502"/>
    <w:rsid w:val="00134502"/>
    <w:rsid w:val="001E1B19"/>
    <w:rsid w:val="002C38EF"/>
    <w:rsid w:val="00326C1E"/>
    <w:rsid w:val="00580995"/>
    <w:rsid w:val="0083236B"/>
    <w:rsid w:val="00856BB5"/>
    <w:rsid w:val="009D0428"/>
    <w:rsid w:val="009E0056"/>
    <w:rsid w:val="00A05233"/>
    <w:rsid w:val="00AB7983"/>
    <w:rsid w:val="00E0766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C22F5"/>
  <w15:chartTrackingRefBased/>
  <w15:docId w15:val="{BECA7423-7146-DF44-AAE3-69BD41FDF9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34502"/>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134502"/>
  </w:style>
  <w:style w:type="paragraph" w:customStyle="1" w:styleId="bodytext1">
    <w:name w:val="bodytext1"/>
    <w:basedOn w:val="Normal"/>
    <w:rsid w:val="00134502"/>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134502"/>
    <w:rPr>
      <w:color w:val="0000FF"/>
      <w:u w:val="single"/>
    </w:rPr>
  </w:style>
  <w:style w:type="paragraph" w:styleId="NoSpacing">
    <w:name w:val="No Spacing"/>
    <w:link w:val="NoSpacingChar"/>
    <w:uiPriority w:val="1"/>
    <w:qFormat/>
    <w:rsid w:val="0083236B"/>
    <w:rPr>
      <w:rFonts w:eastAsiaTheme="minorEastAsia"/>
      <w:sz w:val="22"/>
      <w:szCs w:val="22"/>
      <w:lang w:val="en-US" w:eastAsia="zh-CN"/>
    </w:rPr>
  </w:style>
  <w:style w:type="character" w:customStyle="1" w:styleId="NoSpacingChar">
    <w:name w:val="No Spacing Char"/>
    <w:basedOn w:val="DefaultParagraphFont"/>
    <w:link w:val="NoSpacing"/>
    <w:uiPriority w:val="1"/>
    <w:rsid w:val="0083236B"/>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7498662">
      <w:bodyDiv w:val="1"/>
      <w:marLeft w:val="0"/>
      <w:marRight w:val="0"/>
      <w:marTop w:val="0"/>
      <w:marBottom w:val="0"/>
      <w:divBdr>
        <w:top w:val="none" w:sz="0" w:space="0" w:color="auto"/>
        <w:left w:val="none" w:sz="0" w:space="0" w:color="auto"/>
        <w:bottom w:val="none" w:sz="0" w:space="0" w:color="auto"/>
        <w:right w:val="none" w:sz="0" w:space="0" w:color="auto"/>
      </w:divBdr>
      <w:divsChild>
        <w:div w:id="1218470742">
          <w:marLeft w:val="0"/>
          <w:marRight w:val="0"/>
          <w:marTop w:val="0"/>
          <w:marBottom w:val="0"/>
          <w:divBdr>
            <w:top w:val="none" w:sz="0" w:space="0" w:color="auto"/>
            <w:left w:val="none" w:sz="0" w:space="0" w:color="auto"/>
            <w:bottom w:val="single" w:sz="6" w:space="5" w:color="EFEFEF"/>
            <w:right w:val="none" w:sz="0" w:space="0" w:color="auto"/>
          </w:divBdr>
          <w:divsChild>
            <w:div w:id="540675585">
              <w:marLeft w:val="0"/>
              <w:marRight w:val="0"/>
              <w:marTop w:val="0"/>
              <w:marBottom w:val="0"/>
              <w:divBdr>
                <w:top w:val="none" w:sz="0" w:space="0" w:color="auto"/>
                <w:left w:val="none" w:sz="0" w:space="0" w:color="auto"/>
                <w:bottom w:val="none" w:sz="0" w:space="0" w:color="auto"/>
                <w:right w:val="none" w:sz="0" w:space="0" w:color="auto"/>
              </w:divBdr>
              <w:divsChild>
                <w:div w:id="2097704794">
                  <w:marLeft w:val="0"/>
                  <w:marRight w:val="0"/>
                  <w:marTop w:val="0"/>
                  <w:marBottom w:val="0"/>
                  <w:divBdr>
                    <w:top w:val="none" w:sz="0" w:space="0" w:color="auto"/>
                    <w:left w:val="none" w:sz="0" w:space="0" w:color="auto"/>
                    <w:bottom w:val="none" w:sz="0" w:space="0" w:color="auto"/>
                    <w:right w:val="none" w:sz="0" w:space="0" w:color="auto"/>
                  </w:divBdr>
                  <w:divsChild>
                    <w:div w:id="463545426">
                      <w:marLeft w:val="0"/>
                      <w:marRight w:val="0"/>
                      <w:marTop w:val="0"/>
                      <w:marBottom w:val="0"/>
                      <w:divBdr>
                        <w:top w:val="none" w:sz="0" w:space="0" w:color="auto"/>
                        <w:left w:val="none" w:sz="0" w:space="0" w:color="auto"/>
                        <w:bottom w:val="none" w:sz="0" w:space="0" w:color="auto"/>
                        <w:right w:val="none" w:sz="0" w:space="0" w:color="auto"/>
                      </w:divBdr>
                    </w:div>
                  </w:divsChild>
                </w:div>
                <w:div w:id="1250041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1392733">
          <w:marLeft w:val="0"/>
          <w:marRight w:val="0"/>
          <w:marTop w:val="0"/>
          <w:marBottom w:val="0"/>
          <w:divBdr>
            <w:top w:val="none" w:sz="0" w:space="0" w:color="auto"/>
            <w:left w:val="none" w:sz="0" w:space="0" w:color="auto"/>
            <w:bottom w:val="none" w:sz="0" w:space="0" w:color="auto"/>
            <w:right w:val="none" w:sz="0" w:space="0" w:color="auto"/>
          </w:divBdr>
          <w:divsChild>
            <w:div w:id="1118379810">
              <w:marLeft w:val="0"/>
              <w:marRight w:val="0"/>
              <w:marTop w:val="0"/>
              <w:marBottom w:val="0"/>
              <w:divBdr>
                <w:top w:val="none" w:sz="0" w:space="0" w:color="auto"/>
                <w:left w:val="none" w:sz="0" w:space="0" w:color="auto"/>
                <w:bottom w:val="none" w:sz="0" w:space="0" w:color="auto"/>
                <w:right w:val="none" w:sz="0" w:space="0" w:color="auto"/>
              </w:divBdr>
              <w:divsChild>
                <w:div w:id="1667513740">
                  <w:marLeft w:val="0"/>
                  <w:marRight w:val="0"/>
                  <w:marTop w:val="0"/>
                  <w:marBottom w:val="0"/>
                  <w:divBdr>
                    <w:top w:val="single" w:sz="6" w:space="8" w:color="EFEFEF"/>
                    <w:left w:val="single" w:sz="6" w:space="8" w:color="EFEFEF"/>
                    <w:bottom w:val="single" w:sz="6" w:space="8" w:color="EFEFEF"/>
                    <w:right w:val="single" w:sz="6" w:space="8" w:color="EFEFEF"/>
                  </w:divBdr>
                  <w:divsChild>
                    <w:div w:id="1824663691">
                      <w:marLeft w:val="450"/>
                      <w:marRight w:val="0"/>
                      <w:marTop w:val="0"/>
                      <w:marBottom w:val="0"/>
                      <w:divBdr>
                        <w:top w:val="none" w:sz="0" w:space="0" w:color="auto"/>
                        <w:left w:val="none" w:sz="0" w:space="0" w:color="auto"/>
                        <w:bottom w:val="none" w:sz="0" w:space="0" w:color="auto"/>
                        <w:right w:val="none" w:sz="0" w:space="0" w:color="auto"/>
                      </w:divBdr>
                    </w:div>
                    <w:div w:id="1977103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6957948">
      <w:bodyDiv w:val="1"/>
      <w:marLeft w:val="0"/>
      <w:marRight w:val="0"/>
      <w:marTop w:val="0"/>
      <w:marBottom w:val="0"/>
      <w:divBdr>
        <w:top w:val="none" w:sz="0" w:space="0" w:color="auto"/>
        <w:left w:val="none" w:sz="0" w:space="0" w:color="auto"/>
        <w:bottom w:val="none" w:sz="0" w:space="0" w:color="auto"/>
        <w:right w:val="none" w:sz="0" w:space="0" w:color="auto"/>
      </w:divBdr>
    </w:div>
    <w:div w:id="1129783222">
      <w:bodyDiv w:val="1"/>
      <w:marLeft w:val="0"/>
      <w:marRight w:val="0"/>
      <w:marTop w:val="0"/>
      <w:marBottom w:val="0"/>
      <w:divBdr>
        <w:top w:val="none" w:sz="0" w:space="0" w:color="auto"/>
        <w:left w:val="none" w:sz="0" w:space="0" w:color="auto"/>
        <w:bottom w:val="none" w:sz="0" w:space="0" w:color="auto"/>
        <w:right w:val="none" w:sz="0" w:space="0" w:color="auto"/>
      </w:divBdr>
    </w:div>
    <w:div w:id="1831754064">
      <w:bodyDiv w:val="1"/>
      <w:marLeft w:val="0"/>
      <w:marRight w:val="0"/>
      <w:marTop w:val="0"/>
      <w:marBottom w:val="0"/>
      <w:divBdr>
        <w:top w:val="none" w:sz="0" w:space="0" w:color="auto"/>
        <w:left w:val="none" w:sz="0" w:space="0" w:color="auto"/>
        <w:bottom w:val="none" w:sz="0" w:space="0" w:color="auto"/>
        <w:right w:val="none" w:sz="0" w:space="0" w:color="auto"/>
      </w:divBdr>
    </w:div>
    <w:div w:id="2052143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2463</Words>
  <Characters>14045</Characters>
  <Application>Microsoft Office Word</Application>
  <DocSecurity>0</DocSecurity>
  <Lines>117</Lines>
  <Paragraphs>32</Paragraphs>
  <ScaleCrop>false</ScaleCrop>
  <Company>06,MAY,2021</Company>
  <LinksUpToDate>false</LinksUpToDate>
  <CharactersWithSpaces>16476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ASSIGHNMENT</dc:title>
  <dc:subject/>
  <dc:creator>Heresh Shareef Aubed (1705968)</dc:creator>
  <cp:keywords/>
  <dc:description/>
  <cp:lastModifiedBy>Heresh Shareef Aubed (1705968)</cp:lastModifiedBy>
  <cp:revision>3</cp:revision>
  <dcterms:created xsi:type="dcterms:W3CDTF">2021-05-07T01:15:00Z</dcterms:created>
  <dcterms:modified xsi:type="dcterms:W3CDTF">2021-05-07T01:18:00Z</dcterms:modified>
</cp:coreProperties>
</file>