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F8E22C" w14:textId="77777777" w:rsidR="00EA2D6B" w:rsidRPr="00EA2D6B" w:rsidRDefault="00EA2D6B" w:rsidP="00EA2D6B">
      <w:pPr>
        <w:spacing w:after="225" w:line="240" w:lineRule="auto"/>
        <w:outlineLvl w:val="0"/>
        <w:rPr>
          <w:rFonts w:ascii="Open Sans" w:eastAsia="Times New Roman" w:hAnsi="Open Sans" w:cs="Open Sans"/>
          <w:color w:val="303030"/>
          <w:kern w:val="36"/>
          <w:sz w:val="53"/>
          <w:szCs w:val="53"/>
          <w14:ligatures w14:val="none"/>
        </w:rPr>
      </w:pPr>
      <w:r w:rsidRPr="00EA2D6B">
        <w:rPr>
          <w:rFonts w:ascii="Open Sans" w:eastAsia="Times New Roman" w:hAnsi="Open Sans" w:cs="Open Sans"/>
          <w:color w:val="303030"/>
          <w:kern w:val="36"/>
          <w:sz w:val="53"/>
          <w:szCs w:val="53"/>
          <w14:ligatures w14:val="none"/>
        </w:rPr>
        <w:t>Health and safety legislation</w:t>
      </w:r>
    </w:p>
    <w:p w14:paraId="64098228" w14:textId="77777777" w:rsidR="00EA2D6B" w:rsidRPr="00EA2D6B" w:rsidRDefault="00EA2D6B" w:rsidP="00EA2D6B">
      <w:pPr>
        <w:spacing w:after="225" w:line="240" w:lineRule="auto"/>
        <w:outlineLvl w:val="1"/>
        <w:rPr>
          <w:rFonts w:ascii="Open Sans" w:eastAsia="Times New Roman" w:hAnsi="Open Sans" w:cs="Open Sans"/>
          <w:color w:val="0099FF"/>
          <w:kern w:val="0"/>
          <w:sz w:val="42"/>
          <w:szCs w:val="42"/>
          <w14:ligatures w14:val="none"/>
        </w:rPr>
      </w:pPr>
      <w:r w:rsidRPr="00EA2D6B">
        <w:rPr>
          <w:rFonts w:ascii="Open Sans" w:eastAsia="Times New Roman" w:hAnsi="Open Sans" w:cs="Open Sans"/>
          <w:color w:val="0099FF"/>
          <w:kern w:val="0"/>
          <w:sz w:val="42"/>
          <w:szCs w:val="42"/>
          <w14:ligatures w14:val="none"/>
        </w:rPr>
        <w:t>Overview for social care</w:t>
      </w:r>
    </w:p>
    <w:p w14:paraId="5BD32001" w14:textId="77777777" w:rsidR="00EA2D6B" w:rsidRPr="00EA2D6B" w:rsidRDefault="00EA2D6B" w:rsidP="00EA2D6B">
      <w:pPr>
        <w:spacing w:after="225" w:line="336" w:lineRule="atLeast"/>
        <w:rPr>
          <w:rFonts w:ascii="Open Sans" w:eastAsia="Times New Roman" w:hAnsi="Open Sans" w:cs="Open Sans"/>
          <w:kern w:val="0"/>
          <w14:ligatures w14:val="none"/>
        </w:rPr>
      </w:pPr>
      <w:r w:rsidRPr="00EA2D6B">
        <w:rPr>
          <w:rFonts w:ascii="Open Sans" w:eastAsia="Times New Roman" w:hAnsi="Open Sans" w:cs="Open Sans"/>
          <w:kern w:val="0"/>
          <w14:ligatures w14:val="none"/>
        </w:rPr>
        <w:t>This introduction to health and safety has been developed to assist in promoting dignity in social care.</w:t>
      </w:r>
    </w:p>
    <w:p w14:paraId="4D7FC0A5" w14:textId="77777777" w:rsidR="00EA2D6B" w:rsidRPr="00EA2D6B" w:rsidRDefault="00EA2D6B" w:rsidP="00EA2D6B">
      <w:pPr>
        <w:spacing w:after="0" w:line="336" w:lineRule="atLeast"/>
        <w:rPr>
          <w:rFonts w:ascii="Open Sans" w:eastAsia="Times New Roman" w:hAnsi="Open Sans" w:cs="Open Sans"/>
          <w:kern w:val="0"/>
          <w14:ligatures w14:val="none"/>
        </w:rPr>
      </w:pPr>
      <w:r w:rsidRPr="00EA2D6B">
        <w:rPr>
          <w:rFonts w:ascii="Open Sans" w:eastAsia="Times New Roman" w:hAnsi="Open Sans" w:cs="Open Sans"/>
          <w:kern w:val="0"/>
          <w14:ligatures w14:val="none"/>
        </w:rPr>
        <w:t xml:space="preserve">Safe practice is very important when providing care. There are </w:t>
      </w:r>
      <w:proofErr w:type="gramStart"/>
      <w:r w:rsidRPr="00EA2D6B">
        <w:rPr>
          <w:rFonts w:ascii="Open Sans" w:eastAsia="Times New Roman" w:hAnsi="Open Sans" w:cs="Open Sans"/>
          <w:kern w:val="0"/>
          <w14:ligatures w14:val="none"/>
        </w:rPr>
        <w:t>a number of</w:t>
      </w:r>
      <w:proofErr w:type="gramEnd"/>
      <w:r w:rsidRPr="00EA2D6B">
        <w:rPr>
          <w:rFonts w:ascii="Open Sans" w:eastAsia="Times New Roman" w:hAnsi="Open Sans" w:cs="Open Sans"/>
          <w:kern w:val="0"/>
          <w14:ligatures w14:val="none"/>
        </w:rPr>
        <w:t xml:space="preserve"> legislative measures and regulations to support health and safety at work. These are intended to protect people in work, those using services and the wider public. The </w:t>
      </w:r>
      <w:hyperlink r:id="rId5" w:tgtFrame="_blank" w:tooltip="Opens in a new window" w:history="1">
        <w:r w:rsidRPr="00EA2D6B">
          <w:rPr>
            <w:rFonts w:ascii="inherit" w:eastAsia="Times New Roman" w:hAnsi="inherit" w:cs="Open Sans"/>
            <w:b/>
            <w:bCs/>
            <w:color w:val="00539F"/>
            <w:kern w:val="0"/>
            <w:bdr w:val="none" w:sz="0" w:space="0" w:color="auto" w:frame="1"/>
            <w14:ligatures w14:val="none"/>
          </w:rPr>
          <w:t>Health and Safety Executive</w:t>
        </w:r>
      </w:hyperlink>
      <w:r w:rsidRPr="00EA2D6B">
        <w:rPr>
          <w:rFonts w:ascii="Open Sans" w:eastAsia="Times New Roman" w:hAnsi="Open Sans" w:cs="Open Sans"/>
          <w:kern w:val="0"/>
          <w14:ligatures w14:val="none"/>
        </w:rPr>
        <w:t> (HSE), local authority Trading Standards and the </w:t>
      </w:r>
      <w:hyperlink r:id="rId6" w:tgtFrame="_blank" w:tooltip="Opens in a new window" w:history="1">
        <w:r w:rsidRPr="00EA2D6B">
          <w:rPr>
            <w:rFonts w:ascii="inherit" w:eastAsia="Times New Roman" w:hAnsi="inherit" w:cs="Open Sans"/>
            <w:b/>
            <w:bCs/>
            <w:color w:val="00539F"/>
            <w:kern w:val="0"/>
            <w:bdr w:val="none" w:sz="0" w:space="0" w:color="auto" w:frame="1"/>
            <w14:ligatures w14:val="none"/>
          </w:rPr>
          <w:t>Care Quality Commission</w:t>
        </w:r>
      </w:hyperlink>
      <w:r w:rsidRPr="00EA2D6B">
        <w:rPr>
          <w:rFonts w:ascii="Open Sans" w:eastAsia="Times New Roman" w:hAnsi="Open Sans" w:cs="Open Sans"/>
          <w:kern w:val="0"/>
          <w14:ligatures w14:val="none"/>
        </w:rPr>
        <w:t> (CQC) can all bring prosecutions against care providers who breach health and safety standards.</w:t>
      </w:r>
    </w:p>
    <w:p w14:paraId="390E6491" w14:textId="77777777" w:rsidR="00EA2D6B" w:rsidRPr="00EA2D6B" w:rsidRDefault="00EA2D6B" w:rsidP="00EA2D6B">
      <w:pPr>
        <w:spacing w:before="120" w:after="225" w:line="240" w:lineRule="auto"/>
        <w:outlineLvl w:val="1"/>
        <w:rPr>
          <w:rFonts w:ascii="Open Sans" w:eastAsia="Times New Roman" w:hAnsi="Open Sans" w:cs="Open Sans"/>
          <w:color w:val="0099FF"/>
          <w:kern w:val="0"/>
          <w:sz w:val="42"/>
          <w:szCs w:val="42"/>
          <w14:ligatures w14:val="none"/>
        </w:rPr>
      </w:pPr>
      <w:r w:rsidRPr="00EA2D6B">
        <w:rPr>
          <w:rFonts w:ascii="Open Sans" w:eastAsia="Times New Roman" w:hAnsi="Open Sans" w:cs="Open Sans"/>
          <w:color w:val="0099FF"/>
          <w:kern w:val="0"/>
          <w:sz w:val="42"/>
          <w:szCs w:val="42"/>
          <w14:ligatures w14:val="none"/>
        </w:rPr>
        <w:t>Health and safety legislation and regulations</w:t>
      </w:r>
    </w:p>
    <w:p w14:paraId="7834D45B" w14:textId="77777777" w:rsidR="00EA2D6B" w:rsidRPr="00EA2D6B" w:rsidRDefault="00EA2D6B" w:rsidP="00EA2D6B">
      <w:pPr>
        <w:spacing w:after="225" w:line="240" w:lineRule="auto"/>
        <w:outlineLvl w:val="2"/>
        <w:rPr>
          <w:rFonts w:ascii="Open Sans" w:eastAsia="Times New Roman" w:hAnsi="Open Sans" w:cs="Open Sans"/>
          <w:color w:val="0099FF"/>
          <w:kern w:val="0"/>
          <w:sz w:val="33"/>
          <w:szCs w:val="33"/>
          <w14:ligatures w14:val="none"/>
        </w:rPr>
      </w:pPr>
      <w:r w:rsidRPr="00EA2D6B">
        <w:rPr>
          <w:rFonts w:ascii="Open Sans" w:eastAsia="Times New Roman" w:hAnsi="Open Sans" w:cs="Open Sans"/>
          <w:color w:val="0099FF"/>
          <w:kern w:val="0"/>
          <w:sz w:val="33"/>
          <w:szCs w:val="33"/>
          <w14:ligatures w14:val="none"/>
        </w:rPr>
        <w:t>Health and Safety at Work Act 1974</w:t>
      </w:r>
    </w:p>
    <w:p w14:paraId="1DC3A46B" w14:textId="77777777" w:rsidR="00EA2D6B" w:rsidRPr="00EA2D6B" w:rsidRDefault="00EA2D6B" w:rsidP="00EA2D6B">
      <w:pPr>
        <w:spacing w:after="225" w:line="336" w:lineRule="atLeast"/>
        <w:rPr>
          <w:rFonts w:ascii="Open Sans" w:eastAsia="Times New Roman" w:hAnsi="Open Sans" w:cs="Open Sans"/>
          <w:kern w:val="0"/>
          <w14:ligatures w14:val="none"/>
        </w:rPr>
      </w:pPr>
      <w:r w:rsidRPr="00EA2D6B">
        <w:rPr>
          <w:rFonts w:ascii="Open Sans" w:eastAsia="Times New Roman" w:hAnsi="Open Sans" w:cs="Open Sans"/>
          <w:kern w:val="0"/>
          <w14:ligatures w14:val="none"/>
        </w:rPr>
        <w:t>The Act covers a wide range of issues relating to workplace health, safety and welfare across different sectors. Statutory instruments have developed to support the implementation of the Act and provide an interface with European regulations. The HSE holds enforcement powers which can result in unlimited fines and prison sentences. Employees have a general obligation under the Act to take care of others and cooperate with employers’ health and safety requirements.</w:t>
      </w:r>
    </w:p>
    <w:p w14:paraId="75874C00" w14:textId="77777777" w:rsidR="00EA2D6B" w:rsidRPr="00EA2D6B" w:rsidRDefault="00EA2D6B" w:rsidP="00EA2D6B">
      <w:pPr>
        <w:spacing w:after="0" w:line="336" w:lineRule="atLeast"/>
        <w:rPr>
          <w:rFonts w:ascii="Open Sans" w:eastAsia="Times New Roman" w:hAnsi="Open Sans" w:cs="Open Sans"/>
          <w:kern w:val="0"/>
          <w14:ligatures w14:val="none"/>
        </w:rPr>
      </w:pPr>
      <w:proofErr w:type="gramStart"/>
      <w:r w:rsidRPr="00EA2D6B">
        <w:rPr>
          <w:rFonts w:ascii="Open Sans" w:eastAsia="Times New Roman" w:hAnsi="Open Sans" w:cs="Open Sans"/>
          <w:kern w:val="0"/>
          <w14:ligatures w14:val="none"/>
        </w:rPr>
        <w:t>In light of</w:t>
      </w:r>
      <w:proofErr w:type="gramEnd"/>
      <w:r w:rsidRPr="00EA2D6B">
        <w:rPr>
          <w:rFonts w:ascii="Open Sans" w:eastAsia="Times New Roman" w:hAnsi="Open Sans" w:cs="Open Sans"/>
          <w:kern w:val="0"/>
          <w14:ligatures w14:val="none"/>
        </w:rPr>
        <w:t xml:space="preserve"> the coronavirus pandemic, there are additional procedures to follow. Please see </w:t>
      </w:r>
      <w:hyperlink r:id="rId7" w:tgtFrame="_blank" w:tooltip="Opens in a new window" w:history="1">
        <w:r w:rsidRPr="00EA2D6B">
          <w:rPr>
            <w:rFonts w:ascii="inherit" w:eastAsia="Times New Roman" w:hAnsi="inherit" w:cs="Open Sans"/>
            <w:b/>
            <w:bCs/>
            <w:color w:val="00539F"/>
            <w:kern w:val="0"/>
            <w:bdr w:val="none" w:sz="0" w:space="0" w:color="auto" w:frame="1"/>
            <w14:ligatures w14:val="none"/>
          </w:rPr>
          <w:t>COVID-19 supplement to the infection prevention and control resource for adult social care on Gov.UK</w:t>
        </w:r>
      </w:hyperlink>
      <w:r w:rsidRPr="00EA2D6B">
        <w:rPr>
          <w:rFonts w:ascii="Open Sans" w:eastAsia="Times New Roman" w:hAnsi="Open Sans" w:cs="Open Sans"/>
          <w:kern w:val="0"/>
          <w14:ligatures w14:val="none"/>
        </w:rPr>
        <w:t>.</w:t>
      </w:r>
    </w:p>
    <w:p w14:paraId="627B7F81" w14:textId="77777777" w:rsidR="00EA2D6B" w:rsidRPr="00EA2D6B" w:rsidRDefault="00EA2D6B" w:rsidP="00EA2D6B">
      <w:pPr>
        <w:spacing w:after="225" w:line="240" w:lineRule="auto"/>
        <w:outlineLvl w:val="2"/>
        <w:rPr>
          <w:rFonts w:ascii="Open Sans" w:eastAsia="Times New Roman" w:hAnsi="Open Sans" w:cs="Open Sans"/>
          <w:color w:val="0099FF"/>
          <w:kern w:val="0"/>
          <w:sz w:val="33"/>
          <w:szCs w:val="33"/>
          <w14:ligatures w14:val="none"/>
        </w:rPr>
      </w:pPr>
      <w:r w:rsidRPr="00EA2D6B">
        <w:rPr>
          <w:rFonts w:ascii="Open Sans" w:eastAsia="Times New Roman" w:hAnsi="Open Sans" w:cs="Open Sans"/>
          <w:color w:val="0099FF"/>
          <w:kern w:val="0"/>
          <w:sz w:val="33"/>
          <w:szCs w:val="33"/>
          <w14:ligatures w14:val="none"/>
        </w:rPr>
        <w:t>Manual Handling Operations Regulations 1992 (amended 2002)</w:t>
      </w:r>
    </w:p>
    <w:p w14:paraId="36D75A18" w14:textId="77777777" w:rsidR="00EA2D6B" w:rsidRPr="00EA2D6B" w:rsidRDefault="00EA2D6B" w:rsidP="00EA2D6B">
      <w:pPr>
        <w:spacing w:after="225" w:line="336" w:lineRule="atLeast"/>
        <w:rPr>
          <w:rFonts w:ascii="Open Sans" w:eastAsia="Times New Roman" w:hAnsi="Open Sans" w:cs="Open Sans"/>
          <w:kern w:val="0"/>
          <w14:ligatures w14:val="none"/>
        </w:rPr>
      </w:pPr>
      <w:r w:rsidRPr="00EA2D6B">
        <w:rPr>
          <w:rFonts w:ascii="Open Sans" w:eastAsia="Times New Roman" w:hAnsi="Open Sans" w:cs="Open Sans"/>
          <w:kern w:val="0"/>
          <w14:ligatures w14:val="none"/>
        </w:rPr>
        <w:t>Manual handling is a major issue for care providers as people with limited mobility need to be assisted safely to move and transfer. It is important this is done in a way that respects the dignity of the individual. While employers are required to ensure that they comply with the regulatory framework, this does not mean that an individual's human rights can be disregarded.</w:t>
      </w:r>
    </w:p>
    <w:p w14:paraId="7EA82993" w14:textId="77777777" w:rsidR="00EA2D6B" w:rsidRPr="00EA2D6B" w:rsidRDefault="00EA2D6B" w:rsidP="00EA2D6B">
      <w:pPr>
        <w:spacing w:after="225" w:line="336" w:lineRule="atLeast"/>
        <w:rPr>
          <w:rFonts w:ascii="Open Sans" w:eastAsia="Times New Roman" w:hAnsi="Open Sans" w:cs="Open Sans"/>
          <w:kern w:val="0"/>
          <w14:ligatures w14:val="none"/>
        </w:rPr>
      </w:pPr>
      <w:r w:rsidRPr="00EA2D6B">
        <w:rPr>
          <w:rFonts w:ascii="Open Sans" w:eastAsia="Times New Roman" w:hAnsi="Open Sans" w:cs="Open Sans"/>
          <w:kern w:val="0"/>
          <w14:ligatures w14:val="none"/>
        </w:rPr>
        <w:t xml:space="preserve">What is required is a balanced approach that reduces risks for workers while at the same time maintaining the dignity, privacy and autonomy of those they are caring for. The challenge of lifting a very heavy person, for example, must be </w:t>
      </w:r>
      <w:r w:rsidRPr="00EA2D6B">
        <w:rPr>
          <w:rFonts w:ascii="Open Sans" w:eastAsia="Times New Roman" w:hAnsi="Open Sans" w:cs="Open Sans"/>
          <w:kern w:val="0"/>
          <w14:ligatures w14:val="none"/>
        </w:rPr>
        <w:lastRenderedPageBreak/>
        <w:t xml:space="preserve">solved not ignored. For example, a county council, concerned for the health of its employees, imposed a blanket ban on manual lifting of people using services. Unfortunately, this resulted in certain people not receiving the community care to which they were entitled. The court held that the guidelines on manual lifting did not prohibit manual handling of people, nor operate a cut-off above which they would be too heavy to lift manually. Failure to lift heavy people could leave them stuck in a bath or on a </w:t>
      </w:r>
      <w:proofErr w:type="gramStart"/>
      <w:r w:rsidRPr="00EA2D6B">
        <w:rPr>
          <w:rFonts w:ascii="Open Sans" w:eastAsia="Times New Roman" w:hAnsi="Open Sans" w:cs="Open Sans"/>
          <w:kern w:val="0"/>
          <w14:ligatures w14:val="none"/>
        </w:rPr>
        <w:t>lavatory, or</w:t>
      </w:r>
      <w:proofErr w:type="gramEnd"/>
      <w:r w:rsidRPr="00EA2D6B">
        <w:rPr>
          <w:rFonts w:ascii="Open Sans" w:eastAsia="Times New Roman" w:hAnsi="Open Sans" w:cs="Open Sans"/>
          <w:kern w:val="0"/>
          <w14:ligatures w14:val="none"/>
        </w:rPr>
        <w:t xml:space="preserve"> suffering from bedsores. This created a potential breach of Article 3 of the HRA (the right not to be subject to inhuman or degrading treatment). Care workers' rights to a safe working environment must be respected, but these require safe working practices to be devised, not blanket bans that restrict levels of service [R v East Sussex County Council (2003)].</w:t>
      </w:r>
    </w:p>
    <w:p w14:paraId="144FEAF6" w14:textId="77777777" w:rsidR="00EA2D6B" w:rsidRPr="00EA2D6B" w:rsidRDefault="00000000" w:rsidP="00EA2D6B">
      <w:pPr>
        <w:numPr>
          <w:ilvl w:val="0"/>
          <w:numId w:val="1"/>
        </w:numPr>
        <w:spacing w:after="0" w:line="240" w:lineRule="auto"/>
        <w:rPr>
          <w:rFonts w:ascii="inherit" w:eastAsia="Times New Roman" w:hAnsi="inherit" w:cs="Times New Roman"/>
          <w:kern w:val="0"/>
          <w14:ligatures w14:val="none"/>
        </w:rPr>
      </w:pPr>
      <w:hyperlink r:id="rId8" w:tgtFrame="_blank" w:tooltip="Opens in a new window" w:history="1">
        <w:r w:rsidR="00EA2D6B" w:rsidRPr="00EA2D6B">
          <w:rPr>
            <w:rFonts w:ascii="inherit" w:eastAsia="Times New Roman" w:hAnsi="inherit" w:cs="Times New Roman"/>
            <w:b/>
            <w:bCs/>
            <w:color w:val="00539F"/>
            <w:kern w:val="0"/>
            <w:bdr w:val="none" w:sz="0" w:space="0" w:color="auto" w:frame="1"/>
            <w14:ligatures w14:val="none"/>
          </w:rPr>
          <w:t>Manual handling guidance</w:t>
        </w:r>
      </w:hyperlink>
      <w:r w:rsidR="00EA2D6B" w:rsidRPr="00EA2D6B">
        <w:rPr>
          <w:rFonts w:ascii="inherit" w:eastAsia="Times New Roman" w:hAnsi="inherit" w:cs="Times New Roman"/>
          <w:kern w:val="0"/>
          <w14:ligatures w14:val="none"/>
        </w:rPr>
        <w:t> (HSE)</w:t>
      </w:r>
    </w:p>
    <w:p w14:paraId="58F58AE6" w14:textId="77777777" w:rsidR="00EA2D6B" w:rsidRPr="00EA2D6B" w:rsidRDefault="00EA2D6B" w:rsidP="00EA2D6B">
      <w:pPr>
        <w:spacing w:after="225" w:line="240" w:lineRule="auto"/>
        <w:outlineLvl w:val="2"/>
        <w:rPr>
          <w:rFonts w:ascii="Open Sans" w:eastAsia="Times New Roman" w:hAnsi="Open Sans" w:cs="Open Sans"/>
          <w:color w:val="0099FF"/>
          <w:kern w:val="0"/>
          <w:sz w:val="33"/>
          <w:szCs w:val="33"/>
          <w14:ligatures w14:val="none"/>
        </w:rPr>
      </w:pPr>
      <w:r w:rsidRPr="00EA2D6B">
        <w:rPr>
          <w:rFonts w:ascii="Open Sans" w:eastAsia="Times New Roman" w:hAnsi="Open Sans" w:cs="Open Sans"/>
          <w:color w:val="0099FF"/>
          <w:kern w:val="0"/>
          <w:sz w:val="33"/>
          <w:szCs w:val="33"/>
          <w14:ligatures w14:val="none"/>
        </w:rPr>
        <w:t>Control of Substances Hazardous to Health 2002</w:t>
      </w:r>
    </w:p>
    <w:p w14:paraId="5EDE87D9" w14:textId="77777777" w:rsidR="00EA2D6B" w:rsidRPr="00EA2D6B" w:rsidRDefault="00EA2D6B" w:rsidP="00EA2D6B">
      <w:pPr>
        <w:spacing w:after="225" w:line="336" w:lineRule="atLeast"/>
        <w:rPr>
          <w:rFonts w:ascii="Open Sans" w:eastAsia="Times New Roman" w:hAnsi="Open Sans" w:cs="Open Sans"/>
          <w:kern w:val="0"/>
          <w14:ligatures w14:val="none"/>
        </w:rPr>
      </w:pPr>
      <w:r w:rsidRPr="00EA2D6B">
        <w:rPr>
          <w:rFonts w:ascii="Open Sans" w:eastAsia="Times New Roman" w:hAnsi="Open Sans" w:cs="Open Sans"/>
          <w:kern w:val="0"/>
          <w14:ligatures w14:val="none"/>
        </w:rPr>
        <w:t>In the care sector these regulations may apply to cleaning materials and medications that may be dangerous if not used properly. Care providers must protect staff and service users from harm by ensuring that potentially dangerous substances are safely stored and that staff that use them are properly trained to do so.</w:t>
      </w:r>
    </w:p>
    <w:p w14:paraId="1A0E780F" w14:textId="77777777" w:rsidR="00EA2D6B" w:rsidRPr="00EA2D6B" w:rsidRDefault="00EA2D6B" w:rsidP="00EA2D6B">
      <w:pPr>
        <w:spacing w:after="225" w:line="240" w:lineRule="auto"/>
        <w:outlineLvl w:val="2"/>
        <w:rPr>
          <w:rFonts w:ascii="Open Sans" w:eastAsia="Times New Roman" w:hAnsi="Open Sans" w:cs="Open Sans"/>
          <w:color w:val="0099FF"/>
          <w:kern w:val="0"/>
          <w:sz w:val="33"/>
          <w:szCs w:val="33"/>
          <w14:ligatures w14:val="none"/>
        </w:rPr>
      </w:pPr>
      <w:r w:rsidRPr="00EA2D6B">
        <w:rPr>
          <w:rFonts w:ascii="Open Sans" w:eastAsia="Times New Roman" w:hAnsi="Open Sans" w:cs="Open Sans"/>
          <w:color w:val="0099FF"/>
          <w:kern w:val="0"/>
          <w:sz w:val="33"/>
          <w:szCs w:val="33"/>
          <w14:ligatures w14:val="none"/>
        </w:rPr>
        <w:t>Reporting of Injuries, Diseases and Dangerous Occurrences Regulations 1995</w:t>
      </w:r>
    </w:p>
    <w:p w14:paraId="3820A454" w14:textId="77777777" w:rsidR="00EA2D6B" w:rsidRPr="00EA2D6B" w:rsidRDefault="00EA2D6B" w:rsidP="00EA2D6B">
      <w:pPr>
        <w:spacing w:after="225" w:line="336" w:lineRule="atLeast"/>
        <w:rPr>
          <w:rFonts w:ascii="Open Sans" w:eastAsia="Times New Roman" w:hAnsi="Open Sans" w:cs="Open Sans"/>
          <w:kern w:val="0"/>
          <w14:ligatures w14:val="none"/>
        </w:rPr>
      </w:pPr>
      <w:r w:rsidRPr="00EA2D6B">
        <w:rPr>
          <w:rFonts w:ascii="Open Sans" w:eastAsia="Times New Roman" w:hAnsi="Open Sans" w:cs="Open Sans"/>
          <w:kern w:val="0"/>
          <w14:ligatures w14:val="none"/>
        </w:rPr>
        <w:t>Employers, the self-employed and ‘responsible persons’ (people in control of work premises) have an obligation to report death or serious workplace accidents, occupational diseases and specified dangerous occurrences (near misses) to the HSE.</w:t>
      </w:r>
    </w:p>
    <w:p w14:paraId="574CEBED" w14:textId="77777777" w:rsidR="00EA2D6B" w:rsidRPr="00EA2D6B" w:rsidRDefault="00000000" w:rsidP="00EA2D6B">
      <w:pPr>
        <w:numPr>
          <w:ilvl w:val="0"/>
          <w:numId w:val="2"/>
        </w:numPr>
        <w:spacing w:after="0" w:line="240" w:lineRule="auto"/>
        <w:rPr>
          <w:rFonts w:ascii="inherit" w:eastAsia="Times New Roman" w:hAnsi="inherit" w:cs="Times New Roman"/>
          <w:kern w:val="0"/>
          <w14:ligatures w14:val="none"/>
        </w:rPr>
      </w:pPr>
      <w:hyperlink r:id="rId9" w:tgtFrame="_blank" w:tooltip="Opens in a new window" w:history="1">
        <w:r w:rsidR="00EA2D6B" w:rsidRPr="00EA2D6B">
          <w:rPr>
            <w:rFonts w:ascii="inherit" w:eastAsia="Times New Roman" w:hAnsi="inherit" w:cs="Times New Roman"/>
            <w:b/>
            <w:bCs/>
            <w:color w:val="00539F"/>
            <w:kern w:val="0"/>
            <w:bdr w:val="none" w:sz="0" w:space="0" w:color="auto" w:frame="1"/>
            <w14:ligatures w14:val="none"/>
          </w:rPr>
          <w:t>RIDDOR</w:t>
        </w:r>
      </w:hyperlink>
      <w:r w:rsidR="00EA2D6B" w:rsidRPr="00EA2D6B">
        <w:rPr>
          <w:rFonts w:ascii="inherit" w:eastAsia="Times New Roman" w:hAnsi="inherit" w:cs="Times New Roman"/>
          <w:kern w:val="0"/>
          <w14:ligatures w14:val="none"/>
        </w:rPr>
        <w:t> (HSE)</w:t>
      </w:r>
    </w:p>
    <w:p w14:paraId="3D03D2E4" w14:textId="77777777" w:rsidR="00EA2D6B" w:rsidRPr="00EA2D6B" w:rsidRDefault="00EA2D6B" w:rsidP="00EA2D6B">
      <w:pPr>
        <w:spacing w:after="225" w:line="240" w:lineRule="auto"/>
        <w:outlineLvl w:val="2"/>
        <w:rPr>
          <w:rFonts w:ascii="Open Sans" w:eastAsia="Times New Roman" w:hAnsi="Open Sans" w:cs="Open Sans"/>
          <w:color w:val="0099FF"/>
          <w:kern w:val="0"/>
          <w:sz w:val="33"/>
          <w:szCs w:val="33"/>
          <w14:ligatures w14:val="none"/>
        </w:rPr>
      </w:pPr>
      <w:r w:rsidRPr="00EA2D6B">
        <w:rPr>
          <w:rFonts w:ascii="Open Sans" w:eastAsia="Times New Roman" w:hAnsi="Open Sans" w:cs="Open Sans"/>
          <w:color w:val="0099FF"/>
          <w:kern w:val="0"/>
          <w:sz w:val="33"/>
          <w:szCs w:val="33"/>
          <w14:ligatures w14:val="none"/>
        </w:rPr>
        <w:t>Health and Safety (First Aid) Regulations 1981</w:t>
      </w:r>
    </w:p>
    <w:p w14:paraId="56BE4EF7" w14:textId="77777777" w:rsidR="00EA2D6B" w:rsidRPr="00EA2D6B" w:rsidRDefault="00EA2D6B" w:rsidP="00EA2D6B">
      <w:pPr>
        <w:spacing w:after="225" w:line="336" w:lineRule="atLeast"/>
        <w:rPr>
          <w:rFonts w:ascii="Open Sans" w:eastAsia="Times New Roman" w:hAnsi="Open Sans" w:cs="Open Sans"/>
          <w:kern w:val="0"/>
          <w14:ligatures w14:val="none"/>
        </w:rPr>
      </w:pPr>
      <w:r w:rsidRPr="00EA2D6B">
        <w:rPr>
          <w:rFonts w:ascii="Open Sans" w:eastAsia="Times New Roman" w:hAnsi="Open Sans" w:cs="Open Sans"/>
          <w:kern w:val="0"/>
          <w14:ligatures w14:val="none"/>
        </w:rPr>
        <w:t>Employers must ensure that first aid equipment and trained first-aiders are present in the workplace and that employees are aware of first aid arrangements.</w:t>
      </w:r>
    </w:p>
    <w:p w14:paraId="5DE84746" w14:textId="77777777" w:rsidR="00EA2D6B" w:rsidRPr="00EA2D6B" w:rsidRDefault="00000000" w:rsidP="00EA2D6B">
      <w:pPr>
        <w:numPr>
          <w:ilvl w:val="0"/>
          <w:numId w:val="3"/>
        </w:numPr>
        <w:spacing w:after="0" w:line="240" w:lineRule="auto"/>
        <w:rPr>
          <w:rFonts w:ascii="inherit" w:eastAsia="Times New Roman" w:hAnsi="inherit" w:cs="Times New Roman"/>
          <w:kern w:val="0"/>
          <w14:ligatures w14:val="none"/>
        </w:rPr>
      </w:pPr>
      <w:hyperlink r:id="rId10" w:tgtFrame="_blank" w:tooltip="Opens in a new window" w:history="1">
        <w:r w:rsidR="00EA2D6B" w:rsidRPr="00EA2D6B">
          <w:rPr>
            <w:rFonts w:ascii="inherit" w:eastAsia="Times New Roman" w:hAnsi="inherit" w:cs="Times New Roman"/>
            <w:b/>
            <w:bCs/>
            <w:color w:val="00539F"/>
            <w:kern w:val="0"/>
            <w:bdr w:val="none" w:sz="0" w:space="0" w:color="auto" w:frame="1"/>
            <w14:ligatures w14:val="none"/>
          </w:rPr>
          <w:t>Code of Practice</w:t>
        </w:r>
      </w:hyperlink>
      <w:r w:rsidR="00EA2D6B" w:rsidRPr="00EA2D6B">
        <w:rPr>
          <w:rFonts w:ascii="inherit" w:eastAsia="Times New Roman" w:hAnsi="inherit" w:cs="Times New Roman"/>
          <w:kern w:val="0"/>
          <w14:ligatures w14:val="none"/>
        </w:rPr>
        <w:t> (HSE)</w:t>
      </w:r>
    </w:p>
    <w:p w14:paraId="330337B3" w14:textId="77777777" w:rsidR="00EA2D6B" w:rsidRPr="00EA2D6B" w:rsidRDefault="00EA2D6B" w:rsidP="00EA2D6B">
      <w:pPr>
        <w:spacing w:after="225" w:line="240" w:lineRule="auto"/>
        <w:outlineLvl w:val="2"/>
        <w:rPr>
          <w:rFonts w:ascii="Open Sans" w:eastAsia="Times New Roman" w:hAnsi="Open Sans" w:cs="Open Sans"/>
          <w:color w:val="0099FF"/>
          <w:kern w:val="0"/>
          <w:sz w:val="33"/>
          <w:szCs w:val="33"/>
          <w14:ligatures w14:val="none"/>
        </w:rPr>
      </w:pPr>
      <w:r w:rsidRPr="00EA2D6B">
        <w:rPr>
          <w:rFonts w:ascii="Open Sans" w:eastAsia="Times New Roman" w:hAnsi="Open Sans" w:cs="Open Sans"/>
          <w:color w:val="0099FF"/>
          <w:kern w:val="0"/>
          <w:sz w:val="33"/>
          <w:szCs w:val="33"/>
          <w14:ligatures w14:val="none"/>
        </w:rPr>
        <w:t>Food Safety Act 1990, Food Safety (General Food Hygiene) Regulations 1995 and Food Safety (Temperature Control) Regulations 1995</w:t>
      </w:r>
    </w:p>
    <w:p w14:paraId="1D7C9DC1" w14:textId="77777777" w:rsidR="00EA2D6B" w:rsidRPr="00EA2D6B" w:rsidRDefault="00EA2D6B" w:rsidP="00EA2D6B">
      <w:pPr>
        <w:spacing w:after="225" w:line="336" w:lineRule="atLeast"/>
        <w:rPr>
          <w:rFonts w:ascii="Open Sans" w:eastAsia="Times New Roman" w:hAnsi="Open Sans" w:cs="Open Sans"/>
          <w:kern w:val="0"/>
          <w14:ligatures w14:val="none"/>
        </w:rPr>
      </w:pPr>
      <w:r w:rsidRPr="00EA2D6B">
        <w:rPr>
          <w:rFonts w:ascii="Open Sans" w:eastAsia="Times New Roman" w:hAnsi="Open Sans" w:cs="Open Sans"/>
          <w:kern w:val="0"/>
          <w14:ligatures w14:val="none"/>
        </w:rPr>
        <w:t>The Food Safety Act covers the preparation, storage and service of food and requires the registration of food businesses whether they are run for profit or not. A 'food business' includes canteens, clubs and care homes. The CQC requires that care services ensure that the food and drink they provide is handled, stored, prepared and delivered in a way that meets the requirements of the Act. The local authority is responsible for enforcement through environmental health and Trading Standards. The Food Standards Agency (FSA) can intervene where local authorities fail to meet the requirements and in emergency situations.</w:t>
      </w:r>
    </w:p>
    <w:p w14:paraId="50BCB2C7" w14:textId="77777777" w:rsidR="00EA2D6B" w:rsidRPr="00EA2D6B" w:rsidRDefault="00000000" w:rsidP="00EA2D6B">
      <w:pPr>
        <w:numPr>
          <w:ilvl w:val="0"/>
          <w:numId w:val="4"/>
        </w:numPr>
        <w:spacing w:after="0" w:line="240" w:lineRule="auto"/>
        <w:rPr>
          <w:rFonts w:ascii="inherit" w:eastAsia="Times New Roman" w:hAnsi="inherit" w:cs="Times New Roman"/>
          <w:kern w:val="0"/>
          <w14:ligatures w14:val="none"/>
        </w:rPr>
      </w:pPr>
      <w:hyperlink r:id="rId11" w:tgtFrame="_blank" w:tooltip="Opens in a new window" w:history="1">
        <w:r w:rsidR="00EA2D6B" w:rsidRPr="00EA2D6B">
          <w:rPr>
            <w:rFonts w:ascii="inherit" w:eastAsia="Times New Roman" w:hAnsi="inherit" w:cs="Times New Roman"/>
            <w:b/>
            <w:bCs/>
            <w:color w:val="00539F"/>
            <w:kern w:val="0"/>
            <w:bdr w:val="none" w:sz="0" w:space="0" w:color="auto" w:frame="1"/>
            <w14:ligatures w14:val="none"/>
          </w:rPr>
          <w:t>Guide for businesses</w:t>
        </w:r>
      </w:hyperlink>
      <w:r w:rsidR="00EA2D6B" w:rsidRPr="00EA2D6B">
        <w:rPr>
          <w:rFonts w:ascii="inherit" w:eastAsia="Times New Roman" w:hAnsi="inherit" w:cs="Times New Roman"/>
          <w:kern w:val="0"/>
          <w14:ligatures w14:val="none"/>
        </w:rPr>
        <w:t> (Food Standards Agency)</w:t>
      </w:r>
    </w:p>
    <w:p w14:paraId="722368F0" w14:textId="77777777" w:rsidR="00EA2D6B" w:rsidRPr="00EA2D6B" w:rsidRDefault="00EA2D6B" w:rsidP="00EA2D6B">
      <w:pPr>
        <w:spacing w:before="120" w:after="225" w:line="240" w:lineRule="auto"/>
        <w:outlineLvl w:val="1"/>
        <w:rPr>
          <w:rFonts w:ascii="Open Sans" w:eastAsia="Times New Roman" w:hAnsi="Open Sans" w:cs="Open Sans"/>
          <w:color w:val="0099FF"/>
          <w:kern w:val="0"/>
          <w:sz w:val="42"/>
          <w:szCs w:val="42"/>
          <w14:ligatures w14:val="none"/>
        </w:rPr>
      </w:pPr>
      <w:r w:rsidRPr="00EA2D6B">
        <w:rPr>
          <w:rFonts w:ascii="Open Sans" w:eastAsia="Times New Roman" w:hAnsi="Open Sans" w:cs="Open Sans"/>
          <w:color w:val="0099FF"/>
          <w:kern w:val="0"/>
          <w:sz w:val="42"/>
          <w:szCs w:val="42"/>
          <w14:ligatures w14:val="none"/>
        </w:rPr>
        <w:t>Quality in care</w:t>
      </w:r>
    </w:p>
    <w:p w14:paraId="537DA790" w14:textId="77777777" w:rsidR="00EA2D6B" w:rsidRPr="00EA2D6B" w:rsidRDefault="00EA2D6B" w:rsidP="00EA2D6B">
      <w:pPr>
        <w:spacing w:after="0" w:line="336" w:lineRule="atLeast"/>
        <w:rPr>
          <w:rFonts w:ascii="Open Sans" w:eastAsia="Times New Roman" w:hAnsi="Open Sans" w:cs="Open Sans"/>
          <w:kern w:val="0"/>
          <w14:ligatures w14:val="none"/>
        </w:rPr>
      </w:pPr>
      <w:r w:rsidRPr="00EA2D6B">
        <w:rPr>
          <w:rFonts w:ascii="Open Sans" w:eastAsia="Times New Roman" w:hAnsi="Open Sans" w:cs="Open Sans"/>
          <w:kern w:val="0"/>
          <w14:ligatures w14:val="none"/>
        </w:rPr>
        <w:t>The Care Quality Commission (CQC) is the health and social care regulator. It has published guidance for compliance with the </w:t>
      </w:r>
      <w:hyperlink r:id="rId12" w:tgtFrame="_blank" w:tooltip="Opens in a new window" w:history="1">
        <w:r w:rsidRPr="00EA2D6B">
          <w:rPr>
            <w:rFonts w:ascii="inherit" w:eastAsia="Times New Roman" w:hAnsi="inherit" w:cs="Open Sans"/>
            <w:b/>
            <w:bCs/>
            <w:color w:val="00539F"/>
            <w:kern w:val="0"/>
            <w:bdr w:val="none" w:sz="0" w:space="0" w:color="auto" w:frame="1"/>
            <w14:ligatures w14:val="none"/>
          </w:rPr>
          <w:t>Essential Standards of Quality and Safety</w:t>
        </w:r>
      </w:hyperlink>
      <w:r w:rsidRPr="00EA2D6B">
        <w:rPr>
          <w:rFonts w:ascii="Open Sans" w:eastAsia="Times New Roman" w:hAnsi="Open Sans" w:cs="Open Sans"/>
          <w:kern w:val="0"/>
          <w14:ligatures w14:val="none"/>
        </w:rPr>
        <w:t>. However, personal assistants paid for through direct payments and personalised budgets and day services are unregulated.</w:t>
      </w:r>
    </w:p>
    <w:p w14:paraId="2267894D" w14:textId="77777777" w:rsidR="00041F9B" w:rsidRDefault="00041F9B"/>
    <w:sectPr w:rsidR="00041F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Open Sans">
    <w:charset w:val="00"/>
    <w:family w:val="swiss"/>
    <w:pitch w:val="variable"/>
    <w:sig w:usb0="E00002EF" w:usb1="4000205B" w:usb2="00000028" w:usb3="00000000" w:csb0="0000019F" w:csb1="00000000"/>
  </w:font>
  <w:font w:name="inheri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244440"/>
    <w:multiLevelType w:val="multilevel"/>
    <w:tmpl w:val="F89C3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9752410"/>
    <w:multiLevelType w:val="multilevel"/>
    <w:tmpl w:val="84A06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1A82FEA"/>
    <w:multiLevelType w:val="multilevel"/>
    <w:tmpl w:val="C0762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E6D108B"/>
    <w:multiLevelType w:val="multilevel"/>
    <w:tmpl w:val="89480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95101027">
    <w:abstractNumId w:val="3"/>
  </w:num>
  <w:num w:numId="2" w16cid:durableId="208080238">
    <w:abstractNumId w:val="1"/>
  </w:num>
  <w:num w:numId="3" w16cid:durableId="162472382">
    <w:abstractNumId w:val="2"/>
  </w:num>
  <w:num w:numId="4" w16cid:durableId="15792879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2D6B"/>
    <w:rsid w:val="00041F9B"/>
    <w:rsid w:val="00A46337"/>
    <w:rsid w:val="00B44878"/>
    <w:rsid w:val="00EA2D6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8F1941"/>
  <w15:chartTrackingRefBased/>
  <w15:docId w15:val="{8F2590B9-61A3-4F3D-90C7-97D37135ED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2D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A2D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A2D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2D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2D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2D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2D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2D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2D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2D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A2D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A2D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2D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2D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2D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2D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2D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2D6B"/>
    <w:rPr>
      <w:rFonts w:eastAsiaTheme="majorEastAsia" w:cstheme="majorBidi"/>
      <w:color w:val="272727" w:themeColor="text1" w:themeTint="D8"/>
    </w:rPr>
  </w:style>
  <w:style w:type="paragraph" w:styleId="Title">
    <w:name w:val="Title"/>
    <w:basedOn w:val="Normal"/>
    <w:next w:val="Normal"/>
    <w:link w:val="TitleChar"/>
    <w:uiPriority w:val="10"/>
    <w:qFormat/>
    <w:rsid w:val="00EA2D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2D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2D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2D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2D6B"/>
    <w:pPr>
      <w:spacing w:before="160"/>
      <w:jc w:val="center"/>
    </w:pPr>
    <w:rPr>
      <w:i/>
      <w:iCs/>
      <w:color w:val="404040" w:themeColor="text1" w:themeTint="BF"/>
    </w:rPr>
  </w:style>
  <w:style w:type="character" w:customStyle="1" w:styleId="QuoteChar">
    <w:name w:val="Quote Char"/>
    <w:basedOn w:val="DefaultParagraphFont"/>
    <w:link w:val="Quote"/>
    <w:uiPriority w:val="29"/>
    <w:rsid w:val="00EA2D6B"/>
    <w:rPr>
      <w:i/>
      <w:iCs/>
      <w:color w:val="404040" w:themeColor="text1" w:themeTint="BF"/>
    </w:rPr>
  </w:style>
  <w:style w:type="paragraph" w:styleId="ListParagraph">
    <w:name w:val="List Paragraph"/>
    <w:basedOn w:val="Normal"/>
    <w:uiPriority w:val="34"/>
    <w:qFormat/>
    <w:rsid w:val="00EA2D6B"/>
    <w:pPr>
      <w:ind w:left="720"/>
      <w:contextualSpacing/>
    </w:pPr>
  </w:style>
  <w:style w:type="character" w:styleId="IntenseEmphasis">
    <w:name w:val="Intense Emphasis"/>
    <w:basedOn w:val="DefaultParagraphFont"/>
    <w:uiPriority w:val="21"/>
    <w:qFormat/>
    <w:rsid w:val="00EA2D6B"/>
    <w:rPr>
      <w:i/>
      <w:iCs/>
      <w:color w:val="0F4761" w:themeColor="accent1" w:themeShade="BF"/>
    </w:rPr>
  </w:style>
  <w:style w:type="paragraph" w:styleId="IntenseQuote">
    <w:name w:val="Intense Quote"/>
    <w:basedOn w:val="Normal"/>
    <w:next w:val="Normal"/>
    <w:link w:val="IntenseQuoteChar"/>
    <w:uiPriority w:val="30"/>
    <w:qFormat/>
    <w:rsid w:val="00EA2D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2D6B"/>
    <w:rPr>
      <w:i/>
      <w:iCs/>
      <w:color w:val="0F4761" w:themeColor="accent1" w:themeShade="BF"/>
    </w:rPr>
  </w:style>
  <w:style w:type="character" w:styleId="IntenseReference">
    <w:name w:val="Intense Reference"/>
    <w:basedOn w:val="DefaultParagraphFont"/>
    <w:uiPriority w:val="32"/>
    <w:qFormat/>
    <w:rsid w:val="00EA2D6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80995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se.gov.uk/pubns/indg143.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ov.uk/government/publications/infection-prevention-and-control-in-adult-social-care-covid-19-supplement/covid-19-supplement-to-the-infection-prevention-and-control-resource-for-adult-social-care" TargetMode="External"/><Relationship Id="rId12" Type="http://schemas.openxmlformats.org/officeDocument/2006/relationships/hyperlink" Target="http://www.cqc.org.uk/sites/default/files/documents/gac_-_dec_2011_update.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cqc.org.uk/" TargetMode="External"/><Relationship Id="rId11" Type="http://schemas.openxmlformats.org/officeDocument/2006/relationships/hyperlink" Target="https://www.food.gov.uk/business-guidance" TargetMode="External"/><Relationship Id="rId5" Type="http://schemas.openxmlformats.org/officeDocument/2006/relationships/hyperlink" Target="http://www.hse.gov.uk/index.htm" TargetMode="External"/><Relationship Id="rId10" Type="http://schemas.openxmlformats.org/officeDocument/2006/relationships/hyperlink" Target="http://www.hse.gov.uk/pubns/books/l74.htm" TargetMode="External"/><Relationship Id="rId4" Type="http://schemas.openxmlformats.org/officeDocument/2006/relationships/webSettings" Target="webSettings.xml"/><Relationship Id="rId9" Type="http://schemas.openxmlformats.org/officeDocument/2006/relationships/hyperlink" Target="http://www.hse.gov.uk/riddor/"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878</Words>
  <Characters>5011</Characters>
  <Application>Microsoft Office Word</Application>
  <DocSecurity>0</DocSecurity>
  <Lines>41</Lines>
  <Paragraphs>11</Paragraphs>
  <ScaleCrop>false</ScaleCrop>
  <Company/>
  <LinksUpToDate>false</LinksUpToDate>
  <CharactersWithSpaces>5878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Janet Howells-Johnson</dc:creator>
  <cp:keywords/>
  <dc:description/>
  <cp:lastModifiedBy>Janet Howells-Johnson</cp:lastModifiedBy>
  <cp:revision>2</cp:revision>
  <dcterms:created xsi:type="dcterms:W3CDTF">2023-12-14T09:24:00Z</dcterms:created>
  <dcterms:modified xsi:type="dcterms:W3CDTF">2023-12-14T09:24:00Z</dcterms:modified>
</cp:coreProperties>
</file>