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b w:val="1"/>
        </w:rPr>
      </w:pPr>
      <w:r w:rsidDel="00000000" w:rsidR="00000000" w:rsidRPr="00000000">
        <w:rPr/>
        <w:drawing>
          <wp:inline distB="114300" distT="114300" distL="114300" distR="114300">
            <wp:extent cx="1438275" cy="566738"/>
            <wp:effectExtent b="0" l="0" r="0" t="0"/>
            <wp:docPr id="80602678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38275" cy="56673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jc w:val="center"/>
        <w:rPr>
          <w:b w:val="1"/>
        </w:rPr>
      </w:pPr>
      <w:r w:rsidDel="00000000" w:rsidR="00000000" w:rsidRPr="00000000">
        <w:rPr>
          <w:rtl w:val="0"/>
        </w:rPr>
      </w:r>
    </w:p>
    <w:p w:rsidR="00000000" w:rsidDel="00000000" w:rsidP="00000000" w:rsidRDefault="00000000" w:rsidRPr="00000000" w14:paraId="0000000C">
      <w:pPr>
        <w:jc w:val="center"/>
        <w:rPr>
          <w:b w:val="1"/>
          <w:sz w:val="40"/>
          <w:szCs w:val="40"/>
        </w:rPr>
      </w:pPr>
      <w:r w:rsidDel="00000000" w:rsidR="00000000" w:rsidRPr="00000000">
        <w:rPr>
          <w:b w:val="1"/>
          <w:sz w:val="40"/>
          <w:szCs w:val="40"/>
          <w:rtl w:val="0"/>
        </w:rPr>
        <w:t xml:space="preserve">Module: Accounting Fundamentals</w:t>
      </w:r>
    </w:p>
    <w:p w:rsidR="00000000" w:rsidDel="00000000" w:rsidP="00000000" w:rsidRDefault="00000000" w:rsidRPr="00000000" w14:paraId="0000000D">
      <w:pPr>
        <w:jc w:val="center"/>
        <w:rPr>
          <w:b w:val="1"/>
          <w:sz w:val="40"/>
          <w:szCs w:val="40"/>
        </w:rPr>
      </w:pPr>
      <w:r w:rsidDel="00000000" w:rsidR="00000000" w:rsidRPr="00000000">
        <w:rPr>
          <w:b w:val="1"/>
          <w:sz w:val="40"/>
          <w:szCs w:val="40"/>
          <w:rtl w:val="0"/>
        </w:rPr>
        <w:t xml:space="preserve">Module</w:t>
      </w:r>
    </w:p>
    <w:p w:rsidR="00000000" w:rsidDel="00000000" w:rsidP="00000000" w:rsidRDefault="00000000" w:rsidRPr="00000000" w14:paraId="0000000E">
      <w:pPr>
        <w:rPr>
          <w:b w:val="1"/>
          <w:sz w:val="40"/>
          <w:szCs w:val="40"/>
        </w:rPr>
      </w:pPr>
      <w:r w:rsidDel="00000000" w:rsidR="00000000" w:rsidRPr="00000000">
        <w:rPr>
          <w:b w:val="1"/>
          <w:sz w:val="40"/>
          <w:szCs w:val="40"/>
          <w:rtl w:val="0"/>
        </w:rPr>
        <w:t xml:space="preserve">Student Name: Dumitru Ciprian Iancu</w:t>
      </w:r>
    </w:p>
    <w:p w:rsidR="00000000" w:rsidDel="00000000" w:rsidP="00000000" w:rsidRDefault="00000000" w:rsidRPr="00000000" w14:paraId="0000000F">
      <w:pPr>
        <w:rPr>
          <w:b w:val="1"/>
          <w:sz w:val="40"/>
          <w:szCs w:val="40"/>
        </w:rPr>
      </w:pPr>
      <w:r w:rsidDel="00000000" w:rsidR="00000000" w:rsidRPr="00000000">
        <w:rPr>
          <w:b w:val="1"/>
          <w:sz w:val="40"/>
          <w:szCs w:val="40"/>
          <w:rtl w:val="0"/>
        </w:rPr>
        <w:t xml:space="preserve">Student ID: 2133738</w:t>
      </w:r>
    </w:p>
    <w:p w:rsidR="00000000" w:rsidDel="00000000" w:rsidP="00000000" w:rsidRDefault="00000000" w:rsidRPr="00000000" w14:paraId="00000010">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1">
      <w:pPr>
        <w:jc w:val="center"/>
        <w:rPr>
          <w:b w:val="1"/>
        </w:rPr>
      </w:pPr>
      <w:r w:rsidDel="00000000" w:rsidR="00000000" w:rsidRPr="00000000">
        <w:rPr>
          <w:b w:val="1"/>
          <w:rtl w:val="0"/>
        </w:rPr>
        <w:t xml:space="preserve">Table of Contents </w:t>
      </w:r>
    </w:p>
    <w:p w:rsidR="00000000" w:rsidDel="00000000" w:rsidP="00000000" w:rsidRDefault="00000000" w:rsidRPr="00000000" w14:paraId="00000012">
      <w:pPr>
        <w:keepNext w:val="1"/>
        <w:keepLines w:val="1"/>
        <w:pBdr>
          <w:top w:space="0" w:sz="0" w:val="nil"/>
          <w:left w:space="0" w:sz="0" w:val="nil"/>
          <w:bottom w:space="0" w:sz="0" w:val="nil"/>
          <w:right w:space="0" w:sz="0" w:val="nil"/>
          <w:between w:space="0" w:sz="0" w:val="nil"/>
        </w:pBdr>
        <w:spacing w:before="240" w:lineRule="auto"/>
        <w:jc w:val="left"/>
        <w:rPr>
          <w:color w:val="366091"/>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right" w:leader="none" w:pos="9350"/>
            </w:tabs>
            <w:spacing w:after="100" w:lineRule="auto"/>
            <w:rPr>
              <w:color w:val="000000"/>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color w:val="000000"/>
                <w:rtl w:val="0"/>
              </w:rPr>
              <w:t xml:space="preserve">Introduction</w:t>
              <w:tab/>
              <w:t xml:space="preserve">3</w:t>
            </w:r>
          </w:hyperlink>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right" w:leader="none" w:pos="9350"/>
            </w:tabs>
            <w:spacing w:after="100" w:lineRule="auto"/>
            <w:rPr>
              <w:color w:val="000000"/>
            </w:rPr>
          </w:pPr>
          <w:hyperlink w:anchor="_heading=h.30j0zll">
            <w:r w:rsidDel="00000000" w:rsidR="00000000" w:rsidRPr="00000000">
              <w:rPr>
                <w:color w:val="000000"/>
                <w:rtl w:val="0"/>
              </w:rPr>
              <w:t xml:space="preserve">Question 1</w:t>
              <w:tab/>
              <w:t xml:space="preserve">3</w:t>
            </w:r>
          </w:hyperlink>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right" w:leader="none" w:pos="9350"/>
            </w:tabs>
            <w:spacing w:after="100" w:lineRule="auto"/>
            <w:rPr>
              <w:color w:val="000000"/>
            </w:rPr>
          </w:pPr>
          <w:hyperlink w:anchor="_heading=h.1fob9te">
            <w:r w:rsidDel="00000000" w:rsidR="00000000" w:rsidRPr="00000000">
              <w:rPr>
                <w:color w:val="000000"/>
                <w:rtl w:val="0"/>
              </w:rPr>
              <w:t xml:space="preserve">Question 2</w:t>
              <w:tab/>
              <w:t xml:space="preserve">5</w:t>
            </w:r>
          </w:hyperlink>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right" w:leader="none" w:pos="9350"/>
            </w:tabs>
            <w:spacing w:after="100" w:lineRule="auto"/>
            <w:ind w:left="220" w:firstLine="0"/>
            <w:rPr>
              <w:color w:val="000000"/>
            </w:rPr>
          </w:pPr>
          <w:hyperlink w:anchor="_heading=h.3znysh7">
            <w:r w:rsidDel="00000000" w:rsidR="00000000" w:rsidRPr="00000000">
              <w:rPr>
                <w:color w:val="000000"/>
                <w:rtl w:val="0"/>
              </w:rPr>
              <w:t xml:space="preserve">What is an Income statement?</w:t>
              <w:tab/>
              <w:t xml:space="preserve">5</w:t>
            </w:r>
          </w:hyperlink>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right" w:leader="none" w:pos="9350"/>
            </w:tabs>
            <w:spacing w:after="100" w:lineRule="auto"/>
            <w:ind w:left="220" w:firstLine="0"/>
            <w:rPr>
              <w:color w:val="000000"/>
            </w:rPr>
          </w:pPr>
          <w:hyperlink w:anchor="_heading=h.2et92p0">
            <w:r w:rsidDel="00000000" w:rsidR="00000000" w:rsidRPr="00000000">
              <w:rPr>
                <w:color w:val="000000"/>
                <w:rtl w:val="0"/>
              </w:rPr>
              <w:t xml:space="preserve">The Income Statement of Wales Plc</w:t>
              <w:tab/>
              <w:t xml:space="preserve">6</w:t>
            </w:r>
          </w:hyperlink>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right" w:leader="none" w:pos="9350"/>
            </w:tabs>
            <w:spacing w:after="100" w:lineRule="auto"/>
            <w:rPr>
              <w:color w:val="000000"/>
            </w:rPr>
          </w:pPr>
          <w:hyperlink w:anchor="_heading=h.tyjcwt">
            <w:r w:rsidDel="00000000" w:rsidR="00000000" w:rsidRPr="00000000">
              <w:rPr>
                <w:color w:val="000000"/>
                <w:rtl w:val="0"/>
              </w:rPr>
              <w:t xml:space="preserve">Question 3 -</w:t>
              <w:tab/>
              <w:t xml:space="preserve">7</w:t>
            </w:r>
          </w:hyperlink>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right" w:leader="none" w:pos="9350"/>
            </w:tabs>
            <w:spacing w:after="100" w:lineRule="auto"/>
            <w:ind w:left="220" w:firstLine="0"/>
            <w:rPr>
              <w:color w:val="000000"/>
            </w:rPr>
          </w:pPr>
          <w:hyperlink w:anchor="_heading=h.3dy6vkm">
            <w:r w:rsidDel="00000000" w:rsidR="00000000" w:rsidRPr="00000000">
              <w:rPr>
                <w:color w:val="000000"/>
                <w:rtl w:val="0"/>
              </w:rPr>
              <w:t xml:space="preserve">a) Calculations of different types of ratios of Sweets Plc in 2021 and 2022:</w:t>
              <w:tab/>
              <w:t xml:space="preserve">7</w:t>
            </w:r>
          </w:hyperlink>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right" w:leader="none" w:pos="9350"/>
            </w:tabs>
            <w:spacing w:after="100" w:lineRule="auto"/>
            <w:ind w:left="220" w:firstLine="0"/>
            <w:rPr>
              <w:color w:val="000000"/>
            </w:rPr>
          </w:pPr>
          <w:hyperlink w:anchor="_heading=h.1t3h5sf">
            <w:r w:rsidDel="00000000" w:rsidR="00000000" w:rsidRPr="00000000">
              <w:rPr>
                <w:color w:val="000000"/>
                <w:rtl w:val="0"/>
              </w:rPr>
              <w:t xml:space="preserve">b) discussion about the financial performance of Sweets Plc:</w:t>
              <w:tab/>
              <w:t xml:space="preserve">9</w:t>
            </w:r>
          </w:hyperlink>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right" w:leader="none" w:pos="9350"/>
            </w:tabs>
            <w:spacing w:after="100" w:lineRule="auto"/>
            <w:rPr>
              <w:color w:val="000000"/>
            </w:rPr>
          </w:pPr>
          <w:hyperlink w:anchor="_heading=h.4d34og8">
            <w:r w:rsidDel="00000000" w:rsidR="00000000" w:rsidRPr="00000000">
              <w:rPr>
                <w:color w:val="000000"/>
                <w:rtl w:val="0"/>
              </w:rPr>
              <w:t xml:space="preserve">Conclusion -</w:t>
              <w:tab/>
              <w:t xml:space="preserve">11</w:t>
            </w:r>
          </w:hyperlink>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right" w:leader="none" w:pos="9350"/>
            </w:tabs>
            <w:spacing w:after="100" w:lineRule="auto"/>
            <w:rPr>
              <w:color w:val="000000"/>
            </w:rPr>
          </w:pPr>
          <w:hyperlink w:anchor="_heading=h.2s8eyo1">
            <w:r w:rsidDel="00000000" w:rsidR="00000000" w:rsidRPr="00000000">
              <w:rPr>
                <w:color w:val="000000"/>
                <w:rtl w:val="0"/>
              </w:rPr>
              <w:t xml:space="preserve">References</w:t>
              <w:tab/>
              <w:t xml:space="preserve">12</w:t>
            </w:r>
          </w:hyperlink>
          <w:r w:rsidDel="00000000" w:rsidR="00000000" w:rsidRPr="00000000">
            <w:rPr>
              <w:rtl w:val="0"/>
            </w:rPr>
          </w:r>
        </w:p>
        <w:p w:rsidR="00000000" w:rsidDel="00000000" w:rsidP="00000000" w:rsidRDefault="00000000" w:rsidRPr="00000000" w14:paraId="0000001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20">
      <w:pPr>
        <w:rPr/>
      </w:pPr>
      <w:r w:rsidDel="00000000" w:rsidR="00000000" w:rsidRPr="00000000">
        <w:rPr>
          <w:rtl w:val="0"/>
        </w:rPr>
        <w:t xml:space="preserve">The purpose of this paper is to go over many facets of accounting fundamentals and how organizations use them. The goal is to conceptualize accounting conventions and concepts in order to create business financial statements and assess pertinent accounting ratios. Several accounting-related claims have been supplied in response to question 1, and their veracity will be examined. In response to Question 2, Wales Plc's income statement and balance sheet for the fiscal year 2022 will be generated using data from the trial balance. In response to question 3, a number of accounting ratios will be computed using data from Sweets Plc's financial statements. The performance and placement of the company will be contrasted over two time periods based on the study, and recommendations will also be given.</w:t>
      </w:r>
    </w:p>
    <w:p w:rsidR="00000000" w:rsidDel="00000000" w:rsidP="00000000" w:rsidRDefault="00000000" w:rsidRPr="00000000" w14:paraId="00000021">
      <w:pPr>
        <w:rPr/>
      </w:pPr>
      <w:r w:rsidDel="00000000" w:rsidR="00000000" w:rsidRPr="00000000">
        <w:rPr>
          <w:rtl w:val="0"/>
        </w:rPr>
        <w:t xml:space="preserve">The phrase "accounting fundamentals" describes a collection of technical procedures used by companies to track, examine, and generate financial reports that are used by external stakeholders to evaluate the performance and financial status of the company. Accounting standards that must be adhered to when preparing financial statements are also included in the fundamentals. When these rules are followed, the method of reporting finances is accurate and transparent (Warren </w:t>
      </w:r>
      <w:r w:rsidDel="00000000" w:rsidR="00000000" w:rsidRPr="00000000">
        <w:rPr>
          <w:i w:val="1"/>
          <w:rtl w:val="0"/>
        </w:rPr>
        <w:t xml:space="preserve">et al</w:t>
      </w:r>
      <w:r w:rsidDel="00000000" w:rsidR="00000000" w:rsidRPr="00000000">
        <w:rPr>
          <w:rtl w:val="0"/>
        </w:rPr>
        <w:t xml:space="preserve">, 2020).  </w:t>
      </w:r>
    </w:p>
    <w:p w:rsidR="00000000" w:rsidDel="00000000" w:rsidP="00000000" w:rsidRDefault="00000000" w:rsidRPr="00000000" w14:paraId="00000022">
      <w:pPr>
        <w:pStyle w:val="Heading1"/>
        <w:rPr/>
      </w:pPr>
      <w:bookmarkStart w:colFirst="0" w:colLast="0" w:name="_heading=h.30j0zll" w:id="1"/>
      <w:bookmarkEnd w:id="1"/>
      <w:r w:rsidDel="00000000" w:rsidR="00000000" w:rsidRPr="00000000">
        <w:rPr>
          <w:rtl w:val="0"/>
        </w:rPr>
        <w:t xml:space="preserve">Question 1</w:t>
      </w:r>
    </w:p>
    <w:p w:rsidR="00000000" w:rsidDel="00000000" w:rsidP="00000000" w:rsidRDefault="00000000" w:rsidRPr="00000000" w14:paraId="00000023">
      <w:pPr>
        <w:rPr>
          <w:b w:val="1"/>
          <w:i w:val="1"/>
        </w:rPr>
      </w:pPr>
      <w:r w:rsidDel="00000000" w:rsidR="00000000" w:rsidRPr="00000000">
        <w:rPr>
          <w:b w:val="1"/>
          <w:i w:val="1"/>
          <w:rtl w:val="0"/>
        </w:rPr>
        <w:t xml:space="preserve">Statement 1:</w:t>
      </w:r>
    </w:p>
    <w:p w:rsidR="00000000" w:rsidDel="00000000" w:rsidP="00000000" w:rsidRDefault="00000000" w:rsidRPr="00000000" w14:paraId="00000024">
      <w:pPr>
        <w:rPr/>
      </w:pPr>
      <w:r w:rsidDel="00000000" w:rsidR="00000000" w:rsidRPr="00000000">
        <w:rPr>
          <w:rtl w:val="0"/>
        </w:rPr>
        <w:t xml:space="preserve">Since a company's cash flow operations are not predicted through its balance sheet or statement of financial condition, the statement made in the brief is not supported. The business's cash flow statement displays the inflows and outflows of cash. Only the business's cash transactions are displayed in the statement. The cash inflows part records transactions that will generate cash for the business, such as credit sales, cash sales, capital, etc. The cash outflows portion records cash expenses and current obligations. The difference between cash inflows and withdrawals is known as net cash flow. The company's equity, liabilities, and available assets as of a certain date are shown on the balance sheet. When creating the balance sheet, the accounting equation that is frequently used is Assets = Liabilities + Equity (Górowski </w:t>
      </w:r>
      <w:r w:rsidDel="00000000" w:rsidR="00000000" w:rsidRPr="00000000">
        <w:rPr>
          <w:i w:val="1"/>
          <w:rtl w:val="0"/>
        </w:rPr>
        <w:t xml:space="preserve">et al</w:t>
      </w:r>
      <w:r w:rsidDel="00000000" w:rsidR="00000000" w:rsidRPr="00000000">
        <w:rPr>
          <w:rtl w:val="0"/>
        </w:rPr>
        <w:t xml:space="preserve">, 2022).   </w:t>
      </w:r>
    </w:p>
    <w:p w:rsidR="00000000" w:rsidDel="00000000" w:rsidP="00000000" w:rsidRDefault="00000000" w:rsidRPr="00000000" w14:paraId="00000025">
      <w:pPr>
        <w:rPr>
          <w:b w:val="1"/>
          <w:i w:val="1"/>
        </w:rPr>
      </w:pPr>
      <w:r w:rsidDel="00000000" w:rsidR="00000000" w:rsidRPr="00000000">
        <w:rPr>
          <w:b w:val="1"/>
          <w:i w:val="1"/>
          <w:rtl w:val="0"/>
        </w:rPr>
        <w:t xml:space="preserve">Statement 2:</w:t>
      </w:r>
    </w:p>
    <w:p w:rsidR="00000000" w:rsidDel="00000000" w:rsidP="00000000" w:rsidRDefault="00000000" w:rsidRPr="00000000" w14:paraId="00000026">
      <w:pPr>
        <w:rPr/>
      </w:pPr>
      <w:r w:rsidDel="00000000" w:rsidR="00000000" w:rsidRPr="00000000">
        <w:rPr>
          <w:rtl w:val="0"/>
        </w:rPr>
        <w:t xml:space="preserve">This statement provides no interpretation whatsoever of a firm's non-current asset characteristics. The resources that a business buys and then uses to generate income are known as assets. A company's assets can be divided into two categories: current assets and non-current assets. The assets that are only used for a single fiscal year are called current assets. These liquid assets consist of trade receivables, inventory, and cash on hand. Fixed or non-current assets are those that are utilized over a long period. If non-current assets include physical assets like buildings, machinery, and equipment. Physical relocation of plant, machinery, equipment, etc. is possible. But with time, these assets lose value (Fagereng </w:t>
      </w:r>
      <w:r w:rsidDel="00000000" w:rsidR="00000000" w:rsidRPr="00000000">
        <w:rPr>
          <w:i w:val="1"/>
          <w:rtl w:val="0"/>
        </w:rPr>
        <w:t xml:space="preserve">et al</w:t>
      </w:r>
      <w:r w:rsidDel="00000000" w:rsidR="00000000" w:rsidRPr="00000000">
        <w:rPr>
          <w:rtl w:val="0"/>
        </w:rPr>
        <w:t xml:space="preserve">. 2023). However, because they are not present physically, intangible fixed assets are unable to be relocated. Non-current assets are necessary for a business to carry out bigger tasks and benefit from increased production and efficiency inside the company.    </w:t>
      </w:r>
    </w:p>
    <w:p w:rsidR="00000000" w:rsidDel="00000000" w:rsidP="00000000" w:rsidRDefault="00000000" w:rsidRPr="00000000" w14:paraId="00000027">
      <w:pPr>
        <w:rPr>
          <w:b w:val="1"/>
          <w:i w:val="1"/>
        </w:rPr>
      </w:pPr>
      <w:r w:rsidDel="00000000" w:rsidR="00000000" w:rsidRPr="00000000">
        <w:rPr>
          <w:b w:val="1"/>
          <w:i w:val="1"/>
          <w:rtl w:val="0"/>
        </w:rPr>
        <w:t xml:space="preserve">Statement 3:</w:t>
      </w:r>
    </w:p>
    <w:p w:rsidR="00000000" w:rsidDel="00000000" w:rsidP="00000000" w:rsidRDefault="00000000" w:rsidRPr="00000000" w14:paraId="00000028">
      <w:pPr>
        <w:rPr/>
      </w:pPr>
      <w:r w:rsidDel="00000000" w:rsidR="00000000" w:rsidRPr="00000000">
        <w:rPr>
          <w:rtl w:val="0"/>
        </w:rPr>
        <w:t xml:space="preserve">Furthermore untrue is the assertion that only existing shareholders should get financial reports, as there is no basis for doing so. The financial information of a corporation should be fully revealed to the public, including present and potential shareholders, according to accounting standards and countries. According to Palepu </w:t>
      </w:r>
      <w:r w:rsidDel="00000000" w:rsidR="00000000" w:rsidRPr="00000000">
        <w:rPr>
          <w:i w:val="1"/>
          <w:rtl w:val="0"/>
        </w:rPr>
        <w:t xml:space="preserve">et al</w:t>
      </w:r>
      <w:r w:rsidDel="00000000" w:rsidR="00000000" w:rsidRPr="00000000">
        <w:rPr>
          <w:rtl w:val="0"/>
        </w:rPr>
        <w:t xml:space="preserve">, (2020), financial statements must be disclosed for public limited corporations to be listed on stock exchanges. A company's suppliers, government organizations, financial analysts, consumers, workers, creditors, shareholders, management, and owners are all considered stakeholders. These stakeholders examine the financial data of the company to make well-informed decisions. It safeguards prospective investors and ensures accurate and transparent financial reporting for the company. Also, by fully disclosing financial information, businesses become more accountable. </w:t>
      </w:r>
    </w:p>
    <w:p w:rsidR="00000000" w:rsidDel="00000000" w:rsidP="00000000" w:rsidRDefault="00000000" w:rsidRPr="00000000" w14:paraId="00000029">
      <w:pPr>
        <w:rPr>
          <w:b w:val="1"/>
          <w:i w:val="1"/>
        </w:rPr>
      </w:pPr>
      <w:r w:rsidDel="00000000" w:rsidR="00000000" w:rsidRPr="00000000">
        <w:rPr>
          <w:b w:val="1"/>
          <w:i w:val="1"/>
          <w:rtl w:val="0"/>
        </w:rPr>
        <w:t xml:space="preserve">Statement 4: </w:t>
      </w:r>
    </w:p>
    <w:p w:rsidR="00000000" w:rsidDel="00000000" w:rsidP="00000000" w:rsidRDefault="00000000" w:rsidRPr="00000000" w14:paraId="0000002A">
      <w:pPr>
        <w:rPr/>
      </w:pPr>
      <w:r w:rsidDel="00000000" w:rsidR="00000000" w:rsidRPr="00000000">
        <w:rPr>
          <w:rtl w:val="0"/>
        </w:rPr>
        <w:t xml:space="preserve">Two crucial financial instruments for businesses are accruals and payments, both of which should be shown in the financial statements of the companies. In most cases, repayment is listed on the company's balance sheet as a current asset. The term "prepayment" describes a transaction in which a company pays for any raw materials or other asset that will be delivered later in advance. Conversely, accruals are costs incurred by a company that are paid but not shown in the financial accounts. This is regarded as a current liability and is included in the business's statement of financial position's liabilities section (Kaplan, 2023). Prepayments and accruals must be taken into account when generating the financial statements in order to determine the genuine profitability of a company within a certain financial period and the overall financial health of the company.    </w:t>
      </w:r>
    </w:p>
    <w:p w:rsidR="00000000" w:rsidDel="00000000" w:rsidP="00000000" w:rsidRDefault="00000000" w:rsidRPr="00000000" w14:paraId="0000002B">
      <w:pPr>
        <w:rPr>
          <w:b w:val="1"/>
          <w:i w:val="1"/>
        </w:rPr>
      </w:pPr>
      <w:r w:rsidDel="00000000" w:rsidR="00000000" w:rsidRPr="00000000">
        <w:rPr>
          <w:b w:val="1"/>
          <w:i w:val="1"/>
          <w:rtl w:val="0"/>
        </w:rPr>
        <w:t xml:space="preserve">Statement 5:</w:t>
      </w:r>
    </w:p>
    <w:p w:rsidR="00000000" w:rsidDel="00000000" w:rsidP="00000000" w:rsidRDefault="00000000" w:rsidRPr="00000000" w14:paraId="0000002C">
      <w:pPr>
        <w:rPr/>
      </w:pPr>
      <w:r w:rsidDel="00000000" w:rsidR="00000000" w:rsidRPr="00000000">
        <w:rPr>
          <w:rtl w:val="0"/>
        </w:rPr>
        <w:t xml:space="preserve">The information that is presented is incorrect because regulation plays a significant role in accounting and financial reporting for businesses. The accounting and financial reporting process is genuine and transparent because of the application of a statutory framework. The regulation facilitates decision-making and relationship-building for the company's external stakeholders. Regulation is also required for consistency and financial statement comparison. Regulation in the accounting profession is utilized to lower the risks of credit and market risks, as well as financial crime. It forces the company to uphold technological standards and moral business practices within the company (Aureli </w:t>
      </w:r>
      <w:r w:rsidDel="00000000" w:rsidR="00000000" w:rsidRPr="00000000">
        <w:rPr>
          <w:i w:val="1"/>
          <w:rtl w:val="0"/>
        </w:rPr>
        <w:t xml:space="preserve">et al</w:t>
      </w:r>
      <w:r w:rsidDel="00000000" w:rsidR="00000000" w:rsidRPr="00000000">
        <w:rPr>
          <w:rtl w:val="0"/>
        </w:rPr>
        <w:t xml:space="preserve">, 2020). It also forces the company to conduct operations under industry standards and guidelines. The financial markets' efficiency is preserved by the application of regulation. Regulations aid in the development of a uniform interpretation of the financial statements, enabling all users of accounting data to evaluate the company's financial performance and position accordingly. </w:t>
      </w:r>
    </w:p>
    <w:p w:rsidR="00000000" w:rsidDel="00000000" w:rsidP="00000000" w:rsidRDefault="00000000" w:rsidRPr="00000000" w14:paraId="0000002D">
      <w:pPr>
        <w:rPr>
          <w:b w:val="1"/>
          <w:i w:val="1"/>
        </w:rPr>
      </w:pPr>
      <w:r w:rsidDel="00000000" w:rsidR="00000000" w:rsidRPr="00000000">
        <w:rPr>
          <w:b w:val="1"/>
          <w:i w:val="1"/>
          <w:rtl w:val="0"/>
        </w:rPr>
        <w:t xml:space="preserve">Statement 6:</w:t>
      </w:r>
    </w:p>
    <w:p w:rsidR="00000000" w:rsidDel="00000000" w:rsidP="00000000" w:rsidRDefault="00000000" w:rsidRPr="00000000" w14:paraId="0000002E">
      <w:pPr>
        <w:rPr/>
      </w:pPr>
      <w:r w:rsidDel="00000000" w:rsidR="00000000" w:rsidRPr="00000000">
        <w:rPr>
          <w:rtl w:val="0"/>
        </w:rPr>
        <w:t xml:space="preserve">This assertion is accurate. Similar to accounting, in order to generate a business's financial statements, the trial balance and ledger accounts must be balanced in accordance with the accounting formula, which reads "Assets = Liabilities + Equity." A business's financial transactions are all tracked down and documented in the ledger accounts. On the other hand, the trial balance of the firm serves as a display for the debit and credit activities of the enterprise. The business's double-entry accounting system is guaranteed to be free of mathematical errors by the balance between debit and credit entries (Lumen Learning, 2023). After that, the financial data from those statements can be utilized to create financial reports that would present the business's financial results and financial position to outside stakeholders. The balance sheet or statement of financial condition will be in balance if the trial balance is balanced.                </w:t>
      </w:r>
    </w:p>
    <w:p w:rsidR="00000000" w:rsidDel="00000000" w:rsidP="00000000" w:rsidRDefault="00000000" w:rsidRPr="00000000" w14:paraId="0000002F">
      <w:pPr>
        <w:pStyle w:val="Heading1"/>
        <w:rPr/>
      </w:pPr>
      <w:bookmarkStart w:colFirst="0" w:colLast="0" w:name="_heading=h.1fob9te" w:id="2"/>
      <w:bookmarkEnd w:id="2"/>
      <w:r w:rsidDel="00000000" w:rsidR="00000000" w:rsidRPr="00000000">
        <w:rPr>
          <w:rtl w:val="0"/>
        </w:rPr>
        <w:t xml:space="preserve">Question 2</w:t>
      </w:r>
    </w:p>
    <w:p w:rsidR="00000000" w:rsidDel="00000000" w:rsidP="00000000" w:rsidRDefault="00000000" w:rsidRPr="00000000" w14:paraId="00000030">
      <w:pPr>
        <w:pStyle w:val="Heading2"/>
        <w:rPr/>
      </w:pPr>
      <w:bookmarkStart w:colFirst="0" w:colLast="0" w:name="_heading=h.3znysh7" w:id="3"/>
      <w:bookmarkEnd w:id="3"/>
      <w:r w:rsidDel="00000000" w:rsidR="00000000" w:rsidRPr="00000000">
        <w:rPr>
          <w:rtl w:val="0"/>
        </w:rPr>
        <w:t xml:space="preserve">What is an Income statement?</w:t>
      </w:r>
    </w:p>
    <w:p w:rsidR="00000000" w:rsidDel="00000000" w:rsidP="00000000" w:rsidRDefault="00000000" w:rsidRPr="00000000" w14:paraId="00000031">
      <w:pPr>
        <w:rPr/>
      </w:pPr>
      <w:r w:rsidDel="00000000" w:rsidR="00000000" w:rsidRPr="00000000">
        <w:rPr>
          <w:rtl w:val="0"/>
        </w:rPr>
        <w:t xml:space="preserve">The statement of income is one of the accounting-related reports generated from trial balance data in financial accounting. The statement of earnings is created to assess the economic performance or competitiveness of a company. The income from sales of goods and services, manufacturing costs (labor, materials, overhead), and operating or fixed expenses (utilities, salaries, advertising, office supplies, etc.) are all displayed in the statement. (Laney, 2005) The difference among total revenue plus manufacturing expenses is known as the gross profit. The operating profit is obtained by subtracting operating expenses from the gross profit. The net profit for the year is calculated by subtracting interest and tax charges from the operational profit.Investors and shareholders decide whether or not to buy more shares and make investments in the upcoming fiscal year based on the facts presented in the income statement. The management also adjusts the pricing and operating strategies in accordance.   </w:t>
      </w:r>
    </w:p>
    <w:p w:rsidR="00000000" w:rsidDel="00000000" w:rsidP="00000000" w:rsidRDefault="00000000" w:rsidRPr="00000000" w14:paraId="00000032">
      <w:pPr>
        <w:pStyle w:val="Heading2"/>
        <w:rPr/>
      </w:pPr>
      <w:bookmarkStart w:colFirst="0" w:colLast="0" w:name="_heading=h.2et92p0" w:id="4"/>
      <w:bookmarkEnd w:id="4"/>
      <w:r w:rsidDel="00000000" w:rsidR="00000000" w:rsidRPr="00000000">
        <w:rPr>
          <w:rtl w:val="0"/>
        </w:rPr>
        <w:t xml:space="preserve">The Income Statement of Wales Plc</w:t>
      </w:r>
    </w:p>
    <w:p w:rsidR="00000000" w:rsidDel="00000000" w:rsidP="00000000" w:rsidRDefault="00000000" w:rsidRPr="00000000" w14:paraId="00000033">
      <w:pPr>
        <w:rPr/>
      </w:pPr>
      <w:r w:rsidDel="00000000" w:rsidR="00000000" w:rsidRPr="00000000">
        <w:rPr>
          <w:rtl w:val="0"/>
        </w:rPr>
        <w:t xml:space="preserve">Wales Plc's income statement, which was created using the data from the provided trial balance, is shown below.</w:t>
      </w:r>
    </w:p>
    <w:tbl>
      <w:tblPr>
        <w:tblStyle w:val="Table1"/>
        <w:tblW w:w="933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835"/>
        <w:gridCol w:w="3495"/>
        <w:tblGridChange w:id="0">
          <w:tblGrid>
            <w:gridCol w:w="5835"/>
            <w:gridCol w:w="3495"/>
          </w:tblGrid>
        </w:tblGridChange>
      </w:tblGrid>
      <w:tr>
        <w:trPr>
          <w:cantSplit w:val="0"/>
          <w:trHeight w:val="315"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34">
            <w:pPr>
              <w:widowControl w:val="0"/>
              <w:jc w:val="center"/>
              <w:rPr/>
            </w:pPr>
            <w:r w:rsidDel="00000000" w:rsidR="00000000" w:rsidRPr="00000000">
              <w:rPr>
                <w:b w:val="1"/>
                <w:rtl w:val="0"/>
              </w:rPr>
              <w:t xml:space="preserve">In the books of Wales plc</w:t>
            </w:r>
            <w:r w:rsidDel="00000000" w:rsidR="00000000" w:rsidRPr="00000000">
              <w:rPr>
                <w:rtl w:val="0"/>
              </w:rPr>
            </w:r>
          </w:p>
        </w:tc>
      </w:tr>
      <w:tr>
        <w:trPr>
          <w:cantSplit w:val="0"/>
          <w:trHeight w:val="300" w:hRule="atLeast"/>
          <w:tblHeader w:val="0"/>
        </w:trPr>
        <w:tc>
          <w:tcPr>
            <w:gridSpan w:val="2"/>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36">
            <w:pPr>
              <w:widowControl w:val="0"/>
              <w:jc w:val="center"/>
              <w:rPr/>
            </w:pPr>
            <w:r w:rsidDel="00000000" w:rsidR="00000000" w:rsidRPr="00000000">
              <w:rPr>
                <w:b w:val="1"/>
                <w:rtl w:val="0"/>
              </w:rPr>
              <w:t xml:space="preserve">Income Statement</w:t>
            </w:r>
            <w:r w:rsidDel="00000000" w:rsidR="00000000" w:rsidRPr="00000000">
              <w:rPr>
                <w:rtl w:val="0"/>
              </w:rPr>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38">
            <w:pPr>
              <w:widowControl w:val="0"/>
              <w:jc w:val="center"/>
              <w:rPr/>
            </w:pPr>
            <w:r w:rsidDel="00000000" w:rsidR="00000000" w:rsidRPr="00000000">
              <w:rPr>
                <w:b w:val="1"/>
                <w:i w:val="1"/>
                <w:rtl w:val="0"/>
              </w:rPr>
              <w:t xml:space="preserve">Particulars</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39">
            <w:pPr>
              <w:widowControl w:val="0"/>
              <w:jc w:val="center"/>
              <w:rPr/>
            </w:pPr>
            <w:r w:rsidDel="00000000" w:rsidR="00000000" w:rsidRPr="00000000">
              <w:rPr>
                <w:b w:val="1"/>
                <w:i w:val="1"/>
                <w:rtl w:val="0"/>
              </w:rPr>
              <w:t xml:space="preserve">£</w:t>
            </w:r>
            <w:r w:rsidDel="00000000" w:rsidR="00000000" w:rsidRPr="00000000">
              <w:rPr>
                <w:rtl w:val="0"/>
              </w:rPr>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3A">
            <w:pPr>
              <w:widowControl w:val="0"/>
              <w:rPr/>
            </w:pPr>
            <w:r w:rsidDel="00000000" w:rsidR="00000000" w:rsidRPr="00000000">
              <w:rPr>
                <w:rtl w:val="0"/>
              </w:rPr>
              <w:t xml:space="preserve">Sales revenue</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3B">
            <w:pPr>
              <w:widowControl w:val="0"/>
              <w:jc w:val="right"/>
              <w:rPr/>
            </w:pPr>
            <w:r w:rsidDel="00000000" w:rsidR="00000000" w:rsidRPr="00000000">
              <w:rPr>
                <w:rtl w:val="0"/>
              </w:rPr>
              <w:t xml:space="preserve">901,000</w:t>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3C">
            <w:pPr>
              <w:widowControl w:val="0"/>
              <w:rPr/>
            </w:pPr>
            <w:r w:rsidDel="00000000" w:rsidR="00000000" w:rsidRPr="00000000">
              <w:rPr>
                <w:rtl w:val="0"/>
              </w:rPr>
              <w:t xml:space="preserve">Cost of sales or purchases</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3D">
            <w:pPr>
              <w:widowControl w:val="0"/>
              <w:jc w:val="right"/>
              <w:rPr/>
            </w:pPr>
            <w:r w:rsidDel="00000000" w:rsidR="00000000" w:rsidRPr="00000000">
              <w:rPr>
                <w:rtl w:val="0"/>
              </w:rPr>
              <w:t xml:space="preserve">578,650</w:t>
            </w:r>
          </w:p>
        </w:tc>
      </w:tr>
      <w:tr>
        <w:trPr>
          <w:cantSplit w:val="0"/>
          <w:trHeight w:val="285"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3E">
            <w:pPr>
              <w:widowControl w:val="0"/>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3F">
            <w:pPr>
              <w:widowControl w:val="0"/>
              <w:rPr/>
            </w:pPr>
            <w:r w:rsidDel="00000000" w:rsidR="00000000" w:rsidRPr="00000000">
              <w:rPr>
                <w:rtl w:val="0"/>
              </w:rPr>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0">
            <w:pPr>
              <w:widowControl w:val="0"/>
              <w:rPr/>
            </w:pPr>
            <w:r w:rsidDel="00000000" w:rsidR="00000000" w:rsidRPr="00000000">
              <w:rPr>
                <w:rtl w:val="0"/>
              </w:rPr>
              <w:t xml:space="preserve">Gross profit</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1">
            <w:pPr>
              <w:widowControl w:val="0"/>
              <w:jc w:val="right"/>
              <w:rPr/>
            </w:pPr>
            <w:r w:rsidDel="00000000" w:rsidR="00000000" w:rsidRPr="00000000">
              <w:rPr>
                <w:rtl w:val="0"/>
              </w:rPr>
              <w:t xml:space="preserve">322,350</w:t>
            </w:r>
          </w:p>
        </w:tc>
      </w:tr>
      <w:tr>
        <w:trPr>
          <w:cantSplit w:val="0"/>
          <w:trHeight w:val="285"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2">
            <w:pPr>
              <w:widowControl w:val="0"/>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3">
            <w:pPr>
              <w:widowControl w:val="0"/>
              <w:rPr/>
            </w:pPr>
            <w:r w:rsidDel="00000000" w:rsidR="00000000" w:rsidRPr="00000000">
              <w:rPr>
                <w:rtl w:val="0"/>
              </w:rPr>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4">
            <w:pPr>
              <w:widowControl w:val="0"/>
              <w:rPr/>
            </w:pPr>
            <w:r w:rsidDel="00000000" w:rsidR="00000000" w:rsidRPr="00000000">
              <w:rPr>
                <w:rtl w:val="0"/>
              </w:rPr>
              <w:t xml:space="preserve">Administrative expenses</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5">
            <w:pPr>
              <w:widowControl w:val="0"/>
              <w:jc w:val="right"/>
              <w:rPr/>
            </w:pPr>
            <w:r w:rsidDel="00000000" w:rsidR="00000000" w:rsidRPr="00000000">
              <w:rPr>
                <w:rtl w:val="0"/>
              </w:rPr>
              <w:t xml:space="preserve">170,000</w:t>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6">
            <w:pPr>
              <w:widowControl w:val="0"/>
              <w:rPr/>
            </w:pPr>
            <w:r w:rsidDel="00000000" w:rsidR="00000000" w:rsidRPr="00000000">
              <w:rPr>
                <w:rtl w:val="0"/>
              </w:rPr>
              <w:t xml:space="preserve">Directors' remuneration</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7">
            <w:pPr>
              <w:widowControl w:val="0"/>
              <w:jc w:val="right"/>
              <w:rPr/>
            </w:pPr>
            <w:r w:rsidDel="00000000" w:rsidR="00000000" w:rsidRPr="00000000">
              <w:rPr>
                <w:rtl w:val="0"/>
              </w:rPr>
              <w:t xml:space="preserve">5,000</w:t>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8">
            <w:pPr>
              <w:widowControl w:val="0"/>
              <w:rPr/>
            </w:pPr>
            <w:r w:rsidDel="00000000" w:rsidR="00000000" w:rsidRPr="00000000">
              <w:rPr>
                <w:rtl w:val="0"/>
              </w:rPr>
              <w:t xml:space="preserve">Distribution costs</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9">
            <w:pPr>
              <w:widowControl w:val="0"/>
              <w:jc w:val="right"/>
              <w:rPr/>
            </w:pPr>
            <w:r w:rsidDel="00000000" w:rsidR="00000000" w:rsidRPr="00000000">
              <w:rPr>
                <w:rtl w:val="0"/>
              </w:rPr>
              <w:t xml:space="preserve">28,000</w:t>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A">
            <w:pPr>
              <w:widowControl w:val="0"/>
              <w:rPr/>
            </w:pPr>
            <w:r w:rsidDel="00000000" w:rsidR="00000000" w:rsidRPr="00000000">
              <w:rPr>
                <w:rtl w:val="0"/>
              </w:rPr>
              <w:t xml:space="preserve">Cost of debentures</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B">
            <w:pPr>
              <w:widowControl w:val="0"/>
              <w:jc w:val="right"/>
              <w:rPr/>
            </w:pPr>
            <w:r w:rsidDel="00000000" w:rsidR="00000000" w:rsidRPr="00000000">
              <w:rPr>
                <w:rtl w:val="0"/>
              </w:rPr>
              <w:t xml:space="preserve">4,000</w:t>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C">
            <w:pPr>
              <w:widowControl w:val="0"/>
              <w:rPr/>
            </w:pPr>
            <w:r w:rsidDel="00000000" w:rsidR="00000000" w:rsidRPr="00000000">
              <w:rPr>
                <w:rtl w:val="0"/>
              </w:rPr>
              <w:t xml:space="preserve">Depreciation of equipment</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D">
            <w:pPr>
              <w:widowControl w:val="0"/>
              <w:jc w:val="right"/>
              <w:rPr/>
            </w:pPr>
            <w:r w:rsidDel="00000000" w:rsidR="00000000" w:rsidRPr="00000000">
              <w:rPr>
                <w:rtl w:val="0"/>
              </w:rPr>
              <w:t xml:space="preserve">65,000</w:t>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E">
            <w:pPr>
              <w:widowControl w:val="0"/>
              <w:rPr/>
            </w:pPr>
            <w:r w:rsidDel="00000000" w:rsidR="00000000" w:rsidRPr="00000000">
              <w:rPr>
                <w:rtl w:val="0"/>
              </w:rPr>
              <w:t xml:space="preserve">Outstanding commission</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4F">
            <w:pPr>
              <w:widowControl w:val="0"/>
              <w:jc w:val="right"/>
              <w:rPr/>
            </w:pPr>
            <w:r w:rsidDel="00000000" w:rsidR="00000000" w:rsidRPr="00000000">
              <w:rPr>
                <w:rtl w:val="0"/>
              </w:rPr>
              <w:t xml:space="preserve">2,000</w:t>
            </w:r>
          </w:p>
        </w:tc>
      </w:tr>
      <w:tr>
        <w:trPr>
          <w:cantSplit w:val="0"/>
          <w:trHeight w:val="285"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0">
            <w:pPr>
              <w:widowControl w:val="0"/>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1">
            <w:pPr>
              <w:widowControl w:val="0"/>
              <w:rPr/>
            </w:pPr>
            <w:r w:rsidDel="00000000" w:rsidR="00000000" w:rsidRPr="00000000">
              <w:rPr>
                <w:rtl w:val="0"/>
              </w:rPr>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2">
            <w:pPr>
              <w:widowControl w:val="0"/>
              <w:rPr/>
            </w:pPr>
            <w:r w:rsidDel="00000000" w:rsidR="00000000" w:rsidRPr="00000000">
              <w:rPr>
                <w:rtl w:val="0"/>
              </w:rPr>
              <w:t xml:space="preserve">Total operating expenses</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3">
            <w:pPr>
              <w:widowControl w:val="0"/>
              <w:jc w:val="right"/>
              <w:rPr/>
            </w:pPr>
            <w:r w:rsidDel="00000000" w:rsidR="00000000" w:rsidRPr="00000000">
              <w:rPr>
                <w:rtl w:val="0"/>
              </w:rPr>
              <w:t xml:space="preserve">274,000</w:t>
            </w:r>
          </w:p>
        </w:tc>
      </w:tr>
      <w:tr>
        <w:trPr>
          <w:cantSplit w:val="0"/>
          <w:trHeight w:val="285"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4">
            <w:pPr>
              <w:widowControl w:val="0"/>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5">
            <w:pPr>
              <w:widowControl w:val="0"/>
              <w:rPr/>
            </w:pPr>
            <w:r w:rsidDel="00000000" w:rsidR="00000000" w:rsidRPr="00000000">
              <w:rPr>
                <w:rtl w:val="0"/>
              </w:rPr>
            </w:r>
          </w:p>
        </w:tc>
      </w:tr>
      <w:tr>
        <w:trPr>
          <w:cantSplit w:val="0"/>
          <w:trHeight w:val="45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6">
            <w:pPr>
              <w:widowControl w:val="0"/>
              <w:rPr/>
            </w:pPr>
            <w:r w:rsidDel="00000000" w:rsidR="00000000" w:rsidRPr="00000000">
              <w:rPr>
                <w:rtl w:val="0"/>
              </w:rPr>
              <w:t xml:space="preserve">Operating profit/ Profit before tax and interests (EBIT)</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7">
            <w:pPr>
              <w:widowControl w:val="0"/>
              <w:jc w:val="right"/>
              <w:rPr/>
            </w:pPr>
            <w:r w:rsidDel="00000000" w:rsidR="00000000" w:rsidRPr="00000000">
              <w:rPr>
                <w:rtl w:val="0"/>
              </w:rPr>
              <w:t xml:space="preserve">48,350</w:t>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8">
            <w:pPr>
              <w:widowControl w:val="0"/>
              <w:rPr/>
            </w:pPr>
            <w:r w:rsidDel="00000000" w:rsidR="00000000" w:rsidRPr="00000000">
              <w:rPr>
                <w:rtl w:val="0"/>
              </w:rPr>
              <w:t xml:space="preserve">Interests paid</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9">
            <w:pPr>
              <w:widowControl w:val="0"/>
              <w:jc w:val="right"/>
              <w:rPr/>
            </w:pPr>
            <w:r w:rsidDel="00000000" w:rsidR="00000000" w:rsidRPr="00000000">
              <w:rPr>
                <w:rtl w:val="0"/>
              </w:rPr>
              <w:t xml:space="preserve">2,000</w:t>
            </w:r>
          </w:p>
        </w:tc>
      </w:tr>
      <w:tr>
        <w:trPr>
          <w:cantSplit w:val="0"/>
          <w:trHeight w:val="285"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A">
            <w:pPr>
              <w:widowControl w:val="0"/>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B">
            <w:pPr>
              <w:widowControl w:val="0"/>
              <w:rPr/>
            </w:pPr>
            <w:r w:rsidDel="00000000" w:rsidR="00000000" w:rsidRPr="00000000">
              <w:rPr>
                <w:rtl w:val="0"/>
              </w:rPr>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C">
            <w:pPr>
              <w:widowControl w:val="0"/>
              <w:rPr/>
            </w:pPr>
            <w:r w:rsidDel="00000000" w:rsidR="00000000" w:rsidRPr="00000000">
              <w:rPr>
                <w:rtl w:val="0"/>
              </w:rPr>
              <w:t xml:space="preserve">Profit before Tax (EBT)</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D">
            <w:pPr>
              <w:widowControl w:val="0"/>
              <w:jc w:val="right"/>
              <w:rPr/>
            </w:pPr>
            <w:r w:rsidDel="00000000" w:rsidR="00000000" w:rsidRPr="00000000">
              <w:rPr>
                <w:rtl w:val="0"/>
              </w:rPr>
              <w:t xml:space="preserve">46,350</w:t>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E">
            <w:pPr>
              <w:widowControl w:val="0"/>
              <w:rPr/>
            </w:pPr>
            <w:r w:rsidDel="00000000" w:rsidR="00000000" w:rsidRPr="00000000">
              <w:rPr>
                <w:rtl w:val="0"/>
              </w:rPr>
              <w:t xml:space="preserve">Corporation Tax</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5F">
            <w:pPr>
              <w:widowControl w:val="0"/>
              <w:jc w:val="right"/>
              <w:rPr/>
            </w:pPr>
            <w:r w:rsidDel="00000000" w:rsidR="00000000" w:rsidRPr="00000000">
              <w:rPr>
                <w:rtl w:val="0"/>
              </w:rPr>
              <w:t xml:space="preserve">15,000</w:t>
            </w:r>
          </w:p>
        </w:tc>
      </w:tr>
      <w:tr>
        <w:trPr>
          <w:cantSplit w:val="0"/>
          <w:trHeight w:val="285"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60">
            <w:pPr>
              <w:widowControl w:val="0"/>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61">
            <w:pPr>
              <w:widowControl w:val="0"/>
              <w:rPr/>
            </w:pPr>
            <w:r w:rsidDel="00000000" w:rsidR="00000000" w:rsidRPr="00000000">
              <w:rPr>
                <w:rtl w:val="0"/>
              </w:rPr>
            </w:r>
          </w:p>
        </w:tc>
      </w:tr>
      <w:tr>
        <w:trPr>
          <w:cantSplit w:val="0"/>
          <w:trHeight w:val="300" w:hRule="atLeast"/>
          <w:tblHeader w:val="0"/>
        </w:trPr>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62">
            <w:pPr>
              <w:widowControl w:val="0"/>
              <w:rPr/>
            </w:pPr>
            <w:r w:rsidDel="00000000" w:rsidR="00000000" w:rsidRPr="00000000">
              <w:rPr>
                <w:rtl w:val="0"/>
              </w:rPr>
              <w:t xml:space="preserve">Net profit / Profit after Tax</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bottom"/>
          </w:tcPr>
          <w:p w:rsidR="00000000" w:rsidDel="00000000" w:rsidP="00000000" w:rsidRDefault="00000000" w:rsidRPr="00000000" w14:paraId="00000063">
            <w:pPr>
              <w:widowControl w:val="0"/>
              <w:jc w:val="right"/>
              <w:rPr/>
            </w:pPr>
            <w:r w:rsidDel="00000000" w:rsidR="00000000" w:rsidRPr="00000000">
              <w:rPr>
                <w:rtl w:val="0"/>
              </w:rPr>
              <w:t xml:space="preserve">31,350</w:t>
            </w:r>
          </w:p>
        </w:tc>
      </w:tr>
    </w:tbl>
    <w:p w:rsidR="00000000" w:rsidDel="00000000" w:rsidP="00000000" w:rsidRDefault="00000000" w:rsidRPr="00000000" w14:paraId="00000064">
      <w:pPr>
        <w:jc w:val="center"/>
        <w:rPr>
          <w:b w:val="1"/>
        </w:rPr>
      </w:pPr>
      <w:r w:rsidDel="00000000" w:rsidR="00000000" w:rsidRPr="00000000">
        <w:rPr>
          <w:b w:val="1"/>
          <w:rtl w:val="0"/>
        </w:rPr>
        <w:t xml:space="preserve">Table 1: Income statement of Wales Plc</w:t>
      </w:r>
    </w:p>
    <w:p w:rsidR="00000000" w:rsidDel="00000000" w:rsidP="00000000" w:rsidRDefault="00000000" w:rsidRPr="00000000" w14:paraId="00000065">
      <w:pPr>
        <w:jc w:val="center"/>
        <w:rPr/>
      </w:pPr>
      <w:r w:rsidDel="00000000" w:rsidR="00000000" w:rsidRPr="00000000">
        <w:rPr>
          <w:rtl w:val="0"/>
        </w:rPr>
        <w:t xml:space="preserve">(Source: Self- prepared, 2024)</w:t>
      </w:r>
    </w:p>
    <w:p w:rsidR="00000000" w:rsidDel="00000000" w:rsidP="00000000" w:rsidRDefault="00000000" w:rsidRPr="00000000" w14:paraId="00000066">
      <w:pPr>
        <w:rPr>
          <w:b w:val="1"/>
          <w:i w:val="1"/>
        </w:rPr>
      </w:pPr>
      <w:r w:rsidDel="00000000" w:rsidR="00000000" w:rsidRPr="00000000">
        <w:rPr>
          <w:b w:val="1"/>
          <w:i w:val="1"/>
          <w:rtl w:val="0"/>
        </w:rPr>
        <w:t xml:space="preserve">Workings: </w:t>
      </w:r>
    </w:p>
    <w:p w:rsidR="00000000" w:rsidDel="00000000" w:rsidP="00000000" w:rsidRDefault="00000000" w:rsidRPr="00000000" w14:paraId="00000067">
      <w:pPr>
        <w:rPr/>
      </w:pPr>
      <w:r w:rsidDel="00000000" w:rsidR="00000000" w:rsidRPr="00000000">
        <w:rPr>
          <w:rtl w:val="0"/>
        </w:rPr>
        <w:t xml:space="preserve">i. Total sales revenue </w:t>
      </w:r>
    </w:p>
    <w:p w:rsidR="00000000" w:rsidDel="00000000" w:rsidP="00000000" w:rsidRDefault="00000000" w:rsidRPr="00000000" w14:paraId="00000068">
      <w:pPr>
        <w:rPr/>
      </w:pPr>
      <w:r w:rsidDel="00000000" w:rsidR="00000000" w:rsidRPr="00000000">
        <w:rPr>
          <w:rtl w:val="0"/>
        </w:rPr>
        <w:t xml:space="preserve">= Sales + credit sales </w:t>
      </w:r>
    </w:p>
    <w:p w:rsidR="00000000" w:rsidDel="00000000" w:rsidP="00000000" w:rsidRDefault="00000000" w:rsidRPr="00000000" w14:paraId="00000069">
      <w:pPr>
        <w:rPr/>
      </w:pPr>
      <w:r w:rsidDel="00000000" w:rsidR="00000000" w:rsidRPr="00000000">
        <w:rPr>
          <w:rtl w:val="0"/>
        </w:rPr>
        <w:t xml:space="preserve">= £900,000 + £1,000 </w:t>
      </w:r>
    </w:p>
    <w:p w:rsidR="00000000" w:rsidDel="00000000" w:rsidP="00000000" w:rsidRDefault="00000000" w:rsidRPr="00000000" w14:paraId="0000006A">
      <w:pPr>
        <w:rPr/>
      </w:pPr>
      <w:r w:rsidDel="00000000" w:rsidR="00000000" w:rsidRPr="00000000">
        <w:rPr>
          <w:rtl w:val="0"/>
        </w:rPr>
        <w:t xml:space="preserve">= £901,000. </w:t>
      </w:r>
    </w:p>
    <w:p w:rsidR="00000000" w:rsidDel="00000000" w:rsidP="00000000" w:rsidRDefault="00000000" w:rsidRPr="00000000" w14:paraId="0000006B">
      <w:pPr>
        <w:rPr/>
      </w:pPr>
      <w:r w:rsidDel="00000000" w:rsidR="00000000" w:rsidRPr="00000000">
        <w:rPr>
          <w:rtl w:val="0"/>
        </w:rPr>
        <w:t xml:space="preserve">ii. Gross profit </w:t>
      </w:r>
    </w:p>
    <w:p w:rsidR="00000000" w:rsidDel="00000000" w:rsidP="00000000" w:rsidRDefault="00000000" w:rsidRPr="00000000" w14:paraId="0000006C">
      <w:pPr>
        <w:rPr/>
      </w:pPr>
      <w:r w:rsidDel="00000000" w:rsidR="00000000" w:rsidRPr="00000000">
        <w:rPr>
          <w:rtl w:val="0"/>
        </w:rPr>
        <w:t xml:space="preserve">= Total sales revenue – cost of sales </w:t>
      </w:r>
    </w:p>
    <w:p w:rsidR="00000000" w:rsidDel="00000000" w:rsidP="00000000" w:rsidRDefault="00000000" w:rsidRPr="00000000" w14:paraId="0000006D">
      <w:pPr>
        <w:rPr/>
      </w:pPr>
      <w:r w:rsidDel="00000000" w:rsidR="00000000" w:rsidRPr="00000000">
        <w:rPr>
          <w:rtl w:val="0"/>
        </w:rPr>
        <w:t xml:space="preserve">= £901,000 - £578,650.</w:t>
      </w:r>
    </w:p>
    <w:p w:rsidR="00000000" w:rsidDel="00000000" w:rsidP="00000000" w:rsidRDefault="00000000" w:rsidRPr="00000000" w14:paraId="0000006E">
      <w:pPr>
        <w:rPr/>
      </w:pPr>
      <w:r w:rsidDel="00000000" w:rsidR="00000000" w:rsidRPr="00000000">
        <w:rPr>
          <w:rtl w:val="0"/>
        </w:rPr>
        <w:t xml:space="preserve">iii. Administrative expenses </w:t>
      </w:r>
    </w:p>
    <w:p w:rsidR="00000000" w:rsidDel="00000000" w:rsidP="00000000" w:rsidRDefault="00000000" w:rsidRPr="00000000" w14:paraId="0000006F">
      <w:pPr>
        <w:rPr/>
      </w:pPr>
      <w:r w:rsidDel="00000000" w:rsidR="00000000" w:rsidRPr="00000000">
        <w:rPr>
          <w:rtl w:val="0"/>
        </w:rPr>
        <w:t xml:space="preserve">= £160,000 + December’s salaries payable  </w:t>
      </w:r>
    </w:p>
    <w:p w:rsidR="00000000" w:rsidDel="00000000" w:rsidP="00000000" w:rsidRDefault="00000000" w:rsidRPr="00000000" w14:paraId="00000070">
      <w:pPr>
        <w:rPr/>
      </w:pPr>
      <w:r w:rsidDel="00000000" w:rsidR="00000000" w:rsidRPr="00000000">
        <w:rPr>
          <w:rtl w:val="0"/>
        </w:rPr>
        <w:t xml:space="preserve">= £160,000 + £10,000 </w:t>
      </w:r>
    </w:p>
    <w:p w:rsidR="00000000" w:rsidDel="00000000" w:rsidP="00000000" w:rsidRDefault="00000000" w:rsidRPr="00000000" w14:paraId="00000071">
      <w:pPr>
        <w:rPr/>
      </w:pPr>
      <w:r w:rsidDel="00000000" w:rsidR="00000000" w:rsidRPr="00000000">
        <w:rPr>
          <w:rtl w:val="0"/>
        </w:rPr>
        <w:t xml:space="preserve">= £170,000. </w:t>
      </w:r>
    </w:p>
    <w:p w:rsidR="00000000" w:rsidDel="00000000" w:rsidP="00000000" w:rsidRDefault="00000000" w:rsidRPr="00000000" w14:paraId="00000072">
      <w:pPr>
        <w:rPr/>
      </w:pPr>
      <w:r w:rsidDel="00000000" w:rsidR="00000000" w:rsidRPr="00000000">
        <w:rPr>
          <w:rtl w:val="0"/>
        </w:rPr>
        <w:t xml:space="preserve">iv. Cost of debentures </w:t>
      </w:r>
    </w:p>
    <w:p w:rsidR="00000000" w:rsidDel="00000000" w:rsidP="00000000" w:rsidRDefault="00000000" w:rsidRPr="00000000" w14:paraId="00000073">
      <w:pPr>
        <w:rPr/>
      </w:pPr>
      <w:r w:rsidDel="00000000" w:rsidR="00000000" w:rsidRPr="00000000">
        <w:rPr>
          <w:rtl w:val="0"/>
        </w:rPr>
        <w:t xml:space="preserve">= 4% of £100,000 </w:t>
      </w:r>
    </w:p>
    <w:p w:rsidR="00000000" w:rsidDel="00000000" w:rsidP="00000000" w:rsidRDefault="00000000" w:rsidRPr="00000000" w14:paraId="00000074">
      <w:pPr>
        <w:rPr/>
      </w:pPr>
      <w:r w:rsidDel="00000000" w:rsidR="00000000" w:rsidRPr="00000000">
        <w:rPr>
          <w:rtl w:val="0"/>
        </w:rPr>
        <w:t xml:space="preserve">= £4,000. </w:t>
      </w:r>
    </w:p>
    <w:p w:rsidR="00000000" w:rsidDel="00000000" w:rsidP="00000000" w:rsidRDefault="00000000" w:rsidRPr="00000000" w14:paraId="00000075">
      <w:pPr>
        <w:rPr/>
      </w:pPr>
      <w:r w:rsidDel="00000000" w:rsidR="00000000" w:rsidRPr="00000000">
        <w:rPr>
          <w:rtl w:val="0"/>
        </w:rPr>
        <w:t xml:space="preserve">v. Depreciation expenses for the year </w:t>
      </w:r>
    </w:p>
    <w:p w:rsidR="00000000" w:rsidDel="00000000" w:rsidP="00000000" w:rsidRDefault="00000000" w:rsidRPr="00000000" w14:paraId="00000076">
      <w:pPr>
        <w:rPr/>
      </w:pPr>
      <w:r w:rsidDel="00000000" w:rsidR="00000000" w:rsidRPr="00000000">
        <w:rPr>
          <w:rtl w:val="0"/>
        </w:rPr>
        <w:t xml:space="preserve">= 10% of £650,000 through straight-line basis </w:t>
      </w:r>
    </w:p>
    <w:p w:rsidR="00000000" w:rsidDel="00000000" w:rsidP="00000000" w:rsidRDefault="00000000" w:rsidRPr="00000000" w14:paraId="00000077">
      <w:pPr>
        <w:rPr/>
      </w:pPr>
      <w:r w:rsidDel="00000000" w:rsidR="00000000" w:rsidRPr="00000000">
        <w:rPr>
          <w:rtl w:val="0"/>
        </w:rPr>
        <w:t xml:space="preserve">= £650,000*10% </w:t>
      </w:r>
    </w:p>
    <w:p w:rsidR="00000000" w:rsidDel="00000000" w:rsidP="00000000" w:rsidRDefault="00000000" w:rsidRPr="00000000" w14:paraId="00000078">
      <w:pPr>
        <w:rPr/>
      </w:pPr>
      <w:r w:rsidDel="00000000" w:rsidR="00000000" w:rsidRPr="00000000">
        <w:rPr>
          <w:rtl w:val="0"/>
        </w:rPr>
        <w:t xml:space="preserve">= £65,000. </w:t>
      </w:r>
    </w:p>
    <w:p w:rsidR="00000000" w:rsidDel="00000000" w:rsidP="00000000" w:rsidRDefault="00000000" w:rsidRPr="00000000" w14:paraId="00000079">
      <w:pPr>
        <w:rPr/>
      </w:pPr>
      <w:r w:rsidDel="00000000" w:rsidR="00000000" w:rsidRPr="00000000">
        <w:rPr>
          <w:rtl w:val="0"/>
        </w:rPr>
        <w:t xml:space="preserve">vi. Operating profit</w:t>
      </w:r>
    </w:p>
    <w:p w:rsidR="00000000" w:rsidDel="00000000" w:rsidP="00000000" w:rsidRDefault="00000000" w:rsidRPr="00000000" w14:paraId="0000007A">
      <w:pPr>
        <w:rPr/>
      </w:pPr>
      <w:r w:rsidDel="00000000" w:rsidR="00000000" w:rsidRPr="00000000">
        <w:rPr>
          <w:rtl w:val="0"/>
        </w:rPr>
        <w:t xml:space="preserve"> = Gross profit – operating expenses</w:t>
      </w:r>
    </w:p>
    <w:p w:rsidR="00000000" w:rsidDel="00000000" w:rsidP="00000000" w:rsidRDefault="00000000" w:rsidRPr="00000000" w14:paraId="0000007B">
      <w:pPr>
        <w:rPr/>
      </w:pPr>
      <w:r w:rsidDel="00000000" w:rsidR="00000000" w:rsidRPr="00000000">
        <w:rPr>
          <w:rtl w:val="0"/>
        </w:rPr>
        <w:t xml:space="preserve"> = £322,350 - £274,000 </w:t>
      </w:r>
    </w:p>
    <w:p w:rsidR="00000000" w:rsidDel="00000000" w:rsidP="00000000" w:rsidRDefault="00000000" w:rsidRPr="00000000" w14:paraId="0000007C">
      <w:pPr>
        <w:rPr/>
      </w:pPr>
      <w:r w:rsidDel="00000000" w:rsidR="00000000" w:rsidRPr="00000000">
        <w:rPr>
          <w:rtl w:val="0"/>
        </w:rPr>
        <w:t xml:space="preserve">= £48,350. </w:t>
      </w:r>
    </w:p>
    <w:p w:rsidR="00000000" w:rsidDel="00000000" w:rsidP="00000000" w:rsidRDefault="00000000" w:rsidRPr="00000000" w14:paraId="0000007D">
      <w:pPr>
        <w:rPr/>
      </w:pPr>
      <w:r w:rsidDel="00000000" w:rsidR="00000000" w:rsidRPr="00000000">
        <w:rPr>
          <w:rtl w:val="0"/>
        </w:rPr>
        <w:t xml:space="preserve">vii. Profit before Tax (EBT) </w:t>
      </w:r>
    </w:p>
    <w:p w:rsidR="00000000" w:rsidDel="00000000" w:rsidP="00000000" w:rsidRDefault="00000000" w:rsidRPr="00000000" w14:paraId="0000007E">
      <w:pPr>
        <w:rPr/>
      </w:pPr>
      <w:r w:rsidDel="00000000" w:rsidR="00000000" w:rsidRPr="00000000">
        <w:rPr>
          <w:rtl w:val="0"/>
        </w:rPr>
        <w:t xml:space="preserve">= Operating profit – interest expenses </w:t>
      </w:r>
    </w:p>
    <w:p w:rsidR="00000000" w:rsidDel="00000000" w:rsidP="00000000" w:rsidRDefault="00000000" w:rsidRPr="00000000" w14:paraId="0000007F">
      <w:pPr>
        <w:rPr/>
      </w:pPr>
      <w:r w:rsidDel="00000000" w:rsidR="00000000" w:rsidRPr="00000000">
        <w:rPr>
          <w:rtl w:val="0"/>
        </w:rPr>
        <w:t xml:space="preserve">= £48,350 - £2,000 </w:t>
      </w:r>
    </w:p>
    <w:p w:rsidR="00000000" w:rsidDel="00000000" w:rsidP="00000000" w:rsidRDefault="00000000" w:rsidRPr="00000000" w14:paraId="00000080">
      <w:pPr>
        <w:rPr/>
      </w:pPr>
      <w:r w:rsidDel="00000000" w:rsidR="00000000" w:rsidRPr="00000000">
        <w:rPr>
          <w:rtl w:val="0"/>
        </w:rPr>
        <w:t xml:space="preserve">= £46,350. </w:t>
      </w:r>
    </w:p>
    <w:p w:rsidR="00000000" w:rsidDel="00000000" w:rsidP="00000000" w:rsidRDefault="00000000" w:rsidRPr="00000000" w14:paraId="00000081">
      <w:pPr>
        <w:rPr/>
      </w:pPr>
      <w:r w:rsidDel="00000000" w:rsidR="00000000" w:rsidRPr="00000000">
        <w:rPr>
          <w:rtl w:val="0"/>
        </w:rPr>
        <w:t xml:space="preserve">viii. Net profit of Wales plc for the year </w:t>
      </w:r>
    </w:p>
    <w:p w:rsidR="00000000" w:rsidDel="00000000" w:rsidP="00000000" w:rsidRDefault="00000000" w:rsidRPr="00000000" w14:paraId="00000082">
      <w:pPr>
        <w:rPr/>
      </w:pPr>
      <w:r w:rsidDel="00000000" w:rsidR="00000000" w:rsidRPr="00000000">
        <w:rPr>
          <w:rtl w:val="0"/>
        </w:rPr>
        <w:t xml:space="preserve">= EBT – corporation tax </w:t>
      </w:r>
    </w:p>
    <w:p w:rsidR="00000000" w:rsidDel="00000000" w:rsidP="00000000" w:rsidRDefault="00000000" w:rsidRPr="00000000" w14:paraId="00000083">
      <w:pPr>
        <w:rPr/>
      </w:pPr>
      <w:r w:rsidDel="00000000" w:rsidR="00000000" w:rsidRPr="00000000">
        <w:rPr>
          <w:rtl w:val="0"/>
        </w:rPr>
        <w:t xml:space="preserve">= £46,350 - £15,000 </w:t>
      </w:r>
    </w:p>
    <w:p w:rsidR="00000000" w:rsidDel="00000000" w:rsidP="00000000" w:rsidRDefault="00000000" w:rsidRPr="00000000" w14:paraId="00000084">
      <w:pPr>
        <w:rPr/>
      </w:pPr>
      <w:r w:rsidDel="00000000" w:rsidR="00000000" w:rsidRPr="00000000">
        <w:rPr>
          <w:rtl w:val="0"/>
        </w:rPr>
        <w:t xml:space="preserve">= £31,350. </w:t>
      </w:r>
    </w:p>
    <w:p w:rsidR="00000000" w:rsidDel="00000000" w:rsidP="00000000" w:rsidRDefault="00000000" w:rsidRPr="00000000" w14:paraId="00000085">
      <w:pPr>
        <w:pStyle w:val="Heading1"/>
        <w:rPr/>
      </w:pPr>
      <w:bookmarkStart w:colFirst="0" w:colLast="0" w:name="_heading=h.tyjcwt" w:id="5"/>
      <w:bookmarkEnd w:id="5"/>
      <w:r w:rsidDel="00000000" w:rsidR="00000000" w:rsidRPr="00000000">
        <w:rPr>
          <w:rtl w:val="0"/>
        </w:rPr>
        <w:t xml:space="preserve">Question 3 - </w:t>
      </w:r>
    </w:p>
    <w:p w:rsidR="00000000" w:rsidDel="00000000" w:rsidP="00000000" w:rsidRDefault="00000000" w:rsidRPr="00000000" w14:paraId="00000086">
      <w:pPr>
        <w:pStyle w:val="Heading2"/>
        <w:rPr/>
      </w:pPr>
      <w:bookmarkStart w:colFirst="0" w:colLast="0" w:name="_heading=h.3dy6vkm" w:id="6"/>
      <w:bookmarkEnd w:id="6"/>
      <w:r w:rsidDel="00000000" w:rsidR="00000000" w:rsidRPr="00000000">
        <w:rPr>
          <w:rtl w:val="0"/>
        </w:rPr>
        <w:t xml:space="preserve">a) Calculations of different types of ratios of Sweets Plc in 2021 and 2022:</w:t>
      </w:r>
    </w:p>
    <w:p w:rsidR="00000000" w:rsidDel="00000000" w:rsidP="00000000" w:rsidRDefault="00000000" w:rsidRPr="00000000" w14:paraId="00000087">
      <w:pPr>
        <w:rPr>
          <w:b w:val="1"/>
        </w:rPr>
      </w:pPr>
      <w:r w:rsidDel="00000000" w:rsidR="00000000" w:rsidRPr="00000000">
        <w:rPr>
          <w:b w:val="1"/>
          <w:rtl w:val="0"/>
        </w:rPr>
        <w:t xml:space="preserve">1. ROCE:</w:t>
      </w:r>
    </w:p>
    <w:tbl>
      <w:tblPr>
        <w:tblStyle w:val="Table2"/>
        <w:tblW w:w="625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85"/>
        <w:gridCol w:w="1485"/>
        <w:gridCol w:w="1485"/>
        <w:tblGridChange w:id="0">
          <w:tblGrid>
            <w:gridCol w:w="3285"/>
            <w:gridCol w:w="1485"/>
            <w:gridCol w:w="1485"/>
          </w:tblGrid>
        </w:tblGridChange>
      </w:tblGrid>
      <w:tr>
        <w:trPr>
          <w:cantSplit w:val="0"/>
          <w:trHeight w:val="30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88">
            <w:pPr>
              <w:widowControl w:val="0"/>
              <w:jc w:val="center"/>
              <w:rPr>
                <w:b w:val="1"/>
              </w:rPr>
            </w:pPr>
            <w:r w:rsidDel="00000000" w:rsidR="00000000" w:rsidRPr="00000000">
              <w:rPr>
                <w:b w:val="1"/>
                <w:rtl w:val="0"/>
              </w:rPr>
              <w:t xml:space="preserve">Calculation for ROCE ratio</w:t>
            </w:r>
          </w:p>
        </w:tc>
      </w:tr>
      <w:tr>
        <w:trPr>
          <w:cantSplit w:val="0"/>
          <w:trHeight w:val="300"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8B">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8C">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8D">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300"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8F">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0">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1">
            <w:pPr>
              <w:widowControl w:val="0"/>
              <w:jc w:val="center"/>
              <w:rPr/>
            </w:pPr>
            <w:r w:rsidDel="00000000" w:rsidR="00000000" w:rsidRPr="00000000">
              <w:rPr>
                <w:rtl w:val="0"/>
              </w:rPr>
              <w:t xml:space="preserve">EBT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2">
            <w:pPr>
              <w:widowControl w:val="0"/>
              <w:jc w:val="center"/>
              <w:rPr/>
            </w:pPr>
            <w:r w:rsidDel="00000000" w:rsidR="00000000" w:rsidRPr="00000000">
              <w:rPr>
                <w:rtl w:val="0"/>
              </w:rPr>
              <w:t xml:space="preserve">539.00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3">
            <w:pPr>
              <w:widowControl w:val="0"/>
              <w:jc w:val="center"/>
              <w:rPr/>
            </w:pPr>
            <w:r w:rsidDel="00000000" w:rsidR="00000000" w:rsidRPr="00000000">
              <w:rPr>
                <w:rtl w:val="0"/>
              </w:rPr>
              <w:t xml:space="preserve">620.00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4">
            <w:pPr>
              <w:widowControl w:val="0"/>
              <w:jc w:val="center"/>
              <w:rPr/>
            </w:pPr>
            <w:r w:rsidDel="00000000" w:rsidR="00000000" w:rsidRPr="00000000">
              <w:rPr>
                <w:rtl w:val="0"/>
              </w:rPr>
              <w:t xml:space="preserve">Interest payable</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5">
            <w:pPr>
              <w:widowControl w:val="0"/>
              <w:jc w:val="center"/>
              <w:rPr/>
            </w:pPr>
            <w:r w:rsidDel="00000000" w:rsidR="00000000" w:rsidRPr="00000000">
              <w:rPr>
                <w:rtl w:val="0"/>
              </w:rPr>
              <w:t xml:space="preserve">181.00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6">
            <w:pPr>
              <w:widowControl w:val="0"/>
              <w:jc w:val="center"/>
              <w:rPr/>
            </w:pPr>
            <w:r w:rsidDel="00000000" w:rsidR="00000000" w:rsidRPr="00000000">
              <w:rPr>
                <w:rtl w:val="0"/>
              </w:rPr>
              <w:t xml:space="preserve">226.00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7">
            <w:pPr>
              <w:widowControl w:val="0"/>
              <w:jc w:val="center"/>
              <w:rPr/>
            </w:pPr>
            <w:r w:rsidDel="00000000" w:rsidR="00000000" w:rsidRPr="00000000">
              <w:rPr>
                <w:rtl w:val="0"/>
              </w:rPr>
              <w:t xml:space="preserve">EBIT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8">
            <w:pPr>
              <w:widowControl w:val="0"/>
              <w:jc w:val="center"/>
              <w:rPr/>
            </w:pPr>
            <w:r w:rsidDel="00000000" w:rsidR="00000000" w:rsidRPr="00000000">
              <w:rPr>
                <w:rtl w:val="0"/>
              </w:rPr>
              <w:t xml:space="preserve">720.00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9">
            <w:pPr>
              <w:widowControl w:val="0"/>
              <w:jc w:val="center"/>
              <w:rPr/>
            </w:pPr>
            <w:r w:rsidDel="00000000" w:rsidR="00000000" w:rsidRPr="00000000">
              <w:rPr>
                <w:rtl w:val="0"/>
              </w:rPr>
              <w:t xml:space="preserve">846.00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A">
            <w:pPr>
              <w:widowControl w:val="0"/>
              <w:jc w:val="center"/>
              <w:rPr/>
            </w:pPr>
            <w:r w:rsidDel="00000000" w:rsidR="00000000" w:rsidRPr="00000000">
              <w:rPr>
                <w:rtl w:val="0"/>
              </w:rPr>
              <w:t xml:space="preserve">Capital Employed</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B">
            <w:pPr>
              <w:widowControl w:val="0"/>
              <w:jc w:val="center"/>
              <w:rPr/>
            </w:pPr>
            <w:r w:rsidDel="00000000" w:rsidR="00000000" w:rsidRPr="00000000">
              <w:rPr>
                <w:rtl w:val="0"/>
              </w:rPr>
              <w:t xml:space="preserve">7041.00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C">
            <w:pPr>
              <w:widowControl w:val="0"/>
              <w:jc w:val="center"/>
              <w:rPr/>
            </w:pPr>
            <w:r w:rsidDel="00000000" w:rsidR="00000000" w:rsidRPr="00000000">
              <w:rPr>
                <w:rtl w:val="0"/>
              </w:rPr>
              <w:t xml:space="preserve">7225.00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D">
            <w:pPr>
              <w:widowControl w:val="0"/>
              <w:jc w:val="center"/>
              <w:rPr/>
            </w:pPr>
            <w:r w:rsidDel="00000000" w:rsidR="00000000" w:rsidRPr="00000000">
              <w:rPr>
                <w:rtl w:val="0"/>
              </w:rPr>
              <w:t xml:space="preserve">EBIT/Capital employed</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E">
            <w:pPr>
              <w:widowControl w:val="0"/>
              <w:jc w:val="center"/>
              <w:rPr/>
            </w:pPr>
            <w:r w:rsidDel="00000000" w:rsidR="00000000" w:rsidRPr="00000000">
              <w:rPr>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9F">
            <w:pPr>
              <w:widowControl w:val="0"/>
              <w:jc w:val="center"/>
              <w:rPr/>
            </w:pPr>
            <w:r w:rsidDel="00000000" w:rsidR="00000000" w:rsidRPr="00000000">
              <w:rPr>
                <w:rtl w:val="0"/>
              </w:rPr>
              <w:t xml:space="preserve">12%</w:t>
            </w:r>
          </w:p>
        </w:tc>
      </w:tr>
    </w:tbl>
    <w:p w:rsidR="00000000" w:rsidDel="00000000" w:rsidP="00000000" w:rsidRDefault="00000000" w:rsidRPr="00000000" w14:paraId="000000A0">
      <w:pPr>
        <w:rPr>
          <w:b w:val="1"/>
        </w:rPr>
      </w:pPr>
      <w:r w:rsidDel="00000000" w:rsidR="00000000" w:rsidRPr="00000000">
        <w:rPr>
          <w:b w:val="1"/>
          <w:rtl w:val="0"/>
        </w:rPr>
        <w:t xml:space="preserve">2. ROE:</w:t>
      </w:r>
    </w:p>
    <w:tbl>
      <w:tblPr>
        <w:tblStyle w:val="Table3"/>
        <w:tblW w:w="625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85"/>
        <w:gridCol w:w="1485"/>
        <w:gridCol w:w="1485"/>
        <w:tblGridChange w:id="0">
          <w:tblGrid>
            <w:gridCol w:w="3285"/>
            <w:gridCol w:w="1485"/>
            <w:gridCol w:w="1485"/>
          </w:tblGrid>
        </w:tblGridChange>
      </w:tblGrid>
      <w:tr>
        <w:trPr>
          <w:cantSplit w:val="0"/>
          <w:trHeight w:val="30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1">
            <w:pPr>
              <w:widowControl w:val="0"/>
              <w:jc w:val="center"/>
              <w:rPr>
                <w:b w:val="1"/>
              </w:rPr>
            </w:pPr>
            <w:r w:rsidDel="00000000" w:rsidR="00000000" w:rsidRPr="00000000">
              <w:rPr>
                <w:b w:val="1"/>
                <w:rtl w:val="0"/>
              </w:rPr>
              <w:t xml:space="preserve">Calculation for ROE ratio</w:t>
            </w:r>
          </w:p>
        </w:tc>
      </w:tr>
      <w:tr>
        <w:trPr>
          <w:cantSplit w:val="0"/>
          <w:trHeight w:val="300"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4">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5">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6">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300"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8">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9">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A">
            <w:pPr>
              <w:widowControl w:val="0"/>
              <w:jc w:val="center"/>
              <w:rPr/>
            </w:pPr>
            <w:r w:rsidDel="00000000" w:rsidR="00000000" w:rsidRPr="00000000">
              <w:rPr>
                <w:rtl w:val="0"/>
              </w:rPr>
              <w:t xml:space="preserve">Net profit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B">
            <w:pPr>
              <w:widowControl w:val="0"/>
              <w:jc w:val="center"/>
              <w:rPr/>
            </w:pPr>
            <w:r w:rsidDel="00000000" w:rsidR="00000000" w:rsidRPr="00000000">
              <w:rPr>
                <w:rtl w:val="0"/>
              </w:rPr>
              <w:t xml:space="preserve">366.00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C">
            <w:pPr>
              <w:widowControl w:val="0"/>
              <w:jc w:val="center"/>
              <w:rPr/>
            </w:pPr>
            <w:r w:rsidDel="00000000" w:rsidR="00000000" w:rsidRPr="00000000">
              <w:rPr>
                <w:rtl w:val="0"/>
              </w:rPr>
              <w:t xml:space="preserve">431.00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D">
            <w:pPr>
              <w:widowControl w:val="0"/>
              <w:jc w:val="center"/>
              <w:rPr/>
            </w:pPr>
            <w:r w:rsidDel="00000000" w:rsidR="00000000" w:rsidRPr="00000000">
              <w:rPr>
                <w:rtl w:val="0"/>
              </w:rPr>
              <w:t xml:space="preserve">Total equity</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E">
            <w:pPr>
              <w:widowControl w:val="0"/>
              <w:jc w:val="center"/>
              <w:rPr/>
            </w:pPr>
            <w:r w:rsidDel="00000000" w:rsidR="00000000" w:rsidRPr="00000000">
              <w:rPr>
                <w:rtl w:val="0"/>
              </w:rPr>
              <w:t xml:space="preserve">2912.00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AF">
            <w:pPr>
              <w:widowControl w:val="0"/>
              <w:jc w:val="center"/>
              <w:rPr/>
            </w:pPr>
            <w:r w:rsidDel="00000000" w:rsidR="00000000" w:rsidRPr="00000000">
              <w:rPr>
                <w:rtl w:val="0"/>
              </w:rPr>
              <w:t xml:space="preserve">3088.00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0">
            <w:pPr>
              <w:widowControl w:val="0"/>
              <w:jc w:val="center"/>
              <w:rPr/>
            </w:pPr>
            <w:r w:rsidDel="00000000" w:rsidR="00000000" w:rsidRPr="00000000">
              <w:rPr>
                <w:rtl w:val="0"/>
              </w:rPr>
              <w:t xml:space="preserve">Net profit/equity</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1">
            <w:pPr>
              <w:widowControl w:val="0"/>
              <w:jc w:val="center"/>
              <w:rPr/>
            </w:pPr>
            <w:r w:rsidDel="00000000" w:rsidR="00000000" w:rsidRPr="00000000">
              <w:rPr>
                <w:rtl w:val="0"/>
              </w:rPr>
              <w:t xml:space="preserve">13%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2">
            <w:pPr>
              <w:widowControl w:val="0"/>
              <w:jc w:val="center"/>
              <w:rPr/>
            </w:pPr>
            <w:r w:rsidDel="00000000" w:rsidR="00000000" w:rsidRPr="00000000">
              <w:rPr>
                <w:rtl w:val="0"/>
              </w:rPr>
              <w:t xml:space="preserve">14%</w:t>
            </w:r>
          </w:p>
        </w:tc>
      </w:tr>
    </w:tbl>
    <w:p w:rsidR="00000000" w:rsidDel="00000000" w:rsidP="00000000" w:rsidRDefault="00000000" w:rsidRPr="00000000" w14:paraId="000000B3">
      <w:pPr>
        <w:rPr>
          <w:b w:val="1"/>
        </w:rPr>
      </w:pPr>
      <w:r w:rsidDel="00000000" w:rsidR="00000000" w:rsidRPr="00000000">
        <w:rPr>
          <w:b w:val="1"/>
          <w:rtl w:val="0"/>
        </w:rPr>
        <w:t xml:space="preserve">3: Earning per share:</w:t>
      </w:r>
    </w:p>
    <w:tbl>
      <w:tblPr>
        <w:tblStyle w:val="Table4"/>
        <w:tblW w:w="616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35"/>
        <w:gridCol w:w="1215"/>
        <w:gridCol w:w="1215"/>
        <w:tblGridChange w:id="0">
          <w:tblGrid>
            <w:gridCol w:w="3735"/>
            <w:gridCol w:w="1215"/>
            <w:gridCol w:w="1215"/>
          </w:tblGrid>
        </w:tblGridChange>
      </w:tblGrid>
      <w:tr>
        <w:trPr>
          <w:cantSplit w:val="0"/>
          <w:trHeight w:val="30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4">
            <w:pPr>
              <w:widowControl w:val="0"/>
              <w:jc w:val="center"/>
              <w:rPr>
                <w:b w:val="1"/>
              </w:rPr>
            </w:pPr>
            <w:r w:rsidDel="00000000" w:rsidR="00000000" w:rsidRPr="00000000">
              <w:rPr>
                <w:b w:val="1"/>
                <w:rtl w:val="0"/>
              </w:rPr>
              <w:t xml:space="preserve">Calculation for Earning per share</w:t>
            </w:r>
          </w:p>
        </w:tc>
      </w:tr>
      <w:tr>
        <w:trPr>
          <w:cantSplit w:val="0"/>
          <w:trHeight w:val="300"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7">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8">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9">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570"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B">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C">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D">
            <w:pPr>
              <w:widowControl w:val="0"/>
              <w:jc w:val="center"/>
              <w:rPr/>
            </w:pPr>
            <w:r w:rsidDel="00000000" w:rsidR="00000000" w:rsidRPr="00000000">
              <w:rPr>
                <w:rtl w:val="0"/>
              </w:rPr>
              <w:t xml:space="preserve">Net profit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E">
            <w:pPr>
              <w:widowControl w:val="0"/>
              <w:jc w:val="center"/>
              <w:rPr/>
            </w:pPr>
            <w:r w:rsidDel="00000000" w:rsidR="00000000" w:rsidRPr="00000000">
              <w:rPr>
                <w:rtl w:val="0"/>
              </w:rPr>
              <w:t xml:space="preserve">366.00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BF">
            <w:pPr>
              <w:widowControl w:val="0"/>
              <w:jc w:val="center"/>
              <w:rPr/>
            </w:pPr>
            <w:r w:rsidDel="00000000" w:rsidR="00000000" w:rsidRPr="00000000">
              <w:rPr>
                <w:rtl w:val="0"/>
              </w:rPr>
              <w:t xml:space="preserve">431.00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0">
            <w:pPr>
              <w:widowControl w:val="0"/>
              <w:jc w:val="center"/>
              <w:rPr/>
            </w:pPr>
            <w:r w:rsidDel="00000000" w:rsidR="00000000" w:rsidRPr="00000000">
              <w:rPr>
                <w:rtl w:val="0"/>
              </w:rPr>
              <w:t xml:space="preserve">Outstanding share</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1">
            <w:pPr>
              <w:widowControl w:val="0"/>
              <w:jc w:val="center"/>
              <w:rPr/>
            </w:pPr>
            <w:r w:rsidDel="00000000" w:rsidR="00000000" w:rsidRPr="00000000">
              <w:rPr>
                <w:rtl w:val="0"/>
              </w:rPr>
              <w:t xml:space="preserve">300.00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2">
            <w:pPr>
              <w:widowControl w:val="0"/>
              <w:jc w:val="center"/>
              <w:rPr/>
            </w:pPr>
            <w:r w:rsidDel="00000000" w:rsidR="00000000" w:rsidRPr="00000000">
              <w:rPr>
                <w:rtl w:val="0"/>
              </w:rPr>
              <w:t xml:space="preserve">300.00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3">
            <w:pPr>
              <w:widowControl w:val="0"/>
              <w:jc w:val="center"/>
              <w:rPr/>
            </w:pPr>
            <w:r w:rsidDel="00000000" w:rsidR="00000000" w:rsidRPr="00000000">
              <w:rPr>
                <w:rtl w:val="0"/>
              </w:rPr>
              <w:t xml:space="preserve">Net profit/outstanding share</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4">
            <w:pPr>
              <w:widowControl w:val="0"/>
              <w:jc w:val="center"/>
              <w:rPr/>
            </w:pPr>
            <w:r w:rsidDel="00000000" w:rsidR="00000000" w:rsidRPr="00000000">
              <w:rPr>
                <w:rtl w:val="0"/>
              </w:rPr>
              <w:t xml:space="preserve">122%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5">
            <w:pPr>
              <w:widowControl w:val="0"/>
              <w:jc w:val="center"/>
              <w:rPr/>
            </w:pPr>
            <w:r w:rsidDel="00000000" w:rsidR="00000000" w:rsidRPr="00000000">
              <w:rPr>
                <w:rtl w:val="0"/>
              </w:rPr>
              <w:t xml:space="preserve">144%</w:t>
            </w:r>
          </w:p>
        </w:tc>
      </w:tr>
    </w:tbl>
    <w:p w:rsidR="00000000" w:rsidDel="00000000" w:rsidP="00000000" w:rsidRDefault="00000000" w:rsidRPr="00000000" w14:paraId="000000C6">
      <w:pPr>
        <w:rPr>
          <w:b w:val="1"/>
        </w:rPr>
      </w:pPr>
      <w:r w:rsidDel="00000000" w:rsidR="00000000" w:rsidRPr="00000000">
        <w:rPr>
          <w:b w:val="1"/>
          <w:rtl w:val="0"/>
        </w:rPr>
        <w:t xml:space="preserve">4: Net profit margin:</w:t>
      </w:r>
    </w:p>
    <w:tbl>
      <w:tblPr>
        <w:tblStyle w:val="Table5"/>
        <w:tblW w:w="72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30"/>
        <w:gridCol w:w="1485"/>
        <w:gridCol w:w="1485"/>
        <w:tblGridChange w:id="0">
          <w:tblGrid>
            <w:gridCol w:w="4230"/>
            <w:gridCol w:w="1485"/>
            <w:gridCol w:w="1485"/>
          </w:tblGrid>
        </w:tblGridChange>
      </w:tblGrid>
      <w:tr>
        <w:trPr>
          <w:cantSplit w:val="0"/>
          <w:trHeight w:val="315"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7">
            <w:pPr>
              <w:widowControl w:val="0"/>
              <w:jc w:val="center"/>
              <w:rPr/>
            </w:pPr>
            <w:r w:rsidDel="00000000" w:rsidR="00000000" w:rsidRPr="00000000">
              <w:rPr>
                <w:b w:val="1"/>
                <w:rtl w:val="0"/>
              </w:rPr>
              <w:t xml:space="preserve">Calculation for Net Profit Ratio</w:t>
            </w:r>
            <w:r w:rsidDel="00000000" w:rsidR="00000000" w:rsidRPr="00000000">
              <w:rPr>
                <w:rtl w:val="0"/>
              </w:rPr>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A">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B">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C">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E">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CF">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0">
            <w:pPr>
              <w:widowControl w:val="0"/>
              <w:jc w:val="center"/>
              <w:rPr/>
            </w:pPr>
            <w:r w:rsidDel="00000000" w:rsidR="00000000" w:rsidRPr="00000000">
              <w:rPr>
                <w:rtl w:val="0"/>
              </w:rPr>
              <w:t xml:space="preserve">Total Revenues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1">
            <w:pPr>
              <w:widowControl w:val="0"/>
              <w:jc w:val="center"/>
              <w:rPr/>
            </w:pPr>
            <w:r w:rsidDel="00000000" w:rsidR="00000000" w:rsidRPr="00000000">
              <w:rPr>
                <w:rtl w:val="0"/>
              </w:rPr>
              <w:t xml:space="preserve">6441.00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2">
            <w:pPr>
              <w:widowControl w:val="0"/>
              <w:jc w:val="center"/>
              <w:rPr/>
            </w:pPr>
            <w:r w:rsidDel="00000000" w:rsidR="00000000" w:rsidRPr="00000000">
              <w:rPr>
                <w:rtl w:val="0"/>
              </w:rPr>
              <w:t xml:space="preserve">6738.00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3">
            <w:pPr>
              <w:widowControl w:val="0"/>
              <w:jc w:val="center"/>
              <w:rPr/>
            </w:pPr>
            <w:r w:rsidDel="00000000" w:rsidR="00000000" w:rsidRPr="00000000">
              <w:rPr>
                <w:rtl w:val="0"/>
              </w:rPr>
              <w:t xml:space="preserve">Net profit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4">
            <w:pPr>
              <w:widowControl w:val="0"/>
              <w:jc w:val="center"/>
              <w:rPr/>
            </w:pPr>
            <w:r w:rsidDel="00000000" w:rsidR="00000000" w:rsidRPr="00000000">
              <w:rPr>
                <w:rtl w:val="0"/>
              </w:rPr>
              <w:t xml:space="preserve">366.00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5">
            <w:pPr>
              <w:widowControl w:val="0"/>
              <w:jc w:val="center"/>
              <w:rPr/>
            </w:pPr>
            <w:r w:rsidDel="00000000" w:rsidR="00000000" w:rsidRPr="00000000">
              <w:rPr>
                <w:rtl w:val="0"/>
              </w:rPr>
              <w:t xml:space="preserve">431.00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6">
            <w:pPr>
              <w:widowControl w:val="0"/>
              <w:jc w:val="center"/>
              <w:rPr/>
            </w:pPr>
            <w:r w:rsidDel="00000000" w:rsidR="00000000" w:rsidRPr="00000000">
              <w:rPr>
                <w:b w:val="1"/>
                <w:rtl w:val="0"/>
              </w:rPr>
              <w:t xml:space="preserve">(Net profit / Revenue)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7">
            <w:pPr>
              <w:widowControl w:val="0"/>
              <w:jc w:val="center"/>
              <w:rPr/>
            </w:pPr>
            <w:r w:rsidDel="00000000" w:rsidR="00000000" w:rsidRPr="00000000">
              <w:rPr>
                <w:rtl w:val="0"/>
              </w:rPr>
              <w:t xml:space="preserve">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8">
            <w:pPr>
              <w:widowControl w:val="0"/>
              <w:jc w:val="center"/>
              <w:rPr/>
            </w:pPr>
            <w:r w:rsidDel="00000000" w:rsidR="00000000" w:rsidRPr="00000000">
              <w:rPr>
                <w:rtl w:val="0"/>
              </w:rPr>
              <w:t xml:space="preserve">6%</w:t>
            </w:r>
          </w:p>
        </w:tc>
      </w:tr>
    </w:tbl>
    <w:p w:rsidR="00000000" w:rsidDel="00000000" w:rsidP="00000000" w:rsidRDefault="00000000" w:rsidRPr="00000000" w14:paraId="000000D9">
      <w:pPr>
        <w:rPr>
          <w:b w:val="1"/>
        </w:rPr>
      </w:pPr>
      <w:r w:rsidDel="00000000" w:rsidR="00000000" w:rsidRPr="00000000">
        <w:rPr>
          <w:b w:val="1"/>
          <w:rtl w:val="0"/>
        </w:rPr>
        <w:t xml:space="preserve">5. Assets Turnover Ratio:</w:t>
      </w:r>
    </w:p>
    <w:tbl>
      <w:tblPr>
        <w:tblStyle w:val="Table6"/>
        <w:tblW w:w="72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30"/>
        <w:gridCol w:w="1485"/>
        <w:gridCol w:w="1485"/>
        <w:tblGridChange w:id="0">
          <w:tblGrid>
            <w:gridCol w:w="4230"/>
            <w:gridCol w:w="1485"/>
            <w:gridCol w:w="1485"/>
          </w:tblGrid>
        </w:tblGridChange>
      </w:tblGrid>
      <w:tr>
        <w:trPr>
          <w:cantSplit w:val="0"/>
          <w:trHeight w:val="315"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A">
            <w:pPr>
              <w:widowControl w:val="0"/>
              <w:jc w:val="center"/>
              <w:rPr/>
            </w:pPr>
            <w:r w:rsidDel="00000000" w:rsidR="00000000" w:rsidRPr="00000000">
              <w:rPr>
                <w:b w:val="1"/>
                <w:rtl w:val="0"/>
              </w:rPr>
              <w:t xml:space="preserve">Calculation for Assets Turnover Ratio</w:t>
            </w:r>
            <w:r w:rsidDel="00000000" w:rsidR="00000000" w:rsidRPr="00000000">
              <w:rPr>
                <w:rtl w:val="0"/>
              </w:rPr>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D">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E">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DF">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1">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2">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3">
            <w:pPr>
              <w:widowControl w:val="0"/>
              <w:jc w:val="center"/>
              <w:rPr/>
            </w:pPr>
            <w:r w:rsidDel="00000000" w:rsidR="00000000" w:rsidRPr="00000000">
              <w:rPr>
                <w:rtl w:val="0"/>
              </w:rPr>
              <w:t xml:space="preserve">Total Asset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4">
            <w:pPr>
              <w:widowControl w:val="0"/>
              <w:jc w:val="center"/>
              <w:rPr/>
            </w:pPr>
            <w:r w:rsidDel="00000000" w:rsidR="00000000" w:rsidRPr="00000000">
              <w:rPr>
                <w:rtl w:val="0"/>
              </w:rPr>
              <w:t xml:space="preserve">10087.00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5">
            <w:pPr>
              <w:widowControl w:val="0"/>
              <w:jc w:val="center"/>
              <w:rPr/>
            </w:pPr>
            <w:r w:rsidDel="00000000" w:rsidR="00000000" w:rsidRPr="00000000">
              <w:rPr>
                <w:rtl w:val="0"/>
              </w:rPr>
              <w:t xml:space="preserve">9736.00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6">
            <w:pPr>
              <w:widowControl w:val="0"/>
              <w:jc w:val="center"/>
              <w:rPr/>
            </w:pPr>
            <w:r w:rsidDel="00000000" w:rsidR="00000000" w:rsidRPr="00000000">
              <w:rPr>
                <w:rtl w:val="0"/>
              </w:rPr>
              <w:t xml:space="preserve">Average total assets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7">
            <w:pPr>
              <w:widowControl w:val="0"/>
              <w:jc w:val="center"/>
              <w:rPr/>
            </w:pPr>
            <w:r w:rsidDel="00000000" w:rsidR="00000000" w:rsidRPr="00000000">
              <w:rPr>
                <w:rtl w:val="0"/>
              </w:rPr>
              <w:t xml:space="preserve">10087.00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8">
            <w:pPr>
              <w:widowControl w:val="0"/>
              <w:jc w:val="center"/>
              <w:rPr/>
            </w:pPr>
            <w:r w:rsidDel="00000000" w:rsidR="00000000" w:rsidRPr="00000000">
              <w:rPr>
                <w:rtl w:val="0"/>
              </w:rPr>
              <w:t xml:space="preserve">9911.50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9">
            <w:pPr>
              <w:widowControl w:val="0"/>
              <w:jc w:val="center"/>
              <w:rPr/>
            </w:pPr>
            <w:r w:rsidDel="00000000" w:rsidR="00000000" w:rsidRPr="00000000">
              <w:rPr>
                <w:rtl w:val="0"/>
              </w:rPr>
              <w:t xml:space="preserve">Net sales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A">
            <w:pPr>
              <w:widowControl w:val="0"/>
              <w:jc w:val="center"/>
              <w:rPr/>
            </w:pPr>
            <w:r w:rsidDel="00000000" w:rsidR="00000000" w:rsidRPr="00000000">
              <w:rPr>
                <w:rtl w:val="0"/>
              </w:rPr>
              <w:t xml:space="preserve">6441.00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B">
            <w:pPr>
              <w:widowControl w:val="0"/>
              <w:jc w:val="center"/>
              <w:rPr/>
            </w:pPr>
            <w:r w:rsidDel="00000000" w:rsidR="00000000" w:rsidRPr="00000000">
              <w:rPr>
                <w:rtl w:val="0"/>
              </w:rPr>
              <w:t xml:space="preserve">6738.00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C">
            <w:pPr>
              <w:widowControl w:val="0"/>
              <w:jc w:val="center"/>
              <w:rPr/>
            </w:pPr>
            <w:r w:rsidDel="00000000" w:rsidR="00000000" w:rsidRPr="00000000">
              <w:rPr>
                <w:b w:val="1"/>
                <w:rtl w:val="0"/>
              </w:rPr>
              <w:t xml:space="preserve">Net sales/ Average total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D">
            <w:pPr>
              <w:widowControl w:val="0"/>
              <w:jc w:val="center"/>
              <w:rPr/>
            </w:pPr>
            <w:r w:rsidDel="00000000" w:rsidR="00000000" w:rsidRPr="00000000">
              <w:rPr>
                <w:b w:val="1"/>
                <w:rtl w:val="0"/>
              </w:rPr>
              <w:t xml:space="preserve">0.64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EE">
            <w:pPr>
              <w:widowControl w:val="0"/>
              <w:jc w:val="center"/>
              <w:rPr/>
            </w:pPr>
            <w:r w:rsidDel="00000000" w:rsidR="00000000" w:rsidRPr="00000000">
              <w:rPr>
                <w:b w:val="1"/>
                <w:rtl w:val="0"/>
              </w:rPr>
              <w:t xml:space="preserve">0.68</w:t>
            </w:r>
            <w:r w:rsidDel="00000000" w:rsidR="00000000" w:rsidRPr="00000000">
              <w:rPr>
                <w:rtl w:val="0"/>
              </w:rPr>
            </w:r>
          </w:p>
        </w:tc>
      </w:tr>
    </w:tbl>
    <w:p w:rsidR="00000000" w:rsidDel="00000000" w:rsidP="00000000" w:rsidRDefault="00000000" w:rsidRPr="00000000" w14:paraId="000000EF">
      <w:pPr>
        <w:rPr>
          <w:b w:val="1"/>
        </w:rPr>
      </w:pPr>
      <w:r w:rsidDel="00000000" w:rsidR="00000000" w:rsidRPr="00000000">
        <w:rPr>
          <w:rtl w:val="0"/>
        </w:rPr>
      </w:r>
    </w:p>
    <w:p w:rsidR="00000000" w:rsidDel="00000000" w:rsidP="00000000" w:rsidRDefault="00000000" w:rsidRPr="00000000" w14:paraId="000000F0">
      <w:pPr>
        <w:rPr>
          <w:b w:val="1"/>
        </w:rPr>
      </w:pPr>
      <w:r w:rsidDel="00000000" w:rsidR="00000000" w:rsidRPr="00000000">
        <w:rPr>
          <w:b w:val="1"/>
          <w:rtl w:val="0"/>
        </w:rPr>
        <w:t xml:space="preserve">6. Stock holding day:</w:t>
      </w:r>
    </w:p>
    <w:tbl>
      <w:tblPr>
        <w:tblStyle w:val="Table7"/>
        <w:tblW w:w="616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35"/>
        <w:gridCol w:w="1215"/>
        <w:gridCol w:w="1215"/>
        <w:tblGridChange w:id="0">
          <w:tblGrid>
            <w:gridCol w:w="3735"/>
            <w:gridCol w:w="1215"/>
            <w:gridCol w:w="1215"/>
          </w:tblGrid>
        </w:tblGridChange>
      </w:tblGrid>
      <w:tr>
        <w:trPr>
          <w:cantSplit w:val="0"/>
          <w:trHeight w:val="30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1">
            <w:pPr>
              <w:widowControl w:val="0"/>
              <w:jc w:val="center"/>
              <w:rPr>
                <w:b w:val="1"/>
              </w:rPr>
            </w:pPr>
            <w:r w:rsidDel="00000000" w:rsidR="00000000" w:rsidRPr="00000000">
              <w:rPr>
                <w:b w:val="1"/>
                <w:rtl w:val="0"/>
              </w:rPr>
              <w:t xml:space="preserve">Calculation for stockholding day</w:t>
            </w:r>
          </w:p>
        </w:tc>
      </w:tr>
      <w:tr>
        <w:trPr>
          <w:cantSplit w:val="0"/>
          <w:trHeight w:val="300"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4">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5">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6">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570"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8">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9">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A">
            <w:pPr>
              <w:widowControl w:val="0"/>
              <w:jc w:val="center"/>
              <w:rPr/>
            </w:pPr>
            <w:r w:rsidDel="00000000" w:rsidR="00000000" w:rsidRPr="00000000">
              <w:rPr>
                <w:rtl w:val="0"/>
              </w:rPr>
              <w:t xml:space="preserve">Closing inventory</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B">
            <w:pPr>
              <w:widowControl w:val="0"/>
              <w:jc w:val="center"/>
              <w:rPr/>
            </w:pPr>
            <w:r w:rsidDel="00000000" w:rsidR="00000000" w:rsidRPr="00000000">
              <w:rPr>
                <w:rtl w:val="0"/>
              </w:rPr>
              <w:t xml:space="preserve">659.00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C">
            <w:pPr>
              <w:widowControl w:val="0"/>
              <w:jc w:val="center"/>
              <w:rPr/>
            </w:pPr>
            <w:r w:rsidDel="00000000" w:rsidR="00000000" w:rsidRPr="00000000">
              <w:rPr>
                <w:rtl w:val="0"/>
              </w:rPr>
              <w:t xml:space="preserve">708.00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D">
            <w:pPr>
              <w:widowControl w:val="0"/>
              <w:jc w:val="center"/>
              <w:rPr/>
            </w:pPr>
            <w:r w:rsidDel="00000000" w:rsidR="00000000" w:rsidRPr="00000000">
              <w:rPr>
                <w:rtl w:val="0"/>
              </w:rPr>
              <w:t xml:space="preserve">Cost of goods sold</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E">
            <w:pPr>
              <w:widowControl w:val="0"/>
              <w:jc w:val="center"/>
              <w:rPr/>
            </w:pPr>
            <w:r w:rsidDel="00000000" w:rsidR="00000000" w:rsidRPr="00000000">
              <w:rPr>
                <w:rtl w:val="0"/>
              </w:rPr>
              <w:t xml:space="preserve">6441.00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FF">
            <w:pPr>
              <w:widowControl w:val="0"/>
              <w:jc w:val="center"/>
              <w:rPr/>
            </w:pPr>
            <w:r w:rsidDel="00000000" w:rsidR="00000000" w:rsidRPr="00000000">
              <w:rPr>
                <w:rtl w:val="0"/>
              </w:rPr>
              <w:t xml:space="preserve">6738.00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0">
            <w:pPr>
              <w:widowControl w:val="0"/>
              <w:ind w:left="-9360" w:right="-9360" w:firstLine="0"/>
              <w:jc w:val="center"/>
              <w:rPr/>
            </w:pPr>
            <w:r w:rsidDel="00000000" w:rsidR="00000000" w:rsidRPr="00000000">
              <w:rPr>
                <w:rtl w:val="0"/>
              </w:rPr>
              <w:t xml:space="preserve">Closing inventory/ cost of goods sold</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1">
            <w:pPr>
              <w:widowControl w:val="0"/>
              <w:jc w:val="center"/>
              <w:rPr/>
            </w:pPr>
            <w:r w:rsidDel="00000000" w:rsidR="00000000" w:rsidRPr="00000000">
              <w:rPr>
                <w:rtl w:val="0"/>
              </w:rPr>
              <w:t xml:space="preserve">37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2">
            <w:pPr>
              <w:widowControl w:val="0"/>
              <w:jc w:val="center"/>
              <w:rPr/>
            </w:pPr>
            <w:r w:rsidDel="00000000" w:rsidR="00000000" w:rsidRPr="00000000">
              <w:rPr>
                <w:rtl w:val="0"/>
              </w:rPr>
              <w:t xml:space="preserve">38</w:t>
            </w:r>
          </w:p>
        </w:tc>
      </w:tr>
    </w:tbl>
    <w:p w:rsidR="00000000" w:rsidDel="00000000" w:rsidP="00000000" w:rsidRDefault="00000000" w:rsidRPr="00000000" w14:paraId="00000103">
      <w:pPr>
        <w:rPr>
          <w:b w:val="1"/>
        </w:rPr>
      </w:pPr>
      <w:r w:rsidDel="00000000" w:rsidR="00000000" w:rsidRPr="00000000">
        <w:rPr>
          <w:b w:val="1"/>
          <w:rtl w:val="0"/>
        </w:rPr>
        <w:t xml:space="preserve">7. Debtors collection period:</w:t>
      </w:r>
    </w:p>
    <w:tbl>
      <w:tblPr>
        <w:tblStyle w:val="Table8"/>
        <w:tblW w:w="625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85"/>
        <w:gridCol w:w="1485"/>
        <w:gridCol w:w="1485"/>
        <w:tblGridChange w:id="0">
          <w:tblGrid>
            <w:gridCol w:w="3285"/>
            <w:gridCol w:w="1485"/>
            <w:gridCol w:w="1485"/>
          </w:tblGrid>
        </w:tblGridChange>
      </w:tblGrid>
      <w:tr>
        <w:trPr>
          <w:cantSplit w:val="0"/>
          <w:trHeight w:val="30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4">
            <w:pPr>
              <w:widowControl w:val="0"/>
              <w:jc w:val="center"/>
              <w:rPr/>
            </w:pPr>
            <w:r w:rsidDel="00000000" w:rsidR="00000000" w:rsidRPr="00000000">
              <w:rPr>
                <w:b w:val="1"/>
                <w:rtl w:val="0"/>
              </w:rPr>
              <w:t xml:space="preserve">Calculation for Debtor collection period</w:t>
            </w:r>
            <w:r w:rsidDel="00000000" w:rsidR="00000000" w:rsidRPr="00000000">
              <w:rPr>
                <w:rtl w:val="0"/>
              </w:rPr>
            </w:r>
          </w:p>
        </w:tc>
      </w:tr>
      <w:tr>
        <w:trPr>
          <w:cantSplit w:val="0"/>
          <w:trHeight w:val="300"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7">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8">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9">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300"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B">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C">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D">
            <w:pPr>
              <w:widowControl w:val="0"/>
              <w:jc w:val="center"/>
              <w:rPr/>
            </w:pPr>
            <w:r w:rsidDel="00000000" w:rsidR="00000000" w:rsidRPr="00000000">
              <w:rPr>
                <w:rtl w:val="0"/>
              </w:rPr>
              <w:t xml:space="preserve">Total Debt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E">
            <w:pPr>
              <w:widowControl w:val="0"/>
              <w:jc w:val="center"/>
              <w:rPr/>
            </w:pPr>
            <w:r w:rsidDel="00000000" w:rsidR="00000000" w:rsidRPr="00000000">
              <w:rPr>
                <w:rtl w:val="0"/>
              </w:rPr>
              <w:t xml:space="preserve">4129.00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F">
            <w:pPr>
              <w:widowControl w:val="0"/>
              <w:jc w:val="center"/>
              <w:rPr/>
            </w:pPr>
            <w:r w:rsidDel="00000000" w:rsidR="00000000" w:rsidRPr="00000000">
              <w:rPr>
                <w:rtl w:val="0"/>
              </w:rPr>
              <w:t xml:space="preserve">4137.00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0">
            <w:pPr>
              <w:widowControl w:val="0"/>
              <w:jc w:val="center"/>
              <w:rPr/>
            </w:pPr>
            <w:r w:rsidDel="00000000" w:rsidR="00000000" w:rsidRPr="00000000">
              <w:rPr>
                <w:rtl w:val="0"/>
              </w:rPr>
              <w:t xml:space="preserve">Total assets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1">
            <w:pPr>
              <w:widowControl w:val="0"/>
              <w:jc w:val="center"/>
              <w:rPr/>
            </w:pPr>
            <w:r w:rsidDel="00000000" w:rsidR="00000000" w:rsidRPr="00000000">
              <w:rPr>
                <w:rtl w:val="0"/>
              </w:rPr>
              <w:t xml:space="preserve">10087.00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2">
            <w:pPr>
              <w:widowControl w:val="0"/>
              <w:jc w:val="center"/>
              <w:rPr/>
            </w:pPr>
            <w:r w:rsidDel="00000000" w:rsidR="00000000" w:rsidRPr="00000000">
              <w:rPr>
                <w:rtl w:val="0"/>
              </w:rPr>
              <w:t xml:space="preserve">9736.00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3">
            <w:pPr>
              <w:widowControl w:val="0"/>
              <w:jc w:val="center"/>
              <w:rPr/>
            </w:pPr>
            <w:r w:rsidDel="00000000" w:rsidR="00000000" w:rsidRPr="00000000">
              <w:rPr>
                <w:b w:val="1"/>
                <w:rtl w:val="0"/>
              </w:rPr>
              <w:t xml:space="preserve">Total Debt / Total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4">
            <w:pPr>
              <w:widowControl w:val="0"/>
              <w:jc w:val="center"/>
              <w:rPr/>
            </w:pPr>
            <w:r w:rsidDel="00000000" w:rsidR="00000000" w:rsidRPr="00000000">
              <w:rPr>
                <w:b w:val="1"/>
                <w:rtl w:val="0"/>
              </w:rPr>
              <w:t xml:space="preserve">149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5">
            <w:pPr>
              <w:widowControl w:val="0"/>
              <w:jc w:val="center"/>
              <w:rPr/>
            </w:pPr>
            <w:r w:rsidDel="00000000" w:rsidR="00000000" w:rsidRPr="00000000">
              <w:rPr>
                <w:b w:val="1"/>
                <w:rtl w:val="0"/>
              </w:rPr>
              <w:t xml:space="preserve">155</w:t>
            </w:r>
            <w:r w:rsidDel="00000000" w:rsidR="00000000" w:rsidRPr="00000000">
              <w:rPr>
                <w:rtl w:val="0"/>
              </w:rPr>
            </w:r>
          </w:p>
        </w:tc>
      </w:tr>
    </w:tbl>
    <w:p w:rsidR="00000000" w:rsidDel="00000000" w:rsidP="00000000" w:rsidRDefault="00000000" w:rsidRPr="00000000" w14:paraId="00000116">
      <w:pPr>
        <w:rPr>
          <w:b w:val="1"/>
        </w:rPr>
      </w:pPr>
      <w:r w:rsidDel="00000000" w:rsidR="00000000" w:rsidRPr="00000000">
        <w:rPr>
          <w:b w:val="1"/>
          <w:rtl w:val="0"/>
        </w:rPr>
        <w:t xml:space="preserve">8. Current ratio:</w:t>
      </w:r>
    </w:p>
    <w:tbl>
      <w:tblPr>
        <w:tblStyle w:val="Table9"/>
        <w:tblW w:w="72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30"/>
        <w:gridCol w:w="1485"/>
        <w:gridCol w:w="1485"/>
        <w:tblGridChange w:id="0">
          <w:tblGrid>
            <w:gridCol w:w="4230"/>
            <w:gridCol w:w="1485"/>
            <w:gridCol w:w="1485"/>
          </w:tblGrid>
        </w:tblGridChange>
      </w:tblGrid>
      <w:tr>
        <w:trPr>
          <w:cantSplit w:val="0"/>
          <w:trHeight w:val="30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7">
            <w:pPr>
              <w:widowControl w:val="0"/>
              <w:jc w:val="center"/>
              <w:rPr/>
            </w:pPr>
            <w:r w:rsidDel="00000000" w:rsidR="00000000" w:rsidRPr="00000000">
              <w:rPr>
                <w:b w:val="1"/>
                <w:rtl w:val="0"/>
              </w:rPr>
              <w:t xml:space="preserve">Current ratio</w:t>
            </w:r>
            <w:r w:rsidDel="00000000" w:rsidR="00000000" w:rsidRPr="00000000">
              <w:rPr>
                <w:rtl w:val="0"/>
              </w:rPr>
            </w:r>
          </w:p>
        </w:tc>
      </w:tr>
      <w:tr>
        <w:trPr>
          <w:cantSplit w:val="0"/>
          <w:trHeight w:val="300"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A">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B">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C">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300"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E">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F">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0">
            <w:pPr>
              <w:widowControl w:val="0"/>
              <w:jc w:val="center"/>
              <w:rPr/>
            </w:pPr>
            <w:r w:rsidDel="00000000" w:rsidR="00000000" w:rsidRPr="00000000">
              <w:rPr>
                <w:rtl w:val="0"/>
              </w:rPr>
              <w:t xml:space="preserve">Current Assets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1">
            <w:pPr>
              <w:widowControl w:val="0"/>
              <w:jc w:val="center"/>
              <w:rPr/>
            </w:pPr>
            <w:r w:rsidDel="00000000" w:rsidR="00000000" w:rsidRPr="00000000">
              <w:rPr>
                <w:rtl w:val="0"/>
              </w:rPr>
              <w:t xml:space="preserve">2355.00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2">
            <w:pPr>
              <w:widowControl w:val="0"/>
              <w:jc w:val="center"/>
              <w:rPr/>
            </w:pPr>
            <w:r w:rsidDel="00000000" w:rsidR="00000000" w:rsidRPr="00000000">
              <w:rPr>
                <w:rtl w:val="0"/>
              </w:rPr>
              <w:t xml:space="preserve">2303.00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3">
            <w:pPr>
              <w:widowControl w:val="0"/>
              <w:jc w:val="center"/>
              <w:rPr/>
            </w:pPr>
            <w:r w:rsidDel="00000000" w:rsidR="00000000" w:rsidRPr="00000000">
              <w:rPr>
                <w:rtl w:val="0"/>
              </w:rPr>
              <w:t xml:space="preserve">Current Liability</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4">
            <w:pPr>
              <w:widowControl w:val="0"/>
              <w:jc w:val="center"/>
              <w:rPr/>
            </w:pPr>
            <w:r w:rsidDel="00000000" w:rsidR="00000000" w:rsidRPr="00000000">
              <w:rPr>
                <w:rtl w:val="0"/>
              </w:rPr>
              <w:t xml:space="preserve">3046.00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5">
            <w:pPr>
              <w:widowControl w:val="0"/>
              <w:jc w:val="center"/>
              <w:rPr/>
            </w:pPr>
            <w:r w:rsidDel="00000000" w:rsidR="00000000" w:rsidRPr="00000000">
              <w:rPr>
                <w:rtl w:val="0"/>
              </w:rPr>
              <w:t xml:space="preserve">2511.00</w:t>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6">
            <w:pPr>
              <w:widowControl w:val="0"/>
              <w:jc w:val="center"/>
              <w:rPr/>
            </w:pPr>
            <w:r w:rsidDel="00000000" w:rsidR="00000000" w:rsidRPr="00000000">
              <w:rPr>
                <w:b w:val="1"/>
                <w:rtl w:val="0"/>
              </w:rPr>
              <w:t xml:space="preserve">Current assets/ Current Liability</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7">
            <w:pPr>
              <w:widowControl w:val="0"/>
              <w:jc w:val="center"/>
              <w:rPr/>
            </w:pPr>
            <w:r w:rsidDel="00000000" w:rsidR="00000000" w:rsidRPr="00000000">
              <w:rPr>
                <w:b w:val="1"/>
                <w:rtl w:val="0"/>
              </w:rPr>
              <w:t xml:space="preserve">0.77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8">
            <w:pPr>
              <w:widowControl w:val="0"/>
              <w:jc w:val="center"/>
              <w:rPr/>
            </w:pPr>
            <w:r w:rsidDel="00000000" w:rsidR="00000000" w:rsidRPr="00000000">
              <w:rPr>
                <w:b w:val="1"/>
                <w:rtl w:val="0"/>
              </w:rPr>
              <w:t xml:space="preserve">0.92</w:t>
            </w:r>
            <w:r w:rsidDel="00000000" w:rsidR="00000000" w:rsidRPr="00000000">
              <w:rPr>
                <w:rtl w:val="0"/>
              </w:rPr>
            </w:r>
          </w:p>
        </w:tc>
      </w:tr>
    </w:tbl>
    <w:p w:rsidR="00000000" w:rsidDel="00000000" w:rsidP="00000000" w:rsidRDefault="00000000" w:rsidRPr="00000000" w14:paraId="00000129">
      <w:pPr>
        <w:rPr>
          <w:b w:val="1"/>
        </w:rPr>
      </w:pPr>
      <w:r w:rsidDel="00000000" w:rsidR="00000000" w:rsidRPr="00000000">
        <w:rPr>
          <w:b w:val="1"/>
          <w:rtl w:val="0"/>
        </w:rPr>
        <w:t xml:space="preserve">9. Gearing ratio:</w:t>
      </w:r>
    </w:p>
    <w:tbl>
      <w:tblPr>
        <w:tblStyle w:val="Table10"/>
        <w:tblW w:w="616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35"/>
        <w:gridCol w:w="1215"/>
        <w:gridCol w:w="1215"/>
        <w:tblGridChange w:id="0">
          <w:tblGrid>
            <w:gridCol w:w="3735"/>
            <w:gridCol w:w="1215"/>
            <w:gridCol w:w="1215"/>
          </w:tblGrid>
        </w:tblGridChange>
      </w:tblGrid>
      <w:tr>
        <w:trPr>
          <w:cantSplit w:val="0"/>
          <w:trHeight w:val="30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A">
            <w:pPr>
              <w:widowControl w:val="0"/>
              <w:jc w:val="center"/>
              <w:rPr>
                <w:b w:val="1"/>
              </w:rPr>
            </w:pPr>
            <w:r w:rsidDel="00000000" w:rsidR="00000000" w:rsidRPr="00000000">
              <w:rPr>
                <w:b w:val="1"/>
                <w:rtl w:val="0"/>
              </w:rPr>
              <w:t xml:space="preserve">Calculation for Gearing ratio</w:t>
            </w:r>
          </w:p>
        </w:tc>
      </w:tr>
      <w:tr>
        <w:trPr>
          <w:cantSplit w:val="0"/>
          <w:trHeight w:val="300"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D">
            <w:pPr>
              <w:widowControl w:val="0"/>
              <w:jc w:val="center"/>
              <w:rPr>
                <w:b w:val="1"/>
              </w:rPr>
            </w:pPr>
            <w:r w:rsidDel="00000000" w:rsidR="00000000" w:rsidRPr="00000000">
              <w:rPr>
                <w:b w:val="1"/>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E">
            <w:pPr>
              <w:widowControl w:val="0"/>
              <w:jc w:val="center"/>
              <w:rPr/>
            </w:pPr>
            <w:r w:rsidDel="00000000" w:rsidR="00000000" w:rsidRPr="00000000">
              <w:rPr>
                <w:b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F">
            <w:pPr>
              <w:widowControl w:val="0"/>
              <w:jc w:val="center"/>
              <w:rPr/>
            </w:pPr>
            <w:r w:rsidDel="00000000" w:rsidR="00000000" w:rsidRPr="00000000">
              <w:rPr>
                <w:b w:val="1"/>
                <w:rtl w:val="0"/>
              </w:rPr>
              <w:t xml:space="preserve">2022</w:t>
            </w:r>
            <w:r w:rsidDel="00000000" w:rsidR="00000000" w:rsidRPr="00000000">
              <w:rPr>
                <w:rtl w:val="0"/>
              </w:rPr>
            </w:r>
          </w:p>
        </w:tc>
      </w:tr>
      <w:tr>
        <w:trPr>
          <w:cantSplit w:val="0"/>
          <w:trHeight w:val="570"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1">
            <w:pPr>
              <w:widowControl w:val="0"/>
              <w:jc w:val="center"/>
              <w:rPr/>
            </w:pPr>
            <w:r w:rsidDel="00000000" w:rsidR="00000000" w:rsidRPr="00000000">
              <w:rPr>
                <w:b w:val="1"/>
                <w:rtl w:val="0"/>
              </w:rPr>
              <w:t xml:space="preserve">Amount (£)</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2">
            <w:pPr>
              <w:widowControl w:val="0"/>
              <w:jc w:val="center"/>
              <w:rPr/>
            </w:pPr>
            <w:r w:rsidDel="00000000" w:rsidR="00000000" w:rsidRPr="00000000">
              <w:rPr>
                <w:b w:val="1"/>
                <w:rtl w:val="0"/>
              </w:rPr>
              <w:t xml:space="preserve">Amount (£)</w:t>
            </w:r>
            <w:r w:rsidDel="00000000" w:rsidR="00000000" w:rsidRPr="00000000">
              <w:rPr>
                <w:rtl w:val="0"/>
              </w:rPr>
            </w:r>
          </w:p>
        </w:tc>
      </w:tr>
      <w:tr>
        <w:trPr>
          <w:cantSplit w:val="0"/>
          <w:trHeight w:val="300"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3">
            <w:pPr>
              <w:widowControl w:val="0"/>
              <w:jc w:val="center"/>
              <w:rPr/>
            </w:pPr>
            <w:r w:rsidDel="00000000" w:rsidR="00000000" w:rsidRPr="00000000">
              <w:rPr>
                <w:rtl w:val="0"/>
              </w:rPr>
              <w:t xml:space="preserve">Total debt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4">
            <w:pPr>
              <w:widowControl w:val="0"/>
              <w:jc w:val="center"/>
              <w:rPr/>
            </w:pPr>
            <w:r w:rsidDel="00000000" w:rsidR="00000000" w:rsidRPr="00000000">
              <w:rPr>
                <w:rtl w:val="0"/>
              </w:rPr>
              <w:t xml:space="preserve">4129.00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5">
            <w:pPr>
              <w:widowControl w:val="0"/>
              <w:jc w:val="center"/>
              <w:rPr/>
            </w:pPr>
            <w:r w:rsidDel="00000000" w:rsidR="00000000" w:rsidRPr="00000000">
              <w:rPr>
                <w:rtl w:val="0"/>
              </w:rPr>
              <w:t xml:space="preserve">4137.00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6">
            <w:pPr>
              <w:widowControl w:val="0"/>
              <w:jc w:val="center"/>
              <w:rPr/>
            </w:pPr>
            <w:r w:rsidDel="00000000" w:rsidR="00000000" w:rsidRPr="00000000">
              <w:rPr>
                <w:rtl w:val="0"/>
              </w:rPr>
              <w:t xml:space="preserve">Total equity</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7">
            <w:pPr>
              <w:widowControl w:val="0"/>
              <w:jc w:val="center"/>
              <w:rPr/>
            </w:pPr>
            <w:r w:rsidDel="00000000" w:rsidR="00000000" w:rsidRPr="00000000">
              <w:rPr>
                <w:rtl w:val="0"/>
              </w:rPr>
              <w:t xml:space="preserve">2912.00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8">
            <w:pPr>
              <w:widowControl w:val="0"/>
              <w:jc w:val="center"/>
              <w:rPr/>
            </w:pPr>
            <w:r w:rsidDel="00000000" w:rsidR="00000000" w:rsidRPr="00000000">
              <w:rPr>
                <w:rtl w:val="0"/>
              </w:rPr>
              <w:t xml:space="preserve">3088.00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9">
            <w:pPr>
              <w:widowControl w:val="0"/>
              <w:jc w:val="center"/>
              <w:rPr/>
            </w:pPr>
            <w:r w:rsidDel="00000000" w:rsidR="00000000" w:rsidRPr="00000000">
              <w:rPr>
                <w:rtl w:val="0"/>
              </w:rPr>
              <w:t xml:space="preserve">Total debt/ total equity</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A">
            <w:pPr>
              <w:widowControl w:val="0"/>
              <w:jc w:val="center"/>
              <w:rPr/>
            </w:pPr>
            <w:r w:rsidDel="00000000" w:rsidR="00000000" w:rsidRPr="00000000">
              <w:rPr>
                <w:rtl w:val="0"/>
              </w:rPr>
              <w:t xml:space="preserve">1.42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B">
            <w:pPr>
              <w:widowControl w:val="0"/>
              <w:jc w:val="center"/>
              <w:rPr/>
            </w:pPr>
            <w:r w:rsidDel="00000000" w:rsidR="00000000" w:rsidRPr="00000000">
              <w:rPr>
                <w:rtl w:val="0"/>
              </w:rPr>
              <w:t xml:space="preserve">1.34</w:t>
            </w:r>
          </w:p>
        </w:tc>
      </w:tr>
    </w:tbl>
    <w:p w:rsidR="00000000" w:rsidDel="00000000" w:rsidP="00000000" w:rsidRDefault="00000000" w:rsidRPr="00000000" w14:paraId="0000013C">
      <w:pPr>
        <w:rPr>
          <w:b w:val="1"/>
        </w:rPr>
      </w:pPr>
      <w:r w:rsidDel="00000000" w:rsidR="00000000" w:rsidRPr="00000000">
        <w:rPr>
          <w:b w:val="1"/>
          <w:rtl w:val="0"/>
        </w:rPr>
        <w:t xml:space="preserve">10. Interest cover:</w:t>
      </w:r>
    </w:p>
    <w:tbl>
      <w:tblPr>
        <w:tblStyle w:val="Table11"/>
        <w:tblW w:w="625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85"/>
        <w:gridCol w:w="1485"/>
        <w:gridCol w:w="1485"/>
        <w:tblGridChange w:id="0">
          <w:tblGrid>
            <w:gridCol w:w="3285"/>
            <w:gridCol w:w="1485"/>
            <w:gridCol w:w="1485"/>
          </w:tblGrid>
        </w:tblGridChange>
      </w:tblGrid>
      <w:tr>
        <w:trPr>
          <w:cantSplit w:val="0"/>
          <w:trHeight w:val="315"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3D">
            <w:pPr>
              <w:widowControl w:val="0"/>
              <w:jc w:val="center"/>
              <w:rPr>
                <w:b w:val="1"/>
              </w:rPr>
            </w:pPr>
            <w:r w:rsidDel="00000000" w:rsidR="00000000" w:rsidRPr="00000000">
              <w:rPr>
                <w:b w:val="1"/>
                <w:rtl w:val="0"/>
              </w:rPr>
              <w:t xml:space="preserve">Calculation for Interest coverage ratio</w:t>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0">
            <w:pPr>
              <w:widowControl w:val="0"/>
              <w:jc w:val="center"/>
              <w:rPr/>
            </w:pPr>
            <w:r w:rsidDel="00000000" w:rsidR="00000000" w:rsidRPr="00000000">
              <w:rPr>
                <w:rtl w:val="0"/>
              </w:rPr>
              <w:t xml:space="preserve">Particulars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1">
            <w:pPr>
              <w:widowControl w:val="0"/>
              <w:jc w:val="center"/>
              <w:rPr/>
            </w:pPr>
            <w:r w:rsidDel="00000000" w:rsidR="00000000" w:rsidRPr="00000000">
              <w:rPr>
                <w:rtl w:val="0"/>
              </w:rPr>
              <w:t xml:space="preserve">2021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2">
            <w:pPr>
              <w:widowControl w:val="0"/>
              <w:jc w:val="center"/>
              <w:rPr/>
            </w:pPr>
            <w:r w:rsidDel="00000000" w:rsidR="00000000" w:rsidRPr="00000000">
              <w:rPr>
                <w:rtl w:val="0"/>
              </w:rPr>
              <w:t xml:space="preserve">2022</w:t>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4">
            <w:pPr>
              <w:widowControl w:val="0"/>
              <w:jc w:val="center"/>
              <w:rPr/>
            </w:pPr>
            <w:r w:rsidDel="00000000" w:rsidR="00000000" w:rsidRPr="00000000">
              <w:rPr>
                <w:rtl w:val="0"/>
              </w:rPr>
              <w:t xml:space="preserve">Amount (£)</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5">
            <w:pPr>
              <w:widowControl w:val="0"/>
              <w:jc w:val="center"/>
              <w:rPr/>
            </w:pPr>
            <w:r w:rsidDel="00000000" w:rsidR="00000000" w:rsidRPr="00000000">
              <w:rPr>
                <w:rtl w:val="0"/>
              </w:rPr>
              <w:t xml:space="preserve">Amount (£)</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6">
            <w:pPr>
              <w:widowControl w:val="0"/>
              <w:jc w:val="center"/>
              <w:rPr/>
            </w:pPr>
            <w:r w:rsidDel="00000000" w:rsidR="00000000" w:rsidRPr="00000000">
              <w:rPr>
                <w:rtl w:val="0"/>
              </w:rPr>
              <w:t xml:space="preserve">Interest payable</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7">
            <w:pPr>
              <w:widowControl w:val="0"/>
              <w:jc w:val="center"/>
              <w:rPr/>
            </w:pPr>
            <w:r w:rsidDel="00000000" w:rsidR="00000000" w:rsidRPr="00000000">
              <w:rPr>
                <w:rtl w:val="0"/>
              </w:rPr>
              <w:t xml:space="preserve">181.00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8">
            <w:pPr>
              <w:widowControl w:val="0"/>
              <w:jc w:val="center"/>
              <w:rPr/>
            </w:pPr>
            <w:r w:rsidDel="00000000" w:rsidR="00000000" w:rsidRPr="00000000">
              <w:rPr>
                <w:rtl w:val="0"/>
              </w:rPr>
              <w:t xml:space="preserve">226.00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9">
            <w:pPr>
              <w:widowControl w:val="0"/>
              <w:jc w:val="center"/>
              <w:rPr/>
            </w:pPr>
            <w:r w:rsidDel="00000000" w:rsidR="00000000" w:rsidRPr="00000000">
              <w:rPr>
                <w:rtl w:val="0"/>
              </w:rPr>
              <w:t xml:space="preserve">EBIT</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A">
            <w:pPr>
              <w:widowControl w:val="0"/>
              <w:jc w:val="center"/>
              <w:rPr/>
            </w:pPr>
            <w:r w:rsidDel="00000000" w:rsidR="00000000" w:rsidRPr="00000000">
              <w:rPr>
                <w:rtl w:val="0"/>
              </w:rPr>
              <w:t xml:space="preserve">720.00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B">
            <w:pPr>
              <w:widowControl w:val="0"/>
              <w:jc w:val="center"/>
              <w:rPr/>
            </w:pPr>
            <w:r w:rsidDel="00000000" w:rsidR="00000000" w:rsidRPr="00000000">
              <w:rPr>
                <w:rtl w:val="0"/>
              </w:rPr>
              <w:t xml:space="preserve">846.00</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C">
            <w:pPr>
              <w:widowControl w:val="0"/>
              <w:jc w:val="center"/>
              <w:rPr/>
            </w:pPr>
            <w:r w:rsidDel="00000000" w:rsidR="00000000" w:rsidRPr="00000000">
              <w:rPr>
                <w:rtl w:val="0"/>
              </w:rPr>
              <w:t xml:space="preserve">EBIT/interest expenses</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D">
            <w:pPr>
              <w:widowControl w:val="0"/>
              <w:jc w:val="center"/>
              <w:rPr/>
            </w:pPr>
            <w:r w:rsidDel="00000000" w:rsidR="00000000" w:rsidRPr="00000000">
              <w:rPr>
                <w:rtl w:val="0"/>
              </w:rPr>
              <w:t xml:space="preserve">3.98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4E">
            <w:pPr>
              <w:widowControl w:val="0"/>
              <w:jc w:val="center"/>
              <w:rPr/>
            </w:pPr>
            <w:r w:rsidDel="00000000" w:rsidR="00000000" w:rsidRPr="00000000">
              <w:rPr>
                <w:rtl w:val="0"/>
              </w:rPr>
              <w:t xml:space="preserve">3.74</w:t>
            </w:r>
          </w:p>
        </w:tc>
      </w:tr>
    </w:tbl>
    <w:p w:rsidR="00000000" w:rsidDel="00000000" w:rsidP="00000000" w:rsidRDefault="00000000" w:rsidRPr="00000000" w14:paraId="0000014F">
      <w:pPr>
        <w:pStyle w:val="Heading2"/>
        <w:rPr/>
      </w:pPr>
      <w:bookmarkStart w:colFirst="0" w:colLast="0" w:name="_heading=h.1t3h5sf" w:id="7"/>
      <w:bookmarkEnd w:id="7"/>
      <w:r w:rsidDel="00000000" w:rsidR="00000000" w:rsidRPr="00000000">
        <w:rPr>
          <w:rtl w:val="0"/>
        </w:rPr>
        <w:t xml:space="preserve">b) discussion about the financial performance of Sweets Plc:</w:t>
      </w:r>
    </w:p>
    <w:p w:rsidR="00000000" w:rsidDel="00000000" w:rsidP="00000000" w:rsidRDefault="00000000" w:rsidRPr="00000000" w14:paraId="00000150">
      <w:pPr>
        <w:rPr/>
      </w:pPr>
      <w:r w:rsidDel="00000000" w:rsidR="00000000" w:rsidRPr="00000000">
        <w:rPr>
          <w:b w:val="1"/>
          <w:rtl w:val="0"/>
        </w:rPr>
        <w:t xml:space="preserve">ROCE: </w:t>
      </w:r>
      <w:r w:rsidDel="00000000" w:rsidR="00000000" w:rsidRPr="00000000">
        <w:rPr>
          <w:rtl w:val="0"/>
        </w:rPr>
        <w:t xml:space="preserve">The percentage of employees in the business's earning capacity can be ascertained with the aid of return on capital employed (ACCA, 2023). The return on capital employed (ROCCE) is 10% in 2021 and 12% in 2022. It displays the growing amount of money that their staff members are paid out of Sweet Plc's profits.</w:t>
      </w:r>
    </w:p>
    <w:p w:rsidR="00000000" w:rsidDel="00000000" w:rsidP="00000000" w:rsidRDefault="00000000" w:rsidRPr="00000000" w14:paraId="00000151">
      <w:pPr>
        <w:rPr/>
      </w:pPr>
      <w:r w:rsidDel="00000000" w:rsidR="00000000" w:rsidRPr="00000000">
        <w:rPr>
          <w:b w:val="1"/>
          <w:rtl w:val="0"/>
        </w:rPr>
        <w:t xml:space="preserve">ROE: </w:t>
      </w:r>
      <w:r w:rsidDel="00000000" w:rsidR="00000000" w:rsidRPr="00000000">
        <w:rPr>
          <w:rtl w:val="0"/>
        </w:rPr>
        <w:t xml:space="preserve">According to Equity (2016), the ROE ratio aids in calculating the percentage of shareholders involved in the earnings process. It also shows how profitable investors may make from their business ventures. The ROE is 14% in 2022 compared to 13% in 2021. This is a reflection of the stockholders' growing earning potential.</w:t>
      </w:r>
    </w:p>
    <w:p w:rsidR="00000000" w:rsidDel="00000000" w:rsidP="00000000" w:rsidRDefault="00000000" w:rsidRPr="00000000" w14:paraId="00000152">
      <w:pPr>
        <w:rPr/>
      </w:pPr>
      <w:r w:rsidDel="00000000" w:rsidR="00000000" w:rsidRPr="00000000">
        <w:rPr>
          <w:b w:val="1"/>
          <w:rtl w:val="0"/>
        </w:rPr>
        <w:t xml:space="preserve">Earning per share: </w:t>
      </w:r>
      <w:r w:rsidDel="00000000" w:rsidR="00000000" w:rsidRPr="00000000">
        <w:rPr>
          <w:rtl w:val="0"/>
        </w:rPr>
        <w:t xml:space="preserve">The earning per share ratio computations aid in figuring out how much profit a business's shareholders may make on a single share (Wallstreetmojo, 2023). Earnings per share will be 122% in 2021 and 144% in 2022. It also shows the rising growth in earnings per share for shareholders.</w:t>
      </w:r>
    </w:p>
    <w:p w:rsidR="00000000" w:rsidDel="00000000" w:rsidP="00000000" w:rsidRDefault="00000000" w:rsidRPr="00000000" w14:paraId="00000153">
      <w:pPr>
        <w:rPr/>
      </w:pPr>
      <w:r w:rsidDel="00000000" w:rsidR="00000000" w:rsidRPr="00000000">
        <w:rPr>
          <w:b w:val="1"/>
          <w:rtl w:val="0"/>
        </w:rPr>
        <w:t xml:space="preserve">Net profit margin: </w:t>
      </w:r>
      <w:r w:rsidDel="00000000" w:rsidR="00000000" w:rsidRPr="00000000">
        <w:rPr>
          <w:rtl w:val="0"/>
        </w:rPr>
        <w:t xml:space="preserve">The percentage of a business's income that is earned through net profit margin can be ascertained (Nariswari </w:t>
      </w:r>
      <w:r w:rsidDel="00000000" w:rsidR="00000000" w:rsidRPr="00000000">
        <w:rPr>
          <w:i w:val="1"/>
          <w:rtl w:val="0"/>
        </w:rPr>
        <w:t xml:space="preserve">et al</w:t>
      </w:r>
      <w:r w:rsidDel="00000000" w:rsidR="00000000" w:rsidRPr="00000000">
        <w:rPr>
          <w:rtl w:val="0"/>
        </w:rPr>
        <w:t xml:space="preserve">, 2020). Because of this, Sweet Plc's net profit margin in 2021 is 5.75 percent, and in 2022 it is 6.4% percent. This increases the company's capacity to turn a profit from its earnings.</w:t>
      </w:r>
    </w:p>
    <w:p w:rsidR="00000000" w:rsidDel="00000000" w:rsidP="00000000" w:rsidRDefault="00000000" w:rsidRPr="00000000" w14:paraId="00000154">
      <w:pPr>
        <w:rPr/>
      </w:pPr>
      <w:r w:rsidDel="00000000" w:rsidR="00000000" w:rsidRPr="00000000">
        <w:rPr>
          <w:b w:val="1"/>
          <w:rtl w:val="0"/>
        </w:rPr>
        <w:t xml:space="preserve">Assets Turnover Ratio: </w:t>
      </w:r>
      <w:r w:rsidDel="00000000" w:rsidR="00000000" w:rsidRPr="00000000">
        <w:rPr>
          <w:rtl w:val="0"/>
        </w:rPr>
        <w:t xml:space="preserve">The percentage of assets used in the process of producing the most income can be found using the assets turnover ratio. For Sweet plc, this ratio is 0.68 in 2022 compared to 0.64 in 2021. Their capacity to generate revenue has grown together with the percentage of their assets.</w:t>
      </w:r>
    </w:p>
    <w:p w:rsidR="00000000" w:rsidDel="00000000" w:rsidP="00000000" w:rsidRDefault="00000000" w:rsidRPr="00000000" w14:paraId="00000155">
      <w:pPr>
        <w:rPr/>
      </w:pPr>
      <w:r w:rsidDel="00000000" w:rsidR="00000000" w:rsidRPr="00000000">
        <w:rPr>
          <w:b w:val="1"/>
          <w:rtl w:val="0"/>
        </w:rPr>
        <w:t xml:space="preserve">Stock holding day: </w:t>
      </w:r>
      <w:r w:rsidDel="00000000" w:rsidR="00000000" w:rsidRPr="00000000">
        <w:rPr>
          <w:rtl w:val="0"/>
        </w:rPr>
        <w:t xml:space="preserve">This indicates how long a company holds onto its inventory before realizing a profit (ACCA, 2023). This Sweet Plc stock holding day is 37 in 2021 and 38 in 2022. Because of this, the company holds onto its intellectual property until 2021 before selling it.</w:t>
      </w:r>
    </w:p>
    <w:p w:rsidR="00000000" w:rsidDel="00000000" w:rsidP="00000000" w:rsidRDefault="00000000" w:rsidRPr="00000000" w14:paraId="00000156">
      <w:pPr>
        <w:rPr/>
      </w:pPr>
      <w:r w:rsidDel="00000000" w:rsidR="00000000" w:rsidRPr="00000000">
        <w:rPr>
          <w:b w:val="1"/>
          <w:rtl w:val="0"/>
        </w:rPr>
        <w:t xml:space="preserve">Debtors collection period: </w:t>
      </w:r>
      <w:r w:rsidDel="00000000" w:rsidR="00000000" w:rsidRPr="00000000">
        <w:rPr>
          <w:rtl w:val="0"/>
        </w:rPr>
        <w:t xml:space="preserve">It helps to determine when the business needs to be collect their debts to increase their performance (</w:t>
      </w:r>
      <w:r w:rsidDel="00000000" w:rsidR="00000000" w:rsidRPr="00000000">
        <w:rPr>
          <w:highlight w:val="white"/>
          <w:rtl w:val="0"/>
        </w:rPr>
        <w:t xml:space="preserve">corporatefinanceinstitute, 2023)</w:t>
      </w:r>
      <w:r w:rsidDel="00000000" w:rsidR="00000000" w:rsidRPr="00000000">
        <w:rPr>
          <w:rtl w:val="0"/>
        </w:rPr>
        <w:t xml:space="preserve">. In 2021 the debt collection period for Sweet Plc is 149 which is increased continuously and reached 15 days in 2022.</w:t>
      </w:r>
    </w:p>
    <w:p w:rsidR="00000000" w:rsidDel="00000000" w:rsidP="00000000" w:rsidRDefault="00000000" w:rsidRPr="00000000" w14:paraId="00000157">
      <w:pPr>
        <w:rPr/>
      </w:pPr>
      <w:r w:rsidDel="00000000" w:rsidR="00000000" w:rsidRPr="00000000">
        <w:rPr>
          <w:b w:val="1"/>
          <w:rtl w:val="0"/>
        </w:rPr>
        <w:t xml:space="preserve">Current ratio: </w:t>
      </w:r>
      <w:r w:rsidDel="00000000" w:rsidR="00000000" w:rsidRPr="00000000">
        <w:rPr>
          <w:rtl w:val="0"/>
        </w:rPr>
        <w:t xml:space="preserve">The ability of the company to pay down its current liabilities with its current assets is shown by the current ratio. The current ratio for Sweet plc is 0.92 in 2022 compared to 0.77 in 2021. It illustrates the company's growing capacity to use its assets to pay down its current debts</w:t>
      </w:r>
    </w:p>
    <w:p w:rsidR="00000000" w:rsidDel="00000000" w:rsidP="00000000" w:rsidRDefault="00000000" w:rsidRPr="00000000" w14:paraId="00000158">
      <w:pPr>
        <w:rPr/>
      </w:pPr>
      <w:r w:rsidDel="00000000" w:rsidR="00000000" w:rsidRPr="00000000">
        <w:rPr>
          <w:b w:val="1"/>
          <w:rtl w:val="0"/>
        </w:rPr>
        <w:t xml:space="preserve">Gearing ratio: </w:t>
      </w:r>
      <w:r w:rsidDel="00000000" w:rsidR="00000000" w:rsidRPr="00000000">
        <w:rPr>
          <w:rtl w:val="0"/>
        </w:rPr>
        <w:t xml:space="preserve">The business's gearing ratio contributes negatively to the amount of debt included in shareholder equity (ACCA, 2023). The gearing ratio is 1.42 and 1.34 in 2021. It shows that there is a less amount of debt compared to equity. reduces the risks associated with investing as well.</w:t>
      </w:r>
    </w:p>
    <w:p w:rsidR="00000000" w:rsidDel="00000000" w:rsidP="00000000" w:rsidRDefault="00000000" w:rsidRPr="00000000" w14:paraId="00000159">
      <w:pPr>
        <w:rPr/>
      </w:pPr>
      <w:r w:rsidDel="00000000" w:rsidR="00000000" w:rsidRPr="00000000">
        <w:rPr>
          <w:b w:val="1"/>
          <w:rtl w:val="0"/>
        </w:rPr>
        <w:t xml:space="preserve">Interest cover: </w:t>
      </w:r>
      <w:r w:rsidDel="00000000" w:rsidR="00000000" w:rsidRPr="00000000">
        <w:rPr>
          <w:rtl w:val="0"/>
        </w:rPr>
        <w:t xml:space="preserve">This ratio aids in figuring out when the company's earnings can be used to pay interest on the loan (</w:t>
      </w:r>
      <w:r w:rsidDel="00000000" w:rsidR="00000000" w:rsidRPr="00000000">
        <w:rPr>
          <w:highlight w:val="white"/>
          <w:rtl w:val="0"/>
        </w:rPr>
        <w:t xml:space="preserve">corporatefinanceinstitute</w:t>
      </w:r>
      <w:r w:rsidDel="00000000" w:rsidR="00000000" w:rsidRPr="00000000">
        <w:rPr>
          <w:rtl w:val="0"/>
        </w:rPr>
        <w:t xml:space="preserve">, 2023). The business's interest cover rate was 3.98 in 2021 and 3.74 in 2022. It illustrates how their capacity to earn interest from their profits is waning.</w:t>
      </w:r>
    </w:p>
    <w:p w:rsidR="00000000" w:rsidDel="00000000" w:rsidP="00000000" w:rsidRDefault="00000000" w:rsidRPr="00000000" w14:paraId="0000015A">
      <w:pPr>
        <w:pStyle w:val="Heading1"/>
        <w:rPr/>
      </w:pPr>
      <w:bookmarkStart w:colFirst="0" w:colLast="0" w:name="_heading=h.4d34og8" w:id="8"/>
      <w:bookmarkEnd w:id="8"/>
      <w:r w:rsidDel="00000000" w:rsidR="00000000" w:rsidRPr="00000000">
        <w:rPr>
          <w:rtl w:val="0"/>
        </w:rPr>
        <w:t xml:space="preserve">Conclusion - </w:t>
      </w:r>
    </w:p>
    <w:p w:rsidR="00000000" w:rsidDel="00000000" w:rsidP="00000000" w:rsidRDefault="00000000" w:rsidRPr="00000000" w14:paraId="0000015B">
      <w:pPr>
        <w:rPr/>
      </w:pPr>
      <w:r w:rsidDel="00000000" w:rsidR="00000000" w:rsidRPr="00000000">
        <w:rPr>
          <w:rtl w:val="0"/>
        </w:rPr>
        <w:t xml:space="preserve">The goal of this paper was achieved by covering many facets of accounting principles and how firms apply those principles. To create the financial statements of businesses and assess pertinent accounting ratios, it conceptualizes the rules and practices of accounting. A few remarks about accounting fundamentals have been explained in response to question 1. In response to Question 2, Wales Plc's revenue statement and financial statements for the fiscal year 2022 are created using data from the trial balance. In response to question 3, a number of ratios related to accounting will be computed using data from Sweets Plc's financial statements. The analysis is used to analyze the business's performance and positioning over two distinct periods. </w:t>
      </w:r>
    </w:p>
    <w:p w:rsidR="00000000" w:rsidDel="00000000" w:rsidP="00000000" w:rsidRDefault="00000000" w:rsidRPr="00000000" w14:paraId="0000015C">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15D">
      <w:pPr>
        <w:pStyle w:val="Heading1"/>
        <w:rPr/>
      </w:pPr>
      <w:bookmarkStart w:colFirst="0" w:colLast="0" w:name="_heading=h.2s8eyo1" w:id="9"/>
      <w:bookmarkEnd w:id="9"/>
      <w:r w:rsidDel="00000000" w:rsidR="00000000" w:rsidRPr="00000000">
        <w:rPr>
          <w:rtl w:val="0"/>
        </w:rPr>
        <w:t xml:space="preserve">References</w:t>
      </w:r>
    </w:p>
    <w:p w:rsidR="00000000" w:rsidDel="00000000" w:rsidP="00000000" w:rsidRDefault="00000000" w:rsidRPr="00000000" w14:paraId="0000015E">
      <w:pPr>
        <w:spacing w:after="240" w:before="240" w:lineRule="auto"/>
        <w:rPr>
          <w:highlight w:val="white"/>
        </w:rPr>
      </w:pPr>
      <w:r w:rsidDel="00000000" w:rsidR="00000000" w:rsidRPr="00000000">
        <w:rPr>
          <w:highlight w:val="white"/>
          <w:rtl w:val="0"/>
        </w:rPr>
        <w:t xml:space="preserve">ACCA (2023) Ratio analysis, ACCA Qualification | Students | ACCA Global. Available at: https://www.accaglobal.com/gb/en/student/exam-support-resources/fundamentals-exams-study-resources/f2/technical-articles/ratio-analysis.html (Accessed: 26 April 2024). </w:t>
      </w:r>
    </w:p>
    <w:p w:rsidR="00000000" w:rsidDel="00000000" w:rsidP="00000000" w:rsidRDefault="00000000" w:rsidRPr="00000000" w14:paraId="0000015F">
      <w:pPr>
        <w:rPr/>
      </w:pPr>
      <w:r w:rsidDel="00000000" w:rsidR="00000000" w:rsidRPr="00000000">
        <w:rPr>
          <w:rtl w:val="0"/>
        </w:rPr>
        <w:t xml:space="preserve">Aureli, S., Del Baldo, M., Lombardi, R. and Nappo, F., (2020). Nonfinancial reporting regulation and challenges in sustainability disclosure and corporate governance practices. Business Strategy and the Environment, 29(6), pp.2392-2403.</w:t>
      </w:r>
      <w:hyperlink r:id="rId8">
        <w:r w:rsidDel="00000000" w:rsidR="00000000" w:rsidRPr="00000000">
          <w:rPr>
            <w:rtl w:val="0"/>
          </w:rPr>
          <w:t xml:space="preserve">https://onlinelibrary.wiley.com/doi/abs/10.1002/bse.2509</w:t>
        </w:r>
      </w:hyperlink>
      <w:r w:rsidDel="00000000" w:rsidR="00000000" w:rsidRPr="00000000">
        <w:rPr>
          <w:rtl w:val="0"/>
        </w:rPr>
        <w:t xml:space="preserve">. </w:t>
      </w:r>
    </w:p>
    <w:p w:rsidR="00000000" w:rsidDel="00000000" w:rsidP="00000000" w:rsidRDefault="00000000" w:rsidRPr="00000000" w14:paraId="00000160">
      <w:pPr>
        <w:spacing w:after="240" w:before="240" w:lineRule="auto"/>
        <w:rPr>
          <w:highlight w:val="white"/>
        </w:rPr>
      </w:pPr>
      <w:r w:rsidDel="00000000" w:rsidR="00000000" w:rsidRPr="00000000">
        <w:rPr>
          <w:highlight w:val="white"/>
          <w:rtl w:val="0"/>
        </w:rPr>
        <w:t xml:space="preserve">Corporatefinanceinstitute. (2023) Financial ratios, Corporate Finance Institute. Available at: https://corporatefinanceinstitute.com/resources/accounting/financial-ratios/ (Accessed: 26 April 2024). </w:t>
      </w:r>
    </w:p>
    <w:p w:rsidR="00000000" w:rsidDel="00000000" w:rsidP="00000000" w:rsidRDefault="00000000" w:rsidRPr="00000000" w14:paraId="00000161">
      <w:pPr>
        <w:spacing w:after="240" w:before="240" w:lineRule="auto"/>
        <w:rPr/>
      </w:pPr>
      <w:r w:rsidDel="00000000" w:rsidR="00000000" w:rsidRPr="00000000">
        <w:rPr>
          <w:highlight w:val="white"/>
          <w:rtl w:val="0"/>
        </w:rPr>
        <w:t xml:space="preserve">Equity, R.O., (2016). Return on Equity. Health, 210, pp.22-2. Available at: </w:t>
      </w:r>
      <w:hyperlink r:id="rId9">
        <w:r w:rsidDel="00000000" w:rsidR="00000000" w:rsidRPr="00000000">
          <w:rPr>
            <w:color w:val="1155cc"/>
            <w:highlight w:val="white"/>
            <w:u w:val="single"/>
            <w:rtl w:val="0"/>
          </w:rPr>
          <w:t xml:space="preserve">https://repository.widyatama.ac.id/server/api/core/bitstreams/33abfa6a-5e40-4f16-b1bd-1362d069d07b/content</w:t>
        </w:r>
      </w:hyperlink>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Fagereng, A., Gomez, M., Gouin-Bonenfant, E., Holm, M., Moll, B. and Natvik, G., (2023). Asset-price redistribution.</w:t>
      </w:r>
      <w:hyperlink r:id="rId10">
        <w:r w:rsidDel="00000000" w:rsidR="00000000" w:rsidRPr="00000000">
          <w:rPr>
            <w:color w:val="1155cc"/>
            <w:u w:val="single"/>
            <w:rtl w:val="0"/>
          </w:rPr>
          <w:t xml:space="preserve">http://biopen.bi.no/bi-xmlui/handle/11250/3124840</w:t>
        </w:r>
      </w:hyperlink>
      <w:r w:rsidDel="00000000" w:rsidR="00000000" w:rsidRPr="00000000">
        <w:rPr>
          <w:rtl w:val="0"/>
        </w:rPr>
        <w:t xml:space="preserve">. </w:t>
      </w:r>
    </w:p>
    <w:p w:rsidR="00000000" w:rsidDel="00000000" w:rsidP="00000000" w:rsidRDefault="00000000" w:rsidRPr="00000000" w14:paraId="00000163">
      <w:pPr>
        <w:rPr/>
      </w:pPr>
      <w:r w:rsidDel="00000000" w:rsidR="00000000" w:rsidRPr="00000000">
        <w:rPr>
          <w:rtl w:val="0"/>
        </w:rPr>
        <w:t xml:space="preserve">Górowski, I., Kurek, B. and Szarucki, M., (2022). The impact of a new accounting standard on assets, liabilities and leverage of companies: Evidence from energy industry. Energies, 15(4), p.1293.</w:t>
      </w:r>
      <w:hyperlink r:id="rId11">
        <w:r w:rsidDel="00000000" w:rsidR="00000000" w:rsidRPr="00000000">
          <w:rPr>
            <w:color w:val="1155cc"/>
            <w:u w:val="single"/>
            <w:rtl w:val="0"/>
          </w:rPr>
          <w:t xml:space="preserve">https://www.mdpi.com/1996-1073/15/4/1293</w:t>
        </w:r>
      </w:hyperlink>
      <w:r w:rsidDel="00000000" w:rsidR="00000000" w:rsidRPr="00000000">
        <w:rPr>
          <w:rtl w:val="0"/>
        </w:rPr>
        <w:t xml:space="preserve">. </w:t>
      </w:r>
    </w:p>
    <w:p w:rsidR="00000000" w:rsidDel="00000000" w:rsidP="00000000" w:rsidRDefault="00000000" w:rsidRPr="00000000" w14:paraId="00000164">
      <w:pPr>
        <w:spacing w:after="240" w:lineRule="auto"/>
        <w:rPr/>
      </w:pPr>
      <w:r w:rsidDel="00000000" w:rsidR="00000000" w:rsidRPr="00000000">
        <w:rPr>
          <w:rtl w:val="0"/>
        </w:rPr>
        <w:t xml:space="preserve">Kaplan. (2023). </w:t>
      </w:r>
      <w:r w:rsidDel="00000000" w:rsidR="00000000" w:rsidRPr="00000000">
        <w:rPr>
          <w:i w:val="1"/>
          <w:rtl w:val="0"/>
        </w:rPr>
        <w:t xml:space="preserve">Chapter 6: Accruals and prepayments</w:t>
      </w:r>
      <w:r w:rsidDel="00000000" w:rsidR="00000000" w:rsidRPr="00000000">
        <w:rPr>
          <w:rtl w:val="0"/>
        </w:rPr>
        <w:t xml:space="preserve">. [online] Available at: https://kfknowledgebank.kaplan.co.uk/acca/chapter-6-accruals-and-prepaymentsv2 </w:t>
      </w:r>
      <w:r w:rsidDel="00000000" w:rsidR="00000000" w:rsidRPr="00000000">
        <w:rPr>
          <w:highlight w:val="white"/>
          <w:rtl w:val="0"/>
        </w:rPr>
        <w:t xml:space="preserve">(Accessed: 26 April 2024)</w:t>
      </w:r>
      <w:r w:rsidDel="00000000" w:rsidR="00000000" w:rsidRPr="00000000">
        <w:rPr>
          <w:rtl w:val="0"/>
        </w:rPr>
        <w:t xml:space="preserve">.</w:t>
      </w:r>
    </w:p>
    <w:p w:rsidR="00000000" w:rsidDel="00000000" w:rsidP="00000000" w:rsidRDefault="00000000" w:rsidRPr="00000000" w14:paraId="00000165">
      <w:pPr>
        <w:rPr/>
      </w:pPr>
      <w:r w:rsidDel="00000000" w:rsidR="00000000" w:rsidRPr="00000000">
        <w:rPr>
          <w:highlight w:val="white"/>
          <w:rtl w:val="0"/>
        </w:rPr>
        <w:t xml:space="preserve">Lumen Learning. (2023). Preparing a Trial Balance | Financial Accounting. [online] Available at: https://courses.lumenlearning.com/suny-finaccounting/chapter/preparing-a-trial-balance/ (Accessed: 26 April 2024).</w:t>
      </w: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Nariswari, T.N. and Nugraha, N.M., (2020). Profit growth: impact of net profit margin, gross profit margin and total assests turnover. International Journal of Finance &amp; Banking Studies (2147-4486), 9(4), pp.87-96.</w:t>
      </w:r>
      <w:hyperlink r:id="rId12">
        <w:r w:rsidDel="00000000" w:rsidR="00000000" w:rsidRPr="00000000">
          <w:rPr>
            <w:color w:val="1155cc"/>
            <w:u w:val="single"/>
            <w:rtl w:val="0"/>
          </w:rPr>
          <w:t xml:space="preserve">https://www.ssbfnet.com/ojs/index.php/ijfbs/article/view/937</w:t>
        </w:r>
      </w:hyperlink>
      <w:r w:rsidDel="00000000" w:rsidR="00000000" w:rsidRPr="00000000">
        <w:rPr>
          <w:rtl w:val="0"/>
        </w:rPr>
        <w:t xml:space="preserve">. </w:t>
      </w:r>
    </w:p>
    <w:p w:rsidR="00000000" w:rsidDel="00000000" w:rsidP="00000000" w:rsidRDefault="00000000" w:rsidRPr="00000000" w14:paraId="00000167">
      <w:pPr>
        <w:rPr/>
      </w:pPr>
      <w:r w:rsidDel="00000000" w:rsidR="00000000" w:rsidRPr="00000000">
        <w:rPr>
          <w:rtl w:val="0"/>
        </w:rPr>
        <w:t xml:space="preserve">Palepu, K.G., Healy, P.M., Wright, S., Bradbury, M. and Coulton, J., (2020). Business analysis and valuation: Using financial statements. Cengage AU.</w:t>
      </w:r>
      <w:hyperlink r:id="rId13">
        <w:r w:rsidDel="00000000" w:rsidR="00000000" w:rsidRPr="00000000">
          <w:rPr>
            <w:color w:val="1155cc"/>
            <w:u w:val="single"/>
            <w:rtl w:val="0"/>
          </w:rPr>
          <w:t xml:space="preserve">https://books.google.com/books?hl=en&amp;lr=&amp;id=IDT6DwAAQBAJ&amp;oi=fnd&amp;pg=PR13&amp;dq=only+existing+shareholders+should+get+financial+reports&amp;ots=uKbm6VvafT&amp;sig=KOfXFLVbtCnQg5vCRdQc1UvDhuo</w:t>
        </w:r>
      </w:hyperlink>
      <w:r w:rsidDel="00000000" w:rsidR="00000000" w:rsidRPr="00000000">
        <w:rPr>
          <w:rtl w:val="0"/>
        </w:rPr>
        <w:t xml:space="preserve">. </w:t>
      </w:r>
    </w:p>
    <w:p w:rsidR="00000000" w:rsidDel="00000000" w:rsidP="00000000" w:rsidRDefault="00000000" w:rsidRPr="00000000" w14:paraId="00000168">
      <w:pPr>
        <w:spacing w:after="240" w:before="240" w:lineRule="auto"/>
        <w:rPr>
          <w:highlight w:val="white"/>
        </w:rPr>
      </w:pPr>
      <w:r w:rsidDel="00000000" w:rsidR="00000000" w:rsidRPr="00000000">
        <w:rPr>
          <w:highlight w:val="white"/>
          <w:rtl w:val="0"/>
        </w:rPr>
        <w:t xml:space="preserve">Wallstreetmojo (2023) Earnings per share (EPS) - meaning, formula, calculations - wallstreetmojo. Available at: https://www.wallstreetmojo.com/earnings-per-share-eps/ (Accessed: 26 April 2024). </w:t>
      </w:r>
    </w:p>
    <w:p w:rsidR="00000000" w:rsidDel="00000000" w:rsidP="00000000" w:rsidRDefault="00000000" w:rsidRPr="00000000" w14:paraId="00000169">
      <w:pPr>
        <w:rPr/>
      </w:pPr>
      <w:r w:rsidDel="00000000" w:rsidR="00000000" w:rsidRPr="00000000">
        <w:rPr>
          <w:rtl w:val="0"/>
        </w:rPr>
        <w:t xml:space="preserve">Warren, C.S., Jones, J.P. and Tayler, W.B., (2020). Financial and managerial accounting. Cengage Learning, Inc..</w:t>
      </w:r>
      <w:hyperlink r:id="rId14">
        <w:r w:rsidDel="00000000" w:rsidR="00000000" w:rsidRPr="00000000">
          <w:rPr>
            <w:color w:val="1155cc"/>
            <w:u w:val="single"/>
            <w:rtl w:val="0"/>
          </w:rPr>
          <w:t xml:space="preserve">https://thuvienso.hoasen.edu.vn/handle/123456789/13155</w:t>
        </w:r>
      </w:hyperlink>
      <w:r w:rsidDel="00000000" w:rsidR="00000000" w:rsidRPr="00000000">
        <w:rPr>
          <w:rtl w:val="0"/>
        </w:rPr>
        <w:t xml:space="preserve">. </w:t>
      </w:r>
    </w:p>
    <w:sectPr>
      <w:headerReference r:id="rId15" w:type="default"/>
      <w:footerReference r:id="rId1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center" w:leader="none" w:pos="4513"/>
        <w:tab w:val="right" w:leader="none" w:pos="9026"/>
      </w:tabs>
      <w:spacing w:line="240" w:lineRule="auto"/>
      <w:jc w:val="right"/>
      <w:rPr>
        <w:rFonts w:ascii="Arial" w:cs="Arial" w:eastAsia="Arial" w:hAnsi="Arial"/>
        <w:color w:val="000000"/>
        <w:sz w:val="22"/>
        <w:szCs w:val="22"/>
      </w:rPr>
    </w:pPr>
    <w:r w:rsidDel="00000000" w:rsidR="00000000" w:rsidRPr="00000000">
      <w:rPr>
        <w:rFonts w:ascii="Arial" w:cs="Arial" w:eastAsia="Arial" w:hAnsi="Arial"/>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center" w:leader="none" w:pos="4513"/>
        <w:tab w:val="right" w:leader="none" w:pos="9026"/>
      </w:tabs>
      <w:spacing w:line="240" w:lineRule="auto"/>
      <w:jc w:val="left"/>
      <w:rPr>
        <w:rFonts w:ascii="Arial" w:cs="Arial" w:eastAsia="Arial" w:hAnsi="Arial"/>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A">
    <w:pPr>
      <w:jc w:val="right"/>
      <w:rPr/>
    </w:pPr>
    <w:r w:rsidDel="00000000" w:rsidR="00000000" w:rsidRPr="00000000">
      <w:rPr/>
      <w:drawing>
        <wp:inline distB="114300" distT="114300" distL="114300" distR="114300">
          <wp:extent cx="1438275" cy="566738"/>
          <wp:effectExtent b="0" l="0" r="0" t="0"/>
          <wp:docPr id="80602678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38275" cy="56673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outlineLvl w:val="0"/>
    </w:pPr>
    <w:rPr>
      <w:b w:val="1"/>
    </w:rPr>
  </w:style>
  <w:style w:type="paragraph" w:styleId="Heading2">
    <w:name w:val="heading 2"/>
    <w:basedOn w:val="Normal"/>
    <w:next w:val="Normal"/>
    <w:uiPriority w:val="9"/>
    <w:unhideWhenUsed w:val="1"/>
    <w:qFormat w:val="1"/>
    <w:pPr>
      <w:keepNext w:val="1"/>
      <w:keepLines w:val="1"/>
      <w:outlineLvl w:val="1"/>
    </w:pPr>
    <w:rPr>
      <w:b w:val="1"/>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paragraph" w:styleId="Header">
    <w:name w:val="header"/>
    <w:basedOn w:val="Normal"/>
    <w:link w:val="HeaderChar"/>
    <w:uiPriority w:val="99"/>
    <w:unhideWhenUsed w:val="1"/>
    <w:rsid w:val="003540A1"/>
    <w:pPr>
      <w:tabs>
        <w:tab w:val="center" w:pos="4513"/>
        <w:tab w:val="right" w:pos="9026"/>
      </w:tabs>
      <w:spacing w:line="240" w:lineRule="auto"/>
    </w:pPr>
  </w:style>
  <w:style w:type="character" w:styleId="HeaderChar" w:customStyle="1">
    <w:name w:val="Header Char"/>
    <w:basedOn w:val="DefaultParagraphFont"/>
    <w:link w:val="Header"/>
    <w:uiPriority w:val="99"/>
    <w:rsid w:val="003540A1"/>
  </w:style>
  <w:style w:type="paragraph" w:styleId="Footer">
    <w:name w:val="footer"/>
    <w:basedOn w:val="Normal"/>
    <w:link w:val="FooterChar"/>
    <w:uiPriority w:val="99"/>
    <w:unhideWhenUsed w:val="1"/>
    <w:rsid w:val="003540A1"/>
    <w:pPr>
      <w:tabs>
        <w:tab w:val="center" w:pos="4513"/>
        <w:tab w:val="right" w:pos="9026"/>
      </w:tabs>
      <w:spacing w:line="240" w:lineRule="auto"/>
    </w:pPr>
  </w:style>
  <w:style w:type="character" w:styleId="FooterChar" w:customStyle="1">
    <w:name w:val="Footer Char"/>
    <w:basedOn w:val="DefaultParagraphFont"/>
    <w:link w:val="Footer"/>
    <w:uiPriority w:val="99"/>
    <w:rsid w:val="003540A1"/>
  </w:style>
  <w:style w:type="paragraph" w:styleId="TOCHeading">
    <w:name w:val="TOC Heading"/>
    <w:basedOn w:val="Heading1"/>
    <w:next w:val="Normal"/>
    <w:uiPriority w:val="39"/>
    <w:unhideWhenUsed w:val="1"/>
    <w:qFormat w:val="1"/>
    <w:rsid w:val="003540A1"/>
    <w:pPr>
      <w:spacing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3540A1"/>
    <w:pPr>
      <w:spacing w:after="100"/>
    </w:pPr>
  </w:style>
  <w:style w:type="paragraph" w:styleId="TOC2">
    <w:name w:val="toc 2"/>
    <w:basedOn w:val="Normal"/>
    <w:next w:val="Normal"/>
    <w:autoRedefine w:val="1"/>
    <w:uiPriority w:val="39"/>
    <w:unhideWhenUsed w:val="1"/>
    <w:rsid w:val="003540A1"/>
    <w:pPr>
      <w:spacing w:after="100"/>
      <w:ind w:left="220"/>
    </w:pPr>
  </w:style>
  <w:style w:type="character" w:styleId="Hyperlink">
    <w:name w:val="Hyperlink"/>
    <w:basedOn w:val="DefaultParagraphFont"/>
    <w:uiPriority w:val="99"/>
    <w:unhideWhenUsed w:val="1"/>
    <w:rsid w:val="003540A1"/>
    <w:rPr>
      <w:color w:val="0000ff" w:themeColor="hyperlink"/>
      <w:u w:val="single"/>
    </w:r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table" w:styleId="ad" w:customStyle="1">
    <w:basedOn w:val="TableNormal"/>
    <w:tblPr>
      <w:tblStyleRowBandSize w:val="1"/>
      <w:tblStyleColBandSize w:val="1"/>
      <w:tblCellMar>
        <w:top w:w="100.0" w:type="dxa"/>
        <w:left w:w="100.0" w:type="dxa"/>
        <w:bottom w:w="100.0" w:type="dxa"/>
        <w:right w:w="100.0" w:type="dxa"/>
      </w:tblCellMar>
    </w:tblPr>
  </w:style>
  <w:style w:type="table" w:styleId="ae" w:customStyle="1">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mdpi.com/1996-1073/15/4/1293" TargetMode="External"/><Relationship Id="rId10" Type="http://schemas.openxmlformats.org/officeDocument/2006/relationships/hyperlink" Target="http://biopen.bi.no/bi-xmlui/handle/11250/3124840" TargetMode="External"/><Relationship Id="rId13" Type="http://schemas.openxmlformats.org/officeDocument/2006/relationships/hyperlink" Target="https://books.google.com/books?hl=en&amp;lr=&amp;id=IDT6DwAAQBAJ&amp;oi=fnd&amp;pg=PR13&amp;dq=only+existing+shareholders+should+get+financial+reports&amp;ots=uKbm6VvafT&amp;sig=KOfXFLVbtCnQg5vCRdQc1UvDhuo" TargetMode="External"/><Relationship Id="rId12" Type="http://schemas.openxmlformats.org/officeDocument/2006/relationships/hyperlink" Target="https://www.ssbfnet.com/ojs/index.php/ijfbs/article/view/93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pository.widyatama.ac.id/server/api/core/bitstreams/33abfa6a-5e40-4f16-b1bd-1362d069d07b/content" TargetMode="External"/><Relationship Id="rId15" Type="http://schemas.openxmlformats.org/officeDocument/2006/relationships/header" Target="header1.xml"/><Relationship Id="rId14" Type="http://schemas.openxmlformats.org/officeDocument/2006/relationships/hyperlink" Target="https://thuvienso.hoasen.edu.vn/handle/123456789/13155"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onlinelibrary.wiley.com/doi/abs/10.1002/bse.250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w9tCL4eddA5XbfFzmE6s712/lA==">CgMxLjAyCGguZ2pkZ3hzMgloLjMwajB6bGwyCWguMWZvYjl0ZTIJaC4zem55c2g3MgloLjJldDkycDAyCGgudHlqY3d0MgloLjNkeTZ2a20yCWguMXQzaDVzZjIJaC40ZDM0b2c4MgloLjJzOGV5bzE4AHIhMTJsYUxVYmFTQ2xxTHVmamhGbXlRVEtVYzY1Y0NJUTNR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2023-12-13T08:25:00Z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4c792976a237d1f6f8c3e38ee0e360f9fca6f94ed91c1307527a5a1f0bfd8040</vt:lpwstr>
  </property>
</Properties>
</file>