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0E766" w14:textId="6368ABBB" w:rsidR="003C5B14" w:rsidRDefault="00CB361C" w:rsidP="00CB361C">
      <w:pPr>
        <w:jc w:val="both"/>
      </w:pPr>
      <w:r>
        <w:rPr>
          <w:noProof/>
        </w:rPr>
        <w:drawing>
          <wp:inline distT="0" distB="0" distL="0" distR="0" wp14:anchorId="3F4B0A87" wp14:editId="1366A22F">
            <wp:extent cx="3200400" cy="1426845"/>
            <wp:effectExtent l="0" t="0" r="0" b="1905"/>
            <wp:docPr id="382378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1426845"/>
                    </a:xfrm>
                    <a:prstGeom prst="rect">
                      <a:avLst/>
                    </a:prstGeom>
                    <a:noFill/>
                  </pic:spPr>
                </pic:pic>
              </a:graphicData>
            </a:graphic>
          </wp:inline>
        </w:drawing>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CB361C" w:rsidRPr="00CB361C" w14:paraId="3CB3527F" w14:textId="77777777" w:rsidTr="00DE28E6">
        <w:trPr>
          <w:trHeight w:val="300"/>
        </w:trPr>
        <w:tc>
          <w:tcPr>
            <w:tcW w:w="4500" w:type="dxa"/>
            <w:tcBorders>
              <w:top w:val="single" w:sz="6" w:space="0" w:color="auto"/>
              <w:left w:val="single" w:sz="6" w:space="0" w:color="auto"/>
              <w:bottom w:val="single" w:sz="6" w:space="0" w:color="auto"/>
              <w:right w:val="single" w:sz="6" w:space="0" w:color="auto"/>
            </w:tcBorders>
            <w:hideMark/>
          </w:tcPr>
          <w:p w14:paraId="6802A0F1" w14:textId="77777777" w:rsidR="00CB361C" w:rsidRPr="00CB361C" w:rsidRDefault="00CB361C" w:rsidP="00321DD2">
            <w:pPr>
              <w:spacing w:line="360" w:lineRule="auto"/>
              <w:jc w:val="both"/>
              <w:rPr>
                <w:rFonts w:ascii="Arial" w:hAnsi="Arial" w:cs="Arial"/>
              </w:rPr>
            </w:pPr>
            <w:r w:rsidRPr="00CB361C">
              <w:rPr>
                <w:rFonts w:ascii="Arial" w:hAnsi="Arial" w:cs="Arial"/>
                <w:b/>
                <w:bCs/>
              </w:rPr>
              <w:t>Assignment Title: </w:t>
            </w:r>
            <w:r w:rsidRPr="00CB361C">
              <w:rPr>
                <w:rFonts w:ascii="Arial" w:hAnsi="Arial" w:cs="Arial"/>
              </w:rPr>
              <w:t> </w:t>
            </w:r>
          </w:p>
        </w:tc>
        <w:tc>
          <w:tcPr>
            <w:tcW w:w="4500" w:type="dxa"/>
            <w:tcBorders>
              <w:top w:val="single" w:sz="6" w:space="0" w:color="auto"/>
              <w:left w:val="single" w:sz="6" w:space="0" w:color="auto"/>
              <w:bottom w:val="single" w:sz="6" w:space="0" w:color="auto"/>
              <w:right w:val="single" w:sz="6" w:space="0" w:color="auto"/>
            </w:tcBorders>
            <w:hideMark/>
          </w:tcPr>
          <w:p w14:paraId="47E5246D" w14:textId="2D6D3F75" w:rsidR="00CB361C" w:rsidRPr="00CB361C" w:rsidRDefault="00CB361C" w:rsidP="007D3D44">
            <w:pPr>
              <w:spacing w:line="360" w:lineRule="auto"/>
              <w:rPr>
                <w:rFonts w:ascii="Arial" w:hAnsi="Arial" w:cs="Arial"/>
              </w:rPr>
            </w:pPr>
            <w:r w:rsidRPr="00CB361C">
              <w:rPr>
                <w:rFonts w:ascii="Arial" w:hAnsi="Arial" w:cs="Arial"/>
                <w:b/>
                <w:bCs/>
              </w:rPr>
              <w:t>Component 2: Written Assignment (Report)</w:t>
            </w:r>
          </w:p>
        </w:tc>
      </w:tr>
      <w:tr w:rsidR="00CB361C" w:rsidRPr="00CB361C" w14:paraId="29198661" w14:textId="77777777" w:rsidTr="00DE28E6">
        <w:trPr>
          <w:trHeight w:val="300"/>
        </w:trPr>
        <w:tc>
          <w:tcPr>
            <w:tcW w:w="4500" w:type="dxa"/>
            <w:tcBorders>
              <w:top w:val="single" w:sz="6" w:space="0" w:color="auto"/>
              <w:left w:val="single" w:sz="6" w:space="0" w:color="auto"/>
              <w:bottom w:val="single" w:sz="6" w:space="0" w:color="auto"/>
              <w:right w:val="single" w:sz="6" w:space="0" w:color="auto"/>
            </w:tcBorders>
            <w:hideMark/>
          </w:tcPr>
          <w:p w14:paraId="4670B75D" w14:textId="77777777" w:rsidR="00CB361C" w:rsidRPr="00CB361C" w:rsidRDefault="00CB361C" w:rsidP="00321DD2">
            <w:pPr>
              <w:spacing w:line="360" w:lineRule="auto"/>
              <w:jc w:val="both"/>
              <w:rPr>
                <w:rFonts w:ascii="Arial" w:hAnsi="Arial" w:cs="Arial"/>
              </w:rPr>
            </w:pPr>
            <w:r w:rsidRPr="00CB361C">
              <w:rPr>
                <w:rFonts w:ascii="Arial" w:hAnsi="Arial" w:cs="Arial"/>
                <w:b/>
                <w:bCs/>
              </w:rPr>
              <w:t>Programme: </w:t>
            </w:r>
            <w:r w:rsidRPr="00CB361C">
              <w:rPr>
                <w:rFonts w:ascii="Arial" w:hAnsi="Arial" w:cs="Arial"/>
              </w:rPr>
              <w:t> </w:t>
            </w:r>
          </w:p>
        </w:tc>
        <w:tc>
          <w:tcPr>
            <w:tcW w:w="4500" w:type="dxa"/>
            <w:tcBorders>
              <w:top w:val="single" w:sz="6" w:space="0" w:color="auto"/>
              <w:left w:val="single" w:sz="6" w:space="0" w:color="auto"/>
              <w:bottom w:val="single" w:sz="6" w:space="0" w:color="auto"/>
              <w:right w:val="single" w:sz="6" w:space="0" w:color="auto"/>
            </w:tcBorders>
            <w:hideMark/>
          </w:tcPr>
          <w:p w14:paraId="6D3753D5" w14:textId="77777777" w:rsidR="00CB361C" w:rsidRPr="00CB361C" w:rsidRDefault="00CB361C" w:rsidP="007D3D44">
            <w:pPr>
              <w:spacing w:line="360" w:lineRule="auto"/>
              <w:rPr>
                <w:rFonts w:ascii="Arial" w:hAnsi="Arial" w:cs="Arial"/>
              </w:rPr>
            </w:pPr>
            <w:r w:rsidRPr="00CB361C">
              <w:rPr>
                <w:rFonts w:ascii="Arial" w:hAnsi="Arial" w:cs="Arial"/>
                <w:b/>
                <w:bCs/>
              </w:rPr>
              <w:t>BSc (Hons) Health and Social Care </w:t>
            </w:r>
            <w:r w:rsidRPr="00CB361C">
              <w:rPr>
                <w:rFonts w:ascii="Arial" w:hAnsi="Arial" w:cs="Arial"/>
              </w:rPr>
              <w:t> </w:t>
            </w:r>
          </w:p>
          <w:p w14:paraId="7E98058A" w14:textId="77777777" w:rsidR="00CB361C" w:rsidRPr="00CB361C" w:rsidRDefault="00CB361C" w:rsidP="007D3D44">
            <w:pPr>
              <w:spacing w:line="360" w:lineRule="auto"/>
              <w:rPr>
                <w:rFonts w:ascii="Arial" w:hAnsi="Arial" w:cs="Arial"/>
              </w:rPr>
            </w:pPr>
            <w:r w:rsidRPr="00CB361C">
              <w:rPr>
                <w:rFonts w:ascii="Arial" w:hAnsi="Arial" w:cs="Arial"/>
              </w:rPr>
              <w:t> </w:t>
            </w:r>
          </w:p>
        </w:tc>
      </w:tr>
      <w:tr w:rsidR="00CB361C" w:rsidRPr="00CB361C" w14:paraId="2F55C53B" w14:textId="77777777" w:rsidTr="00DE28E6">
        <w:trPr>
          <w:trHeight w:val="300"/>
        </w:trPr>
        <w:tc>
          <w:tcPr>
            <w:tcW w:w="4500" w:type="dxa"/>
            <w:tcBorders>
              <w:top w:val="single" w:sz="6" w:space="0" w:color="auto"/>
              <w:left w:val="single" w:sz="6" w:space="0" w:color="auto"/>
              <w:bottom w:val="single" w:sz="6" w:space="0" w:color="auto"/>
              <w:right w:val="single" w:sz="6" w:space="0" w:color="auto"/>
            </w:tcBorders>
            <w:hideMark/>
          </w:tcPr>
          <w:p w14:paraId="53450BD5" w14:textId="77777777" w:rsidR="00CB361C" w:rsidRPr="00CB361C" w:rsidRDefault="00CB361C" w:rsidP="00321DD2">
            <w:pPr>
              <w:spacing w:line="360" w:lineRule="auto"/>
              <w:jc w:val="both"/>
              <w:rPr>
                <w:rFonts w:ascii="Arial" w:hAnsi="Arial" w:cs="Arial"/>
              </w:rPr>
            </w:pPr>
            <w:r w:rsidRPr="00CB361C">
              <w:rPr>
                <w:rFonts w:ascii="Arial" w:hAnsi="Arial" w:cs="Arial"/>
                <w:b/>
                <w:bCs/>
              </w:rPr>
              <w:t>Module: </w:t>
            </w:r>
            <w:r w:rsidRPr="00CB361C">
              <w:rPr>
                <w:rFonts w:ascii="Arial" w:hAnsi="Arial" w:cs="Arial"/>
              </w:rPr>
              <w:t> </w:t>
            </w:r>
          </w:p>
        </w:tc>
        <w:tc>
          <w:tcPr>
            <w:tcW w:w="4500" w:type="dxa"/>
            <w:tcBorders>
              <w:top w:val="single" w:sz="6" w:space="0" w:color="auto"/>
              <w:left w:val="single" w:sz="6" w:space="0" w:color="auto"/>
              <w:bottom w:val="single" w:sz="6" w:space="0" w:color="auto"/>
              <w:right w:val="single" w:sz="6" w:space="0" w:color="auto"/>
            </w:tcBorders>
            <w:hideMark/>
          </w:tcPr>
          <w:p w14:paraId="1AE3C6FE" w14:textId="77777777" w:rsidR="00CB361C" w:rsidRPr="00CB361C" w:rsidRDefault="00CB361C" w:rsidP="007D3D44">
            <w:pPr>
              <w:spacing w:line="360" w:lineRule="auto"/>
              <w:rPr>
                <w:rFonts w:ascii="Arial" w:hAnsi="Arial" w:cs="Arial"/>
              </w:rPr>
            </w:pPr>
            <w:r w:rsidRPr="00CB361C">
              <w:rPr>
                <w:rFonts w:ascii="Arial" w:hAnsi="Arial" w:cs="Arial"/>
                <w:b/>
                <w:bCs/>
              </w:rPr>
              <w:t>Psychological Classifications and Provisions</w:t>
            </w:r>
          </w:p>
        </w:tc>
      </w:tr>
      <w:tr w:rsidR="00CB361C" w:rsidRPr="00CB361C" w14:paraId="10792913" w14:textId="77777777" w:rsidTr="00DE28E6">
        <w:trPr>
          <w:trHeight w:val="300"/>
        </w:trPr>
        <w:tc>
          <w:tcPr>
            <w:tcW w:w="4500" w:type="dxa"/>
            <w:tcBorders>
              <w:top w:val="single" w:sz="6" w:space="0" w:color="auto"/>
              <w:left w:val="single" w:sz="6" w:space="0" w:color="auto"/>
              <w:bottom w:val="single" w:sz="6" w:space="0" w:color="auto"/>
              <w:right w:val="single" w:sz="6" w:space="0" w:color="auto"/>
            </w:tcBorders>
            <w:hideMark/>
          </w:tcPr>
          <w:p w14:paraId="087C42CD" w14:textId="77777777" w:rsidR="00CB361C" w:rsidRPr="00CB361C" w:rsidRDefault="00CB361C" w:rsidP="00321DD2">
            <w:pPr>
              <w:spacing w:line="360" w:lineRule="auto"/>
              <w:jc w:val="both"/>
              <w:rPr>
                <w:rFonts w:ascii="Arial" w:hAnsi="Arial" w:cs="Arial"/>
              </w:rPr>
            </w:pPr>
            <w:r w:rsidRPr="00CB361C">
              <w:rPr>
                <w:rFonts w:ascii="Arial" w:hAnsi="Arial" w:cs="Arial"/>
                <w:b/>
                <w:bCs/>
              </w:rPr>
              <w:t>Module Code: </w:t>
            </w:r>
            <w:r w:rsidRPr="00CB361C">
              <w:rPr>
                <w:rFonts w:ascii="Arial" w:hAnsi="Arial" w:cs="Arial"/>
              </w:rPr>
              <w:t> </w:t>
            </w:r>
          </w:p>
        </w:tc>
        <w:tc>
          <w:tcPr>
            <w:tcW w:w="4500" w:type="dxa"/>
            <w:tcBorders>
              <w:top w:val="single" w:sz="6" w:space="0" w:color="auto"/>
              <w:left w:val="single" w:sz="6" w:space="0" w:color="auto"/>
              <w:bottom w:val="single" w:sz="6" w:space="0" w:color="auto"/>
              <w:right w:val="single" w:sz="6" w:space="0" w:color="auto"/>
            </w:tcBorders>
          </w:tcPr>
          <w:p w14:paraId="221B6833" w14:textId="77777777" w:rsidR="00CB361C" w:rsidRPr="00CB361C" w:rsidRDefault="00CB361C" w:rsidP="007D3D44">
            <w:pPr>
              <w:spacing w:line="360" w:lineRule="auto"/>
              <w:rPr>
                <w:rFonts w:ascii="Arial" w:hAnsi="Arial" w:cs="Arial"/>
              </w:rPr>
            </w:pPr>
            <w:r w:rsidRPr="00CB361C">
              <w:rPr>
                <w:rFonts w:ascii="Arial" w:hAnsi="Arial" w:cs="Arial"/>
                <w:b/>
              </w:rPr>
              <w:t>BMHP6029</w:t>
            </w:r>
          </w:p>
        </w:tc>
      </w:tr>
      <w:tr w:rsidR="00CB361C" w:rsidRPr="00CB361C" w14:paraId="45708C28" w14:textId="77777777" w:rsidTr="00DE28E6">
        <w:trPr>
          <w:trHeight w:val="300"/>
        </w:trPr>
        <w:tc>
          <w:tcPr>
            <w:tcW w:w="4500" w:type="dxa"/>
            <w:tcBorders>
              <w:top w:val="single" w:sz="6" w:space="0" w:color="auto"/>
              <w:left w:val="single" w:sz="6" w:space="0" w:color="auto"/>
              <w:bottom w:val="single" w:sz="6" w:space="0" w:color="auto"/>
              <w:right w:val="single" w:sz="6" w:space="0" w:color="auto"/>
            </w:tcBorders>
            <w:hideMark/>
          </w:tcPr>
          <w:p w14:paraId="13296864" w14:textId="77777777" w:rsidR="00CB361C" w:rsidRPr="00CB361C" w:rsidRDefault="00CB361C" w:rsidP="00321DD2">
            <w:pPr>
              <w:spacing w:line="360" w:lineRule="auto"/>
              <w:jc w:val="both"/>
              <w:rPr>
                <w:rFonts w:ascii="Arial" w:hAnsi="Arial" w:cs="Arial"/>
              </w:rPr>
            </w:pPr>
            <w:r w:rsidRPr="00CB361C">
              <w:rPr>
                <w:rFonts w:ascii="Arial" w:hAnsi="Arial" w:cs="Arial"/>
                <w:b/>
                <w:bCs/>
              </w:rPr>
              <w:t>Lecture Name: </w:t>
            </w:r>
            <w:r w:rsidRPr="00CB361C">
              <w:rPr>
                <w:rFonts w:ascii="Arial" w:hAnsi="Arial" w:cs="Arial"/>
              </w:rPr>
              <w:t> </w:t>
            </w:r>
          </w:p>
        </w:tc>
        <w:tc>
          <w:tcPr>
            <w:tcW w:w="4500" w:type="dxa"/>
            <w:tcBorders>
              <w:top w:val="single" w:sz="6" w:space="0" w:color="auto"/>
              <w:left w:val="single" w:sz="6" w:space="0" w:color="auto"/>
              <w:bottom w:val="single" w:sz="6" w:space="0" w:color="auto"/>
              <w:right w:val="single" w:sz="6" w:space="0" w:color="auto"/>
            </w:tcBorders>
          </w:tcPr>
          <w:p w14:paraId="3696776E" w14:textId="77777777" w:rsidR="00CB361C" w:rsidRPr="00CB361C" w:rsidRDefault="00CB361C" w:rsidP="007D3D44">
            <w:pPr>
              <w:spacing w:line="360" w:lineRule="auto"/>
              <w:rPr>
                <w:rFonts w:ascii="Arial" w:hAnsi="Arial" w:cs="Arial"/>
              </w:rPr>
            </w:pPr>
            <w:r w:rsidRPr="00CB361C">
              <w:rPr>
                <w:rFonts w:ascii="Arial" w:hAnsi="Arial" w:cs="Arial"/>
                <w:b/>
                <w:bCs/>
                <w:lang w:val="en-US"/>
              </w:rPr>
              <w:t>Tomy Adattu Chacko</w:t>
            </w:r>
          </w:p>
        </w:tc>
      </w:tr>
      <w:tr w:rsidR="00CB361C" w:rsidRPr="00CB361C" w14:paraId="38A8D82F" w14:textId="77777777" w:rsidTr="00DE28E6">
        <w:trPr>
          <w:trHeight w:val="300"/>
        </w:trPr>
        <w:tc>
          <w:tcPr>
            <w:tcW w:w="4500" w:type="dxa"/>
            <w:tcBorders>
              <w:top w:val="single" w:sz="6" w:space="0" w:color="auto"/>
              <w:left w:val="single" w:sz="6" w:space="0" w:color="auto"/>
              <w:bottom w:val="single" w:sz="6" w:space="0" w:color="auto"/>
              <w:right w:val="single" w:sz="6" w:space="0" w:color="auto"/>
            </w:tcBorders>
            <w:hideMark/>
          </w:tcPr>
          <w:p w14:paraId="09BDA22B" w14:textId="77777777" w:rsidR="00CB361C" w:rsidRPr="00CB361C" w:rsidRDefault="00CB361C" w:rsidP="00321DD2">
            <w:pPr>
              <w:spacing w:line="360" w:lineRule="auto"/>
              <w:jc w:val="both"/>
              <w:rPr>
                <w:rFonts w:ascii="Arial" w:hAnsi="Arial" w:cs="Arial"/>
              </w:rPr>
            </w:pPr>
            <w:r w:rsidRPr="00CB361C">
              <w:rPr>
                <w:rFonts w:ascii="Arial" w:hAnsi="Arial" w:cs="Arial"/>
                <w:b/>
                <w:bCs/>
              </w:rPr>
              <w:t>Student Name: </w:t>
            </w:r>
            <w:r w:rsidRPr="00CB361C">
              <w:rPr>
                <w:rFonts w:ascii="Arial" w:hAnsi="Arial" w:cs="Arial"/>
              </w:rPr>
              <w:t> </w:t>
            </w:r>
          </w:p>
        </w:tc>
        <w:tc>
          <w:tcPr>
            <w:tcW w:w="4500" w:type="dxa"/>
            <w:tcBorders>
              <w:top w:val="single" w:sz="6" w:space="0" w:color="auto"/>
              <w:left w:val="single" w:sz="6" w:space="0" w:color="auto"/>
              <w:bottom w:val="single" w:sz="6" w:space="0" w:color="auto"/>
              <w:right w:val="single" w:sz="6" w:space="0" w:color="auto"/>
            </w:tcBorders>
            <w:hideMark/>
          </w:tcPr>
          <w:p w14:paraId="4B02F19C" w14:textId="77777777" w:rsidR="00CB361C" w:rsidRPr="00CB361C" w:rsidRDefault="00CB361C" w:rsidP="007D3D44">
            <w:pPr>
              <w:spacing w:line="360" w:lineRule="auto"/>
              <w:rPr>
                <w:rFonts w:ascii="Arial" w:hAnsi="Arial" w:cs="Arial"/>
              </w:rPr>
            </w:pPr>
            <w:r w:rsidRPr="00CB361C">
              <w:rPr>
                <w:rFonts w:ascii="Arial" w:hAnsi="Arial" w:cs="Arial"/>
                <w:b/>
                <w:bCs/>
              </w:rPr>
              <w:t>Naznin Mahmood</w:t>
            </w:r>
            <w:r w:rsidRPr="00CB361C">
              <w:rPr>
                <w:rFonts w:ascii="Arial" w:hAnsi="Arial" w:cs="Arial"/>
              </w:rPr>
              <w:t> </w:t>
            </w:r>
          </w:p>
          <w:p w14:paraId="4AFBCB08" w14:textId="77777777" w:rsidR="00CB361C" w:rsidRPr="00CB361C" w:rsidRDefault="00CB361C" w:rsidP="007D3D44">
            <w:pPr>
              <w:spacing w:line="360" w:lineRule="auto"/>
              <w:rPr>
                <w:rFonts w:ascii="Arial" w:hAnsi="Arial" w:cs="Arial"/>
              </w:rPr>
            </w:pPr>
            <w:r w:rsidRPr="00CB361C">
              <w:rPr>
                <w:rFonts w:ascii="Arial" w:hAnsi="Arial" w:cs="Arial"/>
              </w:rPr>
              <w:t> </w:t>
            </w:r>
          </w:p>
        </w:tc>
      </w:tr>
      <w:tr w:rsidR="00CB361C" w:rsidRPr="00CB361C" w14:paraId="57C825E2" w14:textId="77777777" w:rsidTr="00DE28E6">
        <w:trPr>
          <w:trHeight w:val="300"/>
        </w:trPr>
        <w:tc>
          <w:tcPr>
            <w:tcW w:w="4500" w:type="dxa"/>
            <w:tcBorders>
              <w:top w:val="single" w:sz="6" w:space="0" w:color="auto"/>
              <w:left w:val="single" w:sz="6" w:space="0" w:color="auto"/>
              <w:bottom w:val="single" w:sz="6" w:space="0" w:color="auto"/>
              <w:right w:val="single" w:sz="6" w:space="0" w:color="auto"/>
            </w:tcBorders>
            <w:hideMark/>
          </w:tcPr>
          <w:p w14:paraId="407A5A97" w14:textId="77777777" w:rsidR="00CB361C" w:rsidRPr="00CB361C" w:rsidRDefault="00CB361C" w:rsidP="00321DD2">
            <w:pPr>
              <w:spacing w:line="360" w:lineRule="auto"/>
              <w:jc w:val="both"/>
              <w:rPr>
                <w:rFonts w:ascii="Arial" w:hAnsi="Arial" w:cs="Arial"/>
              </w:rPr>
            </w:pPr>
            <w:r w:rsidRPr="00CB361C">
              <w:rPr>
                <w:rFonts w:ascii="Arial" w:hAnsi="Arial" w:cs="Arial"/>
                <w:b/>
                <w:bCs/>
              </w:rPr>
              <w:t>Student ID: </w:t>
            </w:r>
            <w:r w:rsidRPr="00CB361C">
              <w:rPr>
                <w:rFonts w:ascii="Arial" w:hAnsi="Arial" w:cs="Arial"/>
              </w:rPr>
              <w:t> </w:t>
            </w:r>
          </w:p>
        </w:tc>
        <w:tc>
          <w:tcPr>
            <w:tcW w:w="4500" w:type="dxa"/>
            <w:tcBorders>
              <w:top w:val="single" w:sz="6" w:space="0" w:color="auto"/>
              <w:left w:val="single" w:sz="6" w:space="0" w:color="auto"/>
              <w:bottom w:val="single" w:sz="6" w:space="0" w:color="auto"/>
              <w:right w:val="single" w:sz="6" w:space="0" w:color="auto"/>
            </w:tcBorders>
            <w:hideMark/>
          </w:tcPr>
          <w:p w14:paraId="30F232B1" w14:textId="77777777" w:rsidR="00CB361C" w:rsidRPr="00CB361C" w:rsidRDefault="00CB361C" w:rsidP="00321DD2">
            <w:pPr>
              <w:spacing w:line="360" w:lineRule="auto"/>
              <w:jc w:val="both"/>
              <w:rPr>
                <w:rFonts w:ascii="Arial" w:hAnsi="Arial" w:cs="Arial"/>
              </w:rPr>
            </w:pPr>
            <w:r w:rsidRPr="00CB361C">
              <w:rPr>
                <w:rFonts w:ascii="Arial" w:hAnsi="Arial" w:cs="Arial"/>
                <w:b/>
                <w:bCs/>
              </w:rPr>
              <w:t>2215438</w:t>
            </w:r>
            <w:r w:rsidRPr="00CB361C">
              <w:rPr>
                <w:rFonts w:ascii="Arial" w:hAnsi="Arial" w:cs="Arial"/>
              </w:rPr>
              <w:t> </w:t>
            </w:r>
          </w:p>
          <w:p w14:paraId="568F6FFD" w14:textId="77777777" w:rsidR="00CB361C" w:rsidRPr="00CB361C" w:rsidRDefault="00CB361C" w:rsidP="00321DD2">
            <w:pPr>
              <w:spacing w:line="360" w:lineRule="auto"/>
              <w:jc w:val="both"/>
              <w:rPr>
                <w:rFonts w:ascii="Arial" w:hAnsi="Arial" w:cs="Arial"/>
              </w:rPr>
            </w:pPr>
            <w:r w:rsidRPr="00CB361C">
              <w:rPr>
                <w:rFonts w:ascii="Arial" w:hAnsi="Arial" w:cs="Arial"/>
              </w:rPr>
              <w:t> </w:t>
            </w:r>
          </w:p>
        </w:tc>
      </w:tr>
    </w:tbl>
    <w:p w14:paraId="34623B4D" w14:textId="77777777" w:rsidR="00CB361C" w:rsidRPr="00CB361C" w:rsidRDefault="00CB361C" w:rsidP="00CB361C">
      <w:pPr>
        <w:jc w:val="both"/>
      </w:pPr>
      <w:r w:rsidRPr="00CB361C">
        <w:rPr>
          <w:rFonts w:ascii="Arial" w:hAnsi="Arial" w:cs="Arial"/>
        </w:rPr>
        <w:t> </w:t>
      </w:r>
      <w:r w:rsidRPr="00CB361C">
        <w:t> </w:t>
      </w:r>
    </w:p>
    <w:p w14:paraId="3789B78A" w14:textId="77777777" w:rsidR="00CB361C" w:rsidRPr="00CB361C" w:rsidRDefault="00CB361C" w:rsidP="00CB361C">
      <w:pPr>
        <w:jc w:val="both"/>
      </w:pPr>
    </w:p>
    <w:p w14:paraId="3952F64F" w14:textId="77777777" w:rsidR="00CB361C" w:rsidRPr="00CB361C" w:rsidRDefault="00CB361C" w:rsidP="00CB361C">
      <w:pPr>
        <w:jc w:val="both"/>
      </w:pPr>
    </w:p>
    <w:p w14:paraId="3EC011FC" w14:textId="77777777" w:rsidR="00CB361C" w:rsidRPr="00CB361C" w:rsidRDefault="00CB361C" w:rsidP="00CB361C">
      <w:pPr>
        <w:jc w:val="both"/>
      </w:pPr>
    </w:p>
    <w:p w14:paraId="697ECFDA" w14:textId="77777777" w:rsidR="00CB361C" w:rsidRDefault="00CB361C" w:rsidP="00CB361C">
      <w:pPr>
        <w:jc w:val="both"/>
      </w:pPr>
    </w:p>
    <w:p w14:paraId="34C0C46A" w14:textId="77777777" w:rsidR="00CB361C" w:rsidRDefault="00CB361C" w:rsidP="00CB361C">
      <w:pPr>
        <w:jc w:val="both"/>
      </w:pPr>
    </w:p>
    <w:p w14:paraId="2E9A995D" w14:textId="77777777" w:rsidR="00CB361C" w:rsidRDefault="00CB361C" w:rsidP="00CB361C">
      <w:pPr>
        <w:jc w:val="both"/>
      </w:pPr>
    </w:p>
    <w:p w14:paraId="4C527139" w14:textId="77777777" w:rsidR="00CB361C" w:rsidRDefault="00CB361C" w:rsidP="00CB361C">
      <w:pPr>
        <w:jc w:val="both"/>
      </w:pPr>
    </w:p>
    <w:p w14:paraId="3870D353" w14:textId="77777777" w:rsidR="00CB361C" w:rsidRDefault="00CB361C" w:rsidP="00CB361C">
      <w:pPr>
        <w:jc w:val="both"/>
      </w:pPr>
    </w:p>
    <w:p w14:paraId="3C9DDD11" w14:textId="77777777" w:rsidR="00CB361C" w:rsidRDefault="00CB361C" w:rsidP="00CB361C">
      <w:pPr>
        <w:jc w:val="both"/>
      </w:pPr>
    </w:p>
    <w:p w14:paraId="41326F20" w14:textId="77777777" w:rsidR="00CB361C" w:rsidRDefault="00CB361C" w:rsidP="00CB361C">
      <w:pPr>
        <w:jc w:val="both"/>
      </w:pPr>
    </w:p>
    <w:p w14:paraId="49DA1E33" w14:textId="77777777" w:rsidR="00CB361C" w:rsidRDefault="00CB361C" w:rsidP="00CB361C">
      <w:pPr>
        <w:jc w:val="both"/>
      </w:pPr>
    </w:p>
    <w:p w14:paraId="7F65DFD2" w14:textId="77777777" w:rsidR="00CB361C" w:rsidRDefault="00CB361C" w:rsidP="00CB361C">
      <w:pPr>
        <w:jc w:val="both"/>
      </w:pPr>
    </w:p>
    <w:p w14:paraId="1716B4BF" w14:textId="77777777" w:rsidR="00BB3A56" w:rsidRDefault="00BB3A56" w:rsidP="00CB361C">
      <w:pPr>
        <w:jc w:val="both"/>
      </w:pPr>
    </w:p>
    <w:p w14:paraId="5A1BDAFA" w14:textId="77777777" w:rsidR="007538B9" w:rsidRDefault="007538B9" w:rsidP="00CB361C">
      <w:pPr>
        <w:jc w:val="both"/>
      </w:pPr>
    </w:p>
    <w:p w14:paraId="31014A98" w14:textId="1D2CBDDC" w:rsidR="00CB361C" w:rsidRDefault="00CB361C" w:rsidP="00CB0D54">
      <w:pPr>
        <w:jc w:val="center"/>
        <w:rPr>
          <w:rFonts w:ascii="Arial" w:hAnsi="Arial" w:cs="Arial"/>
          <w:b/>
          <w:bCs/>
        </w:rPr>
      </w:pPr>
      <w:r w:rsidRPr="00CB361C">
        <w:rPr>
          <w:rFonts w:ascii="Arial" w:hAnsi="Arial" w:cs="Arial"/>
          <w:b/>
          <w:bCs/>
        </w:rPr>
        <w:t>Contents Page</w:t>
      </w:r>
    </w:p>
    <w:p w14:paraId="5CDD31E5" w14:textId="481EFFC6" w:rsidR="00CB361C" w:rsidRPr="00EC19B2" w:rsidRDefault="003C5A48" w:rsidP="00EC19B2">
      <w:pPr>
        <w:rPr>
          <w:rFonts w:ascii="Arial" w:hAnsi="Arial" w:cs="Arial"/>
          <w:b/>
          <w:bCs/>
        </w:rPr>
      </w:pPr>
      <w:r w:rsidRPr="00EC19B2">
        <w:rPr>
          <w:rFonts w:ascii="Arial" w:hAnsi="Arial" w:cs="Arial"/>
          <w:b/>
          <w:bCs/>
        </w:rPr>
        <w:t>Introduction</w:t>
      </w:r>
      <w:r w:rsidR="00E71C95" w:rsidRPr="00EC19B2">
        <w:rPr>
          <w:rFonts w:ascii="Arial" w:hAnsi="Arial" w:cs="Arial"/>
          <w:b/>
          <w:bCs/>
        </w:rPr>
        <w:t>……………………………………………………………………………………</w:t>
      </w:r>
      <w:r w:rsidR="000A3F5A" w:rsidRPr="00EC19B2">
        <w:rPr>
          <w:rFonts w:ascii="Arial" w:hAnsi="Arial" w:cs="Arial"/>
          <w:b/>
          <w:bCs/>
        </w:rPr>
        <w:t>…</w:t>
      </w:r>
      <w:r w:rsidR="000A3F5A">
        <w:rPr>
          <w:rFonts w:ascii="Arial" w:hAnsi="Arial" w:cs="Arial"/>
          <w:b/>
          <w:bCs/>
        </w:rPr>
        <w:t>...</w:t>
      </w:r>
      <w:r w:rsidR="00E71C95" w:rsidRPr="00EC19B2">
        <w:rPr>
          <w:rFonts w:ascii="Arial" w:hAnsi="Arial" w:cs="Arial"/>
          <w:b/>
          <w:bCs/>
        </w:rPr>
        <w:t>3</w:t>
      </w:r>
    </w:p>
    <w:p w14:paraId="20EB551F" w14:textId="2281A5F2" w:rsidR="003C5A48" w:rsidRPr="003C5A48" w:rsidRDefault="003C5A48" w:rsidP="00EC19B2">
      <w:pPr>
        <w:rPr>
          <w:rFonts w:ascii="Arial" w:hAnsi="Arial" w:cs="Arial"/>
          <w:b/>
          <w:bCs/>
        </w:rPr>
      </w:pPr>
      <w:r w:rsidRPr="003C5A48">
        <w:rPr>
          <w:rFonts w:ascii="Arial" w:hAnsi="Arial" w:cs="Arial"/>
          <w:b/>
          <w:bCs/>
        </w:rPr>
        <w:t>Classification and Diagnosis</w:t>
      </w:r>
      <w:r w:rsidR="00E71C95" w:rsidRPr="00EC19B2">
        <w:rPr>
          <w:rFonts w:ascii="Arial" w:hAnsi="Arial" w:cs="Arial"/>
          <w:b/>
          <w:bCs/>
        </w:rPr>
        <w:t>……………………………………………………………………</w:t>
      </w:r>
      <w:r w:rsidR="00133E92">
        <w:rPr>
          <w:rFonts w:ascii="Arial" w:hAnsi="Arial" w:cs="Arial"/>
          <w:b/>
          <w:bCs/>
        </w:rPr>
        <w:t>4</w:t>
      </w:r>
    </w:p>
    <w:tbl>
      <w:tblPr>
        <w:tblW w:w="0" w:type="auto"/>
        <w:tblCellMar>
          <w:top w:w="15" w:type="dxa"/>
          <w:left w:w="15" w:type="dxa"/>
          <w:bottom w:w="15" w:type="dxa"/>
          <w:right w:w="15" w:type="dxa"/>
        </w:tblCellMar>
        <w:tblLook w:val="04A0" w:firstRow="1" w:lastRow="0" w:firstColumn="1" w:lastColumn="0" w:noHBand="0" w:noVBand="1"/>
      </w:tblPr>
      <w:tblGrid>
        <w:gridCol w:w="608"/>
        <w:gridCol w:w="8418"/>
      </w:tblGrid>
      <w:tr w:rsidR="003C5A48" w:rsidRPr="003C5A48" w14:paraId="7861954B" w14:textId="77777777" w:rsidTr="00DE28E6">
        <w:tc>
          <w:tcPr>
            <w:tcW w:w="660" w:type="dxa"/>
            <w:tcMar>
              <w:top w:w="0" w:type="dxa"/>
              <w:left w:w="240" w:type="dxa"/>
              <w:bottom w:w="0" w:type="dxa"/>
              <w:right w:w="240" w:type="dxa"/>
            </w:tcMar>
            <w:hideMark/>
          </w:tcPr>
          <w:p w14:paraId="7F2D3DEE" w14:textId="77777777" w:rsidR="003C5A48" w:rsidRPr="003C5A48" w:rsidRDefault="003C5A48" w:rsidP="00EC19B2">
            <w:pPr>
              <w:rPr>
                <w:rFonts w:ascii="Arial" w:hAnsi="Arial" w:cs="Arial"/>
                <w:b/>
                <w:bCs/>
              </w:rPr>
            </w:pPr>
          </w:p>
        </w:tc>
        <w:tc>
          <w:tcPr>
            <w:tcW w:w="12030" w:type="dxa"/>
            <w:tcMar>
              <w:top w:w="0" w:type="dxa"/>
              <w:left w:w="0" w:type="dxa"/>
              <w:bottom w:w="0" w:type="dxa"/>
              <w:right w:w="0" w:type="dxa"/>
            </w:tcMar>
            <w:vAlign w:val="center"/>
            <w:hideMark/>
          </w:tcPr>
          <w:p w14:paraId="05ADD218" w14:textId="77777777" w:rsidR="003C5A48" w:rsidRPr="003C5A48" w:rsidRDefault="003C5A48" w:rsidP="00EC19B2">
            <w:pPr>
              <w:rPr>
                <w:rFonts w:ascii="Arial" w:hAnsi="Arial" w:cs="Arial"/>
                <w:b/>
                <w:bCs/>
              </w:rPr>
            </w:pPr>
          </w:p>
        </w:tc>
      </w:tr>
    </w:tbl>
    <w:p w14:paraId="415F33CD" w14:textId="709776D6" w:rsidR="003C5A48" w:rsidRPr="003C5A48" w:rsidRDefault="003C5A48" w:rsidP="00EC19B2">
      <w:pPr>
        <w:rPr>
          <w:rFonts w:ascii="Arial" w:hAnsi="Arial" w:cs="Arial"/>
          <w:b/>
          <w:bCs/>
        </w:rPr>
      </w:pPr>
      <w:r w:rsidRPr="003C5A48">
        <w:rPr>
          <w:rFonts w:ascii="Arial" w:hAnsi="Arial" w:cs="Arial"/>
          <w:b/>
          <w:bCs/>
        </w:rPr>
        <w:t>Treatment Approaches</w:t>
      </w:r>
      <w:r w:rsidR="002F38D1" w:rsidRPr="00EC19B2">
        <w:rPr>
          <w:rFonts w:ascii="Arial" w:hAnsi="Arial" w:cs="Arial"/>
          <w:b/>
          <w:bCs/>
        </w:rPr>
        <w:t>………………………………………………………………………</w:t>
      </w:r>
      <w:r w:rsidR="00EC19B2" w:rsidRPr="00EC19B2">
        <w:rPr>
          <w:rFonts w:ascii="Arial" w:hAnsi="Arial" w:cs="Arial"/>
          <w:b/>
          <w:bCs/>
        </w:rPr>
        <w:t>…...</w:t>
      </w:r>
      <w:r w:rsidR="002F38D1" w:rsidRPr="00EC19B2">
        <w:rPr>
          <w:rFonts w:ascii="Arial" w:hAnsi="Arial" w:cs="Arial"/>
          <w:b/>
          <w:bCs/>
        </w:rPr>
        <w:t>5</w:t>
      </w:r>
    </w:p>
    <w:tbl>
      <w:tblPr>
        <w:tblW w:w="0" w:type="auto"/>
        <w:tblCellMar>
          <w:top w:w="15" w:type="dxa"/>
          <w:left w:w="15" w:type="dxa"/>
          <w:bottom w:w="15" w:type="dxa"/>
          <w:right w:w="15" w:type="dxa"/>
        </w:tblCellMar>
        <w:tblLook w:val="04A0" w:firstRow="1" w:lastRow="0" w:firstColumn="1" w:lastColumn="0" w:noHBand="0" w:noVBand="1"/>
      </w:tblPr>
      <w:tblGrid>
        <w:gridCol w:w="608"/>
        <w:gridCol w:w="8418"/>
      </w:tblGrid>
      <w:tr w:rsidR="003C5A48" w:rsidRPr="003C5A48" w14:paraId="53523126" w14:textId="77777777" w:rsidTr="00DE28E6">
        <w:tc>
          <w:tcPr>
            <w:tcW w:w="608" w:type="dxa"/>
            <w:tcMar>
              <w:top w:w="0" w:type="dxa"/>
              <w:left w:w="240" w:type="dxa"/>
              <w:bottom w:w="0" w:type="dxa"/>
              <w:right w:w="240" w:type="dxa"/>
            </w:tcMar>
            <w:hideMark/>
          </w:tcPr>
          <w:p w14:paraId="7C531231" w14:textId="77777777" w:rsidR="003C5A48" w:rsidRPr="003C5A48" w:rsidRDefault="003C5A48" w:rsidP="00EC19B2">
            <w:pPr>
              <w:rPr>
                <w:rFonts w:ascii="Arial" w:hAnsi="Arial" w:cs="Arial"/>
                <w:b/>
                <w:bCs/>
              </w:rPr>
            </w:pPr>
          </w:p>
        </w:tc>
        <w:tc>
          <w:tcPr>
            <w:tcW w:w="8418" w:type="dxa"/>
            <w:tcMar>
              <w:top w:w="0" w:type="dxa"/>
              <w:left w:w="0" w:type="dxa"/>
              <w:bottom w:w="0" w:type="dxa"/>
              <w:right w:w="0" w:type="dxa"/>
            </w:tcMar>
            <w:vAlign w:val="center"/>
            <w:hideMark/>
          </w:tcPr>
          <w:p w14:paraId="19EDD006" w14:textId="77777777" w:rsidR="003C5A48" w:rsidRPr="003C5A48" w:rsidRDefault="003C5A48" w:rsidP="00EC19B2">
            <w:pPr>
              <w:rPr>
                <w:rFonts w:ascii="Arial" w:hAnsi="Arial" w:cs="Arial"/>
                <w:b/>
                <w:bCs/>
              </w:rPr>
            </w:pPr>
          </w:p>
        </w:tc>
      </w:tr>
      <w:tr w:rsidR="003C5A48" w:rsidRPr="003C5A48" w14:paraId="269AA029" w14:textId="77777777" w:rsidTr="00DE28E6">
        <w:tc>
          <w:tcPr>
            <w:tcW w:w="608" w:type="dxa"/>
            <w:tcMar>
              <w:top w:w="0" w:type="dxa"/>
              <w:left w:w="240" w:type="dxa"/>
              <w:bottom w:w="0" w:type="dxa"/>
              <w:right w:w="240" w:type="dxa"/>
            </w:tcMar>
            <w:hideMark/>
          </w:tcPr>
          <w:p w14:paraId="133456C6" w14:textId="77777777" w:rsidR="003C5A48" w:rsidRPr="003C5A48" w:rsidRDefault="003C5A48" w:rsidP="00EC19B2">
            <w:pPr>
              <w:rPr>
                <w:rFonts w:ascii="Arial" w:hAnsi="Arial" w:cs="Arial"/>
                <w:b/>
                <w:bCs/>
              </w:rPr>
            </w:pPr>
          </w:p>
        </w:tc>
        <w:tc>
          <w:tcPr>
            <w:tcW w:w="8418" w:type="dxa"/>
            <w:tcMar>
              <w:top w:w="0" w:type="dxa"/>
              <w:left w:w="0" w:type="dxa"/>
              <w:bottom w:w="0" w:type="dxa"/>
              <w:right w:w="0" w:type="dxa"/>
            </w:tcMar>
            <w:vAlign w:val="center"/>
            <w:hideMark/>
          </w:tcPr>
          <w:p w14:paraId="59F1A6D8" w14:textId="77777777" w:rsidR="003C5A48" w:rsidRPr="003C5A48" w:rsidRDefault="003C5A48" w:rsidP="00EC19B2">
            <w:pPr>
              <w:rPr>
                <w:rFonts w:ascii="Arial" w:hAnsi="Arial" w:cs="Arial"/>
                <w:b/>
                <w:bCs/>
              </w:rPr>
            </w:pPr>
          </w:p>
        </w:tc>
      </w:tr>
    </w:tbl>
    <w:p w14:paraId="14FF09C2" w14:textId="51AE33B4" w:rsidR="003C5A48" w:rsidRPr="00EC19B2" w:rsidRDefault="003C5A48" w:rsidP="00EC19B2">
      <w:pPr>
        <w:rPr>
          <w:rFonts w:ascii="Arial" w:hAnsi="Arial" w:cs="Arial"/>
          <w:b/>
          <w:bCs/>
        </w:rPr>
      </w:pPr>
      <w:r w:rsidRPr="003C5A48">
        <w:rPr>
          <w:rFonts w:ascii="Arial" w:hAnsi="Arial" w:cs="Arial"/>
          <w:b/>
          <w:bCs/>
        </w:rPr>
        <w:t>Rehabilitation and Long-Term Management</w:t>
      </w:r>
      <w:r w:rsidR="00EC19B2" w:rsidRPr="00EC19B2">
        <w:rPr>
          <w:rFonts w:ascii="Arial" w:hAnsi="Arial" w:cs="Arial"/>
          <w:b/>
          <w:bCs/>
        </w:rPr>
        <w:t>………………………………………………….6</w:t>
      </w:r>
    </w:p>
    <w:p w14:paraId="28A40899" w14:textId="21E9D677" w:rsidR="003C5A48" w:rsidRDefault="003C5A48" w:rsidP="00EC19B2">
      <w:pPr>
        <w:rPr>
          <w:rFonts w:ascii="Arial" w:hAnsi="Arial" w:cs="Arial"/>
          <w:b/>
          <w:bCs/>
        </w:rPr>
      </w:pPr>
      <w:r w:rsidRPr="003C5A48">
        <w:rPr>
          <w:rFonts w:ascii="Arial" w:hAnsi="Arial" w:cs="Arial"/>
          <w:b/>
          <w:bCs/>
        </w:rPr>
        <w:t>Current Debates and Emerging Issues</w:t>
      </w:r>
      <w:r w:rsidR="00EC19B2" w:rsidRPr="00EC19B2">
        <w:rPr>
          <w:rFonts w:ascii="Arial" w:hAnsi="Arial" w:cs="Arial"/>
          <w:b/>
          <w:bCs/>
        </w:rPr>
        <w:t>……………………………………………………….</w:t>
      </w:r>
      <w:r w:rsidR="00EC19B2">
        <w:rPr>
          <w:rFonts w:ascii="Arial" w:hAnsi="Arial" w:cs="Arial"/>
          <w:b/>
          <w:bCs/>
        </w:rPr>
        <w:t>..</w:t>
      </w:r>
      <w:r w:rsidR="00EC19B2" w:rsidRPr="00EC19B2">
        <w:rPr>
          <w:rFonts w:ascii="Arial" w:hAnsi="Arial" w:cs="Arial"/>
          <w:b/>
          <w:bCs/>
        </w:rPr>
        <w:t>7</w:t>
      </w:r>
    </w:p>
    <w:p w14:paraId="0AEECE09" w14:textId="67C6ADDD" w:rsidR="00D10E39" w:rsidRPr="00EC19B2" w:rsidRDefault="003C0838" w:rsidP="00EC19B2">
      <w:pPr>
        <w:rPr>
          <w:rFonts w:ascii="Arial" w:hAnsi="Arial" w:cs="Arial"/>
          <w:b/>
          <w:bCs/>
        </w:rPr>
      </w:pPr>
      <w:r>
        <w:rPr>
          <w:rFonts w:ascii="Arial" w:hAnsi="Arial" w:cs="Arial"/>
          <w:b/>
          <w:bCs/>
        </w:rPr>
        <w:t>UK Data &amp; Statistical Evidence ………………………………………………………………</w:t>
      </w:r>
      <w:r w:rsidR="00F62B55">
        <w:rPr>
          <w:rFonts w:ascii="Arial" w:hAnsi="Arial" w:cs="Arial"/>
          <w:b/>
          <w:bCs/>
        </w:rPr>
        <w:t>…8</w:t>
      </w:r>
    </w:p>
    <w:p w14:paraId="03D1495E" w14:textId="00E84228" w:rsidR="003C5A48" w:rsidRPr="00EC19B2" w:rsidRDefault="003C5A48" w:rsidP="00EC19B2">
      <w:pPr>
        <w:rPr>
          <w:rFonts w:ascii="Arial" w:hAnsi="Arial" w:cs="Arial"/>
          <w:b/>
          <w:bCs/>
        </w:rPr>
      </w:pPr>
      <w:r w:rsidRPr="003C5A48">
        <w:rPr>
          <w:rFonts w:ascii="Arial" w:hAnsi="Arial" w:cs="Arial"/>
          <w:b/>
          <w:bCs/>
        </w:rPr>
        <w:t>Recommendations</w:t>
      </w:r>
      <w:r w:rsidR="00EC19B2" w:rsidRPr="00EC19B2">
        <w:rPr>
          <w:rFonts w:ascii="Arial" w:hAnsi="Arial" w:cs="Arial"/>
          <w:b/>
          <w:bCs/>
        </w:rPr>
        <w:t>……………………………………………………………………………....</w:t>
      </w:r>
      <w:r w:rsidR="00EC19B2">
        <w:rPr>
          <w:rFonts w:ascii="Arial" w:hAnsi="Arial" w:cs="Arial"/>
          <w:b/>
          <w:bCs/>
        </w:rPr>
        <w:t>..</w:t>
      </w:r>
      <w:r w:rsidR="00EC19B2" w:rsidRPr="00EC19B2">
        <w:rPr>
          <w:rFonts w:ascii="Arial" w:hAnsi="Arial" w:cs="Arial"/>
          <w:b/>
          <w:bCs/>
        </w:rPr>
        <w:t>8</w:t>
      </w:r>
    </w:p>
    <w:p w14:paraId="60FA44A4" w14:textId="5771C860" w:rsidR="003C5A48" w:rsidRPr="003C5A48" w:rsidRDefault="003C5A48" w:rsidP="00EC19B2">
      <w:pPr>
        <w:rPr>
          <w:rFonts w:ascii="Arial" w:hAnsi="Arial" w:cs="Arial"/>
          <w:b/>
          <w:bCs/>
        </w:rPr>
      </w:pPr>
      <w:r w:rsidRPr="003C5A48">
        <w:rPr>
          <w:rFonts w:ascii="Arial" w:hAnsi="Arial" w:cs="Arial"/>
          <w:b/>
          <w:bCs/>
        </w:rPr>
        <w:t>Conclusion and Future Directions</w:t>
      </w:r>
      <w:r w:rsidR="00EC19B2" w:rsidRPr="00EC19B2">
        <w:rPr>
          <w:rFonts w:ascii="Arial" w:hAnsi="Arial" w:cs="Arial"/>
          <w:b/>
          <w:bCs/>
        </w:rPr>
        <w:t>……………………………………………………………...</w:t>
      </w:r>
      <w:r w:rsidR="00F62B55">
        <w:rPr>
          <w:rFonts w:ascii="Arial" w:hAnsi="Arial" w:cs="Arial"/>
          <w:b/>
          <w:bCs/>
        </w:rPr>
        <w:t>9</w:t>
      </w:r>
    </w:p>
    <w:p w14:paraId="39071D42" w14:textId="0925577F" w:rsidR="003C5A48" w:rsidRPr="003C5A48" w:rsidRDefault="003C5A48" w:rsidP="00EC19B2">
      <w:pPr>
        <w:rPr>
          <w:rFonts w:ascii="Arial" w:hAnsi="Arial" w:cs="Arial"/>
          <w:b/>
          <w:bCs/>
        </w:rPr>
      </w:pPr>
      <w:r w:rsidRPr="00EC19B2">
        <w:rPr>
          <w:rFonts w:ascii="Arial" w:hAnsi="Arial" w:cs="Arial"/>
          <w:b/>
          <w:bCs/>
        </w:rPr>
        <w:t>Reference List</w:t>
      </w:r>
      <w:r w:rsidR="00EC19B2" w:rsidRPr="00EC19B2">
        <w:rPr>
          <w:rFonts w:ascii="Arial" w:hAnsi="Arial" w:cs="Arial"/>
          <w:b/>
          <w:bCs/>
        </w:rPr>
        <w:t>……………………………………………………………………………………</w:t>
      </w:r>
      <w:r w:rsidR="00EC19B2">
        <w:rPr>
          <w:rFonts w:ascii="Arial" w:hAnsi="Arial" w:cs="Arial"/>
          <w:b/>
          <w:bCs/>
        </w:rPr>
        <w:t>…</w:t>
      </w:r>
      <w:r w:rsidR="00F62B55">
        <w:rPr>
          <w:rFonts w:ascii="Arial" w:hAnsi="Arial" w:cs="Arial"/>
          <w:b/>
          <w:bCs/>
        </w:rPr>
        <w:t>10</w:t>
      </w:r>
    </w:p>
    <w:p w14:paraId="58B71C9B" w14:textId="77777777" w:rsidR="003C5A48" w:rsidRPr="003C5A48" w:rsidRDefault="003C5A48" w:rsidP="003C5A48">
      <w:pPr>
        <w:jc w:val="both"/>
        <w:rPr>
          <w:rFonts w:ascii="Arial" w:hAnsi="Arial" w:cs="Arial"/>
          <w:b/>
          <w:bCs/>
        </w:rPr>
      </w:pPr>
    </w:p>
    <w:p w14:paraId="134A68D2" w14:textId="77777777" w:rsidR="003C5A48" w:rsidRPr="003C5A48" w:rsidRDefault="003C5A48" w:rsidP="003C5A48">
      <w:pPr>
        <w:jc w:val="both"/>
        <w:rPr>
          <w:rFonts w:ascii="Arial" w:hAnsi="Arial" w:cs="Arial"/>
          <w:b/>
          <w:bCs/>
        </w:rPr>
      </w:pPr>
    </w:p>
    <w:p w14:paraId="03FAA381" w14:textId="77777777" w:rsidR="003C5A48" w:rsidRPr="003C5A48" w:rsidRDefault="003C5A48" w:rsidP="003C5A48">
      <w:pPr>
        <w:jc w:val="both"/>
        <w:rPr>
          <w:rFonts w:ascii="Arial" w:hAnsi="Arial" w:cs="Arial"/>
          <w:b/>
          <w:bCs/>
        </w:rPr>
      </w:pPr>
    </w:p>
    <w:p w14:paraId="4AFD66A9" w14:textId="77777777" w:rsidR="003C5A48" w:rsidRDefault="003C5A48" w:rsidP="00CB361C">
      <w:pPr>
        <w:jc w:val="both"/>
        <w:rPr>
          <w:rFonts w:ascii="Arial" w:hAnsi="Arial" w:cs="Arial"/>
          <w:b/>
          <w:bCs/>
        </w:rPr>
      </w:pPr>
    </w:p>
    <w:p w14:paraId="51293371" w14:textId="77777777" w:rsidR="003C5A48" w:rsidRDefault="003C5A48" w:rsidP="00CB361C">
      <w:pPr>
        <w:jc w:val="both"/>
        <w:rPr>
          <w:rFonts w:ascii="Arial" w:hAnsi="Arial" w:cs="Arial"/>
          <w:b/>
          <w:bCs/>
        </w:rPr>
      </w:pPr>
    </w:p>
    <w:p w14:paraId="416B1C94" w14:textId="77777777" w:rsidR="00CB361C" w:rsidRDefault="00CB361C" w:rsidP="00CB361C">
      <w:pPr>
        <w:jc w:val="both"/>
        <w:rPr>
          <w:rFonts w:ascii="Arial" w:hAnsi="Arial" w:cs="Arial"/>
          <w:b/>
          <w:bCs/>
        </w:rPr>
      </w:pPr>
    </w:p>
    <w:p w14:paraId="7E9B53C1" w14:textId="77777777" w:rsidR="00CB361C" w:rsidRDefault="00CB361C" w:rsidP="00CB361C">
      <w:pPr>
        <w:jc w:val="both"/>
        <w:rPr>
          <w:rFonts w:ascii="Arial" w:hAnsi="Arial" w:cs="Arial"/>
          <w:b/>
          <w:bCs/>
        </w:rPr>
      </w:pPr>
    </w:p>
    <w:p w14:paraId="317A747D" w14:textId="77777777" w:rsidR="00CB361C" w:rsidRDefault="00CB361C" w:rsidP="00CB361C">
      <w:pPr>
        <w:jc w:val="both"/>
        <w:rPr>
          <w:rFonts w:ascii="Arial" w:hAnsi="Arial" w:cs="Arial"/>
          <w:b/>
          <w:bCs/>
        </w:rPr>
      </w:pPr>
    </w:p>
    <w:p w14:paraId="6ED067F3" w14:textId="77777777" w:rsidR="00CB361C" w:rsidRDefault="00CB361C" w:rsidP="00CB361C">
      <w:pPr>
        <w:jc w:val="both"/>
        <w:rPr>
          <w:rFonts w:ascii="Arial" w:hAnsi="Arial" w:cs="Arial"/>
          <w:b/>
          <w:bCs/>
        </w:rPr>
      </w:pPr>
    </w:p>
    <w:p w14:paraId="07E807F4" w14:textId="77777777" w:rsidR="00CB361C" w:rsidRDefault="00CB361C" w:rsidP="00CB361C">
      <w:pPr>
        <w:jc w:val="both"/>
        <w:rPr>
          <w:rFonts w:ascii="Arial" w:hAnsi="Arial" w:cs="Arial"/>
          <w:b/>
          <w:bCs/>
        </w:rPr>
      </w:pPr>
    </w:p>
    <w:p w14:paraId="0A1684AA" w14:textId="77777777" w:rsidR="00CB361C" w:rsidRDefault="00CB361C" w:rsidP="00CB361C">
      <w:pPr>
        <w:jc w:val="both"/>
        <w:rPr>
          <w:rFonts w:ascii="Arial" w:hAnsi="Arial" w:cs="Arial"/>
          <w:b/>
          <w:bCs/>
        </w:rPr>
      </w:pPr>
    </w:p>
    <w:p w14:paraId="2B957785" w14:textId="77777777" w:rsidR="00CB361C" w:rsidRDefault="00CB361C" w:rsidP="00CB361C">
      <w:pPr>
        <w:jc w:val="both"/>
        <w:rPr>
          <w:rFonts w:ascii="Arial" w:hAnsi="Arial" w:cs="Arial"/>
          <w:b/>
          <w:bCs/>
        </w:rPr>
      </w:pPr>
    </w:p>
    <w:p w14:paraId="2B7F829F" w14:textId="77777777" w:rsidR="00CB361C" w:rsidRDefault="00CB361C" w:rsidP="00CB361C">
      <w:pPr>
        <w:jc w:val="both"/>
        <w:rPr>
          <w:rFonts w:ascii="Arial" w:hAnsi="Arial" w:cs="Arial"/>
          <w:b/>
          <w:bCs/>
        </w:rPr>
      </w:pPr>
    </w:p>
    <w:p w14:paraId="2FDD2065" w14:textId="77777777" w:rsidR="00CB361C" w:rsidRDefault="00CB361C" w:rsidP="00CB361C">
      <w:pPr>
        <w:jc w:val="both"/>
        <w:rPr>
          <w:rFonts w:ascii="Arial" w:hAnsi="Arial" w:cs="Arial"/>
          <w:b/>
          <w:bCs/>
        </w:rPr>
      </w:pPr>
    </w:p>
    <w:p w14:paraId="517BD8DF" w14:textId="77777777" w:rsidR="00CB361C" w:rsidRDefault="00CB361C" w:rsidP="00CB361C">
      <w:pPr>
        <w:jc w:val="both"/>
        <w:rPr>
          <w:rFonts w:ascii="Arial" w:hAnsi="Arial" w:cs="Arial"/>
          <w:b/>
          <w:bCs/>
        </w:rPr>
      </w:pPr>
    </w:p>
    <w:p w14:paraId="68D193FD" w14:textId="77777777" w:rsidR="00CB361C" w:rsidRDefault="00CB361C" w:rsidP="00CB361C">
      <w:pPr>
        <w:jc w:val="both"/>
        <w:rPr>
          <w:rFonts w:ascii="Arial" w:hAnsi="Arial" w:cs="Arial"/>
          <w:b/>
          <w:bCs/>
        </w:rPr>
      </w:pPr>
    </w:p>
    <w:p w14:paraId="39ED4A6C" w14:textId="77777777" w:rsidR="00CB361C" w:rsidRDefault="00CB361C" w:rsidP="00CB361C">
      <w:pPr>
        <w:jc w:val="both"/>
        <w:rPr>
          <w:rFonts w:ascii="Arial" w:hAnsi="Arial" w:cs="Arial"/>
          <w:b/>
          <w:bCs/>
        </w:rPr>
      </w:pPr>
    </w:p>
    <w:p w14:paraId="222B68E0" w14:textId="77777777" w:rsidR="00CB361C" w:rsidRDefault="00CB361C" w:rsidP="00CB361C">
      <w:pPr>
        <w:jc w:val="both"/>
        <w:rPr>
          <w:rFonts w:ascii="Arial" w:hAnsi="Arial" w:cs="Arial"/>
          <w:b/>
          <w:bCs/>
        </w:rPr>
      </w:pPr>
    </w:p>
    <w:p w14:paraId="6E278CD2" w14:textId="77777777" w:rsidR="003C0838" w:rsidRDefault="003C0838" w:rsidP="009C2FED">
      <w:pPr>
        <w:spacing w:line="360" w:lineRule="auto"/>
        <w:contextualSpacing/>
        <w:jc w:val="both"/>
        <w:rPr>
          <w:rFonts w:ascii="Arial" w:hAnsi="Arial" w:cs="Arial"/>
          <w:b/>
          <w:bCs/>
        </w:rPr>
      </w:pPr>
    </w:p>
    <w:p w14:paraId="062A30A4" w14:textId="2B156099" w:rsidR="00CB361C" w:rsidRPr="000C63E9" w:rsidRDefault="00CB361C" w:rsidP="000C63E9">
      <w:pPr>
        <w:spacing w:line="360" w:lineRule="auto"/>
        <w:contextualSpacing/>
        <w:jc w:val="both"/>
        <w:rPr>
          <w:rFonts w:ascii="Arial" w:hAnsi="Arial" w:cs="Arial"/>
          <w:b/>
          <w:bCs/>
          <w:u w:val="single"/>
        </w:rPr>
      </w:pPr>
      <w:r w:rsidRPr="000C63E9">
        <w:rPr>
          <w:rFonts w:ascii="Arial" w:hAnsi="Arial" w:cs="Arial"/>
          <w:b/>
          <w:bCs/>
          <w:u w:val="single"/>
        </w:rPr>
        <w:lastRenderedPageBreak/>
        <w:t>Anorexia Nervosa in the UK – ICD-11 CHAPTER 6 – CODE:6B80</w:t>
      </w:r>
    </w:p>
    <w:p w14:paraId="64885622" w14:textId="77777777" w:rsidR="00CB361C" w:rsidRPr="000C63E9" w:rsidRDefault="00CB361C" w:rsidP="000C63E9">
      <w:pPr>
        <w:spacing w:line="360" w:lineRule="auto"/>
        <w:contextualSpacing/>
        <w:jc w:val="both"/>
        <w:rPr>
          <w:rFonts w:ascii="Arial" w:hAnsi="Arial" w:cs="Arial"/>
          <w:u w:val="single"/>
        </w:rPr>
      </w:pPr>
    </w:p>
    <w:p w14:paraId="1B98AA52" w14:textId="662AA548" w:rsidR="00CB361C" w:rsidRPr="000C63E9" w:rsidRDefault="00CB361C" w:rsidP="000C63E9">
      <w:pPr>
        <w:spacing w:line="360" w:lineRule="auto"/>
        <w:contextualSpacing/>
        <w:jc w:val="both"/>
        <w:rPr>
          <w:rFonts w:ascii="Arial" w:hAnsi="Arial" w:cs="Arial"/>
          <w:b/>
          <w:bCs/>
        </w:rPr>
      </w:pPr>
      <w:r w:rsidRPr="000C63E9">
        <w:rPr>
          <w:rFonts w:ascii="Arial" w:hAnsi="Arial" w:cs="Arial"/>
          <w:b/>
          <w:bCs/>
        </w:rPr>
        <w:t>Introduction</w:t>
      </w:r>
    </w:p>
    <w:p w14:paraId="4ACABBBE" w14:textId="27B1DC57" w:rsidR="00CB361C" w:rsidRPr="000C63E9" w:rsidRDefault="00CB361C" w:rsidP="000C63E9">
      <w:pPr>
        <w:spacing w:line="360" w:lineRule="auto"/>
        <w:contextualSpacing/>
        <w:jc w:val="both"/>
        <w:rPr>
          <w:rFonts w:ascii="Arial" w:hAnsi="Arial" w:cs="Arial"/>
        </w:rPr>
      </w:pPr>
      <w:r w:rsidRPr="000C63E9">
        <w:rPr>
          <w:rFonts w:ascii="Arial" w:hAnsi="Arial" w:cs="Arial"/>
        </w:rPr>
        <w:t>This report will examine Anorexia Nervosa (AN) from a UK perspective. However, there are many eating disorders, such as bulimia, binge eating, pica, etc. The report will explore their classification, diagnosis, treatment, rehabilitation, and long-term management</w:t>
      </w:r>
      <w:r w:rsidR="0036646B" w:rsidRPr="000C63E9">
        <w:rPr>
          <w:rFonts w:ascii="Arial" w:hAnsi="Arial" w:cs="Arial"/>
        </w:rPr>
        <w:t xml:space="preserve"> for anorexia nervosa</w:t>
      </w:r>
      <w:r w:rsidRPr="000C63E9">
        <w:rPr>
          <w:rFonts w:ascii="Arial" w:hAnsi="Arial" w:cs="Arial"/>
        </w:rPr>
        <w:t>. It also addresses current debates, emerging issues, and the policy and legal frameworks guiding practice within the National Health Service (NHS). Understanding anorexia nervosa through this lens is essential to inform evidence-based practice, reduce stigma, and enhance outcomes for individuals and families affected by the disorder.</w:t>
      </w:r>
    </w:p>
    <w:p w14:paraId="580C985E" w14:textId="77777777" w:rsidR="003C5A48" w:rsidRPr="000C63E9" w:rsidRDefault="003C5A48" w:rsidP="000C63E9">
      <w:pPr>
        <w:spacing w:line="360" w:lineRule="auto"/>
        <w:contextualSpacing/>
        <w:jc w:val="both"/>
        <w:rPr>
          <w:rFonts w:ascii="Arial" w:hAnsi="Arial" w:cs="Arial"/>
        </w:rPr>
      </w:pPr>
    </w:p>
    <w:p w14:paraId="5E914B74" w14:textId="3C0B5E87" w:rsidR="00CB361C" w:rsidRPr="000C63E9" w:rsidRDefault="00CB361C" w:rsidP="000C63E9">
      <w:pPr>
        <w:spacing w:line="360" w:lineRule="auto"/>
        <w:contextualSpacing/>
        <w:jc w:val="both"/>
        <w:rPr>
          <w:rFonts w:ascii="Arial" w:hAnsi="Arial" w:cs="Arial"/>
        </w:rPr>
      </w:pPr>
      <w:r w:rsidRPr="000C63E9">
        <w:rPr>
          <w:rFonts w:ascii="Arial" w:hAnsi="Arial" w:cs="Arial"/>
        </w:rPr>
        <w:t>Anorexia nervosa is a complex psychiatric condition marked by self-imposed food restriction, an intense dread of weight gain and a distorted self-image that can lead to dangerously low body weight. It is one of the most serious mental health disorders because of its physical complications and unusually high mortality compared with most other psychiatric illnesses. In the UK context, rising referrals, hospital admissions and screening-positive rates among young people have made anorexia an urgent public-health and clinical priority.</w:t>
      </w:r>
      <w:r w:rsidR="00DF55FF" w:rsidRPr="000C63E9">
        <w:rPr>
          <w:rFonts w:ascii="Arial" w:hAnsi="Arial" w:cs="Arial"/>
        </w:rPr>
        <w:t xml:space="preserve"> An </w:t>
      </w:r>
      <w:r w:rsidR="00663A77" w:rsidRPr="000C63E9">
        <w:rPr>
          <w:rFonts w:ascii="Arial" w:hAnsi="Arial" w:cs="Arial"/>
        </w:rPr>
        <w:t>estimated</w:t>
      </w:r>
      <w:r w:rsidR="00C54CDE" w:rsidRPr="000C63E9">
        <w:rPr>
          <w:rFonts w:ascii="Arial" w:hAnsi="Arial" w:cs="Arial"/>
        </w:rPr>
        <w:t xml:space="preserve"> 1.25 million people in the UK live with an eating disorder</w:t>
      </w:r>
      <w:r w:rsidR="005D479E" w:rsidRPr="000C63E9">
        <w:rPr>
          <w:rFonts w:ascii="Arial" w:hAnsi="Arial" w:cs="Arial"/>
        </w:rPr>
        <w:t>, and approximately 25% of those are male,</w:t>
      </w:r>
      <w:r w:rsidR="00663A77" w:rsidRPr="000C63E9">
        <w:rPr>
          <w:rFonts w:ascii="Arial" w:hAnsi="Arial" w:cs="Arial"/>
        </w:rPr>
        <w:t xml:space="preserve"> highlighting that while the majority are female</w:t>
      </w:r>
      <w:r w:rsidR="001000B1" w:rsidRPr="000C63E9">
        <w:rPr>
          <w:rFonts w:ascii="Arial" w:hAnsi="Arial" w:cs="Arial"/>
        </w:rPr>
        <w:t>,</w:t>
      </w:r>
      <w:r w:rsidR="00663A77" w:rsidRPr="000C63E9">
        <w:rPr>
          <w:rFonts w:ascii="Arial" w:hAnsi="Arial" w:cs="Arial"/>
        </w:rPr>
        <w:t xml:space="preserve"> the </w:t>
      </w:r>
      <w:r w:rsidR="001000B1" w:rsidRPr="000C63E9">
        <w:rPr>
          <w:rFonts w:ascii="Arial" w:hAnsi="Arial" w:cs="Arial"/>
        </w:rPr>
        <w:t>condition affects men too (Beat, 2024)</w:t>
      </w:r>
      <w:r w:rsidR="00934786" w:rsidRPr="000C63E9">
        <w:rPr>
          <w:rFonts w:ascii="Arial" w:hAnsi="Arial" w:cs="Arial"/>
        </w:rPr>
        <w:t>.</w:t>
      </w:r>
      <w:r w:rsidR="007A0B7C" w:rsidRPr="000C63E9">
        <w:rPr>
          <w:rFonts w:ascii="Arial" w:hAnsi="Arial" w:cs="Arial"/>
        </w:rPr>
        <w:t xml:space="preserve"> See Figure 1 below. </w:t>
      </w:r>
    </w:p>
    <w:p w14:paraId="11885354" w14:textId="26A36EED" w:rsidR="00E27A4E" w:rsidRPr="000C63E9" w:rsidRDefault="00942BE2" w:rsidP="000C63E9">
      <w:pPr>
        <w:spacing w:line="360" w:lineRule="auto"/>
        <w:contextualSpacing/>
        <w:jc w:val="center"/>
        <w:rPr>
          <w:rFonts w:ascii="Arial" w:hAnsi="Arial" w:cs="Arial"/>
        </w:rPr>
      </w:pPr>
      <w:r w:rsidRPr="000C63E9">
        <w:rPr>
          <w:rFonts w:ascii="Arial" w:hAnsi="Arial" w:cs="Arial"/>
        </w:rPr>
        <w:t xml:space="preserve">(Figure 1) </w:t>
      </w:r>
      <w:r w:rsidR="00874894" w:rsidRPr="000C63E9">
        <w:rPr>
          <w:rFonts w:ascii="Arial" w:hAnsi="Arial" w:cs="Arial"/>
          <w:noProof/>
        </w:rPr>
        <w:drawing>
          <wp:inline distT="0" distB="0" distL="0" distR="0" wp14:anchorId="6C58D77A" wp14:editId="08B8AD02">
            <wp:extent cx="2862580" cy="1964267"/>
            <wp:effectExtent l="0" t="0" r="0" b="0"/>
            <wp:docPr id="1898798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4726" cy="2000049"/>
                    </a:xfrm>
                    <a:prstGeom prst="rect">
                      <a:avLst/>
                    </a:prstGeom>
                    <a:noFill/>
                  </pic:spPr>
                </pic:pic>
              </a:graphicData>
            </a:graphic>
          </wp:inline>
        </w:drawing>
      </w:r>
    </w:p>
    <w:p w14:paraId="28C7DBEF" w14:textId="77777777" w:rsidR="004268D4" w:rsidRPr="000C63E9" w:rsidRDefault="004268D4" w:rsidP="000C63E9">
      <w:pPr>
        <w:spacing w:line="360" w:lineRule="auto"/>
        <w:contextualSpacing/>
        <w:rPr>
          <w:rFonts w:ascii="Arial" w:hAnsi="Arial" w:cs="Arial"/>
        </w:rPr>
      </w:pPr>
    </w:p>
    <w:p w14:paraId="07087C68" w14:textId="671E58BE" w:rsidR="00CB361C" w:rsidRPr="000C63E9" w:rsidRDefault="00CB361C" w:rsidP="000C63E9">
      <w:pPr>
        <w:spacing w:line="360" w:lineRule="auto"/>
        <w:contextualSpacing/>
        <w:rPr>
          <w:rFonts w:ascii="Arial" w:hAnsi="Arial" w:cs="Arial"/>
        </w:rPr>
      </w:pPr>
      <w:r w:rsidRPr="000C63E9">
        <w:rPr>
          <w:rFonts w:ascii="Arial" w:hAnsi="Arial" w:cs="Arial"/>
        </w:rPr>
        <w:t>Anorexia nervosa is significant from both a public health and clinical standpoint. In the UK, it affects approximately 1 in 250 women and 1 in 2,000 men, with increasing incidence among adolescents and young adults (NHS Digital, 2024)</w:t>
      </w:r>
      <w:r w:rsidR="001D0056" w:rsidRPr="000C63E9">
        <w:rPr>
          <w:rFonts w:ascii="Arial" w:hAnsi="Arial" w:cs="Arial"/>
        </w:rPr>
        <w:t xml:space="preserve"> </w:t>
      </w:r>
      <w:r w:rsidR="001D0056" w:rsidRPr="000C63E9">
        <w:rPr>
          <w:rFonts w:ascii="Arial" w:hAnsi="Arial" w:cs="Arial"/>
          <w:color w:val="4C94D8" w:themeColor="text2" w:themeTint="80"/>
        </w:rPr>
        <w:t>(1)</w:t>
      </w:r>
      <w:r w:rsidRPr="000C63E9">
        <w:rPr>
          <w:rFonts w:ascii="Arial" w:hAnsi="Arial" w:cs="Arial"/>
          <w:color w:val="4C94D8" w:themeColor="text2" w:themeTint="80"/>
        </w:rPr>
        <w:t xml:space="preserve">. </w:t>
      </w:r>
      <w:r w:rsidRPr="000C63E9">
        <w:rPr>
          <w:rFonts w:ascii="Arial" w:hAnsi="Arial" w:cs="Arial"/>
        </w:rPr>
        <w:t>These figures highlight the urgent need for effective presentation, treatment, and policy interventions. Furthermore, the disorder often consists of depression, anxiety, obsessive-compulsive traits, and substance use disorders, complicating management and increasing the risk of chronicity.</w:t>
      </w:r>
    </w:p>
    <w:p w14:paraId="5DC35A4E" w14:textId="77777777" w:rsidR="00CB361C" w:rsidRPr="000C63E9" w:rsidRDefault="00CB361C" w:rsidP="000C63E9">
      <w:pPr>
        <w:spacing w:line="360" w:lineRule="auto"/>
        <w:contextualSpacing/>
        <w:jc w:val="both"/>
        <w:rPr>
          <w:rFonts w:ascii="Arial" w:hAnsi="Arial" w:cs="Arial"/>
        </w:rPr>
      </w:pPr>
    </w:p>
    <w:p w14:paraId="6B995E65" w14:textId="5B5D5F11" w:rsidR="00CB361C" w:rsidRPr="000C63E9" w:rsidRDefault="00CB361C" w:rsidP="000C63E9">
      <w:pPr>
        <w:spacing w:line="360" w:lineRule="auto"/>
        <w:contextualSpacing/>
        <w:jc w:val="both"/>
        <w:rPr>
          <w:rFonts w:ascii="Arial" w:hAnsi="Arial" w:cs="Arial"/>
          <w:b/>
          <w:bCs/>
        </w:rPr>
      </w:pPr>
      <w:r w:rsidRPr="000C63E9">
        <w:rPr>
          <w:rFonts w:ascii="Arial" w:hAnsi="Arial" w:cs="Arial"/>
          <w:b/>
          <w:bCs/>
        </w:rPr>
        <w:lastRenderedPageBreak/>
        <w:t>Classification and Diagnosis</w:t>
      </w:r>
    </w:p>
    <w:p w14:paraId="75C746DE" w14:textId="46EC4026" w:rsidR="00CB361C" w:rsidRPr="000C63E9" w:rsidRDefault="00CB361C" w:rsidP="000C63E9">
      <w:pPr>
        <w:spacing w:line="360" w:lineRule="auto"/>
        <w:contextualSpacing/>
        <w:jc w:val="both"/>
        <w:rPr>
          <w:rFonts w:ascii="Arial" w:hAnsi="Arial" w:cs="Arial"/>
        </w:rPr>
      </w:pPr>
      <w:r w:rsidRPr="000C63E9">
        <w:rPr>
          <w:rFonts w:ascii="Arial" w:hAnsi="Arial" w:cs="Arial"/>
        </w:rPr>
        <w:t>Anorexia nervosa is classified under the Feeding or Eating Disorders section of the International Classification of Diseases, Eleventh Revision (ICD-11), published by the World Health Organisation (WHO, 2022)</w:t>
      </w:r>
      <w:r w:rsidR="00720AE8">
        <w:rPr>
          <w:rFonts w:ascii="Arial" w:hAnsi="Arial" w:cs="Arial"/>
        </w:rPr>
        <w:t xml:space="preserve"> </w:t>
      </w:r>
      <w:r w:rsidR="00720AE8" w:rsidRPr="00720AE8">
        <w:rPr>
          <w:rFonts w:ascii="Arial" w:hAnsi="Arial" w:cs="Arial"/>
          <w:color w:val="4C94D8" w:themeColor="text2" w:themeTint="80"/>
        </w:rPr>
        <w:t>(1)</w:t>
      </w:r>
      <w:r w:rsidRPr="00720AE8">
        <w:rPr>
          <w:rFonts w:ascii="Arial" w:hAnsi="Arial" w:cs="Arial"/>
          <w:color w:val="4C94D8" w:themeColor="text2" w:themeTint="80"/>
        </w:rPr>
        <w:t xml:space="preserve">. </w:t>
      </w:r>
      <w:r w:rsidRPr="000C63E9">
        <w:rPr>
          <w:rFonts w:ascii="Arial" w:hAnsi="Arial" w:cs="Arial"/>
        </w:rPr>
        <w:t>According to ICD-11, the disorder is defined by a persistent restriction of energy intake, resulting in significantly low body weight, accompanied by an intense fear of gaining weight and a distorted perception of body size or shape. The condition represents a disturbance in self-perception that drives behaviours to prevent weight gain, such as excessive dieting, fasting or exercising, even when dangerously underweight.</w:t>
      </w:r>
    </w:p>
    <w:p w14:paraId="78F6AE5A" w14:textId="77777777" w:rsidR="00CB361C" w:rsidRPr="000C63E9" w:rsidRDefault="00CB361C" w:rsidP="000C63E9">
      <w:pPr>
        <w:spacing w:line="360" w:lineRule="auto"/>
        <w:contextualSpacing/>
        <w:jc w:val="both"/>
        <w:rPr>
          <w:rFonts w:ascii="Arial" w:hAnsi="Arial" w:cs="Arial"/>
        </w:rPr>
      </w:pPr>
    </w:p>
    <w:p w14:paraId="2A8BAEB4"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The ICD-11 distinguishes two primary forms of anorexia nervosa:</w:t>
      </w:r>
    </w:p>
    <w:p w14:paraId="4BB9FA8B" w14:textId="49B41CA7" w:rsidR="00CB361C" w:rsidRPr="000C63E9" w:rsidRDefault="00CB361C" w:rsidP="000C63E9">
      <w:pPr>
        <w:numPr>
          <w:ilvl w:val="0"/>
          <w:numId w:val="1"/>
        </w:numPr>
        <w:spacing w:line="360" w:lineRule="auto"/>
        <w:contextualSpacing/>
        <w:jc w:val="both"/>
        <w:rPr>
          <w:rFonts w:ascii="Arial" w:hAnsi="Arial" w:cs="Arial"/>
        </w:rPr>
      </w:pPr>
      <w:r w:rsidRPr="000C63E9">
        <w:rPr>
          <w:rFonts w:ascii="Arial" w:hAnsi="Arial" w:cs="Arial"/>
          <w:b/>
          <w:bCs/>
        </w:rPr>
        <w:t>Restricting Type</w:t>
      </w:r>
      <w:r w:rsidRPr="000C63E9">
        <w:rPr>
          <w:rFonts w:ascii="Arial" w:hAnsi="Arial" w:cs="Arial"/>
        </w:rPr>
        <w:t xml:space="preserve"> – where weight loss results mainly from dieting, fasting, or excessive physical activity, without regular binge-eating or purging episodes.</w:t>
      </w:r>
    </w:p>
    <w:p w14:paraId="38CD8774" w14:textId="1DBC1580" w:rsidR="00CB361C" w:rsidRPr="000C63E9" w:rsidRDefault="00CB361C" w:rsidP="000C63E9">
      <w:pPr>
        <w:numPr>
          <w:ilvl w:val="0"/>
          <w:numId w:val="1"/>
        </w:numPr>
        <w:spacing w:line="360" w:lineRule="auto"/>
        <w:contextualSpacing/>
        <w:jc w:val="both"/>
        <w:rPr>
          <w:rFonts w:ascii="Arial" w:hAnsi="Arial" w:cs="Arial"/>
        </w:rPr>
      </w:pPr>
      <w:r w:rsidRPr="000C63E9">
        <w:rPr>
          <w:rFonts w:ascii="Arial" w:hAnsi="Arial" w:cs="Arial"/>
          <w:b/>
          <w:bCs/>
        </w:rPr>
        <w:t>Binge-Eating/Purging Type</w:t>
      </w:r>
      <w:r w:rsidRPr="000C63E9">
        <w:rPr>
          <w:rFonts w:ascii="Arial" w:hAnsi="Arial" w:cs="Arial"/>
        </w:rPr>
        <w:t xml:space="preserve"> – where episodes of binge-eating or purging behaviours, like self-induced vomiting or misuse of laxatives and diuretics, occur alongside restriction.</w:t>
      </w:r>
    </w:p>
    <w:p w14:paraId="3160D01A" w14:textId="77777777" w:rsidR="003C5A48" w:rsidRPr="000C63E9" w:rsidRDefault="003C5A48" w:rsidP="000C63E9">
      <w:pPr>
        <w:spacing w:line="360" w:lineRule="auto"/>
        <w:ind w:left="360"/>
        <w:contextualSpacing/>
        <w:jc w:val="both"/>
        <w:rPr>
          <w:rFonts w:ascii="Arial" w:hAnsi="Arial" w:cs="Arial"/>
        </w:rPr>
      </w:pPr>
    </w:p>
    <w:p w14:paraId="3FD248A1" w14:textId="7B7CD3C5" w:rsidR="00CB361C" w:rsidRPr="000C63E9" w:rsidRDefault="00CB361C" w:rsidP="000C63E9">
      <w:pPr>
        <w:spacing w:line="360" w:lineRule="auto"/>
        <w:contextualSpacing/>
        <w:jc w:val="both"/>
        <w:rPr>
          <w:rFonts w:ascii="Arial" w:hAnsi="Arial" w:cs="Arial"/>
        </w:rPr>
      </w:pPr>
      <w:r w:rsidRPr="000C63E9">
        <w:rPr>
          <w:rFonts w:ascii="Arial" w:hAnsi="Arial" w:cs="Arial"/>
        </w:rPr>
        <w:t xml:space="preserve">The ICD-11 emphasises that weight should be significantly low for the individual’s age, sex, and development stage, but avoids specifying a strict numerical body mass index (BMI) cut-off. The clinicians are encouraged to make a </w:t>
      </w:r>
      <w:r w:rsidR="007E3087" w:rsidRPr="000C63E9">
        <w:rPr>
          <w:rFonts w:ascii="Arial" w:hAnsi="Arial" w:cs="Arial"/>
        </w:rPr>
        <w:t>judgment</w:t>
      </w:r>
      <w:r w:rsidRPr="000C63E9">
        <w:rPr>
          <w:rFonts w:ascii="Arial" w:hAnsi="Arial" w:cs="Arial"/>
        </w:rPr>
        <w:t xml:space="preserve"> based on overall physical health and functional impairment.</w:t>
      </w:r>
    </w:p>
    <w:p w14:paraId="3F4609EA" w14:textId="77777777" w:rsidR="003C5A48" w:rsidRPr="000C63E9" w:rsidRDefault="003C5A48" w:rsidP="000C63E9">
      <w:pPr>
        <w:spacing w:line="360" w:lineRule="auto"/>
        <w:contextualSpacing/>
        <w:jc w:val="both"/>
        <w:rPr>
          <w:rFonts w:ascii="Arial" w:hAnsi="Arial" w:cs="Arial"/>
        </w:rPr>
      </w:pPr>
    </w:p>
    <w:p w14:paraId="01391A04" w14:textId="5FDAC797" w:rsidR="00CB361C" w:rsidRPr="000C63E9" w:rsidRDefault="00CB361C" w:rsidP="000C63E9">
      <w:pPr>
        <w:spacing w:line="360" w:lineRule="auto"/>
        <w:contextualSpacing/>
        <w:jc w:val="both"/>
        <w:rPr>
          <w:rFonts w:ascii="Arial" w:hAnsi="Arial" w:cs="Arial"/>
        </w:rPr>
      </w:pPr>
      <w:r w:rsidRPr="000C63E9">
        <w:rPr>
          <w:rFonts w:ascii="Arial" w:hAnsi="Arial" w:cs="Arial"/>
        </w:rPr>
        <w:t>The National Institute for Health and Care Excellence (NICE, 2020)</w:t>
      </w:r>
      <w:r w:rsidR="00F87F9E" w:rsidRPr="000C63E9">
        <w:rPr>
          <w:rFonts w:ascii="Arial" w:hAnsi="Arial" w:cs="Arial"/>
          <w:color w:val="4C94D8" w:themeColor="text2" w:themeTint="80"/>
        </w:rPr>
        <w:t xml:space="preserve"> (1)</w:t>
      </w:r>
      <w:r w:rsidRPr="000C63E9">
        <w:rPr>
          <w:rFonts w:ascii="Arial" w:hAnsi="Arial" w:cs="Arial"/>
          <w:color w:val="4C94D8" w:themeColor="text2" w:themeTint="80"/>
        </w:rPr>
        <w:t xml:space="preserve"> </w:t>
      </w:r>
      <w:r w:rsidRPr="000C63E9">
        <w:rPr>
          <w:rFonts w:ascii="Arial" w:hAnsi="Arial" w:cs="Arial"/>
        </w:rPr>
        <w:t>defines anorexia nervosa as a mental health disorder involving both physical and psychological symptoms. Its core diagnostic features closely align with ICD-11 but are operationalised for UK clinicians as follows:</w:t>
      </w:r>
    </w:p>
    <w:p w14:paraId="06A7B08C"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 Restriction of food intake</w:t>
      </w:r>
    </w:p>
    <w:p w14:paraId="6A2C9AF6"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 Intense fear of gaining weight</w:t>
      </w:r>
    </w:p>
    <w:p w14:paraId="4C41CC3B"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 Distorted body image</w:t>
      </w:r>
    </w:p>
    <w:p w14:paraId="1344CD80" w14:textId="478AA279" w:rsidR="00CB361C" w:rsidRPr="000C63E9" w:rsidRDefault="00CB361C" w:rsidP="000C63E9">
      <w:pPr>
        <w:spacing w:line="360" w:lineRule="auto"/>
        <w:contextualSpacing/>
        <w:jc w:val="both"/>
        <w:rPr>
          <w:rFonts w:ascii="Arial" w:hAnsi="Arial" w:cs="Arial"/>
        </w:rPr>
      </w:pPr>
      <w:r w:rsidRPr="000C63E9">
        <w:rPr>
          <w:rFonts w:ascii="Arial" w:hAnsi="Arial" w:cs="Arial"/>
        </w:rPr>
        <w:t>* Persistent behaviour</w:t>
      </w:r>
    </w:p>
    <w:p w14:paraId="794029D7" w14:textId="77777777" w:rsidR="003C5A48" w:rsidRPr="000C63E9" w:rsidRDefault="003C5A48" w:rsidP="000C63E9">
      <w:pPr>
        <w:spacing w:line="360" w:lineRule="auto"/>
        <w:contextualSpacing/>
        <w:jc w:val="both"/>
        <w:rPr>
          <w:rFonts w:ascii="Arial" w:hAnsi="Arial" w:cs="Arial"/>
        </w:rPr>
      </w:pPr>
    </w:p>
    <w:p w14:paraId="518C67B6" w14:textId="133E7C80" w:rsidR="00CB361C" w:rsidRPr="000C63E9" w:rsidRDefault="00CB361C" w:rsidP="000C63E9">
      <w:pPr>
        <w:spacing w:line="360" w:lineRule="auto"/>
        <w:contextualSpacing/>
        <w:jc w:val="both"/>
        <w:rPr>
          <w:rFonts w:ascii="Arial" w:hAnsi="Arial" w:cs="Arial"/>
        </w:rPr>
      </w:pPr>
      <w:r w:rsidRPr="000C63E9">
        <w:rPr>
          <w:rFonts w:ascii="Arial" w:hAnsi="Arial" w:cs="Arial"/>
        </w:rPr>
        <w:t>NICE guidance (NG69) highlights that diagnosis should not rely solely on BMI or body weight measurements; instead, it recommends a holistic assessment of eating patterns, physical health and psychological functioning. This will detect the disorder early, even when patients are not yet medically underweight but display clear psychological features and harmful behaviours.</w:t>
      </w:r>
      <w:r w:rsidR="00F12F5F" w:rsidRPr="000C63E9">
        <w:rPr>
          <w:rFonts w:ascii="Arial" w:hAnsi="Arial" w:cs="Arial"/>
        </w:rPr>
        <w:t xml:space="preserve"> </w:t>
      </w:r>
      <w:r w:rsidR="00CB03A7" w:rsidRPr="000C63E9">
        <w:rPr>
          <w:rFonts w:ascii="Arial" w:hAnsi="Arial" w:cs="Arial"/>
        </w:rPr>
        <w:t>“</w:t>
      </w:r>
      <w:r w:rsidR="00F12F5F" w:rsidRPr="000C63E9">
        <w:rPr>
          <w:rFonts w:ascii="Arial" w:hAnsi="Arial" w:cs="Arial"/>
        </w:rPr>
        <w:t>I</w:t>
      </w:r>
      <w:r w:rsidR="00D46925" w:rsidRPr="000C63E9">
        <w:rPr>
          <w:rFonts w:ascii="Arial" w:hAnsi="Arial" w:cs="Arial"/>
        </w:rPr>
        <w:t>n 2023, among young people aged 11-16 years, 12.3%</w:t>
      </w:r>
      <w:r w:rsidR="006676E8" w:rsidRPr="000C63E9">
        <w:rPr>
          <w:rFonts w:ascii="Arial" w:hAnsi="Arial" w:cs="Arial"/>
        </w:rPr>
        <w:t xml:space="preserve"> screened positive for possible eating problems; among those aged 17-19 years</w:t>
      </w:r>
      <w:r w:rsidR="00C86B4D" w:rsidRPr="000C63E9">
        <w:rPr>
          <w:rFonts w:ascii="Arial" w:hAnsi="Arial" w:cs="Arial"/>
        </w:rPr>
        <w:t>,</w:t>
      </w:r>
      <w:r w:rsidR="006676E8" w:rsidRPr="000C63E9">
        <w:rPr>
          <w:rFonts w:ascii="Arial" w:hAnsi="Arial" w:cs="Arial"/>
        </w:rPr>
        <w:t xml:space="preserve"> it was 59.4%</w:t>
      </w:r>
      <w:r w:rsidR="00CB03A7" w:rsidRPr="000C63E9">
        <w:rPr>
          <w:rFonts w:ascii="Arial" w:hAnsi="Arial" w:cs="Arial"/>
        </w:rPr>
        <w:t>”</w:t>
      </w:r>
      <w:r w:rsidR="006676E8" w:rsidRPr="000C63E9">
        <w:rPr>
          <w:rFonts w:ascii="Arial" w:hAnsi="Arial" w:cs="Arial"/>
        </w:rPr>
        <w:t xml:space="preserve"> (</w:t>
      </w:r>
      <w:r w:rsidR="00C86B4D" w:rsidRPr="000C63E9">
        <w:rPr>
          <w:rFonts w:ascii="Arial" w:hAnsi="Arial" w:cs="Arial"/>
        </w:rPr>
        <w:t>NHS Digital, 2023)</w:t>
      </w:r>
      <w:r w:rsidR="00022F32" w:rsidRPr="000C63E9">
        <w:rPr>
          <w:rFonts w:ascii="Arial" w:hAnsi="Arial" w:cs="Arial"/>
        </w:rPr>
        <w:t xml:space="preserve"> </w:t>
      </w:r>
      <w:r w:rsidR="00022F32" w:rsidRPr="000C63E9">
        <w:rPr>
          <w:rFonts w:ascii="Arial" w:hAnsi="Arial" w:cs="Arial"/>
          <w:color w:val="4C94D8" w:themeColor="text2" w:themeTint="80"/>
        </w:rPr>
        <w:t>(1)</w:t>
      </w:r>
      <w:r w:rsidR="00C86B4D" w:rsidRPr="000C63E9">
        <w:rPr>
          <w:rFonts w:ascii="Arial" w:hAnsi="Arial" w:cs="Arial"/>
          <w:color w:val="4C94D8" w:themeColor="text2" w:themeTint="80"/>
        </w:rPr>
        <w:t>.</w:t>
      </w:r>
    </w:p>
    <w:p w14:paraId="575EC9C2" w14:textId="77777777" w:rsidR="003C5A48" w:rsidRPr="000C63E9" w:rsidRDefault="003C5A48" w:rsidP="000C63E9">
      <w:pPr>
        <w:spacing w:line="360" w:lineRule="auto"/>
        <w:contextualSpacing/>
        <w:jc w:val="both"/>
        <w:rPr>
          <w:rFonts w:ascii="Arial" w:hAnsi="Arial" w:cs="Arial"/>
        </w:rPr>
      </w:pPr>
    </w:p>
    <w:p w14:paraId="1273A483" w14:textId="4D341149" w:rsidR="00CB361C" w:rsidRPr="000C63E9" w:rsidRDefault="00CB361C" w:rsidP="000C63E9">
      <w:pPr>
        <w:spacing w:line="360" w:lineRule="auto"/>
        <w:contextualSpacing/>
        <w:jc w:val="both"/>
        <w:rPr>
          <w:rFonts w:ascii="Arial" w:hAnsi="Arial" w:cs="Arial"/>
        </w:rPr>
      </w:pPr>
      <w:r w:rsidRPr="000C63E9">
        <w:rPr>
          <w:rFonts w:ascii="Arial" w:hAnsi="Arial" w:cs="Arial"/>
        </w:rPr>
        <w:t>In summary, the ICD-11 provides a standardised international framework for classification and reporting</w:t>
      </w:r>
      <w:r w:rsidR="00EC0627" w:rsidRPr="000C63E9">
        <w:rPr>
          <w:rFonts w:ascii="Arial" w:hAnsi="Arial" w:cs="Arial"/>
        </w:rPr>
        <w:t>. At the same time,</w:t>
      </w:r>
      <w:r w:rsidRPr="000C63E9">
        <w:rPr>
          <w:rFonts w:ascii="Arial" w:hAnsi="Arial" w:cs="Arial"/>
        </w:rPr>
        <w:t xml:space="preserve"> the NHS/NICE guidelines translate these definitions into practical clinical processes used in primary and specialist care settings. Together, these diagnostic systems ensure that anorexia nervosa is recognised not only by its physical symptoms but also by the underlying psychological disturbance and social consequences that define the disorder.</w:t>
      </w:r>
    </w:p>
    <w:p w14:paraId="63C1E108" w14:textId="77777777" w:rsidR="003C5A48" w:rsidRPr="000C63E9" w:rsidRDefault="003C5A48" w:rsidP="000C63E9">
      <w:pPr>
        <w:spacing w:line="360" w:lineRule="auto"/>
        <w:contextualSpacing/>
        <w:jc w:val="both"/>
        <w:rPr>
          <w:rFonts w:ascii="Arial" w:hAnsi="Arial" w:cs="Arial"/>
        </w:rPr>
      </w:pPr>
    </w:p>
    <w:p w14:paraId="797ADE93" w14:textId="4A798A97" w:rsidR="00CB361C" w:rsidRPr="000C63E9" w:rsidRDefault="00CB361C" w:rsidP="000C63E9">
      <w:pPr>
        <w:spacing w:line="360" w:lineRule="auto"/>
        <w:contextualSpacing/>
        <w:jc w:val="both"/>
        <w:rPr>
          <w:rFonts w:ascii="Arial" w:hAnsi="Arial" w:cs="Arial"/>
        </w:rPr>
      </w:pPr>
      <w:r w:rsidRPr="000C63E9">
        <w:rPr>
          <w:rFonts w:ascii="Arial" w:hAnsi="Arial" w:cs="Arial"/>
        </w:rPr>
        <w:t>Internationally, anorexia nervosa is diagnosed using two main frameworks: the ICD-11 (World Health Organisation) and the DSM-5-TR (American Psychiatric Association). The UK primarily follows the ICD-11 and NICE guidelines (NG69), applying a more flexible, holistic, and multidisciplinary approach within NHS services. UK clinicians often work within legal frameworks such as the Mental Health Act 1983 and the Mental Capacity Act 2005 when patients are at serious risk. Overall, while international criteria provide global consistency, UK diagnostic practice emphasises person-centred care, early detection, and safeguarding, reflecting national policies and public-health priorities</w:t>
      </w:r>
      <w:r w:rsidR="00506A97">
        <w:rPr>
          <w:rFonts w:ascii="Arial" w:hAnsi="Arial" w:cs="Arial"/>
        </w:rPr>
        <w:t xml:space="preserve"> or is at serious risk where they may need compulsory assessment or treatment</w:t>
      </w:r>
      <w:r w:rsidR="003958B5">
        <w:rPr>
          <w:rFonts w:ascii="Arial" w:hAnsi="Arial" w:cs="Arial"/>
        </w:rPr>
        <w:t xml:space="preserve"> (Mental </w:t>
      </w:r>
      <w:r w:rsidR="006B0F8A">
        <w:rPr>
          <w:rFonts w:ascii="Arial" w:hAnsi="Arial" w:cs="Arial"/>
        </w:rPr>
        <w:t>Health</w:t>
      </w:r>
      <w:r w:rsidR="003958B5">
        <w:rPr>
          <w:rFonts w:ascii="Arial" w:hAnsi="Arial" w:cs="Arial"/>
        </w:rPr>
        <w:t xml:space="preserve"> Act, </w:t>
      </w:r>
      <w:r w:rsidR="00A82267">
        <w:rPr>
          <w:rFonts w:ascii="Arial" w:hAnsi="Arial" w:cs="Arial"/>
        </w:rPr>
        <w:t>1983</w:t>
      </w:r>
      <w:r w:rsidR="003958B5">
        <w:rPr>
          <w:rFonts w:ascii="Arial" w:hAnsi="Arial" w:cs="Arial"/>
        </w:rPr>
        <w:t>).</w:t>
      </w:r>
    </w:p>
    <w:p w14:paraId="7B05530B" w14:textId="77777777" w:rsidR="00CB361C" w:rsidRPr="000C63E9" w:rsidRDefault="00CB361C" w:rsidP="000C63E9">
      <w:pPr>
        <w:spacing w:line="360" w:lineRule="auto"/>
        <w:contextualSpacing/>
        <w:jc w:val="both"/>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608"/>
        <w:gridCol w:w="8418"/>
      </w:tblGrid>
      <w:tr w:rsidR="00CB361C" w:rsidRPr="000C63E9" w14:paraId="52F5F45C" w14:textId="77777777" w:rsidTr="00DE28E6">
        <w:tc>
          <w:tcPr>
            <w:tcW w:w="660" w:type="dxa"/>
            <w:tcMar>
              <w:top w:w="0" w:type="dxa"/>
              <w:left w:w="240" w:type="dxa"/>
              <w:bottom w:w="0" w:type="dxa"/>
              <w:right w:w="240" w:type="dxa"/>
            </w:tcMar>
            <w:hideMark/>
          </w:tcPr>
          <w:p w14:paraId="79B994F3" w14:textId="77777777" w:rsidR="00CB361C" w:rsidRPr="000C63E9" w:rsidRDefault="00CB361C" w:rsidP="000C63E9">
            <w:pPr>
              <w:spacing w:line="360" w:lineRule="auto"/>
              <w:contextualSpacing/>
              <w:jc w:val="both"/>
              <w:rPr>
                <w:rFonts w:ascii="Arial" w:hAnsi="Arial" w:cs="Arial"/>
              </w:rPr>
            </w:pPr>
          </w:p>
        </w:tc>
        <w:tc>
          <w:tcPr>
            <w:tcW w:w="12030" w:type="dxa"/>
            <w:tcMar>
              <w:top w:w="0" w:type="dxa"/>
              <w:left w:w="0" w:type="dxa"/>
              <w:bottom w:w="0" w:type="dxa"/>
              <w:right w:w="0" w:type="dxa"/>
            </w:tcMar>
            <w:vAlign w:val="center"/>
            <w:hideMark/>
          </w:tcPr>
          <w:p w14:paraId="5F942FAD" w14:textId="77777777" w:rsidR="00CB361C" w:rsidRPr="000C63E9" w:rsidRDefault="00CB361C" w:rsidP="000C63E9">
            <w:pPr>
              <w:spacing w:line="360" w:lineRule="auto"/>
              <w:contextualSpacing/>
              <w:jc w:val="both"/>
              <w:rPr>
                <w:rFonts w:ascii="Arial" w:hAnsi="Arial" w:cs="Arial"/>
              </w:rPr>
            </w:pPr>
          </w:p>
        </w:tc>
      </w:tr>
    </w:tbl>
    <w:p w14:paraId="40AC5892" w14:textId="77777777" w:rsidR="00CB361C" w:rsidRPr="000C63E9" w:rsidRDefault="00CB361C" w:rsidP="000C63E9">
      <w:pPr>
        <w:spacing w:line="360" w:lineRule="auto"/>
        <w:contextualSpacing/>
        <w:jc w:val="both"/>
        <w:rPr>
          <w:rFonts w:ascii="Arial" w:hAnsi="Arial" w:cs="Arial"/>
          <w:b/>
          <w:bCs/>
        </w:rPr>
      </w:pPr>
      <w:r w:rsidRPr="000C63E9">
        <w:rPr>
          <w:rFonts w:ascii="Arial" w:hAnsi="Arial" w:cs="Arial"/>
          <w:b/>
          <w:bCs/>
        </w:rPr>
        <w:t>Treatment Approaches</w:t>
      </w:r>
    </w:p>
    <w:p w14:paraId="2ECEA924" w14:textId="6DF2C1F6" w:rsidR="00CB361C" w:rsidRPr="000C63E9" w:rsidRDefault="00CB361C" w:rsidP="000C63E9">
      <w:pPr>
        <w:spacing w:line="360" w:lineRule="auto"/>
        <w:contextualSpacing/>
        <w:jc w:val="both"/>
        <w:rPr>
          <w:rFonts w:ascii="Arial" w:hAnsi="Arial" w:cs="Arial"/>
        </w:rPr>
      </w:pPr>
      <w:r w:rsidRPr="000C63E9">
        <w:rPr>
          <w:rFonts w:ascii="Arial" w:hAnsi="Arial" w:cs="Arial"/>
        </w:rPr>
        <w:t>Treatment for anorexia nervosa in the UK combines psychological therapies, nutritional rehabilitation, and limited pharmacological support. Psychological therapies are considered the first-line approach, as recommended by the National Institute for Health and Care Excellence (NICE, 2020)</w:t>
      </w:r>
      <w:r w:rsidR="009E164A" w:rsidRPr="000C63E9">
        <w:rPr>
          <w:rFonts w:ascii="Arial" w:hAnsi="Arial" w:cs="Arial"/>
        </w:rPr>
        <w:t xml:space="preserve"> </w:t>
      </w:r>
      <w:r w:rsidR="009E164A" w:rsidRPr="000C63E9">
        <w:rPr>
          <w:rFonts w:ascii="Arial" w:hAnsi="Arial" w:cs="Arial"/>
          <w:color w:val="4C94D8" w:themeColor="text2" w:themeTint="80"/>
        </w:rPr>
        <w:t>(2)</w:t>
      </w:r>
      <w:r w:rsidRPr="000C63E9">
        <w:rPr>
          <w:rFonts w:ascii="Arial" w:hAnsi="Arial" w:cs="Arial"/>
          <w:color w:val="4C94D8" w:themeColor="text2" w:themeTint="80"/>
        </w:rPr>
        <w:t xml:space="preserve">. </w:t>
      </w:r>
      <w:r w:rsidRPr="000C63E9">
        <w:rPr>
          <w:rFonts w:ascii="Arial" w:hAnsi="Arial" w:cs="Arial"/>
        </w:rPr>
        <w:t>Family-based therapy is the preferred option for children and adolescents, while adults are usually treated with Cognitive Behavioural Therapy for Eating Disorders (CBT-ED), the Maudsley Anorexia Nervosa Treatment for Adults (MANTRA), or Specialist Supportive Clinical Management. These evidence-based therapies focus on modifying distorted beliefs about food and body image, improving emotional regulation, and restoring healthy eating behaviours. They are delivered by multidisciplinary teams within NHS specialist eating disorder services to ensure both medical and psychological needs are addressed.</w:t>
      </w:r>
    </w:p>
    <w:p w14:paraId="0500BC44" w14:textId="77777777" w:rsidR="00CB361C" w:rsidRPr="000C63E9" w:rsidRDefault="00CB361C" w:rsidP="000C63E9">
      <w:pPr>
        <w:spacing w:line="360" w:lineRule="auto"/>
        <w:contextualSpacing/>
        <w:jc w:val="both"/>
        <w:rPr>
          <w:rFonts w:ascii="Arial" w:hAnsi="Arial" w:cs="Arial"/>
        </w:rPr>
      </w:pPr>
    </w:p>
    <w:p w14:paraId="493B8439"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 xml:space="preserve">Pharmacological treatment plays a more limited role, as no medication is currently licensed in the UK specifically for anorexia nervosa (Royal College of Psychiatrists, 2023). Medications such as selective serotonin reuptake inhibitors (SSRIs) may be used to manage co-existing anxiety or depression once weight stabilises, but their effectiveness in addressing core anorexic symptoms is minimal (NHS, 2024). NICE (2020) advises that drug treatment should only be considered as an adjunct to psychological therapy and medical monitoring. This </w:t>
      </w:r>
      <w:r w:rsidRPr="000C63E9">
        <w:rPr>
          <w:rFonts w:ascii="Arial" w:hAnsi="Arial" w:cs="Arial"/>
        </w:rPr>
        <w:lastRenderedPageBreak/>
        <w:t>cautious stance helps minimise unnecessary pharmacological intervention and prioritises psychosocial treatment, although it also limits therapeutic options for individuals unresponsive to psychological approaches alone.</w:t>
      </w:r>
    </w:p>
    <w:p w14:paraId="154B7E7F" w14:textId="77777777" w:rsidR="00CB361C" w:rsidRPr="000C63E9" w:rsidRDefault="00CB361C" w:rsidP="000C63E9">
      <w:pPr>
        <w:spacing w:line="360" w:lineRule="auto"/>
        <w:contextualSpacing/>
        <w:jc w:val="both"/>
        <w:rPr>
          <w:rFonts w:ascii="Arial" w:hAnsi="Arial" w:cs="Arial"/>
        </w:rPr>
      </w:pPr>
    </w:p>
    <w:p w14:paraId="0B4C56C0" w14:textId="2338C86B" w:rsidR="00CB361C" w:rsidRPr="000C63E9" w:rsidRDefault="00CB361C" w:rsidP="000C63E9">
      <w:pPr>
        <w:spacing w:line="360" w:lineRule="auto"/>
        <w:contextualSpacing/>
        <w:jc w:val="both"/>
        <w:rPr>
          <w:rFonts w:ascii="Arial" w:hAnsi="Arial" w:cs="Arial"/>
        </w:rPr>
      </w:pPr>
      <w:r w:rsidRPr="000C63E9">
        <w:rPr>
          <w:rFonts w:ascii="Arial" w:hAnsi="Arial" w:cs="Arial"/>
        </w:rPr>
        <w:t>The UK healthcare system manages treatment delivery through the NHS’s stepped-care model, which includes Community Eating Disorder Services (CEDS) and specialist inpatient units. These services aim to provide early assessment, outpatient psychological therapy, and hospital admission when severe medical risk is present (NHS England, 2019). Multidisciplinary collaboration among psychiatrists, psychologists, dietitians, and nurses ensures comprehensive care, consistent with NICE (2020) guidelines. However, accessibility remains a major issue. NHS Digital (2024)</w:t>
      </w:r>
      <w:r w:rsidR="00524AAE" w:rsidRPr="000C63E9">
        <w:rPr>
          <w:rFonts w:ascii="Arial" w:hAnsi="Arial" w:cs="Arial"/>
        </w:rPr>
        <w:t xml:space="preserve"> </w:t>
      </w:r>
      <w:r w:rsidR="00524AAE" w:rsidRPr="000C63E9">
        <w:rPr>
          <w:rFonts w:ascii="Arial" w:hAnsi="Arial" w:cs="Arial"/>
          <w:color w:val="4C94D8" w:themeColor="text2" w:themeTint="80"/>
        </w:rPr>
        <w:t>(2)</w:t>
      </w:r>
      <w:r w:rsidRPr="000C63E9">
        <w:rPr>
          <w:rFonts w:ascii="Arial" w:hAnsi="Arial" w:cs="Arial"/>
          <w:color w:val="4C94D8" w:themeColor="text2" w:themeTint="80"/>
        </w:rPr>
        <w:t xml:space="preserve"> </w:t>
      </w:r>
      <w:r w:rsidRPr="000C63E9">
        <w:rPr>
          <w:rFonts w:ascii="Arial" w:hAnsi="Arial" w:cs="Arial"/>
        </w:rPr>
        <w:t>reports a continued rise in eating disorder hospital admissions, reflecting service pressures and long waiting times. Regional disparities in service capacity and workforce shortages further restrict access, particularly for adults, despite improvements in early intervention for children and young people (NHS Digital, 2023)</w:t>
      </w:r>
      <w:r w:rsidR="00022F32" w:rsidRPr="000C63E9">
        <w:rPr>
          <w:rFonts w:ascii="Arial" w:hAnsi="Arial" w:cs="Arial"/>
        </w:rPr>
        <w:t xml:space="preserve"> </w:t>
      </w:r>
      <w:r w:rsidR="00022F32" w:rsidRPr="000C63E9">
        <w:rPr>
          <w:rFonts w:ascii="Arial" w:hAnsi="Arial" w:cs="Arial"/>
          <w:color w:val="45B0E1" w:themeColor="accent1" w:themeTint="99"/>
        </w:rPr>
        <w:t>(2)</w:t>
      </w:r>
      <w:r w:rsidRPr="000C63E9">
        <w:rPr>
          <w:rFonts w:ascii="Arial" w:hAnsi="Arial" w:cs="Arial"/>
          <w:color w:val="45B0E1" w:themeColor="accent1" w:themeTint="99"/>
        </w:rPr>
        <w:t>.</w:t>
      </w:r>
    </w:p>
    <w:p w14:paraId="243A38DF" w14:textId="77777777" w:rsidR="00CB361C" w:rsidRPr="000C63E9" w:rsidRDefault="00CB361C" w:rsidP="000C63E9">
      <w:pPr>
        <w:spacing w:line="360" w:lineRule="auto"/>
        <w:contextualSpacing/>
        <w:jc w:val="both"/>
        <w:rPr>
          <w:rFonts w:ascii="Arial" w:hAnsi="Arial" w:cs="Arial"/>
        </w:rPr>
      </w:pPr>
    </w:p>
    <w:p w14:paraId="1B0D877E" w14:textId="06DA0D77" w:rsidR="00CB361C" w:rsidRPr="000C63E9" w:rsidRDefault="00CB361C" w:rsidP="000C63E9">
      <w:pPr>
        <w:spacing w:line="360" w:lineRule="auto"/>
        <w:contextualSpacing/>
        <w:jc w:val="both"/>
        <w:rPr>
          <w:rFonts w:ascii="Arial" w:hAnsi="Arial" w:cs="Arial"/>
        </w:rPr>
      </w:pPr>
      <w:r w:rsidRPr="000C63E9">
        <w:rPr>
          <w:rFonts w:ascii="Arial" w:hAnsi="Arial" w:cs="Arial"/>
        </w:rPr>
        <w:t>In terms of effectiveness, psychological therapies have demonstrated positive outcomes, particularly family-based interventions for younger patients—yet relapse rates remain high and full recovery is often prolonged (NICE, 2020</w:t>
      </w:r>
      <w:r w:rsidR="00213405" w:rsidRPr="000C63E9">
        <w:rPr>
          <w:rFonts w:ascii="Arial" w:hAnsi="Arial" w:cs="Arial"/>
          <w:color w:val="4C94D8" w:themeColor="text2" w:themeTint="80"/>
        </w:rPr>
        <w:t xml:space="preserve"> (3)</w:t>
      </w:r>
      <w:r w:rsidRPr="000C63E9">
        <w:rPr>
          <w:rFonts w:ascii="Arial" w:hAnsi="Arial" w:cs="Arial"/>
        </w:rPr>
        <w:t xml:space="preserve">; NHS, 2024). Pharmacological treatments show limited clinical benefit, and evidence for new biological interventions remains inconclusive (Royal College of Psychiatrists, 2023). The NHS model’s strength lies in its holistic, patient-centred, and multidisciplinary focus, though under-resourcing and variable access hinder consistency in outcomes. </w:t>
      </w:r>
      <w:r w:rsidR="00A055F0" w:rsidRPr="000C63E9">
        <w:rPr>
          <w:rFonts w:ascii="Arial" w:hAnsi="Arial" w:cs="Arial"/>
        </w:rPr>
        <w:t xml:space="preserve">“Hospital admissions for eating disorders in </w:t>
      </w:r>
      <w:r w:rsidR="00BE0DC5" w:rsidRPr="000C63E9">
        <w:rPr>
          <w:rFonts w:ascii="Arial" w:hAnsi="Arial" w:cs="Arial"/>
        </w:rPr>
        <w:t>England</w:t>
      </w:r>
      <w:r w:rsidR="0011785C" w:rsidRPr="000C63E9">
        <w:rPr>
          <w:rFonts w:ascii="Arial" w:hAnsi="Arial" w:cs="Arial"/>
        </w:rPr>
        <w:t xml:space="preserve"> increased by 84% between 2015/16 and 2020/21, </w:t>
      </w:r>
      <w:r w:rsidR="00BE0DC5" w:rsidRPr="000C63E9">
        <w:rPr>
          <w:rFonts w:ascii="Arial" w:hAnsi="Arial" w:cs="Arial"/>
        </w:rPr>
        <w:t>with the rate among children and young people</w:t>
      </w:r>
      <w:r w:rsidR="0004034D" w:rsidRPr="000C63E9">
        <w:rPr>
          <w:rFonts w:ascii="Arial" w:hAnsi="Arial" w:cs="Arial"/>
        </w:rPr>
        <w:t xml:space="preserve"> rising by approximately 90% in this period” (</w:t>
      </w:r>
      <w:r w:rsidR="00455CD0" w:rsidRPr="000C63E9">
        <w:rPr>
          <w:rFonts w:ascii="Arial" w:hAnsi="Arial" w:cs="Arial"/>
        </w:rPr>
        <w:t xml:space="preserve">NICE, 2024). </w:t>
      </w:r>
    </w:p>
    <w:p w14:paraId="43526238" w14:textId="77777777" w:rsidR="00455CD0" w:rsidRPr="000C63E9" w:rsidRDefault="00455CD0" w:rsidP="000C63E9">
      <w:pPr>
        <w:spacing w:line="360" w:lineRule="auto"/>
        <w:contextualSpacing/>
        <w:jc w:val="both"/>
        <w:rPr>
          <w:rFonts w:ascii="Arial" w:hAnsi="Arial" w:cs="Arial"/>
        </w:rPr>
      </w:pPr>
    </w:p>
    <w:p w14:paraId="07FF816C"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Overall, UK treatment for anorexia nervosa prioritises psychological care within a multidisciplinary NHS framework, offering a strong evidence base but facing challenges in accessibility and long-term recovery outcomes.</w:t>
      </w:r>
    </w:p>
    <w:p w14:paraId="1961E424" w14:textId="77777777" w:rsidR="00CB361C" w:rsidRPr="000C63E9" w:rsidRDefault="00CB361C" w:rsidP="000C63E9">
      <w:pPr>
        <w:spacing w:line="360" w:lineRule="auto"/>
        <w:contextualSpacing/>
        <w:jc w:val="both"/>
        <w:rPr>
          <w:rFonts w:ascii="Arial" w:hAnsi="Arial" w:cs="Arial"/>
          <w:b/>
          <w:bCs/>
        </w:rPr>
      </w:pPr>
    </w:p>
    <w:tbl>
      <w:tblPr>
        <w:tblW w:w="0" w:type="auto"/>
        <w:tblCellMar>
          <w:top w:w="15" w:type="dxa"/>
          <w:left w:w="15" w:type="dxa"/>
          <w:bottom w:w="15" w:type="dxa"/>
          <w:right w:w="15" w:type="dxa"/>
        </w:tblCellMar>
        <w:tblLook w:val="04A0" w:firstRow="1" w:lastRow="0" w:firstColumn="1" w:lastColumn="0" w:noHBand="0" w:noVBand="1"/>
      </w:tblPr>
      <w:tblGrid>
        <w:gridCol w:w="608"/>
        <w:gridCol w:w="8418"/>
      </w:tblGrid>
      <w:tr w:rsidR="00CB361C" w:rsidRPr="000C63E9" w14:paraId="55A278EF" w14:textId="77777777" w:rsidTr="00DE28E6">
        <w:tc>
          <w:tcPr>
            <w:tcW w:w="608" w:type="dxa"/>
            <w:tcMar>
              <w:top w:w="0" w:type="dxa"/>
              <w:left w:w="240" w:type="dxa"/>
              <w:bottom w:w="0" w:type="dxa"/>
              <w:right w:w="240" w:type="dxa"/>
            </w:tcMar>
            <w:hideMark/>
          </w:tcPr>
          <w:p w14:paraId="7014D177" w14:textId="77777777" w:rsidR="00CB361C" w:rsidRPr="000C63E9" w:rsidRDefault="00CB361C" w:rsidP="000C63E9">
            <w:pPr>
              <w:spacing w:line="360" w:lineRule="auto"/>
              <w:contextualSpacing/>
              <w:jc w:val="both"/>
              <w:rPr>
                <w:rFonts w:ascii="Arial" w:hAnsi="Arial" w:cs="Arial"/>
                <w:b/>
                <w:bCs/>
              </w:rPr>
            </w:pPr>
          </w:p>
        </w:tc>
        <w:tc>
          <w:tcPr>
            <w:tcW w:w="8418" w:type="dxa"/>
            <w:tcMar>
              <w:top w:w="0" w:type="dxa"/>
              <w:left w:w="0" w:type="dxa"/>
              <w:bottom w:w="0" w:type="dxa"/>
              <w:right w:w="0" w:type="dxa"/>
            </w:tcMar>
            <w:vAlign w:val="center"/>
            <w:hideMark/>
          </w:tcPr>
          <w:p w14:paraId="69B4BC23" w14:textId="77777777" w:rsidR="00CB361C" w:rsidRPr="000C63E9" w:rsidRDefault="00CB361C" w:rsidP="000C63E9">
            <w:pPr>
              <w:spacing w:line="360" w:lineRule="auto"/>
              <w:contextualSpacing/>
              <w:jc w:val="both"/>
              <w:rPr>
                <w:rFonts w:ascii="Arial" w:hAnsi="Arial" w:cs="Arial"/>
                <w:b/>
                <w:bCs/>
              </w:rPr>
            </w:pPr>
          </w:p>
        </w:tc>
      </w:tr>
      <w:tr w:rsidR="00CB361C" w:rsidRPr="000C63E9" w14:paraId="6B075986" w14:textId="77777777" w:rsidTr="00DE28E6">
        <w:tc>
          <w:tcPr>
            <w:tcW w:w="608" w:type="dxa"/>
            <w:tcMar>
              <w:top w:w="0" w:type="dxa"/>
              <w:left w:w="240" w:type="dxa"/>
              <w:bottom w:w="0" w:type="dxa"/>
              <w:right w:w="240" w:type="dxa"/>
            </w:tcMar>
            <w:hideMark/>
          </w:tcPr>
          <w:p w14:paraId="55064A15" w14:textId="77777777" w:rsidR="00CB361C" w:rsidRPr="000C63E9" w:rsidRDefault="00CB361C" w:rsidP="000C63E9">
            <w:pPr>
              <w:spacing w:line="360" w:lineRule="auto"/>
              <w:contextualSpacing/>
              <w:jc w:val="both"/>
              <w:rPr>
                <w:rFonts w:ascii="Arial" w:hAnsi="Arial" w:cs="Arial"/>
                <w:b/>
                <w:bCs/>
              </w:rPr>
            </w:pPr>
          </w:p>
        </w:tc>
        <w:tc>
          <w:tcPr>
            <w:tcW w:w="8418" w:type="dxa"/>
            <w:tcMar>
              <w:top w:w="0" w:type="dxa"/>
              <w:left w:w="0" w:type="dxa"/>
              <w:bottom w:w="0" w:type="dxa"/>
              <w:right w:w="0" w:type="dxa"/>
            </w:tcMar>
            <w:vAlign w:val="center"/>
            <w:hideMark/>
          </w:tcPr>
          <w:p w14:paraId="6D54D8A0" w14:textId="77777777" w:rsidR="00CB361C" w:rsidRPr="000C63E9" w:rsidRDefault="00CB361C" w:rsidP="000C63E9">
            <w:pPr>
              <w:spacing w:line="360" w:lineRule="auto"/>
              <w:contextualSpacing/>
              <w:jc w:val="both"/>
              <w:rPr>
                <w:rFonts w:ascii="Arial" w:hAnsi="Arial" w:cs="Arial"/>
                <w:b/>
                <w:bCs/>
              </w:rPr>
            </w:pPr>
          </w:p>
        </w:tc>
      </w:tr>
    </w:tbl>
    <w:p w14:paraId="14025CFF" w14:textId="77777777" w:rsidR="00CB361C" w:rsidRPr="000C63E9" w:rsidRDefault="00CB361C" w:rsidP="000C63E9">
      <w:pPr>
        <w:spacing w:line="360" w:lineRule="auto"/>
        <w:contextualSpacing/>
        <w:jc w:val="both"/>
        <w:rPr>
          <w:rFonts w:ascii="Arial" w:hAnsi="Arial" w:cs="Arial"/>
          <w:b/>
          <w:bCs/>
        </w:rPr>
      </w:pPr>
      <w:r w:rsidRPr="000C63E9">
        <w:rPr>
          <w:rFonts w:ascii="Arial" w:hAnsi="Arial" w:cs="Arial"/>
          <w:b/>
          <w:bCs/>
        </w:rPr>
        <w:t>Rehabilitation and Long-Term Management</w:t>
      </w:r>
    </w:p>
    <w:p w14:paraId="39B66B18" w14:textId="232CB79D" w:rsidR="00CB361C" w:rsidRPr="000C63E9" w:rsidRDefault="00CB361C" w:rsidP="000C63E9">
      <w:pPr>
        <w:spacing w:line="360" w:lineRule="auto"/>
        <w:contextualSpacing/>
        <w:jc w:val="both"/>
        <w:rPr>
          <w:rFonts w:ascii="Arial" w:hAnsi="Arial" w:cs="Arial"/>
        </w:rPr>
      </w:pPr>
      <w:r w:rsidRPr="000C63E9">
        <w:rPr>
          <w:rFonts w:ascii="Arial" w:hAnsi="Arial" w:cs="Arial"/>
        </w:rPr>
        <w:t>Rehabilitation for anorexia nervosa, as outlined in the International Classification of Diseases (ICD-11), focuses on restoring physical health, psychological stability, and functional recovery (WHO,2022)</w:t>
      </w:r>
      <w:r w:rsidR="00813117">
        <w:rPr>
          <w:rFonts w:ascii="Arial" w:hAnsi="Arial" w:cs="Arial"/>
        </w:rPr>
        <w:t xml:space="preserve"> </w:t>
      </w:r>
      <w:r w:rsidR="00813117" w:rsidRPr="00813117">
        <w:rPr>
          <w:rFonts w:ascii="Arial" w:hAnsi="Arial" w:cs="Arial"/>
          <w:color w:val="4C94D8" w:themeColor="text2" w:themeTint="80"/>
        </w:rPr>
        <w:t>(</w:t>
      </w:r>
      <w:r w:rsidR="00FF1CA8">
        <w:rPr>
          <w:rFonts w:ascii="Arial" w:hAnsi="Arial" w:cs="Arial"/>
          <w:color w:val="4C94D8" w:themeColor="text2" w:themeTint="80"/>
        </w:rPr>
        <w:t>2</w:t>
      </w:r>
      <w:r w:rsidR="00813117" w:rsidRPr="00813117">
        <w:rPr>
          <w:rFonts w:ascii="Arial" w:hAnsi="Arial" w:cs="Arial"/>
          <w:color w:val="4C94D8" w:themeColor="text2" w:themeTint="80"/>
        </w:rPr>
        <w:t>)</w:t>
      </w:r>
      <w:r w:rsidRPr="00813117">
        <w:rPr>
          <w:rFonts w:ascii="Arial" w:hAnsi="Arial" w:cs="Arial"/>
          <w:color w:val="4C94D8" w:themeColor="text2" w:themeTint="80"/>
        </w:rPr>
        <w:t>.</w:t>
      </w:r>
      <w:r w:rsidR="00845A9E" w:rsidRPr="00813117">
        <w:rPr>
          <w:rFonts w:ascii="Arial" w:hAnsi="Arial" w:cs="Arial"/>
          <w:color w:val="4C94D8" w:themeColor="text2" w:themeTint="80"/>
        </w:rPr>
        <w:t xml:space="preserve"> </w:t>
      </w:r>
      <w:r w:rsidRPr="000C63E9">
        <w:rPr>
          <w:rFonts w:ascii="Arial" w:hAnsi="Arial" w:cs="Arial"/>
        </w:rPr>
        <w:t>Unlike acute treatment, rehabilitation emphasises sustained weight maintenance, relapse prevention, and reintegration into daily life. ICD-11 encourages a multidisciplinary</w:t>
      </w:r>
      <w:r w:rsidR="00C1221D" w:rsidRPr="000C63E9">
        <w:rPr>
          <w:rFonts w:ascii="Arial" w:hAnsi="Arial" w:cs="Arial"/>
        </w:rPr>
        <w:t>, recovery-oriented approach that integrates</w:t>
      </w:r>
      <w:r w:rsidRPr="000C63E9">
        <w:rPr>
          <w:rFonts w:ascii="Arial" w:hAnsi="Arial" w:cs="Arial"/>
        </w:rPr>
        <w:t xml:space="preserve"> nutritional rehabilitation, psychological support, and social participation.</w:t>
      </w:r>
    </w:p>
    <w:p w14:paraId="6F8BD438" w14:textId="77777777" w:rsidR="00CB361C" w:rsidRPr="000C63E9" w:rsidRDefault="00CB361C" w:rsidP="000C63E9">
      <w:pPr>
        <w:spacing w:line="360" w:lineRule="auto"/>
        <w:contextualSpacing/>
        <w:jc w:val="both"/>
        <w:rPr>
          <w:rFonts w:ascii="Arial" w:hAnsi="Arial" w:cs="Arial"/>
        </w:rPr>
      </w:pPr>
    </w:p>
    <w:p w14:paraId="263743FF"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lastRenderedPageBreak/>
        <w:t>In the United Kingdom, rehabilitation strategies align with NICE (2020) guidelines and are delivered through NHS community and specialist eating disorder services. Once medical risk is stabilised, patients transition from inpatient or intensive outpatient care to community-based rehabilitation. This stage involves ongoing psychotherapy (e.g., CBT-ED, MANTRA), dietetic support, and social-skills training to promote independence (NHS England, 2019). NHS pathways also incorporate vocational support, education reintegration, and family involvement to sustain recovery. Under the Mental Health Act 1983 (amended 2007), individuals lacking capacity or at serious risk may receive compulsory treatment to ensure safety and continuity of care (UK Government, 2007).</w:t>
      </w:r>
    </w:p>
    <w:p w14:paraId="1BCA4C13" w14:textId="77777777" w:rsidR="00CB361C" w:rsidRPr="000C63E9" w:rsidRDefault="00CB361C" w:rsidP="000C63E9">
      <w:pPr>
        <w:spacing w:line="360" w:lineRule="auto"/>
        <w:contextualSpacing/>
        <w:jc w:val="both"/>
        <w:rPr>
          <w:rFonts w:ascii="Arial" w:hAnsi="Arial" w:cs="Arial"/>
        </w:rPr>
      </w:pPr>
    </w:p>
    <w:p w14:paraId="31386408" w14:textId="45AD8157" w:rsidR="00CB361C" w:rsidRPr="000C63E9" w:rsidRDefault="00CB361C" w:rsidP="000C63E9">
      <w:pPr>
        <w:spacing w:line="360" w:lineRule="auto"/>
        <w:contextualSpacing/>
        <w:jc w:val="both"/>
        <w:rPr>
          <w:rFonts w:ascii="Arial" w:hAnsi="Arial" w:cs="Arial"/>
        </w:rPr>
      </w:pPr>
      <w:r w:rsidRPr="000C63E9">
        <w:rPr>
          <w:rFonts w:ascii="Arial" w:hAnsi="Arial" w:cs="Arial"/>
        </w:rPr>
        <w:t xml:space="preserve">Social reintegration remains one of the most complex challenges in recovery. Many </w:t>
      </w:r>
      <w:r w:rsidR="00CD6ADE" w:rsidRPr="000C63E9">
        <w:rPr>
          <w:rFonts w:ascii="Arial" w:hAnsi="Arial" w:cs="Arial"/>
        </w:rPr>
        <w:t>individuals</w:t>
      </w:r>
      <w:r w:rsidRPr="000C63E9">
        <w:rPr>
          <w:rFonts w:ascii="Arial" w:hAnsi="Arial" w:cs="Arial"/>
        </w:rPr>
        <w:t xml:space="preserve"> experience isolation, stigma, and difficulties resuming education or employment after long illness durations (Mind, 202</w:t>
      </w:r>
      <w:r w:rsidR="00D447A1" w:rsidRPr="000C63E9">
        <w:rPr>
          <w:rFonts w:ascii="Arial" w:hAnsi="Arial" w:cs="Arial"/>
        </w:rPr>
        <w:t>5</w:t>
      </w:r>
      <w:r w:rsidRPr="000C63E9">
        <w:rPr>
          <w:rFonts w:ascii="Arial" w:hAnsi="Arial" w:cs="Arial"/>
        </w:rPr>
        <w:t>)</w:t>
      </w:r>
      <w:r w:rsidR="003360D3" w:rsidRPr="000C63E9">
        <w:rPr>
          <w:rFonts w:ascii="Arial" w:hAnsi="Arial" w:cs="Arial"/>
        </w:rPr>
        <w:t xml:space="preserve"> </w:t>
      </w:r>
      <w:r w:rsidR="003360D3" w:rsidRPr="000C63E9">
        <w:rPr>
          <w:rFonts w:ascii="Arial" w:hAnsi="Arial" w:cs="Arial"/>
          <w:color w:val="4C94D8" w:themeColor="text2" w:themeTint="80"/>
        </w:rPr>
        <w:t>(1)</w:t>
      </w:r>
      <w:r w:rsidRPr="000C63E9">
        <w:rPr>
          <w:rFonts w:ascii="Arial" w:hAnsi="Arial" w:cs="Arial"/>
          <w:color w:val="4C94D8" w:themeColor="text2" w:themeTint="80"/>
        </w:rPr>
        <w:t xml:space="preserve">. </w:t>
      </w:r>
      <w:r w:rsidRPr="000C63E9">
        <w:rPr>
          <w:rFonts w:ascii="Arial" w:hAnsi="Arial" w:cs="Arial"/>
        </w:rPr>
        <w:t>Government initiatives, such as the NHS Long Term Plan (2019) and the Community Mental Health Framework (2021), promote person-centred rehabilitation through integrated community care and early-intervention teams. These frameworks emphasise collaboration between NHS trusts, local authorities, and voluntary organisations to provide holistic aftercare.</w:t>
      </w:r>
    </w:p>
    <w:p w14:paraId="5F9287F2" w14:textId="77777777" w:rsidR="003C5A48" w:rsidRPr="000C63E9" w:rsidRDefault="003C5A48" w:rsidP="000C63E9">
      <w:pPr>
        <w:spacing w:line="360" w:lineRule="auto"/>
        <w:contextualSpacing/>
        <w:jc w:val="both"/>
        <w:rPr>
          <w:rFonts w:ascii="Arial" w:hAnsi="Arial" w:cs="Arial"/>
        </w:rPr>
      </w:pPr>
    </w:p>
    <w:p w14:paraId="5B624AF1" w14:textId="218E5E39" w:rsidR="00CB361C" w:rsidRPr="000C63E9" w:rsidRDefault="00CB361C" w:rsidP="000C63E9">
      <w:pPr>
        <w:spacing w:line="360" w:lineRule="auto"/>
        <w:contextualSpacing/>
        <w:jc w:val="both"/>
        <w:rPr>
          <w:rFonts w:ascii="Arial" w:hAnsi="Arial" w:cs="Arial"/>
        </w:rPr>
      </w:pPr>
      <w:r w:rsidRPr="000C63E9">
        <w:rPr>
          <w:rFonts w:ascii="Arial" w:hAnsi="Arial" w:cs="Arial"/>
        </w:rPr>
        <w:t>Charities and third-sector organisations play a vital role in rehabilitation and relapse prevention. Services provided by Mind, Beat, and the Mental Health Foundation offer peer support groups, counselling, and digital resources that complement NHS treatment and reduce relapse risk (Beat, 2023; Mind, 202</w:t>
      </w:r>
      <w:r w:rsidR="007D4CE1" w:rsidRPr="000C63E9">
        <w:rPr>
          <w:rFonts w:ascii="Arial" w:hAnsi="Arial" w:cs="Arial"/>
        </w:rPr>
        <w:t>5</w:t>
      </w:r>
      <w:r w:rsidRPr="000C63E9">
        <w:rPr>
          <w:rFonts w:ascii="Arial" w:hAnsi="Arial" w:cs="Arial"/>
        </w:rPr>
        <w:t>)</w:t>
      </w:r>
      <w:r w:rsidR="003360D3" w:rsidRPr="000C63E9">
        <w:rPr>
          <w:rFonts w:ascii="Arial" w:hAnsi="Arial" w:cs="Arial"/>
        </w:rPr>
        <w:t xml:space="preserve"> </w:t>
      </w:r>
      <w:r w:rsidR="003360D3" w:rsidRPr="000C63E9">
        <w:rPr>
          <w:rFonts w:ascii="Arial" w:hAnsi="Arial" w:cs="Arial"/>
          <w:color w:val="4C94D8" w:themeColor="text2" w:themeTint="80"/>
        </w:rPr>
        <w:t>(2)</w:t>
      </w:r>
      <w:r w:rsidRPr="000C63E9">
        <w:rPr>
          <w:rFonts w:ascii="Arial" w:hAnsi="Arial" w:cs="Arial"/>
          <w:color w:val="4C94D8" w:themeColor="text2" w:themeTint="80"/>
        </w:rPr>
        <w:t xml:space="preserve">. </w:t>
      </w:r>
      <w:r w:rsidRPr="000C63E9">
        <w:rPr>
          <w:rFonts w:ascii="Arial" w:hAnsi="Arial" w:cs="Arial"/>
        </w:rPr>
        <w:t>However, gaps persist in service accessibility, continuity between inpatient and community settings, and support for adults with chronic anorexia nervosa. Evaluations highlight the need for long-term funding, greater integration between statutory and voluntary sectors, and community education to combat stigma and support reintegration (NICE, 2020)</w:t>
      </w:r>
      <w:r w:rsidR="007E7051" w:rsidRPr="000C63E9">
        <w:rPr>
          <w:rFonts w:ascii="Arial" w:hAnsi="Arial" w:cs="Arial"/>
        </w:rPr>
        <w:t xml:space="preserve"> </w:t>
      </w:r>
      <w:r w:rsidR="007E7051" w:rsidRPr="000C63E9">
        <w:rPr>
          <w:rFonts w:ascii="Arial" w:hAnsi="Arial" w:cs="Arial"/>
          <w:color w:val="4C94D8" w:themeColor="text2" w:themeTint="80"/>
        </w:rPr>
        <w:t>(4)</w:t>
      </w:r>
      <w:r w:rsidRPr="000C63E9">
        <w:rPr>
          <w:rFonts w:ascii="Arial" w:hAnsi="Arial" w:cs="Arial"/>
          <w:color w:val="4C94D8" w:themeColor="text2" w:themeTint="80"/>
        </w:rPr>
        <w:t>.</w:t>
      </w:r>
    </w:p>
    <w:p w14:paraId="14A6D38E" w14:textId="77777777" w:rsidR="00CB361C" w:rsidRPr="000C63E9" w:rsidRDefault="00CB361C" w:rsidP="000C63E9">
      <w:pPr>
        <w:spacing w:line="360" w:lineRule="auto"/>
        <w:contextualSpacing/>
        <w:jc w:val="both"/>
        <w:rPr>
          <w:rFonts w:ascii="Arial" w:hAnsi="Arial" w:cs="Arial"/>
        </w:rPr>
      </w:pPr>
    </w:p>
    <w:p w14:paraId="64E1D6B1"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Overall, UK rehabilitation for anorexia nervosa reflects ICD-11’s holistic model but faces ongoing challenges in ensuring sustained recovery, social participation, and equitable access to community-based care.</w:t>
      </w:r>
    </w:p>
    <w:p w14:paraId="14C15AD2" w14:textId="77777777" w:rsidR="00CB361C" w:rsidRPr="000C63E9" w:rsidRDefault="00CB361C" w:rsidP="000C63E9">
      <w:pPr>
        <w:spacing w:line="360" w:lineRule="auto"/>
        <w:contextualSpacing/>
        <w:jc w:val="both"/>
        <w:rPr>
          <w:rFonts w:ascii="Arial" w:hAnsi="Arial" w:cs="Arial"/>
          <w:b/>
          <w:bCs/>
        </w:rPr>
      </w:pPr>
    </w:p>
    <w:tbl>
      <w:tblPr>
        <w:tblW w:w="0" w:type="auto"/>
        <w:tblCellMar>
          <w:top w:w="15" w:type="dxa"/>
          <w:left w:w="15" w:type="dxa"/>
          <w:bottom w:w="15" w:type="dxa"/>
          <w:right w:w="15" w:type="dxa"/>
        </w:tblCellMar>
        <w:tblLook w:val="04A0" w:firstRow="1" w:lastRow="0" w:firstColumn="1" w:lastColumn="0" w:noHBand="0" w:noVBand="1"/>
      </w:tblPr>
      <w:tblGrid>
        <w:gridCol w:w="608"/>
        <w:gridCol w:w="8418"/>
      </w:tblGrid>
      <w:tr w:rsidR="00CB361C" w:rsidRPr="000C63E9" w14:paraId="271D5341" w14:textId="77777777" w:rsidTr="00DE28E6">
        <w:tc>
          <w:tcPr>
            <w:tcW w:w="660" w:type="dxa"/>
            <w:tcMar>
              <w:top w:w="0" w:type="dxa"/>
              <w:left w:w="240" w:type="dxa"/>
              <w:bottom w:w="0" w:type="dxa"/>
              <w:right w:w="240" w:type="dxa"/>
            </w:tcMar>
            <w:hideMark/>
          </w:tcPr>
          <w:p w14:paraId="46F627A8" w14:textId="77777777" w:rsidR="00CB361C" w:rsidRPr="000C63E9" w:rsidRDefault="00CB361C" w:rsidP="000C63E9">
            <w:pPr>
              <w:spacing w:line="360" w:lineRule="auto"/>
              <w:contextualSpacing/>
              <w:jc w:val="both"/>
              <w:rPr>
                <w:rFonts w:ascii="Arial" w:hAnsi="Arial" w:cs="Arial"/>
                <w:b/>
                <w:bCs/>
              </w:rPr>
            </w:pPr>
          </w:p>
        </w:tc>
        <w:tc>
          <w:tcPr>
            <w:tcW w:w="12030" w:type="dxa"/>
            <w:tcMar>
              <w:top w:w="0" w:type="dxa"/>
              <w:left w:w="0" w:type="dxa"/>
              <w:bottom w:w="0" w:type="dxa"/>
              <w:right w:w="0" w:type="dxa"/>
            </w:tcMar>
            <w:vAlign w:val="center"/>
            <w:hideMark/>
          </w:tcPr>
          <w:p w14:paraId="6C5C2C53" w14:textId="77777777" w:rsidR="00CB361C" w:rsidRPr="000C63E9" w:rsidRDefault="00CB361C" w:rsidP="000C63E9">
            <w:pPr>
              <w:spacing w:line="360" w:lineRule="auto"/>
              <w:contextualSpacing/>
              <w:jc w:val="both"/>
              <w:rPr>
                <w:rFonts w:ascii="Arial" w:hAnsi="Arial" w:cs="Arial"/>
                <w:b/>
                <w:bCs/>
              </w:rPr>
            </w:pPr>
          </w:p>
        </w:tc>
      </w:tr>
    </w:tbl>
    <w:p w14:paraId="2B0FBC0E" w14:textId="269DF37A" w:rsidR="00CB361C" w:rsidRPr="000C63E9" w:rsidRDefault="00CB361C" w:rsidP="000C63E9">
      <w:pPr>
        <w:spacing w:line="360" w:lineRule="auto"/>
        <w:contextualSpacing/>
        <w:jc w:val="both"/>
        <w:rPr>
          <w:rFonts w:ascii="Arial" w:hAnsi="Arial" w:cs="Arial"/>
          <w:b/>
          <w:bCs/>
        </w:rPr>
      </w:pPr>
      <w:r w:rsidRPr="000C63E9">
        <w:rPr>
          <w:rFonts w:ascii="Arial" w:hAnsi="Arial" w:cs="Arial"/>
          <w:b/>
          <w:bCs/>
        </w:rPr>
        <w:t>Current Debates and Emerging Issues</w:t>
      </w:r>
    </w:p>
    <w:p w14:paraId="15AE3DF4" w14:textId="24CEF58E" w:rsidR="00CB361C" w:rsidRPr="000C63E9" w:rsidRDefault="00CB361C" w:rsidP="000C63E9">
      <w:pPr>
        <w:spacing w:line="360" w:lineRule="auto"/>
        <w:contextualSpacing/>
        <w:jc w:val="both"/>
        <w:rPr>
          <w:rFonts w:ascii="Arial" w:hAnsi="Arial" w:cs="Arial"/>
        </w:rPr>
      </w:pPr>
      <w:r w:rsidRPr="000C63E9">
        <w:rPr>
          <w:rFonts w:ascii="Arial" w:hAnsi="Arial" w:cs="Arial"/>
        </w:rPr>
        <w:t xml:space="preserve">Debates over anorexia nervosa classification and treatment focus on how diagnostic systems and interventions adapt to evolving evidence. The ICD-11 introduced broader, severity-based criteria that improve inclusivity but raise concerns about diagnostic precision and comparability across studies (Himmerich, 2024). In treatment, NICE-endorsed psychological therapies such as CBT-ED and MANTRA remain central, yet their limited success in severe or long-term </w:t>
      </w:r>
      <w:r w:rsidRPr="000C63E9">
        <w:rPr>
          <w:rFonts w:ascii="Arial" w:hAnsi="Arial" w:cs="Arial"/>
        </w:rPr>
        <w:lastRenderedPageBreak/>
        <w:t xml:space="preserve">cases highlights the need for more flexible, personalised models (NICE, 2020; Viljoen </w:t>
      </w:r>
      <w:r w:rsidRPr="000C63E9">
        <w:rPr>
          <w:rFonts w:ascii="Arial" w:hAnsi="Arial" w:cs="Arial"/>
          <w:i/>
          <w:iCs/>
        </w:rPr>
        <w:t>et a</w:t>
      </w:r>
      <w:r w:rsidRPr="000C63E9">
        <w:rPr>
          <w:rFonts w:ascii="Arial" w:hAnsi="Arial" w:cs="Arial"/>
        </w:rPr>
        <w:t>l., 2024).</w:t>
      </w:r>
    </w:p>
    <w:p w14:paraId="4FFBCB04" w14:textId="77777777" w:rsidR="00CB361C" w:rsidRPr="000C63E9" w:rsidRDefault="00CB361C" w:rsidP="000C63E9">
      <w:pPr>
        <w:spacing w:line="360" w:lineRule="auto"/>
        <w:contextualSpacing/>
        <w:jc w:val="both"/>
        <w:rPr>
          <w:rFonts w:ascii="Arial" w:hAnsi="Arial" w:cs="Arial"/>
        </w:rPr>
      </w:pPr>
    </w:p>
    <w:p w14:paraId="588B7D73"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 xml:space="preserve">Growing recognition of neurodivergence, particularly autism and ADHD, is reshaping understanding of eating disorders. Research suggests that sensory sensitivities and cognitive rigidity may overlap with anorexic symptoms, prompting calls for neurodiversity-informed care and adapted therapeutic approaches (Cobbaert </w:t>
      </w:r>
      <w:r w:rsidRPr="000C63E9">
        <w:rPr>
          <w:rFonts w:ascii="Arial" w:hAnsi="Arial" w:cs="Arial"/>
          <w:i/>
          <w:iCs/>
        </w:rPr>
        <w:t>et al</w:t>
      </w:r>
      <w:r w:rsidRPr="000C63E9">
        <w:rPr>
          <w:rFonts w:ascii="Arial" w:hAnsi="Arial" w:cs="Arial"/>
        </w:rPr>
        <w:t>., 2024).</w:t>
      </w:r>
    </w:p>
    <w:p w14:paraId="182A900E" w14:textId="77777777" w:rsidR="00CB361C" w:rsidRPr="000C63E9" w:rsidRDefault="00CB361C" w:rsidP="000C63E9">
      <w:pPr>
        <w:spacing w:line="360" w:lineRule="auto"/>
        <w:contextualSpacing/>
        <w:jc w:val="both"/>
        <w:rPr>
          <w:rFonts w:ascii="Arial" w:hAnsi="Arial" w:cs="Arial"/>
        </w:rPr>
      </w:pPr>
    </w:p>
    <w:p w14:paraId="7A588D60" w14:textId="77777777" w:rsidR="00CB361C" w:rsidRPr="000C63E9" w:rsidRDefault="00CB361C" w:rsidP="000C63E9">
      <w:pPr>
        <w:spacing w:line="360" w:lineRule="auto"/>
        <w:contextualSpacing/>
        <w:jc w:val="both"/>
        <w:rPr>
          <w:rFonts w:ascii="Arial" w:hAnsi="Arial" w:cs="Arial"/>
        </w:rPr>
      </w:pPr>
      <w:r w:rsidRPr="000C63E9">
        <w:rPr>
          <w:rFonts w:ascii="Arial" w:hAnsi="Arial" w:cs="Arial"/>
        </w:rPr>
        <w:t xml:space="preserve">Policy and legislation, notably the Equality Act 2010, require reasonable adjustments for individuals whose mental health impairs daily functioning. Implementation in both NHS and workplace settings, however, remains inconsistent (ACAS, 2025; Olsen </w:t>
      </w:r>
      <w:r w:rsidRPr="000C63E9">
        <w:rPr>
          <w:rFonts w:ascii="Arial" w:hAnsi="Arial" w:cs="Arial"/>
          <w:i/>
          <w:iCs/>
        </w:rPr>
        <w:t>et al.,</w:t>
      </w:r>
      <w:r w:rsidRPr="000C63E9">
        <w:rPr>
          <w:rFonts w:ascii="Arial" w:hAnsi="Arial" w:cs="Arial"/>
        </w:rPr>
        <w:t xml:space="preserve"> 2024). Together, these debates underline a shift toward contextual, inclusive, and legally supported frameworks that better reflect individual and societal diversity.</w:t>
      </w:r>
    </w:p>
    <w:p w14:paraId="537A59D1" w14:textId="77777777" w:rsidR="008D1E95" w:rsidRPr="000C63E9" w:rsidRDefault="008D1E95" w:rsidP="000C63E9">
      <w:pPr>
        <w:spacing w:line="360" w:lineRule="auto"/>
        <w:contextualSpacing/>
        <w:jc w:val="both"/>
        <w:rPr>
          <w:rFonts w:ascii="Arial" w:hAnsi="Arial" w:cs="Arial"/>
        </w:rPr>
      </w:pPr>
    </w:p>
    <w:p w14:paraId="02453F2D" w14:textId="01DCE9CF" w:rsidR="00543ED1" w:rsidRPr="000C63E9" w:rsidRDefault="008D1E95" w:rsidP="000C63E9">
      <w:pPr>
        <w:spacing w:line="360" w:lineRule="auto"/>
        <w:contextualSpacing/>
        <w:jc w:val="both"/>
        <w:rPr>
          <w:rFonts w:ascii="Arial" w:hAnsi="Arial" w:cs="Arial"/>
          <w:b/>
          <w:bCs/>
        </w:rPr>
      </w:pPr>
      <w:r w:rsidRPr="000C63E9">
        <w:rPr>
          <w:rFonts w:ascii="Arial" w:hAnsi="Arial" w:cs="Arial"/>
          <w:b/>
          <w:bCs/>
        </w:rPr>
        <w:t xml:space="preserve">UK Data </w:t>
      </w:r>
      <w:r w:rsidR="0072060F" w:rsidRPr="000C63E9">
        <w:rPr>
          <w:rFonts w:ascii="Arial" w:hAnsi="Arial" w:cs="Arial"/>
          <w:b/>
          <w:bCs/>
        </w:rPr>
        <w:t>&amp;</w:t>
      </w:r>
      <w:r w:rsidRPr="000C63E9">
        <w:rPr>
          <w:rFonts w:ascii="Arial" w:hAnsi="Arial" w:cs="Arial"/>
          <w:b/>
          <w:bCs/>
        </w:rPr>
        <w:t xml:space="preserve"> Statistical Evidence </w:t>
      </w:r>
    </w:p>
    <w:p w14:paraId="1564BFA8" w14:textId="4A4FF7F0" w:rsidR="005D3309" w:rsidRPr="000C63E9" w:rsidRDefault="005D3309" w:rsidP="000C63E9">
      <w:pPr>
        <w:spacing w:line="360" w:lineRule="auto"/>
        <w:contextualSpacing/>
        <w:jc w:val="both"/>
        <w:rPr>
          <w:rFonts w:ascii="Arial" w:hAnsi="Arial" w:cs="Arial"/>
        </w:rPr>
      </w:pPr>
      <w:r w:rsidRPr="000C63E9">
        <w:rPr>
          <w:rFonts w:ascii="Arial" w:hAnsi="Arial" w:cs="Arial"/>
        </w:rPr>
        <w:t>Recent UK evidence shows that eating disorders are rising, particularly among young people. In 2023, 2.6% of 11-16-year-olds and 12.5% of 17-19-year-olds were identified as having eating problems, highlighting an upward trend since 2017 (NHS Digital, 2023)</w:t>
      </w:r>
      <w:r w:rsidR="00BF0DD2" w:rsidRPr="000C63E9">
        <w:rPr>
          <w:rFonts w:ascii="Arial" w:hAnsi="Arial" w:cs="Arial"/>
        </w:rPr>
        <w:t xml:space="preserve"> </w:t>
      </w:r>
      <w:r w:rsidR="00BF0DD2" w:rsidRPr="000C63E9">
        <w:rPr>
          <w:rFonts w:ascii="Arial" w:hAnsi="Arial" w:cs="Arial"/>
          <w:color w:val="4C94D8" w:themeColor="text2" w:themeTint="80"/>
        </w:rPr>
        <w:t>(4)</w:t>
      </w:r>
      <w:r w:rsidRPr="000C63E9">
        <w:rPr>
          <w:rFonts w:ascii="Arial" w:hAnsi="Arial" w:cs="Arial"/>
          <w:color w:val="4C94D8" w:themeColor="text2" w:themeTint="80"/>
        </w:rPr>
        <w:t xml:space="preserve">. </w:t>
      </w:r>
      <w:r w:rsidRPr="000C63E9">
        <w:rPr>
          <w:rFonts w:ascii="Arial" w:hAnsi="Arial" w:cs="Arial"/>
        </w:rPr>
        <w:t>Hospital admissions have also increased significantly in the past decade, suggesting greater illness severity and demand for treatment (House of Commons Library, 2024). Access to specialist care remains uneven, with NHS data revealing long waiting times and regional inequalities in children and young people’s mental health services (NHS Digital, 2025). Globally, around 16 million people live with eating disorders, and the World Health Organisation warns that the true burden is likely underestimated (WHO, 2025). Overall, UK and international data show a growing prevalence and treatment gap, underscoring the need for earlier intervention and improved mental health provision.</w:t>
      </w:r>
    </w:p>
    <w:p w14:paraId="396D6A1C" w14:textId="77777777" w:rsidR="003C5A48" w:rsidRPr="000C63E9" w:rsidRDefault="003C5A48" w:rsidP="000C63E9">
      <w:pPr>
        <w:spacing w:line="360" w:lineRule="auto"/>
        <w:contextualSpacing/>
        <w:jc w:val="both"/>
        <w:rPr>
          <w:rFonts w:ascii="Arial" w:hAnsi="Arial" w:cs="Arial"/>
        </w:rPr>
      </w:pPr>
    </w:p>
    <w:p w14:paraId="32348B98" w14:textId="137638CA" w:rsidR="00CB361C" w:rsidRPr="000C63E9" w:rsidRDefault="00CB361C" w:rsidP="000C63E9">
      <w:pPr>
        <w:spacing w:line="360" w:lineRule="auto"/>
        <w:contextualSpacing/>
        <w:jc w:val="both"/>
        <w:rPr>
          <w:rFonts w:ascii="Arial" w:hAnsi="Arial" w:cs="Arial"/>
          <w:b/>
          <w:bCs/>
        </w:rPr>
      </w:pPr>
      <w:r w:rsidRPr="000C63E9">
        <w:rPr>
          <w:rFonts w:ascii="Arial" w:hAnsi="Arial" w:cs="Arial"/>
          <w:b/>
          <w:bCs/>
        </w:rPr>
        <w:t>Recommendations</w:t>
      </w:r>
    </w:p>
    <w:p w14:paraId="24DC1977" w14:textId="4E9CE9CB" w:rsidR="00CB361C" w:rsidRPr="000C63E9" w:rsidRDefault="00CB361C" w:rsidP="000C63E9">
      <w:pPr>
        <w:spacing w:line="360" w:lineRule="auto"/>
        <w:contextualSpacing/>
        <w:jc w:val="both"/>
        <w:rPr>
          <w:rFonts w:ascii="Arial" w:hAnsi="Arial" w:cs="Arial"/>
        </w:rPr>
      </w:pPr>
      <w:r w:rsidRPr="000C63E9">
        <w:rPr>
          <w:rFonts w:ascii="Arial" w:hAnsi="Arial" w:cs="Arial"/>
        </w:rPr>
        <w:t>Improving outcomes for people with anorexia requires coordinated change across diagnosis, treatment, and long-term rehabilitation. Diagnostic frameworks should better recognise neurodiverse and atypical presentations, ensuring earlier and more inclusive identification. Routine screening in primary care and education settings, supported by GP training, could reduce delays to specialist treatment. Expanding adult community eating-disorder services to mirror those for younger people would strengthen multidisciplinary, person-centred care.</w:t>
      </w:r>
    </w:p>
    <w:p w14:paraId="6C30DAC2" w14:textId="77777777" w:rsidR="003C5A48" w:rsidRPr="000C63E9" w:rsidRDefault="003C5A48" w:rsidP="000C63E9">
      <w:pPr>
        <w:spacing w:line="360" w:lineRule="auto"/>
        <w:contextualSpacing/>
        <w:jc w:val="both"/>
        <w:rPr>
          <w:rFonts w:ascii="Arial" w:hAnsi="Arial" w:cs="Arial"/>
        </w:rPr>
      </w:pPr>
    </w:p>
    <w:p w14:paraId="2AC9BC81" w14:textId="472976FD" w:rsidR="00CB361C" w:rsidRPr="000C63E9" w:rsidRDefault="00CB361C" w:rsidP="000C63E9">
      <w:pPr>
        <w:spacing w:line="360" w:lineRule="auto"/>
        <w:contextualSpacing/>
        <w:jc w:val="both"/>
        <w:rPr>
          <w:rFonts w:ascii="Arial" w:hAnsi="Arial" w:cs="Arial"/>
        </w:rPr>
      </w:pPr>
      <w:r w:rsidRPr="000C63E9">
        <w:rPr>
          <w:rFonts w:ascii="Arial" w:hAnsi="Arial" w:cs="Arial"/>
        </w:rPr>
        <w:t xml:space="preserve">Integration between health and social-care systems under the Care Act 2014 is needed to secure housing, daily-living support, and smooth transitions after discharge. Digital tools such </w:t>
      </w:r>
      <w:r w:rsidRPr="000C63E9">
        <w:rPr>
          <w:rFonts w:ascii="Arial" w:hAnsi="Arial" w:cs="Arial"/>
        </w:rPr>
        <w:lastRenderedPageBreak/>
        <w:t>as remote monitoring can aid follow-up but must be combined with assisted-digital schemes to avoid deepening inequalities. Finally, increased research investment should focus on long-term recovery, treatment adaptation for neurodivergent individuals, and evaluation of emerging therapies. These reforms demand workforce training, targeted funding, and stronger data systems to guide equitable, evidence-based policy and practice</w:t>
      </w:r>
      <w:r w:rsidR="003C0347">
        <w:rPr>
          <w:rFonts w:ascii="Arial" w:hAnsi="Arial" w:cs="Arial"/>
        </w:rPr>
        <w:t xml:space="preserve"> (</w:t>
      </w:r>
      <w:r w:rsidR="003C0347" w:rsidRPr="003C0347">
        <w:rPr>
          <w:rFonts w:ascii="Arial" w:hAnsi="Arial" w:cs="Arial"/>
        </w:rPr>
        <w:t>Department of Health</w:t>
      </w:r>
      <w:r w:rsidR="003C0347">
        <w:rPr>
          <w:rFonts w:ascii="Arial" w:hAnsi="Arial" w:cs="Arial"/>
        </w:rPr>
        <w:t xml:space="preserve">, </w:t>
      </w:r>
      <w:r w:rsidR="003C0347" w:rsidRPr="003C0347">
        <w:rPr>
          <w:rFonts w:ascii="Arial" w:hAnsi="Arial" w:cs="Arial"/>
        </w:rPr>
        <w:t>2014</w:t>
      </w:r>
      <w:r w:rsidR="003C0347">
        <w:rPr>
          <w:rFonts w:ascii="Arial" w:hAnsi="Arial" w:cs="Arial"/>
        </w:rPr>
        <w:t>).</w:t>
      </w:r>
    </w:p>
    <w:p w14:paraId="2AF8E768" w14:textId="77777777" w:rsidR="00CB361C" w:rsidRPr="000C63E9" w:rsidRDefault="00CB361C" w:rsidP="000C63E9">
      <w:pPr>
        <w:spacing w:line="360" w:lineRule="auto"/>
        <w:contextualSpacing/>
        <w:jc w:val="both"/>
        <w:rPr>
          <w:rFonts w:ascii="Arial" w:hAnsi="Arial" w:cs="Arial"/>
        </w:rPr>
      </w:pPr>
    </w:p>
    <w:p w14:paraId="18516547" w14:textId="7684A72A" w:rsidR="00CB361C" w:rsidRPr="000C63E9" w:rsidRDefault="00CB361C" w:rsidP="000C63E9">
      <w:pPr>
        <w:spacing w:line="360" w:lineRule="auto"/>
        <w:contextualSpacing/>
        <w:jc w:val="both"/>
        <w:rPr>
          <w:rFonts w:ascii="Arial" w:hAnsi="Arial" w:cs="Arial"/>
          <w:b/>
          <w:bCs/>
        </w:rPr>
      </w:pPr>
      <w:r w:rsidRPr="000C63E9">
        <w:rPr>
          <w:rFonts w:ascii="Arial" w:hAnsi="Arial" w:cs="Arial"/>
          <w:b/>
          <w:bCs/>
        </w:rPr>
        <w:t>Conclusion and Future Directions</w:t>
      </w:r>
    </w:p>
    <w:p w14:paraId="615759BB" w14:textId="77777777" w:rsidR="003C5A48" w:rsidRPr="000C63E9" w:rsidRDefault="00CB361C" w:rsidP="000C63E9">
      <w:pPr>
        <w:spacing w:line="360" w:lineRule="auto"/>
        <w:contextualSpacing/>
        <w:jc w:val="both"/>
        <w:rPr>
          <w:rFonts w:ascii="Arial" w:hAnsi="Arial" w:cs="Arial"/>
        </w:rPr>
      </w:pPr>
      <w:r w:rsidRPr="000C63E9">
        <w:rPr>
          <w:rFonts w:ascii="Arial" w:hAnsi="Arial" w:cs="Arial"/>
        </w:rPr>
        <w:t xml:space="preserve">To conclude this report, the findings show that anorexia nervosa remains a complex disorder requiring more inclusive and integrated approaches across diagnosis, treatment, and rehabilitation. While UK legislation and NHS frameworks provide strong foundations for patient rights and access to care, gaps persist in adult service provision, early detection, and post-discharge support. The evidence highlights the need to strengthen community-based and multidisciplinary services, ensure equitable access through digital inclusion, and improve coordination between health and social care systems. </w:t>
      </w:r>
    </w:p>
    <w:p w14:paraId="60160BAC" w14:textId="77777777" w:rsidR="003C5A48" w:rsidRPr="000C63E9" w:rsidRDefault="003C5A48" w:rsidP="000C63E9">
      <w:pPr>
        <w:spacing w:line="360" w:lineRule="auto"/>
        <w:contextualSpacing/>
        <w:jc w:val="both"/>
        <w:rPr>
          <w:rFonts w:ascii="Arial" w:hAnsi="Arial" w:cs="Arial"/>
        </w:rPr>
      </w:pPr>
    </w:p>
    <w:p w14:paraId="05A7020E" w14:textId="6F1A5404" w:rsidR="00CB361C" w:rsidRPr="000C63E9" w:rsidRDefault="00CB361C" w:rsidP="000C63E9">
      <w:pPr>
        <w:spacing w:line="360" w:lineRule="auto"/>
        <w:contextualSpacing/>
        <w:jc w:val="both"/>
        <w:rPr>
          <w:rFonts w:ascii="Arial" w:hAnsi="Arial" w:cs="Arial"/>
        </w:rPr>
      </w:pPr>
      <w:r w:rsidRPr="000C63E9">
        <w:rPr>
          <w:rFonts w:ascii="Arial" w:hAnsi="Arial" w:cs="Arial"/>
        </w:rPr>
        <w:t>Future research should explore long-term recovery outcomes, neurodivergent experiences of anorexia, and the effectiveness of new treatment models, including digital and peer-led interventions. Policy improvements should focus on consistent funding, workforce development, and national data systems to monitor service quality. Overall, advancing early intervention and inclusive, person-centred care will be essential to improving outcomes and reducing inequalities in anorexia treatment and recovery across the UK.</w:t>
      </w:r>
    </w:p>
    <w:tbl>
      <w:tblPr>
        <w:tblW w:w="0" w:type="auto"/>
        <w:tblCellMar>
          <w:top w:w="15" w:type="dxa"/>
          <w:left w:w="15" w:type="dxa"/>
          <w:bottom w:w="15" w:type="dxa"/>
          <w:right w:w="15" w:type="dxa"/>
        </w:tblCellMar>
        <w:tblLook w:val="04A0" w:firstRow="1" w:lastRow="0" w:firstColumn="1" w:lastColumn="0" w:noHBand="0" w:noVBand="1"/>
      </w:tblPr>
      <w:tblGrid>
        <w:gridCol w:w="608"/>
        <w:gridCol w:w="8418"/>
      </w:tblGrid>
      <w:tr w:rsidR="00CB361C" w:rsidRPr="000C63E9" w14:paraId="6C074C44" w14:textId="77777777" w:rsidTr="00DE28E6">
        <w:tc>
          <w:tcPr>
            <w:tcW w:w="660" w:type="dxa"/>
            <w:tcMar>
              <w:top w:w="0" w:type="dxa"/>
              <w:left w:w="240" w:type="dxa"/>
              <w:bottom w:w="0" w:type="dxa"/>
              <w:right w:w="240" w:type="dxa"/>
            </w:tcMar>
            <w:hideMark/>
          </w:tcPr>
          <w:p w14:paraId="73067B78" w14:textId="77777777" w:rsidR="00CB361C" w:rsidRPr="000C63E9" w:rsidRDefault="00CB361C" w:rsidP="000C63E9">
            <w:pPr>
              <w:spacing w:line="360" w:lineRule="auto"/>
              <w:contextualSpacing/>
              <w:jc w:val="both"/>
              <w:rPr>
                <w:rFonts w:ascii="Arial" w:hAnsi="Arial" w:cs="Arial"/>
              </w:rPr>
            </w:pPr>
          </w:p>
        </w:tc>
        <w:tc>
          <w:tcPr>
            <w:tcW w:w="12030" w:type="dxa"/>
            <w:tcMar>
              <w:top w:w="0" w:type="dxa"/>
              <w:left w:w="0" w:type="dxa"/>
              <w:bottom w:w="0" w:type="dxa"/>
              <w:right w:w="0" w:type="dxa"/>
            </w:tcMar>
            <w:vAlign w:val="center"/>
            <w:hideMark/>
          </w:tcPr>
          <w:p w14:paraId="5ABBA720" w14:textId="77777777" w:rsidR="00CB361C" w:rsidRPr="000C63E9" w:rsidRDefault="00CB361C" w:rsidP="000C63E9">
            <w:pPr>
              <w:spacing w:line="360" w:lineRule="auto"/>
              <w:contextualSpacing/>
              <w:jc w:val="both"/>
              <w:rPr>
                <w:rFonts w:ascii="Arial" w:hAnsi="Arial" w:cs="Arial"/>
              </w:rPr>
            </w:pPr>
          </w:p>
        </w:tc>
      </w:tr>
    </w:tbl>
    <w:p w14:paraId="6F05BE24" w14:textId="77777777" w:rsidR="00CB361C" w:rsidRPr="000C63E9" w:rsidRDefault="00CB361C" w:rsidP="000C63E9">
      <w:pPr>
        <w:spacing w:line="360" w:lineRule="auto"/>
        <w:contextualSpacing/>
        <w:jc w:val="both"/>
        <w:rPr>
          <w:rFonts w:ascii="Arial" w:hAnsi="Arial" w:cs="Arial"/>
        </w:rPr>
      </w:pPr>
    </w:p>
    <w:p w14:paraId="4A5C6B94" w14:textId="77777777" w:rsidR="00CB361C" w:rsidRPr="000C63E9" w:rsidRDefault="00CB361C" w:rsidP="000C63E9">
      <w:pPr>
        <w:spacing w:line="360" w:lineRule="auto"/>
        <w:contextualSpacing/>
        <w:jc w:val="both"/>
        <w:rPr>
          <w:rFonts w:ascii="Arial" w:hAnsi="Arial" w:cs="Arial"/>
        </w:rPr>
      </w:pPr>
    </w:p>
    <w:p w14:paraId="5697FA62" w14:textId="77777777" w:rsidR="00CB361C" w:rsidRPr="000C63E9" w:rsidRDefault="00CB361C" w:rsidP="000C63E9">
      <w:pPr>
        <w:spacing w:line="360" w:lineRule="auto"/>
        <w:contextualSpacing/>
        <w:jc w:val="both"/>
        <w:rPr>
          <w:rFonts w:ascii="Arial" w:hAnsi="Arial" w:cs="Arial"/>
        </w:rPr>
      </w:pPr>
    </w:p>
    <w:p w14:paraId="1F6D77D7" w14:textId="77777777" w:rsidR="00CB361C" w:rsidRPr="00CB361C" w:rsidRDefault="00CB361C" w:rsidP="009C2FED">
      <w:pPr>
        <w:spacing w:line="360" w:lineRule="auto"/>
        <w:contextualSpacing/>
        <w:jc w:val="both"/>
        <w:rPr>
          <w:rFonts w:ascii="Arial" w:hAnsi="Arial" w:cs="Arial"/>
        </w:rPr>
      </w:pPr>
    </w:p>
    <w:p w14:paraId="459B3EB5" w14:textId="77777777" w:rsidR="00CB361C" w:rsidRPr="00CB361C" w:rsidRDefault="00CB361C" w:rsidP="009C2FED">
      <w:pPr>
        <w:spacing w:line="360" w:lineRule="auto"/>
        <w:contextualSpacing/>
        <w:jc w:val="both"/>
        <w:rPr>
          <w:rFonts w:ascii="Arial" w:hAnsi="Arial" w:cs="Arial"/>
        </w:rPr>
      </w:pPr>
    </w:p>
    <w:p w14:paraId="0D7CA476" w14:textId="77777777" w:rsidR="003C5A48" w:rsidRPr="009C2FED" w:rsidRDefault="003C5A48" w:rsidP="009C2FED">
      <w:pPr>
        <w:spacing w:line="360" w:lineRule="auto"/>
        <w:contextualSpacing/>
        <w:rPr>
          <w:rFonts w:ascii="Arial" w:hAnsi="Arial" w:cs="Arial"/>
        </w:rPr>
      </w:pPr>
    </w:p>
    <w:p w14:paraId="7D52C762" w14:textId="77777777" w:rsidR="003D3C92" w:rsidRDefault="003D3C92" w:rsidP="00E54E74">
      <w:pPr>
        <w:spacing w:line="360" w:lineRule="auto"/>
        <w:rPr>
          <w:rFonts w:ascii="Arial" w:hAnsi="Arial" w:cs="Arial"/>
          <w:b/>
          <w:bCs/>
        </w:rPr>
      </w:pPr>
    </w:p>
    <w:p w14:paraId="0A519747" w14:textId="77777777" w:rsidR="003D3C92" w:rsidRDefault="003D3C92" w:rsidP="00E54E74">
      <w:pPr>
        <w:spacing w:line="360" w:lineRule="auto"/>
        <w:rPr>
          <w:rFonts w:ascii="Arial" w:hAnsi="Arial" w:cs="Arial"/>
          <w:b/>
          <w:bCs/>
        </w:rPr>
      </w:pPr>
    </w:p>
    <w:p w14:paraId="6B173AF1" w14:textId="77777777" w:rsidR="003D3C92" w:rsidRDefault="003D3C92" w:rsidP="00E54E74">
      <w:pPr>
        <w:spacing w:line="360" w:lineRule="auto"/>
        <w:rPr>
          <w:rFonts w:ascii="Arial" w:hAnsi="Arial" w:cs="Arial"/>
          <w:b/>
          <w:bCs/>
        </w:rPr>
      </w:pPr>
    </w:p>
    <w:p w14:paraId="7A42B8B9" w14:textId="77777777" w:rsidR="00D10E39" w:rsidRDefault="00D10E39" w:rsidP="00E54E74">
      <w:pPr>
        <w:spacing w:line="360" w:lineRule="auto"/>
        <w:rPr>
          <w:rFonts w:ascii="Arial" w:hAnsi="Arial" w:cs="Arial"/>
          <w:b/>
          <w:bCs/>
        </w:rPr>
      </w:pPr>
    </w:p>
    <w:p w14:paraId="04D4BCCB" w14:textId="77777777" w:rsidR="00B03771" w:rsidRDefault="00B03771" w:rsidP="00E54E74">
      <w:pPr>
        <w:spacing w:line="360" w:lineRule="auto"/>
        <w:rPr>
          <w:rFonts w:ascii="Arial" w:hAnsi="Arial" w:cs="Arial"/>
          <w:b/>
          <w:bCs/>
        </w:rPr>
      </w:pPr>
    </w:p>
    <w:p w14:paraId="595785C8" w14:textId="77777777" w:rsidR="003267EE" w:rsidRDefault="003267EE" w:rsidP="00E54E74">
      <w:pPr>
        <w:spacing w:line="360" w:lineRule="auto"/>
        <w:rPr>
          <w:rFonts w:ascii="Arial" w:hAnsi="Arial" w:cs="Arial"/>
          <w:b/>
          <w:bCs/>
        </w:rPr>
      </w:pPr>
    </w:p>
    <w:p w14:paraId="6061B00F" w14:textId="24571B8E" w:rsidR="00CB361C" w:rsidRPr="00CB361C" w:rsidRDefault="00CB361C" w:rsidP="003267EE">
      <w:pPr>
        <w:spacing w:line="360" w:lineRule="auto"/>
        <w:jc w:val="center"/>
        <w:rPr>
          <w:rFonts w:ascii="Arial" w:hAnsi="Arial" w:cs="Arial"/>
          <w:b/>
          <w:bCs/>
        </w:rPr>
      </w:pPr>
      <w:r w:rsidRPr="00CB361C">
        <w:rPr>
          <w:rFonts w:ascii="Arial" w:hAnsi="Arial" w:cs="Arial"/>
          <w:b/>
          <w:bCs/>
        </w:rPr>
        <w:lastRenderedPageBreak/>
        <w:t>Reference List</w:t>
      </w:r>
    </w:p>
    <w:p w14:paraId="4B18AA82" w14:textId="77777777" w:rsidR="00ED44DB" w:rsidRPr="00CB361C" w:rsidRDefault="00ED44DB" w:rsidP="00E54E74">
      <w:pPr>
        <w:spacing w:line="360" w:lineRule="auto"/>
        <w:rPr>
          <w:rFonts w:ascii="Arial" w:hAnsi="Arial" w:cs="Arial"/>
        </w:rPr>
      </w:pPr>
      <w:r w:rsidRPr="00CB361C">
        <w:rPr>
          <w:rFonts w:ascii="Arial" w:hAnsi="Arial" w:cs="Arial"/>
        </w:rPr>
        <w:t xml:space="preserve">ACAS (2025) </w:t>
      </w:r>
      <w:r w:rsidRPr="00CB361C">
        <w:rPr>
          <w:rFonts w:ascii="Arial" w:hAnsi="Arial" w:cs="Arial"/>
          <w:i/>
          <w:iCs/>
        </w:rPr>
        <w:t>Mental health adjustments – reasonable adjustments at work</w:t>
      </w:r>
      <w:r w:rsidRPr="00CB361C">
        <w:rPr>
          <w:rFonts w:ascii="Arial" w:hAnsi="Arial" w:cs="Arial"/>
        </w:rPr>
        <w:t xml:space="preserve">. Available at: </w:t>
      </w:r>
      <w:hyperlink r:id="rId13" w:history="1">
        <w:r w:rsidRPr="00CB361C">
          <w:rPr>
            <w:rStyle w:val="Hyperlink"/>
            <w:rFonts w:ascii="Arial" w:hAnsi="Arial" w:cs="Arial"/>
          </w:rPr>
          <w:t>https://www.acas.org.uk/reasonable-adjustments</w:t>
        </w:r>
        <w:r w:rsidRPr="004D5C4D">
          <w:rPr>
            <w:rStyle w:val="Hyperlink"/>
            <w:rFonts w:ascii="Arial" w:hAnsi="Arial" w:cs="Arial"/>
          </w:rPr>
          <w:t>/mental-health-adjustments</w:t>
        </w:r>
      </w:hyperlink>
      <w:r>
        <w:rPr>
          <w:rFonts w:ascii="Arial" w:hAnsi="Arial" w:cs="Arial"/>
        </w:rPr>
        <w:t xml:space="preserve"> </w:t>
      </w:r>
      <w:r w:rsidRPr="00CB361C">
        <w:rPr>
          <w:rFonts w:ascii="Arial" w:hAnsi="Arial" w:cs="Arial"/>
        </w:rPr>
        <w:t xml:space="preserve"> (Accessed: 9 November 2025). </w:t>
      </w:r>
    </w:p>
    <w:p w14:paraId="0C522036" w14:textId="77777777" w:rsidR="00ED44DB" w:rsidRDefault="00ED44DB" w:rsidP="00E54E74">
      <w:pPr>
        <w:spacing w:line="360" w:lineRule="auto"/>
        <w:rPr>
          <w:rFonts w:ascii="Arial" w:hAnsi="Arial" w:cs="Arial"/>
        </w:rPr>
      </w:pPr>
      <w:r w:rsidRPr="00CB361C">
        <w:rPr>
          <w:rFonts w:ascii="Arial" w:hAnsi="Arial" w:cs="Arial"/>
        </w:rPr>
        <w:t>B</w:t>
      </w:r>
      <w:r>
        <w:rPr>
          <w:rFonts w:ascii="Arial" w:hAnsi="Arial" w:cs="Arial"/>
        </w:rPr>
        <w:t>EAT</w:t>
      </w:r>
      <w:r w:rsidRPr="00CB361C">
        <w:rPr>
          <w:rFonts w:ascii="Arial" w:hAnsi="Arial" w:cs="Arial"/>
        </w:rPr>
        <w:t xml:space="preserve"> (2023) </w:t>
      </w:r>
      <w:r w:rsidRPr="00CB361C">
        <w:rPr>
          <w:rFonts w:ascii="Arial" w:hAnsi="Arial" w:cs="Arial"/>
          <w:i/>
          <w:iCs/>
        </w:rPr>
        <w:t>Support for people with eating disorders.</w:t>
      </w:r>
      <w:r w:rsidRPr="00CB361C">
        <w:rPr>
          <w:rFonts w:ascii="Arial" w:hAnsi="Arial" w:cs="Arial"/>
        </w:rPr>
        <w:t xml:space="preserve"> London: Beat. Available at: </w:t>
      </w:r>
      <w:hyperlink r:id="rId14" w:history="1">
        <w:r w:rsidRPr="00CB361C">
          <w:rPr>
            <w:rStyle w:val="Hyperlink"/>
            <w:rFonts w:ascii="Arial" w:hAnsi="Arial" w:cs="Arial"/>
          </w:rPr>
          <w:t>https://www.beateatingdisorders.org.uk</w:t>
        </w:r>
        <w:r w:rsidRPr="004D5C4D">
          <w:rPr>
            <w:rStyle w:val="Hyperlink"/>
            <w:rFonts w:ascii="Arial" w:hAnsi="Arial" w:cs="Arial"/>
          </w:rPr>
          <w:t>/document/877/Beat_Accounts_2023-signed_W8eADKq.pdf</w:t>
        </w:r>
      </w:hyperlink>
      <w:r>
        <w:rPr>
          <w:rFonts w:ascii="Arial" w:hAnsi="Arial" w:cs="Arial"/>
        </w:rPr>
        <w:t xml:space="preserve"> </w:t>
      </w:r>
      <w:r w:rsidRPr="00CB361C">
        <w:rPr>
          <w:rFonts w:ascii="Arial" w:hAnsi="Arial" w:cs="Arial"/>
        </w:rPr>
        <w:t xml:space="preserve"> (Accessed 9</w:t>
      </w:r>
      <w:r w:rsidRPr="00CB361C">
        <w:rPr>
          <w:rFonts w:ascii="Arial" w:hAnsi="Arial" w:cs="Arial"/>
          <w:vertAlign w:val="superscript"/>
        </w:rPr>
        <w:t>th</w:t>
      </w:r>
      <w:r w:rsidRPr="00CB361C">
        <w:rPr>
          <w:rFonts w:ascii="Arial" w:hAnsi="Arial" w:cs="Arial"/>
        </w:rPr>
        <w:t xml:space="preserve"> November 2025). </w:t>
      </w:r>
    </w:p>
    <w:p w14:paraId="45AA6912" w14:textId="77777777" w:rsidR="00ED44DB" w:rsidRPr="00CB361C" w:rsidRDefault="00ED44DB" w:rsidP="00E54E74">
      <w:pPr>
        <w:spacing w:line="360" w:lineRule="auto"/>
        <w:rPr>
          <w:rFonts w:ascii="Arial" w:hAnsi="Arial" w:cs="Arial"/>
        </w:rPr>
      </w:pPr>
      <w:r>
        <w:rPr>
          <w:rFonts w:ascii="Arial" w:hAnsi="Arial" w:cs="Arial"/>
        </w:rPr>
        <w:t xml:space="preserve">BEAT (2024) </w:t>
      </w:r>
      <w:r w:rsidRPr="0005549D">
        <w:rPr>
          <w:rFonts w:ascii="Arial" w:hAnsi="Arial" w:cs="Arial"/>
          <w:i/>
          <w:iCs/>
        </w:rPr>
        <w:t>eating disorder statistics</w:t>
      </w:r>
      <w:r>
        <w:rPr>
          <w:rFonts w:ascii="Arial" w:hAnsi="Arial" w:cs="Arial"/>
        </w:rPr>
        <w:t xml:space="preserve">. (Online). BEAT Eating Disorders. Available at: </w:t>
      </w:r>
      <w:hyperlink r:id="rId15" w:history="1">
        <w:r w:rsidRPr="004F4C91">
          <w:rPr>
            <w:rStyle w:val="Hyperlink"/>
            <w:rFonts w:ascii="Arial" w:hAnsi="Arial" w:cs="Arial"/>
          </w:rPr>
          <w:t>https://www.beateatingdisorders.org.uk/media-centre/eating-disorder-statistics/</w:t>
        </w:r>
      </w:hyperlink>
      <w:r>
        <w:rPr>
          <w:rFonts w:ascii="Arial" w:hAnsi="Arial" w:cs="Arial"/>
        </w:rPr>
        <w:t xml:space="preserve"> (Accessed: 12</w:t>
      </w:r>
      <w:r w:rsidRPr="00B2238F">
        <w:rPr>
          <w:rFonts w:ascii="Arial" w:hAnsi="Arial" w:cs="Arial"/>
          <w:vertAlign w:val="superscript"/>
        </w:rPr>
        <w:t>th</w:t>
      </w:r>
      <w:r>
        <w:rPr>
          <w:rFonts w:ascii="Arial" w:hAnsi="Arial" w:cs="Arial"/>
        </w:rPr>
        <w:t xml:space="preserve"> November 2025).</w:t>
      </w:r>
    </w:p>
    <w:p w14:paraId="358DACE2" w14:textId="77777777" w:rsidR="00ED44DB" w:rsidRDefault="00ED44DB" w:rsidP="00E54E74">
      <w:pPr>
        <w:spacing w:line="360" w:lineRule="auto"/>
        <w:rPr>
          <w:rFonts w:ascii="Arial" w:hAnsi="Arial" w:cs="Arial"/>
        </w:rPr>
      </w:pPr>
      <w:r w:rsidRPr="00CB361C">
        <w:rPr>
          <w:rFonts w:ascii="Arial" w:hAnsi="Arial" w:cs="Arial"/>
        </w:rPr>
        <w:t xml:space="preserve">Cobbaert, L., </w:t>
      </w:r>
      <w:r>
        <w:rPr>
          <w:rFonts w:ascii="Arial" w:hAnsi="Arial" w:cs="Arial"/>
        </w:rPr>
        <w:t xml:space="preserve">Milichamp, A.R., Elwyn, R., Silverstein, S., Schweizer, K., Thomas, E. &amp; Miskovic-Wheatley, J. (2024) </w:t>
      </w:r>
      <w:r w:rsidRPr="00B03771">
        <w:rPr>
          <w:rFonts w:ascii="Arial" w:hAnsi="Arial" w:cs="Arial"/>
          <w:i/>
          <w:iCs/>
        </w:rPr>
        <w:t>‘Neurodivergence, intersectionality, and eating disorders: a lived experience-led narrative review’,</w:t>
      </w:r>
      <w:r>
        <w:rPr>
          <w:rFonts w:ascii="Arial" w:hAnsi="Arial" w:cs="Arial"/>
        </w:rPr>
        <w:t xml:space="preserve"> Journal of Eating Disorders, 12, p. 187.doi:10.1186/s40337-024-01126-5. </w:t>
      </w:r>
    </w:p>
    <w:p w14:paraId="172E2FAC" w14:textId="77777777" w:rsidR="00ED44DB" w:rsidRDefault="00ED44DB" w:rsidP="00E54E74">
      <w:pPr>
        <w:spacing w:line="360" w:lineRule="auto"/>
        <w:rPr>
          <w:rFonts w:ascii="Arial" w:hAnsi="Arial" w:cs="Arial"/>
        </w:rPr>
      </w:pPr>
      <w:r w:rsidRPr="003C0347">
        <w:rPr>
          <w:rFonts w:ascii="Arial" w:hAnsi="Arial" w:cs="Arial"/>
        </w:rPr>
        <w:t xml:space="preserve">Department of Health (2014) </w:t>
      </w:r>
      <w:r w:rsidRPr="003C0347">
        <w:rPr>
          <w:rFonts w:ascii="Arial" w:hAnsi="Arial" w:cs="Arial"/>
          <w:i/>
          <w:iCs/>
        </w:rPr>
        <w:t>Care and Support: Statutory Guidance issued under the Care Act 2014.</w:t>
      </w:r>
      <w:r w:rsidRPr="003C0347">
        <w:rPr>
          <w:rFonts w:ascii="Arial" w:hAnsi="Arial" w:cs="Arial"/>
        </w:rPr>
        <w:t xml:space="preserve"> London: Department of Health. Available at: </w:t>
      </w:r>
      <w:hyperlink r:id="rId16" w:history="1">
        <w:r w:rsidRPr="005874D6">
          <w:rPr>
            <w:rStyle w:val="Hyperlink"/>
            <w:rFonts w:ascii="Arial" w:hAnsi="Arial" w:cs="Arial"/>
          </w:rPr>
          <w:t>https://assets.publishing</w:t>
        </w:r>
        <w:r w:rsidRPr="005874D6">
          <w:rPr>
            <w:rStyle w:val="Hyperlink"/>
            <w:rFonts w:ascii="Arial" w:hAnsi="Arial" w:cs="Arial"/>
          </w:rPr>
          <w:t>.</w:t>
        </w:r>
        <w:r w:rsidRPr="005874D6">
          <w:rPr>
            <w:rStyle w:val="Hyperlink"/>
            <w:rFonts w:ascii="Arial" w:hAnsi="Arial" w:cs="Arial"/>
          </w:rPr>
          <w:t>service.gov.uk/media/5a7f6122e5274a2e87db57f9/23902777_Care_Act_Book.pdf</w:t>
        </w:r>
      </w:hyperlink>
      <w:r>
        <w:rPr>
          <w:rFonts w:ascii="Arial" w:hAnsi="Arial" w:cs="Arial"/>
        </w:rPr>
        <w:t xml:space="preserve">  </w:t>
      </w:r>
      <w:r w:rsidRPr="003C0347">
        <w:rPr>
          <w:rFonts w:ascii="Arial" w:hAnsi="Arial" w:cs="Arial"/>
        </w:rPr>
        <w:t xml:space="preserve">(Accessed: </w:t>
      </w:r>
      <w:r>
        <w:rPr>
          <w:rFonts w:ascii="Arial" w:hAnsi="Arial" w:cs="Arial"/>
        </w:rPr>
        <w:t>13</w:t>
      </w:r>
      <w:r w:rsidRPr="003C0347">
        <w:rPr>
          <w:rFonts w:ascii="Arial" w:hAnsi="Arial" w:cs="Arial"/>
          <w:vertAlign w:val="superscript"/>
        </w:rPr>
        <w:t>th</w:t>
      </w:r>
      <w:r>
        <w:rPr>
          <w:rFonts w:ascii="Arial" w:hAnsi="Arial" w:cs="Arial"/>
        </w:rPr>
        <w:t xml:space="preserve"> </w:t>
      </w:r>
      <w:r w:rsidRPr="003C0347">
        <w:rPr>
          <w:rFonts w:ascii="Arial" w:hAnsi="Arial" w:cs="Arial"/>
        </w:rPr>
        <w:t>November 2025).</w:t>
      </w:r>
    </w:p>
    <w:p w14:paraId="61E79D98" w14:textId="77777777" w:rsidR="00ED44DB" w:rsidRDefault="00ED44DB" w:rsidP="00E54E74">
      <w:pPr>
        <w:spacing w:line="360" w:lineRule="auto"/>
        <w:rPr>
          <w:rFonts w:ascii="Arial" w:hAnsi="Arial" w:cs="Arial"/>
        </w:rPr>
      </w:pPr>
      <w:r w:rsidRPr="00F97DC6">
        <w:rPr>
          <w:rFonts w:ascii="Arial" w:hAnsi="Arial" w:cs="Arial"/>
        </w:rPr>
        <w:t xml:space="preserve">Great Britain (1983) </w:t>
      </w:r>
      <w:r w:rsidRPr="00F97DC6">
        <w:rPr>
          <w:rFonts w:ascii="Arial" w:hAnsi="Arial" w:cs="Arial"/>
          <w:i/>
          <w:iCs/>
        </w:rPr>
        <w:t>Mental Health Act 1983, c.20</w:t>
      </w:r>
      <w:r w:rsidRPr="00F97DC6">
        <w:rPr>
          <w:rFonts w:ascii="Arial" w:hAnsi="Arial" w:cs="Arial"/>
        </w:rPr>
        <w:t xml:space="preserve">. London: HMSO. Available at: </w:t>
      </w:r>
      <w:hyperlink r:id="rId17" w:history="1">
        <w:r w:rsidRPr="005874D6">
          <w:rPr>
            <w:rStyle w:val="Hyperlink"/>
            <w:rFonts w:ascii="Arial" w:hAnsi="Arial" w:cs="Arial"/>
          </w:rPr>
          <w:t>https://www.legislation.gov.uk/ukpga/1983/20</w:t>
        </w:r>
      </w:hyperlink>
      <w:r>
        <w:rPr>
          <w:rFonts w:ascii="Arial" w:hAnsi="Arial" w:cs="Arial"/>
        </w:rPr>
        <w:t xml:space="preserve"> </w:t>
      </w:r>
      <w:r w:rsidRPr="00F97DC6">
        <w:rPr>
          <w:rFonts w:ascii="Arial" w:hAnsi="Arial" w:cs="Arial"/>
        </w:rPr>
        <w:t xml:space="preserve"> (Accessed: 13th November 2025).</w:t>
      </w:r>
    </w:p>
    <w:p w14:paraId="0D95AE55" w14:textId="77777777" w:rsidR="00ED44DB" w:rsidRDefault="00ED44DB" w:rsidP="00E54E74">
      <w:pPr>
        <w:spacing w:line="360" w:lineRule="auto"/>
        <w:rPr>
          <w:rFonts w:ascii="Arial" w:hAnsi="Arial" w:cs="Arial"/>
          <w:i/>
          <w:iCs/>
        </w:rPr>
      </w:pPr>
      <w:r w:rsidRPr="00CB361C">
        <w:rPr>
          <w:rFonts w:ascii="Arial" w:hAnsi="Arial" w:cs="Arial"/>
        </w:rPr>
        <w:t xml:space="preserve">Himmerich, H. </w:t>
      </w:r>
      <w:r>
        <w:rPr>
          <w:rFonts w:ascii="Arial" w:hAnsi="Arial" w:cs="Arial"/>
        </w:rPr>
        <w:t xml:space="preserve">&amp; Treasure, J. </w:t>
      </w:r>
      <w:r w:rsidRPr="00CB361C">
        <w:rPr>
          <w:rFonts w:ascii="Arial" w:hAnsi="Arial" w:cs="Arial"/>
        </w:rPr>
        <w:t xml:space="preserve">(2024) ‘Anorexia nervosa: </w:t>
      </w:r>
      <w:r w:rsidRPr="00CB361C">
        <w:rPr>
          <w:rFonts w:ascii="Arial" w:hAnsi="Arial" w:cs="Arial"/>
          <w:i/>
          <w:iCs/>
        </w:rPr>
        <w:t>diagnostic, therapeutic, and risk</w:t>
      </w:r>
      <w:r>
        <w:rPr>
          <w:rFonts w:ascii="Arial" w:hAnsi="Arial" w:cs="Arial"/>
          <w:i/>
          <w:iCs/>
        </w:rPr>
        <w:t xml:space="preserve"> biomarkers in clinical practice’, Trends in Molecular Medicine, 30(4), pp.350-360. Doi: 10.1016/j.molmed.2024.01.002</w:t>
      </w:r>
    </w:p>
    <w:p w14:paraId="424DABC0" w14:textId="77777777" w:rsidR="00ED44DB" w:rsidRDefault="00ED44DB" w:rsidP="00E54E74">
      <w:pPr>
        <w:spacing w:line="360" w:lineRule="auto"/>
        <w:rPr>
          <w:rFonts w:ascii="Arial" w:hAnsi="Arial" w:cs="Arial"/>
        </w:rPr>
      </w:pPr>
      <w:r w:rsidRPr="001E7386">
        <w:rPr>
          <w:rFonts w:ascii="Arial" w:hAnsi="Arial" w:cs="Arial"/>
        </w:rPr>
        <w:t xml:space="preserve">House of Commons Library. (2024) </w:t>
      </w:r>
      <w:r w:rsidRPr="00F72353">
        <w:rPr>
          <w:rFonts w:ascii="Arial" w:hAnsi="Arial" w:cs="Arial"/>
          <w:i/>
          <w:iCs/>
        </w:rPr>
        <w:t>Eating Disorders Awareness Week 2024</w:t>
      </w:r>
      <w:r w:rsidRPr="001E7386">
        <w:rPr>
          <w:rFonts w:ascii="Arial" w:hAnsi="Arial" w:cs="Arial"/>
        </w:rPr>
        <w:t xml:space="preserve">. </w:t>
      </w:r>
      <w:r>
        <w:rPr>
          <w:rFonts w:ascii="Arial" w:hAnsi="Arial" w:cs="Arial"/>
        </w:rPr>
        <w:t xml:space="preserve"> </w:t>
      </w:r>
      <w:r w:rsidRPr="001E7386">
        <w:rPr>
          <w:rFonts w:ascii="Arial" w:hAnsi="Arial" w:cs="Arial"/>
        </w:rPr>
        <w:t xml:space="preserve"> (Accessed: 13 November 2025).</w:t>
      </w:r>
      <w:r>
        <w:rPr>
          <w:rFonts w:ascii="Arial" w:hAnsi="Arial" w:cs="Arial"/>
        </w:rPr>
        <w:t xml:space="preserve">(Debate Pack 23 February 2024, No. CDP-2024-0045). London: UK Parliament. Available at: </w:t>
      </w:r>
      <w:hyperlink r:id="rId18" w:history="1">
        <w:r w:rsidRPr="002D402B">
          <w:rPr>
            <w:rStyle w:val="Hyperlink"/>
            <w:rFonts w:ascii="Arial" w:hAnsi="Arial" w:cs="Arial"/>
          </w:rPr>
          <w:t>https://commonslibrary.parliament.uk/research-briefings/cdp-2024-0045/</w:t>
        </w:r>
      </w:hyperlink>
      <w:r>
        <w:rPr>
          <w:rFonts w:ascii="Arial" w:hAnsi="Arial" w:cs="Arial"/>
        </w:rPr>
        <w:t xml:space="preserve"> (Accessed: 13</w:t>
      </w:r>
      <w:r w:rsidRPr="00F72353">
        <w:rPr>
          <w:rFonts w:ascii="Arial" w:hAnsi="Arial" w:cs="Arial"/>
          <w:vertAlign w:val="superscript"/>
        </w:rPr>
        <w:t>th</w:t>
      </w:r>
      <w:r>
        <w:rPr>
          <w:rFonts w:ascii="Arial" w:hAnsi="Arial" w:cs="Arial"/>
        </w:rPr>
        <w:t xml:space="preserve"> November 2025).</w:t>
      </w:r>
    </w:p>
    <w:p w14:paraId="38C2B96B" w14:textId="77777777" w:rsidR="00ED44DB" w:rsidRPr="00CB361C" w:rsidRDefault="00ED44DB" w:rsidP="00E54E74">
      <w:pPr>
        <w:spacing w:line="360" w:lineRule="auto"/>
        <w:rPr>
          <w:rFonts w:ascii="Arial" w:hAnsi="Arial" w:cs="Arial"/>
        </w:rPr>
      </w:pPr>
      <w:r w:rsidRPr="00CB361C">
        <w:rPr>
          <w:rFonts w:ascii="Arial" w:hAnsi="Arial" w:cs="Arial"/>
        </w:rPr>
        <w:t>Mind (202</w:t>
      </w:r>
      <w:r>
        <w:rPr>
          <w:rFonts w:ascii="Arial" w:hAnsi="Arial" w:cs="Arial"/>
        </w:rPr>
        <w:t>5</w:t>
      </w:r>
      <w:r w:rsidRPr="00CB361C">
        <w:rPr>
          <w:rFonts w:ascii="Arial" w:hAnsi="Arial" w:cs="Arial"/>
        </w:rPr>
        <w:t xml:space="preserve">) </w:t>
      </w:r>
      <w:r>
        <w:rPr>
          <w:rFonts w:ascii="Arial" w:hAnsi="Arial" w:cs="Arial"/>
          <w:i/>
          <w:iCs/>
        </w:rPr>
        <w:t>E</w:t>
      </w:r>
      <w:r w:rsidRPr="00CB361C">
        <w:rPr>
          <w:rFonts w:ascii="Arial" w:hAnsi="Arial" w:cs="Arial"/>
          <w:i/>
          <w:iCs/>
        </w:rPr>
        <w:t xml:space="preserve">ating </w:t>
      </w:r>
      <w:r>
        <w:rPr>
          <w:rFonts w:ascii="Arial" w:hAnsi="Arial" w:cs="Arial"/>
          <w:i/>
          <w:iCs/>
        </w:rPr>
        <w:t xml:space="preserve">problems. </w:t>
      </w:r>
      <w:r w:rsidRPr="00CB361C">
        <w:rPr>
          <w:rFonts w:ascii="Arial" w:hAnsi="Arial" w:cs="Arial"/>
        </w:rPr>
        <w:t xml:space="preserve">Available at: </w:t>
      </w:r>
      <w:hyperlink r:id="rId19" w:history="1">
        <w:r w:rsidRPr="00CB361C">
          <w:rPr>
            <w:rStyle w:val="Hyperlink"/>
            <w:rFonts w:ascii="Arial" w:hAnsi="Arial" w:cs="Arial"/>
          </w:rPr>
          <w:t>https://www.mind.org.uk</w:t>
        </w:r>
        <w:r w:rsidRPr="004D5C4D">
          <w:rPr>
            <w:rStyle w:val="Hyperlink"/>
            <w:rFonts w:ascii="Arial" w:hAnsi="Arial" w:cs="Arial"/>
          </w:rPr>
          <w:t>/information-support/types-of-mental-health-problems/eating-problems/</w:t>
        </w:r>
      </w:hyperlink>
      <w:r>
        <w:rPr>
          <w:rFonts w:ascii="Arial" w:hAnsi="Arial" w:cs="Arial"/>
        </w:rPr>
        <w:t xml:space="preserve"> </w:t>
      </w:r>
      <w:r w:rsidRPr="00CB361C">
        <w:rPr>
          <w:rFonts w:ascii="Arial" w:hAnsi="Arial" w:cs="Arial"/>
        </w:rPr>
        <w:t xml:space="preserve"> (Accessed: 9</w:t>
      </w:r>
      <w:r w:rsidRPr="00CB361C">
        <w:rPr>
          <w:rFonts w:ascii="Arial" w:hAnsi="Arial" w:cs="Arial"/>
          <w:vertAlign w:val="superscript"/>
        </w:rPr>
        <w:t>th</w:t>
      </w:r>
      <w:r w:rsidRPr="00CB361C">
        <w:rPr>
          <w:rFonts w:ascii="Arial" w:hAnsi="Arial" w:cs="Arial"/>
        </w:rPr>
        <w:t xml:space="preserve"> November 2025). </w:t>
      </w:r>
    </w:p>
    <w:p w14:paraId="21502174" w14:textId="77777777" w:rsidR="00ED44DB" w:rsidRDefault="00ED44DB" w:rsidP="00E54E74">
      <w:pPr>
        <w:spacing w:line="360" w:lineRule="auto"/>
        <w:rPr>
          <w:rFonts w:ascii="Arial" w:hAnsi="Arial" w:cs="Arial"/>
        </w:rPr>
      </w:pPr>
      <w:r w:rsidRPr="00CB361C">
        <w:rPr>
          <w:rFonts w:ascii="Arial" w:hAnsi="Arial" w:cs="Arial"/>
        </w:rPr>
        <w:t xml:space="preserve">National Institute for Health and Care Excellence (NICE) (2020) </w:t>
      </w:r>
      <w:r w:rsidRPr="00CB361C">
        <w:rPr>
          <w:rFonts w:ascii="Arial" w:hAnsi="Arial" w:cs="Arial"/>
          <w:i/>
          <w:iCs/>
        </w:rPr>
        <w:t>eating disorders: recognition and treatment (NG69).</w:t>
      </w:r>
      <w:r w:rsidRPr="00CB361C">
        <w:rPr>
          <w:rFonts w:ascii="Arial" w:hAnsi="Arial" w:cs="Arial"/>
        </w:rPr>
        <w:t xml:space="preserve"> London: NICE. Available at: </w:t>
      </w:r>
      <w:hyperlink r:id="rId20" w:history="1">
        <w:r w:rsidRPr="00CB361C">
          <w:rPr>
            <w:rStyle w:val="Hyperlink"/>
            <w:rFonts w:ascii="Arial" w:hAnsi="Arial" w:cs="Arial"/>
          </w:rPr>
          <w:t>https://www.nice.org.uk/guidance/ng69</w:t>
        </w:r>
      </w:hyperlink>
      <w:r w:rsidRPr="00CB361C">
        <w:rPr>
          <w:rFonts w:ascii="Arial" w:hAnsi="Arial" w:cs="Arial"/>
        </w:rPr>
        <w:t xml:space="preserve"> (Accessed: 7</w:t>
      </w:r>
      <w:r w:rsidRPr="00CB361C">
        <w:rPr>
          <w:rFonts w:ascii="Arial" w:hAnsi="Arial" w:cs="Arial"/>
          <w:vertAlign w:val="superscript"/>
        </w:rPr>
        <w:t>th</w:t>
      </w:r>
      <w:r w:rsidRPr="00CB361C">
        <w:rPr>
          <w:rFonts w:ascii="Arial" w:hAnsi="Arial" w:cs="Arial"/>
        </w:rPr>
        <w:t xml:space="preserve"> November 2025). </w:t>
      </w:r>
    </w:p>
    <w:p w14:paraId="1A2021FB" w14:textId="77777777" w:rsidR="00ED44DB" w:rsidRPr="00CB361C" w:rsidRDefault="00ED44DB" w:rsidP="00E54E74">
      <w:pPr>
        <w:spacing w:line="360" w:lineRule="auto"/>
        <w:rPr>
          <w:rFonts w:ascii="Arial" w:hAnsi="Arial" w:cs="Arial"/>
        </w:rPr>
      </w:pPr>
      <w:r w:rsidRPr="00CB361C">
        <w:rPr>
          <w:rFonts w:ascii="Arial" w:hAnsi="Arial" w:cs="Arial"/>
        </w:rPr>
        <w:lastRenderedPageBreak/>
        <w:t xml:space="preserve">NHS (2024) Overview </w:t>
      </w:r>
      <w:r w:rsidRPr="00CB361C">
        <w:rPr>
          <w:rFonts w:ascii="Arial" w:hAnsi="Arial" w:cs="Arial"/>
          <w:i/>
          <w:iCs/>
        </w:rPr>
        <w:t>– Anorexia nervosa</w:t>
      </w:r>
      <w:r w:rsidRPr="00CB361C">
        <w:rPr>
          <w:rFonts w:ascii="Arial" w:hAnsi="Arial" w:cs="Arial"/>
        </w:rPr>
        <w:t xml:space="preserve">. NHS.UK. Available at: </w:t>
      </w:r>
      <w:hyperlink r:id="rId21" w:history="1">
        <w:r w:rsidRPr="00CB361C">
          <w:rPr>
            <w:rStyle w:val="Hyperlink"/>
            <w:rFonts w:ascii="Arial" w:hAnsi="Arial" w:cs="Arial"/>
          </w:rPr>
          <w:t>https://www.nhs.uk/mental-health/conditions/anorexia/overview</w:t>
        </w:r>
      </w:hyperlink>
      <w:r>
        <w:rPr>
          <w:rFonts w:ascii="Arial" w:hAnsi="Arial" w:cs="Arial"/>
        </w:rPr>
        <w:t xml:space="preserve"> </w:t>
      </w:r>
      <w:r w:rsidRPr="00CB361C">
        <w:rPr>
          <w:rFonts w:ascii="Arial" w:hAnsi="Arial" w:cs="Arial"/>
        </w:rPr>
        <w:t xml:space="preserve"> (Accessed: 9</w:t>
      </w:r>
      <w:r w:rsidRPr="00CB361C">
        <w:rPr>
          <w:rFonts w:ascii="Arial" w:hAnsi="Arial" w:cs="Arial"/>
          <w:vertAlign w:val="superscript"/>
        </w:rPr>
        <w:t>th</w:t>
      </w:r>
      <w:r w:rsidRPr="00CB361C">
        <w:rPr>
          <w:rFonts w:ascii="Arial" w:hAnsi="Arial" w:cs="Arial"/>
        </w:rPr>
        <w:t xml:space="preserve"> November 2025). </w:t>
      </w:r>
    </w:p>
    <w:p w14:paraId="5DC44E8F" w14:textId="77777777" w:rsidR="00ED44DB" w:rsidRPr="00CB361C" w:rsidRDefault="00ED44DB" w:rsidP="00E54E74">
      <w:pPr>
        <w:spacing w:line="360" w:lineRule="auto"/>
        <w:rPr>
          <w:rFonts w:ascii="Arial" w:hAnsi="Arial" w:cs="Arial"/>
        </w:rPr>
      </w:pPr>
      <w:r w:rsidRPr="00CB361C">
        <w:rPr>
          <w:rFonts w:ascii="Arial" w:hAnsi="Arial" w:cs="Arial"/>
        </w:rPr>
        <w:t xml:space="preserve">NHS Digital (2023) </w:t>
      </w:r>
      <w:r w:rsidRPr="00CB361C">
        <w:rPr>
          <w:rFonts w:ascii="Arial" w:hAnsi="Arial" w:cs="Arial"/>
          <w:i/>
          <w:iCs/>
        </w:rPr>
        <w:t>Mental health of children and young people in England,</w:t>
      </w:r>
      <w:r w:rsidRPr="00CB361C">
        <w:rPr>
          <w:rFonts w:ascii="Arial" w:hAnsi="Arial" w:cs="Arial"/>
        </w:rPr>
        <w:t xml:space="preserve"> 2023 Wave 4 follow-up — Part 5: </w:t>
      </w:r>
      <w:r w:rsidRPr="00CB361C">
        <w:rPr>
          <w:rFonts w:ascii="Arial" w:hAnsi="Arial" w:cs="Arial"/>
          <w:i/>
          <w:iCs/>
        </w:rPr>
        <w:t>Eating problems and disorders.</w:t>
      </w:r>
      <w:r>
        <w:rPr>
          <w:rFonts w:ascii="Arial" w:hAnsi="Arial" w:cs="Arial"/>
          <w:i/>
          <w:iCs/>
        </w:rPr>
        <w:t xml:space="preserve"> </w:t>
      </w:r>
      <w:r w:rsidRPr="009854B5">
        <w:rPr>
          <w:rFonts w:ascii="Arial" w:hAnsi="Arial" w:cs="Arial"/>
        </w:rPr>
        <w:t>(Online).</w:t>
      </w:r>
      <w:r w:rsidRPr="00CB361C">
        <w:rPr>
          <w:rFonts w:ascii="Arial" w:hAnsi="Arial" w:cs="Arial"/>
        </w:rPr>
        <w:t xml:space="preserve"> NHS Digital. Available at: </w:t>
      </w:r>
      <w:hyperlink r:id="rId22" w:tgtFrame="_blank" w:history="1">
        <w:r w:rsidRPr="00CB361C">
          <w:rPr>
            <w:rStyle w:val="Hyperlink"/>
            <w:rFonts w:ascii="Arial" w:hAnsi="Arial" w:cs="Arial"/>
          </w:rPr>
          <w:t>https://digital.nhs.uk/data-and-information/publications/statistical/mental-health-of-children-and-young-people-in-england/2023-wave-4-follow-up/part-5-eating-problems-and-disorders</w:t>
        </w:r>
      </w:hyperlink>
      <w:r w:rsidRPr="00CB361C">
        <w:rPr>
          <w:rFonts w:ascii="Arial" w:hAnsi="Arial" w:cs="Arial"/>
        </w:rPr>
        <w:t>. (Accessed: 9</w:t>
      </w:r>
      <w:r w:rsidRPr="00CB361C">
        <w:rPr>
          <w:rFonts w:ascii="Arial" w:hAnsi="Arial" w:cs="Arial"/>
          <w:vertAlign w:val="superscript"/>
        </w:rPr>
        <w:t>th</w:t>
      </w:r>
      <w:r w:rsidRPr="00CB361C">
        <w:rPr>
          <w:rFonts w:ascii="Arial" w:hAnsi="Arial" w:cs="Arial"/>
        </w:rPr>
        <w:t xml:space="preserve"> November 2025).</w:t>
      </w:r>
    </w:p>
    <w:p w14:paraId="4F069C84" w14:textId="77777777" w:rsidR="00ED44DB" w:rsidRDefault="00ED44DB" w:rsidP="00E54E74">
      <w:pPr>
        <w:spacing w:line="360" w:lineRule="auto"/>
        <w:rPr>
          <w:rFonts w:ascii="Arial" w:hAnsi="Arial" w:cs="Arial"/>
        </w:rPr>
      </w:pPr>
      <w:r w:rsidRPr="00CB361C">
        <w:rPr>
          <w:rFonts w:ascii="Arial" w:hAnsi="Arial" w:cs="Arial"/>
        </w:rPr>
        <w:t xml:space="preserve">NHS Digital (2024) </w:t>
      </w:r>
      <w:r w:rsidRPr="00CB361C">
        <w:rPr>
          <w:rFonts w:ascii="Arial" w:hAnsi="Arial" w:cs="Arial"/>
          <w:i/>
          <w:iCs/>
        </w:rPr>
        <w:t>Hospital admissions for eating disorders</w:t>
      </w:r>
      <w:r w:rsidRPr="00CB361C">
        <w:rPr>
          <w:rFonts w:ascii="Arial" w:hAnsi="Arial" w:cs="Arial"/>
        </w:rPr>
        <w:t xml:space="preserve">. NHS Digital. Available at: </w:t>
      </w:r>
      <w:hyperlink r:id="rId23" w:history="1">
        <w:r w:rsidRPr="00CB361C">
          <w:rPr>
            <w:rStyle w:val="Hyperlink"/>
            <w:rFonts w:ascii="Arial" w:hAnsi="Arial" w:cs="Arial"/>
          </w:rPr>
          <w:t>https://digital.nhs.uk/supplementary-information/2024/hospital-admissions-for-eating-disorders</w:t>
        </w:r>
      </w:hyperlink>
      <w:r w:rsidRPr="00CB361C">
        <w:rPr>
          <w:rFonts w:ascii="Arial" w:hAnsi="Arial" w:cs="Arial"/>
        </w:rPr>
        <w:t>. (Accessed: 2</w:t>
      </w:r>
      <w:r w:rsidRPr="00CB361C">
        <w:rPr>
          <w:rFonts w:ascii="Arial" w:hAnsi="Arial" w:cs="Arial"/>
          <w:vertAlign w:val="superscript"/>
        </w:rPr>
        <w:t>nd</w:t>
      </w:r>
      <w:r w:rsidRPr="00CB361C">
        <w:rPr>
          <w:rFonts w:ascii="Arial" w:hAnsi="Arial" w:cs="Arial"/>
        </w:rPr>
        <w:t xml:space="preserve"> November 2025).</w:t>
      </w:r>
    </w:p>
    <w:p w14:paraId="4BAF4241" w14:textId="77777777" w:rsidR="00ED44DB" w:rsidRPr="00CB361C" w:rsidRDefault="00ED44DB" w:rsidP="00E54E74">
      <w:pPr>
        <w:spacing w:line="360" w:lineRule="auto"/>
        <w:rPr>
          <w:rFonts w:ascii="Arial" w:hAnsi="Arial" w:cs="Arial"/>
        </w:rPr>
      </w:pPr>
      <w:r>
        <w:rPr>
          <w:rFonts w:ascii="Arial" w:hAnsi="Arial" w:cs="Arial"/>
        </w:rPr>
        <w:t xml:space="preserve">NHS Digital (2025) </w:t>
      </w:r>
      <w:r w:rsidRPr="00133E92">
        <w:rPr>
          <w:rFonts w:ascii="Arial" w:hAnsi="Arial" w:cs="Arial"/>
          <w:i/>
          <w:iCs/>
        </w:rPr>
        <w:t xml:space="preserve">Waiting times for children and young people’s mental health services, 2023-24. </w:t>
      </w:r>
      <w:r>
        <w:rPr>
          <w:rFonts w:ascii="Arial" w:hAnsi="Arial" w:cs="Arial"/>
        </w:rPr>
        <w:t xml:space="preserve">NHS Digital. Available at: </w:t>
      </w:r>
      <w:hyperlink r:id="rId24" w:history="1">
        <w:r w:rsidRPr="002D402B">
          <w:rPr>
            <w:rStyle w:val="Hyperlink"/>
            <w:rFonts w:ascii="Arial" w:hAnsi="Arial" w:cs="Arial"/>
          </w:rPr>
          <w:t>https://digital.nhs.uk/supplementary-information/2025/waiting-times-for-children-and-young-peoples-mental-health-services-2023-24</w:t>
        </w:r>
      </w:hyperlink>
      <w:r>
        <w:rPr>
          <w:rFonts w:ascii="Arial" w:hAnsi="Arial" w:cs="Arial"/>
        </w:rPr>
        <w:t xml:space="preserve"> (Accessed: 13</w:t>
      </w:r>
      <w:r w:rsidRPr="00C705DE">
        <w:rPr>
          <w:rFonts w:ascii="Arial" w:hAnsi="Arial" w:cs="Arial"/>
          <w:vertAlign w:val="superscript"/>
        </w:rPr>
        <w:t>th</w:t>
      </w:r>
      <w:r>
        <w:rPr>
          <w:rFonts w:ascii="Arial" w:hAnsi="Arial" w:cs="Arial"/>
        </w:rPr>
        <w:t xml:space="preserve"> November 2025). </w:t>
      </w:r>
    </w:p>
    <w:p w14:paraId="1D8D8A56" w14:textId="77777777" w:rsidR="00ED44DB" w:rsidRPr="00CB361C" w:rsidRDefault="00ED44DB" w:rsidP="00E54E74">
      <w:pPr>
        <w:spacing w:line="360" w:lineRule="auto"/>
        <w:rPr>
          <w:rFonts w:ascii="Arial" w:hAnsi="Arial" w:cs="Arial"/>
        </w:rPr>
      </w:pPr>
      <w:r w:rsidRPr="00CB361C">
        <w:rPr>
          <w:rFonts w:ascii="Arial" w:hAnsi="Arial" w:cs="Arial"/>
        </w:rPr>
        <w:t xml:space="preserve">NHS England (2019) </w:t>
      </w:r>
      <w:r w:rsidRPr="00CB361C">
        <w:rPr>
          <w:rFonts w:ascii="Arial" w:hAnsi="Arial" w:cs="Arial"/>
          <w:i/>
          <w:iCs/>
        </w:rPr>
        <w:t>The NHS Long Term Plan</w:t>
      </w:r>
      <w:r w:rsidRPr="00CB361C">
        <w:rPr>
          <w:rFonts w:ascii="Arial" w:hAnsi="Arial" w:cs="Arial"/>
        </w:rPr>
        <w:t>. London: NHS England.</w:t>
      </w:r>
    </w:p>
    <w:p w14:paraId="5A00CD19" w14:textId="77777777" w:rsidR="00ED44DB" w:rsidRPr="00CB361C" w:rsidRDefault="00ED44DB" w:rsidP="00E54E74">
      <w:pPr>
        <w:spacing w:line="360" w:lineRule="auto"/>
        <w:rPr>
          <w:rFonts w:ascii="Arial" w:hAnsi="Arial" w:cs="Arial"/>
        </w:rPr>
      </w:pPr>
      <w:r>
        <w:rPr>
          <w:rFonts w:ascii="Arial" w:hAnsi="Arial" w:cs="Arial"/>
        </w:rPr>
        <w:t xml:space="preserve">NICE Clinical Knowledge Summaries (CKS) (2024) </w:t>
      </w:r>
      <w:r w:rsidRPr="00603B1A">
        <w:rPr>
          <w:rFonts w:ascii="Arial" w:hAnsi="Arial" w:cs="Arial"/>
          <w:i/>
          <w:iCs/>
        </w:rPr>
        <w:t>eating disorders – Background information: Prevalence.</w:t>
      </w:r>
      <w:r>
        <w:rPr>
          <w:rFonts w:ascii="Arial" w:hAnsi="Arial" w:cs="Arial"/>
        </w:rPr>
        <w:t xml:space="preserve"> (Online). National Institute for Health and Care Excellence. Available at: </w:t>
      </w:r>
      <w:hyperlink r:id="rId25" w:history="1">
        <w:r w:rsidRPr="00414BE1">
          <w:rPr>
            <w:rStyle w:val="Hyperlink"/>
            <w:rFonts w:ascii="Arial" w:hAnsi="Arial" w:cs="Arial"/>
          </w:rPr>
          <w:t>https://cks.nice.org.uk/topics/eating-disorders/background-information/prevalence/</w:t>
        </w:r>
      </w:hyperlink>
      <w:r>
        <w:rPr>
          <w:rFonts w:ascii="Arial" w:hAnsi="Arial" w:cs="Arial"/>
        </w:rPr>
        <w:t xml:space="preserve"> (Accessed: 12</w:t>
      </w:r>
      <w:r w:rsidRPr="0044561C">
        <w:rPr>
          <w:rFonts w:ascii="Arial" w:hAnsi="Arial" w:cs="Arial"/>
          <w:vertAlign w:val="superscript"/>
        </w:rPr>
        <w:t>th</w:t>
      </w:r>
      <w:r>
        <w:rPr>
          <w:rFonts w:ascii="Arial" w:hAnsi="Arial" w:cs="Arial"/>
        </w:rPr>
        <w:t xml:space="preserve"> November 2025). </w:t>
      </w:r>
    </w:p>
    <w:p w14:paraId="6BC91956" w14:textId="77777777" w:rsidR="00ED44DB" w:rsidRPr="00CB361C" w:rsidRDefault="00ED44DB" w:rsidP="00E54E74">
      <w:pPr>
        <w:spacing w:line="360" w:lineRule="auto"/>
        <w:rPr>
          <w:rFonts w:ascii="Arial" w:hAnsi="Arial" w:cs="Arial"/>
        </w:rPr>
      </w:pPr>
      <w:r w:rsidRPr="00CB361C">
        <w:rPr>
          <w:rFonts w:ascii="Arial" w:hAnsi="Arial" w:cs="Arial"/>
        </w:rPr>
        <w:t>Olsen, J., Waddell, G. and Smith, R. (2024) ‘</w:t>
      </w:r>
      <w:r w:rsidRPr="00CB361C">
        <w:rPr>
          <w:rFonts w:ascii="Arial" w:hAnsi="Arial" w:cs="Arial"/>
          <w:i/>
          <w:iCs/>
        </w:rPr>
        <w:t>Employers: influencing disabled people’s experiences’, Disability &amp; Society</w:t>
      </w:r>
      <w:r w:rsidRPr="00CB361C">
        <w:rPr>
          <w:rFonts w:ascii="Arial" w:hAnsi="Arial" w:cs="Arial"/>
        </w:rPr>
        <w:t xml:space="preserve">. Available at: </w:t>
      </w:r>
      <w:hyperlink r:id="rId26" w:history="1">
        <w:r w:rsidRPr="00CB361C">
          <w:rPr>
            <w:rStyle w:val="Hyperlink"/>
            <w:rFonts w:ascii="Arial" w:hAnsi="Arial" w:cs="Arial"/>
          </w:rPr>
          <w:t>https://www.tandfonline.com</w:t>
        </w:r>
      </w:hyperlink>
      <w:r>
        <w:rPr>
          <w:rFonts w:ascii="Arial" w:hAnsi="Arial" w:cs="Arial"/>
        </w:rPr>
        <w:t xml:space="preserve"> </w:t>
      </w:r>
      <w:r w:rsidRPr="00CB361C">
        <w:rPr>
          <w:rFonts w:ascii="Arial" w:hAnsi="Arial" w:cs="Arial"/>
        </w:rPr>
        <w:t xml:space="preserve"> (Accessed: 9 November 2025).</w:t>
      </w:r>
    </w:p>
    <w:p w14:paraId="1CDDEF9B" w14:textId="77777777" w:rsidR="00ED44DB" w:rsidRPr="00CB361C" w:rsidRDefault="00ED44DB" w:rsidP="00E54E74">
      <w:pPr>
        <w:spacing w:line="360" w:lineRule="auto"/>
        <w:rPr>
          <w:rFonts w:ascii="Arial" w:hAnsi="Arial" w:cs="Arial"/>
        </w:rPr>
      </w:pPr>
      <w:r w:rsidRPr="00CB361C">
        <w:rPr>
          <w:rFonts w:ascii="Arial" w:hAnsi="Arial" w:cs="Arial"/>
        </w:rPr>
        <w:t xml:space="preserve">Royal College of Psychiatrists (2023) </w:t>
      </w:r>
      <w:r w:rsidRPr="00CB361C">
        <w:rPr>
          <w:rFonts w:ascii="Arial" w:hAnsi="Arial" w:cs="Arial"/>
          <w:i/>
          <w:iCs/>
        </w:rPr>
        <w:t>Medical Emergencies in Eating Disorders (MEED): Guidance on Recognition and Management</w:t>
      </w:r>
      <w:r w:rsidRPr="00CB361C">
        <w:rPr>
          <w:rFonts w:ascii="Arial" w:hAnsi="Arial" w:cs="Arial"/>
        </w:rPr>
        <w:t xml:space="preserve"> (College Report CR233). London: RCPsych.</w:t>
      </w:r>
    </w:p>
    <w:p w14:paraId="093DCE6D" w14:textId="77777777" w:rsidR="00ED44DB" w:rsidRPr="00CB361C" w:rsidRDefault="00ED44DB" w:rsidP="00E54E74">
      <w:pPr>
        <w:spacing w:line="360" w:lineRule="auto"/>
        <w:rPr>
          <w:rFonts w:ascii="Arial" w:hAnsi="Arial" w:cs="Arial"/>
        </w:rPr>
      </w:pPr>
      <w:r w:rsidRPr="00CB361C">
        <w:rPr>
          <w:rFonts w:ascii="Arial" w:hAnsi="Arial" w:cs="Arial"/>
        </w:rPr>
        <w:t xml:space="preserve">UK Government (2007) </w:t>
      </w:r>
      <w:r w:rsidRPr="00CB361C">
        <w:rPr>
          <w:rFonts w:ascii="Arial" w:hAnsi="Arial" w:cs="Arial"/>
          <w:i/>
          <w:iCs/>
        </w:rPr>
        <w:t>Mental Health Act 1983</w:t>
      </w:r>
      <w:r w:rsidRPr="00CB361C">
        <w:rPr>
          <w:rFonts w:ascii="Arial" w:hAnsi="Arial" w:cs="Arial"/>
        </w:rPr>
        <w:t xml:space="preserve"> (amended 2007). London: The Stationery Office.</w:t>
      </w:r>
    </w:p>
    <w:p w14:paraId="2324D928" w14:textId="77777777" w:rsidR="00ED44DB" w:rsidRDefault="00ED44DB" w:rsidP="00E54E74">
      <w:pPr>
        <w:spacing w:line="360" w:lineRule="auto"/>
        <w:rPr>
          <w:rFonts w:ascii="Arial" w:hAnsi="Arial" w:cs="Arial"/>
        </w:rPr>
      </w:pPr>
      <w:r w:rsidRPr="00CB361C">
        <w:rPr>
          <w:rFonts w:ascii="Arial" w:hAnsi="Arial" w:cs="Arial"/>
        </w:rPr>
        <w:t>Viljoen, D., Brown, A. and Serpell, L. (2024) ‘</w:t>
      </w:r>
      <w:r w:rsidRPr="00CB361C">
        <w:rPr>
          <w:rFonts w:ascii="Arial" w:hAnsi="Arial" w:cs="Arial"/>
          <w:i/>
          <w:iCs/>
        </w:rPr>
        <w:t>Demand and capacity in adult community eating disorder services: a national survey’,</w:t>
      </w:r>
      <w:r w:rsidRPr="00CB361C">
        <w:rPr>
          <w:rFonts w:ascii="Arial" w:hAnsi="Arial" w:cs="Arial"/>
        </w:rPr>
        <w:t xml:space="preserve"> BJPsych Open. Available at: </w:t>
      </w:r>
      <w:hyperlink r:id="rId27" w:history="1">
        <w:r w:rsidRPr="00CB361C">
          <w:rPr>
            <w:rStyle w:val="Hyperlink"/>
            <w:rFonts w:ascii="Arial" w:hAnsi="Arial" w:cs="Arial"/>
          </w:rPr>
          <w:t>https://www.cambridge.org/core</w:t>
        </w:r>
      </w:hyperlink>
      <w:r>
        <w:rPr>
          <w:rFonts w:ascii="Arial" w:hAnsi="Arial" w:cs="Arial"/>
        </w:rPr>
        <w:t xml:space="preserve"> </w:t>
      </w:r>
      <w:r w:rsidRPr="00CB361C">
        <w:rPr>
          <w:rFonts w:ascii="Arial" w:hAnsi="Arial" w:cs="Arial"/>
        </w:rPr>
        <w:t xml:space="preserve"> (Accessed: 9 November 2025).</w:t>
      </w:r>
    </w:p>
    <w:p w14:paraId="57AB97CA" w14:textId="77777777" w:rsidR="00ED44DB" w:rsidRDefault="00ED44DB" w:rsidP="00E54E74">
      <w:pPr>
        <w:spacing w:line="360" w:lineRule="auto"/>
        <w:rPr>
          <w:rFonts w:ascii="Arial" w:hAnsi="Arial" w:cs="Arial"/>
        </w:rPr>
      </w:pPr>
      <w:r w:rsidRPr="00CB361C">
        <w:rPr>
          <w:rFonts w:ascii="Arial" w:hAnsi="Arial" w:cs="Arial"/>
        </w:rPr>
        <w:lastRenderedPageBreak/>
        <w:t xml:space="preserve">World Health Organisation (WHO) (2022) </w:t>
      </w:r>
      <w:r w:rsidRPr="00CB361C">
        <w:rPr>
          <w:rFonts w:ascii="Arial" w:hAnsi="Arial" w:cs="Arial"/>
          <w:i/>
          <w:iCs/>
        </w:rPr>
        <w:t>International Classification of Diseases 11</w:t>
      </w:r>
      <w:r w:rsidRPr="00CB361C">
        <w:rPr>
          <w:rFonts w:ascii="Arial" w:hAnsi="Arial" w:cs="Arial"/>
          <w:i/>
          <w:iCs/>
          <w:vertAlign w:val="superscript"/>
        </w:rPr>
        <w:t>th</w:t>
      </w:r>
      <w:r w:rsidRPr="00CB361C">
        <w:rPr>
          <w:rFonts w:ascii="Arial" w:hAnsi="Arial" w:cs="Arial"/>
          <w:i/>
          <w:iCs/>
        </w:rPr>
        <w:t xml:space="preserve"> Revision (ICD-11):</w:t>
      </w:r>
      <w:r w:rsidRPr="00CB361C">
        <w:rPr>
          <w:rFonts w:ascii="Arial" w:hAnsi="Arial" w:cs="Arial"/>
        </w:rPr>
        <w:t xml:space="preserve"> Anorexia Nervosa. Geneva: WHO. Available at: </w:t>
      </w:r>
      <w:hyperlink r:id="rId28" w:history="1">
        <w:r w:rsidRPr="00CB361C">
          <w:rPr>
            <w:rStyle w:val="Hyperlink"/>
            <w:rFonts w:ascii="Arial" w:hAnsi="Arial" w:cs="Arial"/>
          </w:rPr>
          <w:t>https://icd.who.int/</w:t>
        </w:r>
      </w:hyperlink>
      <w:r w:rsidRPr="00CB361C">
        <w:rPr>
          <w:rFonts w:ascii="Arial" w:hAnsi="Arial" w:cs="Arial"/>
        </w:rPr>
        <w:t xml:space="preserve"> (Accessed: 7</w:t>
      </w:r>
      <w:r w:rsidRPr="00CB361C">
        <w:rPr>
          <w:rFonts w:ascii="Arial" w:hAnsi="Arial" w:cs="Arial"/>
          <w:vertAlign w:val="superscript"/>
        </w:rPr>
        <w:t>th</w:t>
      </w:r>
      <w:r w:rsidRPr="00CB361C">
        <w:rPr>
          <w:rFonts w:ascii="Arial" w:hAnsi="Arial" w:cs="Arial"/>
        </w:rPr>
        <w:t xml:space="preserve"> November 20</w:t>
      </w:r>
      <w:r>
        <w:rPr>
          <w:rFonts w:ascii="Arial" w:hAnsi="Arial" w:cs="Arial"/>
        </w:rPr>
        <w:t>25).</w:t>
      </w:r>
    </w:p>
    <w:p w14:paraId="6CEB0C6D" w14:textId="77777777" w:rsidR="00ED44DB" w:rsidRDefault="00ED44DB" w:rsidP="00E54E74">
      <w:pPr>
        <w:spacing w:line="360" w:lineRule="auto"/>
        <w:rPr>
          <w:rFonts w:ascii="Arial" w:hAnsi="Arial" w:cs="Arial"/>
        </w:rPr>
      </w:pPr>
      <w:r>
        <w:rPr>
          <w:rFonts w:ascii="Arial" w:hAnsi="Arial" w:cs="Arial"/>
        </w:rPr>
        <w:t xml:space="preserve">World Health Organisation (WHO) (2025) </w:t>
      </w:r>
      <w:r w:rsidRPr="00133E92">
        <w:rPr>
          <w:rFonts w:ascii="Arial" w:hAnsi="Arial" w:cs="Arial"/>
          <w:i/>
          <w:iCs/>
        </w:rPr>
        <w:t>Mental health of adolescents</w:t>
      </w:r>
      <w:r>
        <w:rPr>
          <w:rFonts w:ascii="Arial" w:hAnsi="Arial" w:cs="Arial"/>
        </w:rPr>
        <w:t xml:space="preserve">. (Online). Available at: </w:t>
      </w:r>
      <w:hyperlink r:id="rId29" w:history="1">
        <w:r w:rsidRPr="002D402B">
          <w:rPr>
            <w:rStyle w:val="Hyperlink"/>
            <w:rFonts w:ascii="Arial" w:hAnsi="Arial" w:cs="Arial"/>
          </w:rPr>
          <w:t>https://www.who.int/news-room/fact-sheets/detail/adolescent-mental-health</w:t>
        </w:r>
      </w:hyperlink>
      <w:r>
        <w:rPr>
          <w:rFonts w:ascii="Arial" w:hAnsi="Arial" w:cs="Arial"/>
        </w:rPr>
        <w:t xml:space="preserve">  (Accessed: 13</w:t>
      </w:r>
      <w:r w:rsidRPr="00CD5C1E">
        <w:rPr>
          <w:rFonts w:ascii="Arial" w:hAnsi="Arial" w:cs="Arial"/>
          <w:vertAlign w:val="superscript"/>
        </w:rPr>
        <w:t>th</w:t>
      </w:r>
      <w:r>
        <w:rPr>
          <w:rFonts w:ascii="Arial" w:hAnsi="Arial" w:cs="Arial"/>
        </w:rPr>
        <w:t xml:space="preserve"> November 2025). </w:t>
      </w:r>
    </w:p>
    <w:sectPr w:rsidR="00ED44DB">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9B919" w14:textId="77777777" w:rsidR="00513533" w:rsidRDefault="00513533" w:rsidP="00CB361C">
      <w:pPr>
        <w:spacing w:after="0" w:line="240" w:lineRule="auto"/>
      </w:pPr>
      <w:r>
        <w:separator/>
      </w:r>
    </w:p>
  </w:endnote>
  <w:endnote w:type="continuationSeparator" w:id="0">
    <w:p w14:paraId="784703BD" w14:textId="77777777" w:rsidR="00513533" w:rsidRDefault="00513533" w:rsidP="00CB3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87429"/>
      <w:docPartObj>
        <w:docPartGallery w:val="Page Numbers (Bottom of Page)"/>
        <w:docPartUnique/>
      </w:docPartObj>
    </w:sdtPr>
    <w:sdtContent>
      <w:p w14:paraId="7A663987" w14:textId="4C416AFE" w:rsidR="00CB361C" w:rsidRDefault="00CB361C">
        <w:pPr>
          <w:pStyle w:val="Footer"/>
          <w:jc w:val="center"/>
        </w:pPr>
        <w:r>
          <w:fldChar w:fldCharType="begin"/>
        </w:r>
        <w:r>
          <w:instrText>PAGE   \* MERGEFORMAT</w:instrText>
        </w:r>
        <w:r>
          <w:fldChar w:fldCharType="separate"/>
        </w:r>
        <w:r>
          <w:t>2</w:t>
        </w:r>
        <w:r>
          <w:fldChar w:fldCharType="end"/>
        </w:r>
      </w:p>
    </w:sdtContent>
  </w:sdt>
  <w:p w14:paraId="39D2F7A8" w14:textId="77777777" w:rsidR="00CB361C" w:rsidRDefault="00CB3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6E36B" w14:textId="77777777" w:rsidR="00513533" w:rsidRDefault="00513533" w:rsidP="00CB361C">
      <w:pPr>
        <w:spacing w:after="0" w:line="240" w:lineRule="auto"/>
      </w:pPr>
      <w:r>
        <w:separator/>
      </w:r>
    </w:p>
  </w:footnote>
  <w:footnote w:type="continuationSeparator" w:id="0">
    <w:p w14:paraId="7DF6E1CF" w14:textId="77777777" w:rsidR="00513533" w:rsidRDefault="00513533" w:rsidP="00CB3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E75CFF"/>
    <w:multiLevelType w:val="hybridMultilevel"/>
    <w:tmpl w:val="E3AC00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8542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61C"/>
    <w:rsid w:val="0000266A"/>
    <w:rsid w:val="00003F2F"/>
    <w:rsid w:val="0000746E"/>
    <w:rsid w:val="00022F32"/>
    <w:rsid w:val="0004034D"/>
    <w:rsid w:val="0005549D"/>
    <w:rsid w:val="000A3F5A"/>
    <w:rsid w:val="000C15EE"/>
    <w:rsid w:val="000C63E9"/>
    <w:rsid w:val="001000B1"/>
    <w:rsid w:val="00113C9F"/>
    <w:rsid w:val="0011785C"/>
    <w:rsid w:val="001238AD"/>
    <w:rsid w:val="00133E92"/>
    <w:rsid w:val="00154272"/>
    <w:rsid w:val="00155BBE"/>
    <w:rsid w:val="0016564B"/>
    <w:rsid w:val="00166693"/>
    <w:rsid w:val="0017725E"/>
    <w:rsid w:val="0018015F"/>
    <w:rsid w:val="0019069D"/>
    <w:rsid w:val="00192358"/>
    <w:rsid w:val="001A3EB3"/>
    <w:rsid w:val="001A6B33"/>
    <w:rsid w:val="001C57FB"/>
    <w:rsid w:val="001D0056"/>
    <w:rsid w:val="001E4B81"/>
    <w:rsid w:val="001E7386"/>
    <w:rsid w:val="00213405"/>
    <w:rsid w:val="002239E7"/>
    <w:rsid w:val="00240F40"/>
    <w:rsid w:val="002624CF"/>
    <w:rsid w:val="0027253B"/>
    <w:rsid w:val="00276F4B"/>
    <w:rsid w:val="002A29A0"/>
    <w:rsid w:val="002C4249"/>
    <w:rsid w:val="002E741D"/>
    <w:rsid w:val="002F38D1"/>
    <w:rsid w:val="00307472"/>
    <w:rsid w:val="00321DD2"/>
    <w:rsid w:val="00322529"/>
    <w:rsid w:val="003267EE"/>
    <w:rsid w:val="003360D3"/>
    <w:rsid w:val="0033633C"/>
    <w:rsid w:val="003409B9"/>
    <w:rsid w:val="0036646B"/>
    <w:rsid w:val="0037148D"/>
    <w:rsid w:val="00393A86"/>
    <w:rsid w:val="003958B5"/>
    <w:rsid w:val="003C0347"/>
    <w:rsid w:val="003C0838"/>
    <w:rsid w:val="003C5A48"/>
    <w:rsid w:val="003C5B14"/>
    <w:rsid w:val="003D3C92"/>
    <w:rsid w:val="003F3096"/>
    <w:rsid w:val="004245B3"/>
    <w:rsid w:val="004268D4"/>
    <w:rsid w:val="0044561C"/>
    <w:rsid w:val="00455CD0"/>
    <w:rsid w:val="004700EC"/>
    <w:rsid w:val="004B56DA"/>
    <w:rsid w:val="004C668A"/>
    <w:rsid w:val="004F6495"/>
    <w:rsid w:val="00506A97"/>
    <w:rsid w:val="00513533"/>
    <w:rsid w:val="00524AAE"/>
    <w:rsid w:val="00530DF5"/>
    <w:rsid w:val="00543ED1"/>
    <w:rsid w:val="00563DA4"/>
    <w:rsid w:val="005929F8"/>
    <w:rsid w:val="005D3309"/>
    <w:rsid w:val="005D38E6"/>
    <w:rsid w:val="005D479E"/>
    <w:rsid w:val="005E0A9C"/>
    <w:rsid w:val="005F4C5D"/>
    <w:rsid w:val="00603B1A"/>
    <w:rsid w:val="006137C8"/>
    <w:rsid w:val="00663A77"/>
    <w:rsid w:val="006676E8"/>
    <w:rsid w:val="00693A27"/>
    <w:rsid w:val="006B0F8A"/>
    <w:rsid w:val="006C5EEF"/>
    <w:rsid w:val="00701BC0"/>
    <w:rsid w:val="00705B88"/>
    <w:rsid w:val="00716396"/>
    <w:rsid w:val="0072060F"/>
    <w:rsid w:val="00720AE8"/>
    <w:rsid w:val="007307CC"/>
    <w:rsid w:val="007538B9"/>
    <w:rsid w:val="00770243"/>
    <w:rsid w:val="00776700"/>
    <w:rsid w:val="007A0B7C"/>
    <w:rsid w:val="007A1A95"/>
    <w:rsid w:val="007D3D44"/>
    <w:rsid w:val="007D4CE1"/>
    <w:rsid w:val="007E3087"/>
    <w:rsid w:val="007E7051"/>
    <w:rsid w:val="007E72F8"/>
    <w:rsid w:val="0080192F"/>
    <w:rsid w:val="00811FC9"/>
    <w:rsid w:val="00813117"/>
    <w:rsid w:val="00843804"/>
    <w:rsid w:val="00845A9E"/>
    <w:rsid w:val="0086082B"/>
    <w:rsid w:val="00874894"/>
    <w:rsid w:val="00896C15"/>
    <w:rsid w:val="008C0C97"/>
    <w:rsid w:val="008D1E95"/>
    <w:rsid w:val="00910450"/>
    <w:rsid w:val="00912E64"/>
    <w:rsid w:val="00927A28"/>
    <w:rsid w:val="00934786"/>
    <w:rsid w:val="00942BE2"/>
    <w:rsid w:val="009521ED"/>
    <w:rsid w:val="009854B5"/>
    <w:rsid w:val="0098669E"/>
    <w:rsid w:val="0099675D"/>
    <w:rsid w:val="009C2544"/>
    <w:rsid w:val="009C2FED"/>
    <w:rsid w:val="009E164A"/>
    <w:rsid w:val="009E3D03"/>
    <w:rsid w:val="00A055F0"/>
    <w:rsid w:val="00A1214D"/>
    <w:rsid w:val="00A21E49"/>
    <w:rsid w:val="00A24500"/>
    <w:rsid w:val="00A305EB"/>
    <w:rsid w:val="00A46390"/>
    <w:rsid w:val="00A531F5"/>
    <w:rsid w:val="00A80A59"/>
    <w:rsid w:val="00A81550"/>
    <w:rsid w:val="00A82267"/>
    <w:rsid w:val="00AA23E1"/>
    <w:rsid w:val="00AB34F8"/>
    <w:rsid w:val="00AC035D"/>
    <w:rsid w:val="00AD05D9"/>
    <w:rsid w:val="00AF74F2"/>
    <w:rsid w:val="00B03771"/>
    <w:rsid w:val="00B2238F"/>
    <w:rsid w:val="00B7642F"/>
    <w:rsid w:val="00B840FE"/>
    <w:rsid w:val="00BA371E"/>
    <w:rsid w:val="00BB10F3"/>
    <w:rsid w:val="00BB3A56"/>
    <w:rsid w:val="00BD4693"/>
    <w:rsid w:val="00BD59F6"/>
    <w:rsid w:val="00BE0DC5"/>
    <w:rsid w:val="00BF0608"/>
    <w:rsid w:val="00BF0DD2"/>
    <w:rsid w:val="00BF6414"/>
    <w:rsid w:val="00C044B9"/>
    <w:rsid w:val="00C1221D"/>
    <w:rsid w:val="00C132B7"/>
    <w:rsid w:val="00C44940"/>
    <w:rsid w:val="00C54CDE"/>
    <w:rsid w:val="00C558FC"/>
    <w:rsid w:val="00C63F8F"/>
    <w:rsid w:val="00C705DE"/>
    <w:rsid w:val="00C71AA5"/>
    <w:rsid w:val="00C86B4D"/>
    <w:rsid w:val="00C87DBC"/>
    <w:rsid w:val="00C92A7A"/>
    <w:rsid w:val="00CB03A7"/>
    <w:rsid w:val="00CB0D54"/>
    <w:rsid w:val="00CB361C"/>
    <w:rsid w:val="00CB4F6A"/>
    <w:rsid w:val="00CC5EB8"/>
    <w:rsid w:val="00CD5C1E"/>
    <w:rsid w:val="00CD6ADE"/>
    <w:rsid w:val="00CF24CD"/>
    <w:rsid w:val="00D10E39"/>
    <w:rsid w:val="00D21C91"/>
    <w:rsid w:val="00D36319"/>
    <w:rsid w:val="00D447A1"/>
    <w:rsid w:val="00D46925"/>
    <w:rsid w:val="00DA66F9"/>
    <w:rsid w:val="00DB27A7"/>
    <w:rsid w:val="00DB7707"/>
    <w:rsid w:val="00DC6A95"/>
    <w:rsid w:val="00DE6F28"/>
    <w:rsid w:val="00DF55FF"/>
    <w:rsid w:val="00E028E4"/>
    <w:rsid w:val="00E248C7"/>
    <w:rsid w:val="00E27A4E"/>
    <w:rsid w:val="00E30DBC"/>
    <w:rsid w:val="00E3193A"/>
    <w:rsid w:val="00E54788"/>
    <w:rsid w:val="00E54E74"/>
    <w:rsid w:val="00E71C95"/>
    <w:rsid w:val="00EB03A7"/>
    <w:rsid w:val="00EB20F8"/>
    <w:rsid w:val="00EC0627"/>
    <w:rsid w:val="00EC19B2"/>
    <w:rsid w:val="00ED44DB"/>
    <w:rsid w:val="00ED6BCC"/>
    <w:rsid w:val="00EE0E5E"/>
    <w:rsid w:val="00EF39D9"/>
    <w:rsid w:val="00EF45D4"/>
    <w:rsid w:val="00EF5A75"/>
    <w:rsid w:val="00F104E5"/>
    <w:rsid w:val="00F12F5F"/>
    <w:rsid w:val="00F62B55"/>
    <w:rsid w:val="00F65DC2"/>
    <w:rsid w:val="00F72353"/>
    <w:rsid w:val="00F87F9E"/>
    <w:rsid w:val="00F97DC6"/>
    <w:rsid w:val="00FB2C6A"/>
    <w:rsid w:val="00FD11F7"/>
    <w:rsid w:val="00FD4F0C"/>
    <w:rsid w:val="00FE0073"/>
    <w:rsid w:val="00FF1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FE91D"/>
  <w15:chartTrackingRefBased/>
  <w15:docId w15:val="{472B38AC-D14F-4DE7-BF6C-A376A93D3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A48"/>
  </w:style>
  <w:style w:type="paragraph" w:styleId="Heading1">
    <w:name w:val="heading 1"/>
    <w:basedOn w:val="Normal"/>
    <w:next w:val="Normal"/>
    <w:link w:val="Heading1Char"/>
    <w:uiPriority w:val="9"/>
    <w:qFormat/>
    <w:rsid w:val="00CB36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6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6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6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6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6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6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6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6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6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6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6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6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6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6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6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6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61C"/>
    <w:rPr>
      <w:rFonts w:eastAsiaTheme="majorEastAsia" w:cstheme="majorBidi"/>
      <w:color w:val="272727" w:themeColor="text1" w:themeTint="D8"/>
    </w:rPr>
  </w:style>
  <w:style w:type="paragraph" w:styleId="Title">
    <w:name w:val="Title"/>
    <w:basedOn w:val="Normal"/>
    <w:next w:val="Normal"/>
    <w:link w:val="TitleChar"/>
    <w:uiPriority w:val="10"/>
    <w:qFormat/>
    <w:rsid w:val="00CB36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6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6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6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61C"/>
    <w:pPr>
      <w:spacing w:before="160"/>
      <w:jc w:val="center"/>
    </w:pPr>
    <w:rPr>
      <w:i/>
      <w:iCs/>
      <w:color w:val="404040" w:themeColor="text1" w:themeTint="BF"/>
    </w:rPr>
  </w:style>
  <w:style w:type="character" w:customStyle="1" w:styleId="QuoteChar">
    <w:name w:val="Quote Char"/>
    <w:basedOn w:val="DefaultParagraphFont"/>
    <w:link w:val="Quote"/>
    <w:uiPriority w:val="29"/>
    <w:rsid w:val="00CB361C"/>
    <w:rPr>
      <w:i/>
      <w:iCs/>
      <w:color w:val="404040" w:themeColor="text1" w:themeTint="BF"/>
    </w:rPr>
  </w:style>
  <w:style w:type="paragraph" w:styleId="ListParagraph">
    <w:name w:val="List Paragraph"/>
    <w:basedOn w:val="Normal"/>
    <w:uiPriority w:val="34"/>
    <w:qFormat/>
    <w:rsid w:val="00CB361C"/>
    <w:pPr>
      <w:ind w:left="720"/>
      <w:contextualSpacing/>
    </w:pPr>
  </w:style>
  <w:style w:type="character" w:styleId="IntenseEmphasis">
    <w:name w:val="Intense Emphasis"/>
    <w:basedOn w:val="DefaultParagraphFont"/>
    <w:uiPriority w:val="21"/>
    <w:qFormat/>
    <w:rsid w:val="00CB361C"/>
    <w:rPr>
      <w:i/>
      <w:iCs/>
      <w:color w:val="0F4761" w:themeColor="accent1" w:themeShade="BF"/>
    </w:rPr>
  </w:style>
  <w:style w:type="paragraph" w:styleId="IntenseQuote">
    <w:name w:val="Intense Quote"/>
    <w:basedOn w:val="Normal"/>
    <w:next w:val="Normal"/>
    <w:link w:val="IntenseQuoteChar"/>
    <w:uiPriority w:val="30"/>
    <w:qFormat/>
    <w:rsid w:val="00CB36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61C"/>
    <w:rPr>
      <w:i/>
      <w:iCs/>
      <w:color w:val="0F4761" w:themeColor="accent1" w:themeShade="BF"/>
    </w:rPr>
  </w:style>
  <w:style w:type="character" w:styleId="IntenseReference">
    <w:name w:val="Intense Reference"/>
    <w:basedOn w:val="DefaultParagraphFont"/>
    <w:uiPriority w:val="32"/>
    <w:qFormat/>
    <w:rsid w:val="00CB361C"/>
    <w:rPr>
      <w:b/>
      <w:bCs/>
      <w:smallCaps/>
      <w:color w:val="0F4761" w:themeColor="accent1" w:themeShade="BF"/>
      <w:spacing w:val="5"/>
    </w:rPr>
  </w:style>
  <w:style w:type="character" w:styleId="Hyperlink">
    <w:name w:val="Hyperlink"/>
    <w:basedOn w:val="DefaultParagraphFont"/>
    <w:uiPriority w:val="99"/>
    <w:unhideWhenUsed/>
    <w:rsid w:val="00CB361C"/>
    <w:rPr>
      <w:color w:val="467886" w:themeColor="hyperlink"/>
      <w:u w:val="single"/>
    </w:rPr>
  </w:style>
  <w:style w:type="character" w:styleId="UnresolvedMention">
    <w:name w:val="Unresolved Mention"/>
    <w:basedOn w:val="DefaultParagraphFont"/>
    <w:uiPriority w:val="99"/>
    <w:semiHidden/>
    <w:unhideWhenUsed/>
    <w:rsid w:val="00CB361C"/>
    <w:rPr>
      <w:color w:val="605E5C"/>
      <w:shd w:val="clear" w:color="auto" w:fill="E1DFDD"/>
    </w:rPr>
  </w:style>
  <w:style w:type="paragraph" w:styleId="Header">
    <w:name w:val="header"/>
    <w:basedOn w:val="Normal"/>
    <w:link w:val="HeaderChar"/>
    <w:uiPriority w:val="99"/>
    <w:unhideWhenUsed/>
    <w:rsid w:val="00CB3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61C"/>
  </w:style>
  <w:style w:type="paragraph" w:styleId="Footer">
    <w:name w:val="footer"/>
    <w:basedOn w:val="Normal"/>
    <w:link w:val="FooterChar"/>
    <w:uiPriority w:val="99"/>
    <w:unhideWhenUsed/>
    <w:rsid w:val="00CB3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61C"/>
  </w:style>
  <w:style w:type="character" w:styleId="FollowedHyperlink">
    <w:name w:val="FollowedHyperlink"/>
    <w:basedOn w:val="DefaultParagraphFont"/>
    <w:uiPriority w:val="99"/>
    <w:semiHidden/>
    <w:unhideWhenUsed/>
    <w:rsid w:val="00CB361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as.org.uk/reasonable-adjustments/mental-health-adjustments" TargetMode="External"/><Relationship Id="rId18" Type="http://schemas.openxmlformats.org/officeDocument/2006/relationships/hyperlink" Target="https://commonslibrary.parliament.uk/research-briefings/cdp-2024-0045/" TargetMode="External"/><Relationship Id="rId26" Type="http://schemas.openxmlformats.org/officeDocument/2006/relationships/hyperlink" Target="https://www.tandfonline.com" TargetMode="External"/><Relationship Id="rId3" Type="http://schemas.openxmlformats.org/officeDocument/2006/relationships/customXml" Target="../customXml/item3.xml"/><Relationship Id="rId21" Type="http://schemas.openxmlformats.org/officeDocument/2006/relationships/hyperlink" Target="https://www.nhs.uk/mental-health/conditions/anorexia/overview"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pga/1983/20" TargetMode="External"/><Relationship Id="rId25" Type="http://schemas.openxmlformats.org/officeDocument/2006/relationships/hyperlink" Target="https://cks.nice.org.uk/topics/eating-disorders/background-information/prevalence/" TargetMode="External"/><Relationship Id="rId2" Type="http://schemas.openxmlformats.org/officeDocument/2006/relationships/customXml" Target="../customXml/item2.xml"/><Relationship Id="rId16" Type="http://schemas.openxmlformats.org/officeDocument/2006/relationships/hyperlink" Target="https://assets.publishing.service.gov.uk/media/5a7f6122e5274a2e87db57f9/23902777_Care_Act_Book.pdf" TargetMode="External"/><Relationship Id="rId20" Type="http://schemas.openxmlformats.org/officeDocument/2006/relationships/hyperlink" Target="https://www.nice.org.uk/guidance/ng69" TargetMode="External"/><Relationship Id="rId29" Type="http://schemas.openxmlformats.org/officeDocument/2006/relationships/hyperlink" Target="https://www.who.int/news-room/fact-sheets/detail/adolescent-mental-heal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gital.nhs.uk/supplementary-information/2025/waiting-times-for-children-and-young-peoples-mental-health-services-2023-24"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eateatingdisorders.org.uk/media-centre/eating-disorder-statistics/" TargetMode="External"/><Relationship Id="rId23" Type="http://schemas.openxmlformats.org/officeDocument/2006/relationships/hyperlink" Target="https://digital.nhs.uk/supplementary-information/2024/hospital-admissions-for-eating-disorders" TargetMode="External"/><Relationship Id="rId28" Type="http://schemas.openxmlformats.org/officeDocument/2006/relationships/hyperlink" Target="https://icd.who.int/" TargetMode="External"/><Relationship Id="rId10" Type="http://schemas.openxmlformats.org/officeDocument/2006/relationships/endnotes" Target="endnotes.xml"/><Relationship Id="rId19" Type="http://schemas.openxmlformats.org/officeDocument/2006/relationships/hyperlink" Target="https://www.mind.org.uk/information-support/types-of-mental-health-problems/eating-problem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ateatingdisorders.org.uk/document/877/Beat_Accounts_2023-signed_W8eADKq.pdf" TargetMode="External"/><Relationship Id="rId22" Type="http://schemas.openxmlformats.org/officeDocument/2006/relationships/hyperlink" Target="https://digital.nhs.uk/data-and-information/publications/statistical/mental-health-of-children-and-young-people-in-england/2023-wave-4-follow-up/part-5-eating-problems-and-disorders" TargetMode="External"/><Relationship Id="rId27" Type="http://schemas.openxmlformats.org/officeDocument/2006/relationships/hyperlink" Target="https://www.cambridge.org/cor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87f3cd6f08b4ded389ace3881fca035e">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f0fd76f13e5b41e8f400c8b94c3da5a9"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A758F7DD-E22E-4BD5-A9AA-B76702DB2337}">
  <ds:schemaRefs>
    <ds:schemaRef ds:uri="http://schemas.microsoft.com/sharepoint/v3/contenttype/forms"/>
  </ds:schemaRefs>
</ds:datastoreItem>
</file>

<file path=customXml/itemProps2.xml><?xml version="1.0" encoding="utf-8"?>
<ds:datastoreItem xmlns:ds="http://schemas.openxmlformats.org/officeDocument/2006/customXml" ds:itemID="{0461D5D8-1117-457F-8EF7-771C71B257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6BE005-F746-403C-B9B1-CF95F541D44F}">
  <ds:schemaRefs>
    <ds:schemaRef ds:uri="http://schemas.openxmlformats.org/officeDocument/2006/bibliography"/>
  </ds:schemaRefs>
</ds:datastoreItem>
</file>

<file path=customXml/itemProps4.xml><?xml version="1.0" encoding="utf-8"?>
<ds:datastoreItem xmlns:ds="http://schemas.openxmlformats.org/officeDocument/2006/customXml" ds:itemID="{3A699572-EBBD-4E3A-97BC-CE2D10CBC76A}">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12</Pages>
  <Words>2951</Words>
  <Characters>20780</Characters>
  <Application>Microsoft Office Word</Application>
  <DocSecurity>0</DocSecurity>
  <Lines>432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Naznin Mahmood (2215438)</dc:creator>
  <cp:keywords/>
  <dc:description/>
  <cp:lastModifiedBy>Naznin Mahmood (2215438)</cp:lastModifiedBy>
  <cp:revision>197</cp:revision>
  <dcterms:created xsi:type="dcterms:W3CDTF">2025-11-10T21:57:00Z</dcterms:created>
  <dcterms:modified xsi:type="dcterms:W3CDTF">2025-11-13T23:05:00Z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6d0d0613-6eae-46ef-b36b-95260cac42ef</vt:lpwstr>
  </property>
  <property fmtid="{D5CDD505-2E9C-101B-9397-08002B2CF9AE}" pid="3" name="ContentTypeId">
    <vt:lpwstr>0x010100F8BF9AC769AD6E4EA4D545CCC79C824F</vt:lpwstr>
  </property>
</Properties>
</file>