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2549FB" w14:textId="77777777" w:rsidR="00E771A5" w:rsidRPr="00471CCF" w:rsidRDefault="0034216B">
      <w:pPr>
        <w:rPr>
          <w:b/>
          <w:bCs/>
          <w:sz w:val="32"/>
          <w:szCs w:val="32"/>
        </w:rPr>
      </w:pPr>
      <w:r w:rsidRPr="00471CCF">
        <w:rPr>
          <w:b/>
          <w:bCs/>
          <w:sz w:val="32"/>
          <w:szCs w:val="32"/>
        </w:rPr>
        <w:t xml:space="preserve">Dissertation literature review. </w:t>
      </w:r>
      <w:bookmarkStart w:id="0" w:name="_GoBack"/>
      <w:bookmarkEnd w:id="0"/>
    </w:p>
    <w:p w14:paraId="324C22D5" w14:textId="77777777" w:rsidR="00AF0D77" w:rsidRDefault="00AF0D77"/>
    <w:p w14:paraId="2F50D646" w14:textId="06309A03" w:rsidR="00AF0D77" w:rsidRPr="00471CCF" w:rsidRDefault="00471CCF">
      <w:pPr>
        <w:rPr>
          <w:i/>
          <w:iCs/>
          <w:color w:val="833C0B" w:themeColor="accent2" w:themeShade="80"/>
        </w:rPr>
      </w:pPr>
      <w:r>
        <w:rPr>
          <w:i/>
          <w:iCs/>
          <w:color w:val="833C0B" w:themeColor="accent2" w:themeShade="80"/>
        </w:rPr>
        <w:t xml:space="preserve">Incomplete sections and areas for development are written in this format throughout the text. </w:t>
      </w:r>
    </w:p>
    <w:p w14:paraId="48999057" w14:textId="42AE3474" w:rsidR="049341D4" w:rsidRDefault="049341D4" w:rsidP="049341D4">
      <w:pPr>
        <w:jc w:val="both"/>
      </w:pPr>
    </w:p>
    <w:p w14:paraId="23DAACC9" w14:textId="07C565D0" w:rsidR="54DC8F5B" w:rsidRDefault="179F3563" w:rsidP="004C279E">
      <w:pPr>
        <w:jc w:val="both"/>
        <w:rPr>
          <w:rFonts w:ascii="Calibri" w:eastAsia="Calibri" w:hAnsi="Calibri" w:cs="Calibri"/>
          <w:color w:val="000000" w:themeColor="text1"/>
          <w:sz w:val="21"/>
          <w:szCs w:val="21"/>
          <w:highlight w:val="lightGray"/>
        </w:rPr>
      </w:pPr>
      <w:r>
        <w:t xml:space="preserve">Within the field of occupational psychology, personnel selection is one of the most heavily invested areas, with over a hundred years of research. This is primarily as a result of the time and financial costs associated with the selection process and subsequent training (König, </w:t>
      </w:r>
      <w:proofErr w:type="spellStart"/>
      <w:r>
        <w:t>Klehe</w:t>
      </w:r>
      <w:proofErr w:type="spellEnd"/>
      <w:r>
        <w:t xml:space="preserve">, </w:t>
      </w:r>
      <w:proofErr w:type="spellStart"/>
      <w:r>
        <w:t>Berchtold</w:t>
      </w:r>
      <w:proofErr w:type="spellEnd"/>
      <w:r>
        <w:t xml:space="preserve"> &amp; </w:t>
      </w:r>
      <w:proofErr w:type="spellStart"/>
      <w:r>
        <w:t>Kleinmann</w:t>
      </w:r>
      <w:proofErr w:type="spellEnd"/>
      <w:r>
        <w:t>, 2010; Schmidt&amp; Hunter, 1998; Torrington &amp; Hall, 1991). In order to maximise business efficiency, and reduce the costs incurred, it is imperative that an effective recruitment process is utilized. In a pivotal meta-analysis, Schmidt and Hunter (1998) investigated the practical and theoretical validity of nineteen selection processes, finding that a general mental ability test, combined with an integrity test, a structured interview and a work sample test was the strongest combination to ensure successful candidate selection, resulting in reduced costs to the recruiter. However, the recommendations of occupational specialists, and the procedures utilized by many companies often do not match. Believed in part to be the result of diffusion through mimetic pressure (the process of mimicking practices of other, similar businesses). Further explanations provided for the divide between scientifically supported practices and those utilized by companies are that of cost incurred (</w:t>
      </w:r>
      <w:r w:rsidRPr="179F3563">
        <w:rPr>
          <w:rFonts w:ascii="Calibri" w:eastAsia="Calibri" w:hAnsi="Calibri" w:cs="Calibri"/>
          <w:color w:val="000000" w:themeColor="text1"/>
          <w:sz w:val="21"/>
          <w:szCs w:val="21"/>
        </w:rPr>
        <w:t xml:space="preserve">König, </w:t>
      </w:r>
      <w:proofErr w:type="spellStart"/>
      <w:r w:rsidRPr="179F3563">
        <w:rPr>
          <w:rFonts w:ascii="Calibri" w:eastAsia="Calibri" w:hAnsi="Calibri" w:cs="Calibri"/>
          <w:color w:val="000000" w:themeColor="text1"/>
          <w:sz w:val="21"/>
          <w:szCs w:val="21"/>
        </w:rPr>
        <w:t>Klehe</w:t>
      </w:r>
      <w:proofErr w:type="spellEnd"/>
      <w:r w:rsidRPr="179F3563">
        <w:rPr>
          <w:rFonts w:ascii="Calibri" w:eastAsia="Calibri" w:hAnsi="Calibri" w:cs="Calibri"/>
          <w:color w:val="000000" w:themeColor="text1"/>
          <w:sz w:val="21"/>
          <w:szCs w:val="21"/>
        </w:rPr>
        <w:t xml:space="preserve">, </w:t>
      </w:r>
      <w:proofErr w:type="spellStart"/>
      <w:r w:rsidRPr="179F3563">
        <w:rPr>
          <w:rFonts w:ascii="Calibri" w:eastAsia="Calibri" w:hAnsi="Calibri" w:cs="Calibri"/>
          <w:color w:val="000000" w:themeColor="text1"/>
          <w:sz w:val="21"/>
          <w:szCs w:val="21"/>
        </w:rPr>
        <w:t>Berchtold</w:t>
      </w:r>
      <w:proofErr w:type="spellEnd"/>
      <w:r w:rsidRPr="179F3563">
        <w:rPr>
          <w:rFonts w:ascii="Calibri" w:eastAsia="Calibri" w:hAnsi="Calibri" w:cs="Calibri"/>
          <w:color w:val="000000" w:themeColor="text1"/>
          <w:sz w:val="21"/>
          <w:szCs w:val="21"/>
        </w:rPr>
        <w:t xml:space="preserve"> &amp; </w:t>
      </w:r>
      <w:proofErr w:type="spellStart"/>
      <w:r w:rsidRPr="179F3563">
        <w:rPr>
          <w:rFonts w:ascii="Calibri" w:eastAsia="Calibri" w:hAnsi="Calibri" w:cs="Calibri"/>
          <w:color w:val="000000" w:themeColor="text1"/>
          <w:sz w:val="21"/>
          <w:szCs w:val="21"/>
        </w:rPr>
        <w:t>Kleinmann</w:t>
      </w:r>
      <w:proofErr w:type="spellEnd"/>
      <w:r w:rsidRPr="179F3563">
        <w:rPr>
          <w:rFonts w:ascii="Calibri" w:eastAsia="Calibri" w:hAnsi="Calibri" w:cs="Calibri"/>
          <w:color w:val="000000" w:themeColor="text1"/>
          <w:sz w:val="21"/>
          <w:szCs w:val="21"/>
        </w:rPr>
        <w:t xml:space="preserve">, 2010). The process of mimetic pressure and cost efficiency helps to explain the rapid expansion of the use of social media pages by recruiting employers. Such social media pages provide a wealth of information about a candidate, much of which has little to do with ability or appropriateness for the position held and can result in stereotype activation prior to meeting with the applicant for interview, the point at which information would traditionally be gathered. </w:t>
      </w:r>
    </w:p>
    <w:p w14:paraId="1112DBD4" w14:textId="4CA4DCD1" w:rsidR="049341D4" w:rsidRDefault="179F3563" w:rsidP="004C279E">
      <w:pPr>
        <w:jc w:val="both"/>
      </w:pPr>
      <w:r>
        <w:t>Due to digital technology developing exponentially, evidence suggests that the growing access to, and use of online data influences the practices of employee recruitment (</w:t>
      </w:r>
      <w:proofErr w:type="spellStart"/>
      <w:r>
        <w:t>Boudlaie</w:t>
      </w:r>
      <w:proofErr w:type="spellEnd"/>
      <w:r>
        <w:t xml:space="preserve">, </w:t>
      </w:r>
      <w:proofErr w:type="spellStart"/>
      <w:r>
        <w:t>Nargesian</w:t>
      </w:r>
      <w:proofErr w:type="spellEnd"/>
      <w:r>
        <w:t xml:space="preserve"> &amp; Nik, 2019). Social media has been defined as ‘a group of internet-based applications that builds on the ideological and technical foundations of web 2.0, and that allow the criterion and exchange of user generated content’ (Kaplan &amp; </w:t>
      </w:r>
      <w:proofErr w:type="spellStart"/>
      <w:r>
        <w:t>Haenlein</w:t>
      </w:r>
      <w:proofErr w:type="spellEnd"/>
      <w:r>
        <w:t xml:space="preserve">, 2010. P-61). It serves as a conversational media, through which users can share images, videos and written content online </w:t>
      </w:r>
      <w:r w:rsidR="711BCF53">
        <w:t>and connect and develop relationships online.</w:t>
      </w:r>
      <w:r>
        <w:t xml:space="preserve"> LinkedIn, Twitter and Facebook have been identified by a body of research as the primary platforms utilised within recruitment and selection (</w:t>
      </w:r>
      <w:proofErr w:type="spellStart"/>
      <w:r>
        <w:t>Caers</w:t>
      </w:r>
      <w:proofErr w:type="spellEnd"/>
      <w:r>
        <w:t xml:space="preserve"> &amp; </w:t>
      </w:r>
      <w:proofErr w:type="spellStart"/>
      <w:r>
        <w:t>Castelyns</w:t>
      </w:r>
      <w:proofErr w:type="spellEnd"/>
      <w:r>
        <w:t xml:space="preserve">, 2011; </w:t>
      </w:r>
      <w:r w:rsidRPr="179F3563">
        <w:rPr>
          <w:i/>
          <w:iCs/>
        </w:rPr>
        <w:t>** include more references).</w:t>
      </w:r>
      <w:r>
        <w:t xml:space="preserve"> Although originally developed for social reasons, social media information is increasingly utilised by professionals working within Human Resources (HR), Recruitment and selection (R&amp;S) and in site hiring managers in order to aid in recruitment decision making (Gibbs, MacDonald &amp; MacKay, 2015). </w:t>
      </w:r>
      <w:r w:rsidR="00D76CA1">
        <w:t xml:space="preserve">In a sample of 731 Belgian recruitment and selection professions </w:t>
      </w:r>
      <w:proofErr w:type="spellStart"/>
      <w:r w:rsidR="00D76CA1">
        <w:t>Caers</w:t>
      </w:r>
      <w:proofErr w:type="spellEnd"/>
      <w:r w:rsidR="00D76CA1">
        <w:t xml:space="preserve"> and </w:t>
      </w:r>
      <w:proofErr w:type="spellStart"/>
      <w:r w:rsidR="00D76CA1">
        <w:t>Castelyns</w:t>
      </w:r>
      <w:proofErr w:type="spellEnd"/>
      <w:r w:rsidR="00D76CA1">
        <w:t xml:space="preserve"> (2011) identified that 90.4% of respondents claimed their organisation has no formal policy on the utilisation of social media sites in hiring practices. </w:t>
      </w:r>
      <w:r w:rsidR="711BCF53">
        <w:t xml:space="preserve">Different social media platforms serve different functions, Facebook is a social networking platform, Twitter is classified as a microblogging site (Koch, Gerber &amp; de Klerk, 2018), and LinkedIn a professional networking platform. </w:t>
      </w:r>
      <w:proofErr w:type="spellStart"/>
      <w:r w:rsidR="711BCF53">
        <w:t>Hargitta</w:t>
      </w:r>
      <w:proofErr w:type="spellEnd"/>
      <w:r w:rsidR="711BCF53">
        <w:t xml:space="preserve"> (2007) identified the importance of differentiating the purposes and functions of different social media sites rather than homogeneously, in order to identify important trends.</w:t>
      </w:r>
      <w:r w:rsidR="00D326F9">
        <w:t xml:space="preserve"> </w:t>
      </w:r>
      <w:r w:rsidR="002B0A5F">
        <w:t xml:space="preserve">Irrespective of to which platform a potential employer gains access, social media in general </w:t>
      </w:r>
      <w:r w:rsidR="00D76CA1">
        <w:t>can</w:t>
      </w:r>
      <w:r w:rsidR="0019139F">
        <w:t xml:space="preserve"> provide a wealth of personal information about a candidate, that would otherwise not be accessible prior to interview, such as </w:t>
      </w:r>
      <w:r w:rsidR="00190B44">
        <w:t xml:space="preserve">photographs, </w:t>
      </w:r>
      <w:r w:rsidR="004A652C">
        <w:t xml:space="preserve">status updates </w:t>
      </w:r>
      <w:r w:rsidR="00B428A9">
        <w:t xml:space="preserve">and </w:t>
      </w:r>
      <w:r w:rsidR="00846D74">
        <w:t xml:space="preserve">system generated cues, such as number of friends. </w:t>
      </w:r>
    </w:p>
    <w:p w14:paraId="21AF6C79" w14:textId="77777777" w:rsidR="00065C09" w:rsidRDefault="00065C09" w:rsidP="004C279E">
      <w:pPr>
        <w:jc w:val="both"/>
      </w:pPr>
    </w:p>
    <w:p w14:paraId="55E7DF0B" w14:textId="015EED28" w:rsidR="54DC8F5B" w:rsidRDefault="179F3563" w:rsidP="004C279E">
      <w:pPr>
        <w:jc w:val="both"/>
      </w:pPr>
      <w:r>
        <w:lastRenderedPageBreak/>
        <w:t xml:space="preserve">The organisational – practitioner gap is of concern with regards to equal opportunities for applicants. Ideally, a hiring decision would be conducted systematically, with the employer attending objectively only to the characteristics that directly affect the ability of the applicant to perform the job. However, humans utilise many cognitive shortcuts to understand the world, including stereotypes, which can be defined as ‘beliefs about the characteristics, attributes, and behaviours of members of certain groups’ (Hilton &amp; Von </w:t>
      </w:r>
      <w:proofErr w:type="spellStart"/>
      <w:r>
        <w:t>Hippen</w:t>
      </w:r>
      <w:proofErr w:type="spellEnd"/>
      <w:r>
        <w:t>, 1996) and are believed to have the same characteristics be they desirable or undesirable as other members of that group.</w:t>
      </w:r>
      <w:r w:rsidR="006D7A38">
        <w:t xml:space="preserve"> </w:t>
      </w:r>
      <w:r w:rsidR="00207AEA">
        <w:t xml:space="preserve">According to the </w:t>
      </w:r>
      <w:proofErr w:type="spellStart"/>
      <w:r w:rsidR="00207AEA">
        <w:t>Brunswic</w:t>
      </w:r>
      <w:r w:rsidR="00E70874">
        <w:t>’s</w:t>
      </w:r>
      <w:proofErr w:type="spellEnd"/>
      <w:r w:rsidR="00E70874">
        <w:t xml:space="preserve"> (1956) lens model, an individual’s environment can provide cues </w:t>
      </w:r>
      <w:r w:rsidR="00A17B23">
        <w:t xml:space="preserve">that are interpreted by an observer and from which inferences are drawn. </w:t>
      </w:r>
      <w:r w:rsidR="00E23716">
        <w:t>Gosling</w:t>
      </w:r>
      <w:r w:rsidR="007705D3">
        <w:t>,</w:t>
      </w:r>
      <w:r w:rsidR="00942712">
        <w:t xml:space="preserve"> Ko,</w:t>
      </w:r>
      <w:r w:rsidR="007705D3">
        <w:t xml:space="preserve"> </w:t>
      </w:r>
      <w:proofErr w:type="spellStart"/>
      <w:r w:rsidR="007705D3">
        <w:t>Manarelli</w:t>
      </w:r>
      <w:proofErr w:type="spellEnd"/>
      <w:r w:rsidR="007705D3">
        <w:t xml:space="preserve"> and Morris (2002) </w:t>
      </w:r>
      <w:r w:rsidR="00190EAE">
        <w:t>placed these cues into one of two categorie</w:t>
      </w:r>
      <w:r w:rsidR="008F4599">
        <w:t xml:space="preserve">s: identity claims </w:t>
      </w:r>
      <w:r w:rsidR="004A5664">
        <w:t xml:space="preserve">and behavioural residue. Identity claims </w:t>
      </w:r>
      <w:r w:rsidR="000C05A6">
        <w:t>are intentional and controlled by th</w:t>
      </w:r>
      <w:r w:rsidR="00885013">
        <w:t>e individual,</w:t>
      </w:r>
      <w:r w:rsidR="00046D5E">
        <w:t xml:space="preserve"> in the context of social media this could refer to the ‘about me’ section</w:t>
      </w:r>
      <w:r w:rsidR="002E3421">
        <w:t xml:space="preserve">, that can be crafted by the page creator. Behavioural residue </w:t>
      </w:r>
      <w:r w:rsidR="00E9077E">
        <w:t xml:space="preserve">are traces of past </w:t>
      </w:r>
      <w:r w:rsidR="00F82DBC">
        <w:t xml:space="preserve">behaviour unintentionally left behind, </w:t>
      </w:r>
      <w:r w:rsidR="0096309F">
        <w:t xml:space="preserve">such as </w:t>
      </w:r>
      <w:r w:rsidR="006E1D07">
        <w:t>wall postings</w:t>
      </w:r>
      <w:r w:rsidR="002F2BFD">
        <w:t xml:space="preserve"> (other-generated cues)</w:t>
      </w:r>
      <w:r w:rsidR="006E1D07">
        <w:t xml:space="preserve"> and displayed number of friends</w:t>
      </w:r>
      <w:r w:rsidR="002F2BFD">
        <w:t xml:space="preserve"> (system-generated cues)</w:t>
      </w:r>
      <w:r w:rsidR="00F3566D">
        <w:t xml:space="preserve"> over which the individual has less control (</w:t>
      </w:r>
      <w:proofErr w:type="spellStart"/>
      <w:r w:rsidR="00F3566D">
        <w:t>Antheunis</w:t>
      </w:r>
      <w:proofErr w:type="spellEnd"/>
      <w:r w:rsidR="00F3566D">
        <w:t xml:space="preserve"> &amp; Schouten, </w:t>
      </w:r>
      <w:r w:rsidR="000F5AE5">
        <w:t xml:space="preserve">2011). </w:t>
      </w:r>
      <w:r w:rsidR="00B5633A">
        <w:t xml:space="preserve">An individual’s social media page will likely contain a variety of </w:t>
      </w:r>
      <w:r w:rsidR="00D8686F">
        <w:t>self-controlled identity claims, that can be sincere or strategic</w:t>
      </w:r>
      <w:r w:rsidR="00A728EF">
        <w:t xml:space="preserve"> (Gosling et al, 2002)</w:t>
      </w:r>
      <w:r w:rsidR="00D8686F">
        <w:t xml:space="preserve">, combined with </w:t>
      </w:r>
      <w:r w:rsidR="00415B5C">
        <w:t>other-generated, and system generated cues, over which less control is held.</w:t>
      </w:r>
      <w:r w:rsidR="00A95237">
        <w:t xml:space="preserve"> </w:t>
      </w:r>
      <w:r w:rsidR="00A95237">
        <w:t>In most instances, impressions are formed quickly with minimal contact or information (Allport, 1954), often resulting in broad inferences about an individual’s personality.</w:t>
      </w:r>
      <w:r w:rsidR="002523EF">
        <w:t xml:space="preserve"> When considered in line with the complexities of information presented on an individuals</w:t>
      </w:r>
      <w:r w:rsidR="00AF0D77">
        <w:t>’</w:t>
      </w:r>
      <w:r w:rsidR="002523EF">
        <w:t xml:space="preserve"> social media page through </w:t>
      </w:r>
      <w:proofErr w:type="gramStart"/>
      <w:r w:rsidR="002523EF">
        <w:t>a number of</w:t>
      </w:r>
      <w:proofErr w:type="gramEnd"/>
      <w:r w:rsidR="002523EF">
        <w:t xml:space="preserve"> sources, it is highly likely that </w:t>
      </w:r>
      <w:r w:rsidR="00AF0D77">
        <w:t>inferences of laypeople about an individuals’ personality based on such incomplete information will have a high error rate. This is particularly problematic as a</w:t>
      </w:r>
      <w:r>
        <w:t>ny pre-existing dispositions or attitudes associated with personal characteristics have the power to influence the recruiter’s final hiring decision (</w:t>
      </w:r>
      <w:proofErr w:type="spellStart"/>
      <w:r>
        <w:t>Cvico</w:t>
      </w:r>
      <w:proofErr w:type="spellEnd"/>
      <w:r>
        <w:t xml:space="preserve">, Muffler &amp; </w:t>
      </w:r>
      <w:proofErr w:type="spellStart"/>
      <w:r>
        <w:t>Bujiaba</w:t>
      </w:r>
      <w:proofErr w:type="spellEnd"/>
      <w:r>
        <w:t xml:space="preserve">, 2012; Shannon &amp; Stark, 2003). </w:t>
      </w:r>
    </w:p>
    <w:p w14:paraId="630228D1" w14:textId="5C5A9537" w:rsidR="54DC8F5B" w:rsidRDefault="54DC8F5B" w:rsidP="004C279E">
      <w:pPr>
        <w:jc w:val="both"/>
      </w:pPr>
    </w:p>
    <w:p w14:paraId="527A6A18" w14:textId="1288D2B3" w:rsidR="54DC8F5B" w:rsidRDefault="179F3563" w:rsidP="004C279E">
      <w:pPr>
        <w:jc w:val="both"/>
      </w:pPr>
      <w:proofErr w:type="gramStart"/>
      <w:r>
        <w:t>In an attempt to</w:t>
      </w:r>
      <w:proofErr w:type="gramEnd"/>
      <w:r>
        <w:t xml:space="preserve"> combat discriminatory practice, UK law currently protects employees and applicants against discrimination on the basis of nine protected characteristics: age, sex, race, disability, pregnancy, marital status, sexual orientation, gender reassignment and religious background through the Equality and Human Rights </w:t>
      </w:r>
      <w:proofErr w:type="spellStart"/>
      <w:r>
        <w:t>Commisions</w:t>
      </w:r>
      <w:proofErr w:type="spellEnd"/>
      <w:r>
        <w:t xml:space="preserve"> act (2010). As a result of this legislation, information regarding these characteristics cannot be requested by a current or potential employer. However, there is no legislation to protect employees from discrimination based on biases as a result of physical appearance, such as attractiveness and weight (</w:t>
      </w:r>
      <w:proofErr w:type="spellStart"/>
      <w:r>
        <w:t>Pastian-Underdahl</w:t>
      </w:r>
      <w:proofErr w:type="spellEnd"/>
      <w:r>
        <w:t xml:space="preserve"> &amp; Walker, 2015), or personality characteristics such as those identified within the big five </w:t>
      </w:r>
      <w:proofErr w:type="gramStart"/>
      <w:r>
        <w:t>inventory</w:t>
      </w:r>
      <w:proofErr w:type="gramEnd"/>
      <w:r>
        <w:t xml:space="preserve"> (</w:t>
      </w:r>
      <w:proofErr w:type="spellStart"/>
      <w:r>
        <w:t>Srivasta</w:t>
      </w:r>
      <w:proofErr w:type="spellEnd"/>
      <w:r>
        <w:t>, 1999). The utilisation of media obtained through social media poses many legal and ethical issues, primarily due to a lack of formal policies regarding the appropriateness of utilising information from social media to aid hiring decisions (Gibbs, MacDonald &amp; MacKay, 2014). Another key issue regarding potential discrimination results from employers gaining access to information that could bias judgements during the screening stage, which may result in the applicant not being given the chance to compensate that bias in an interview (</w:t>
      </w:r>
      <w:proofErr w:type="spellStart"/>
      <w:r>
        <w:t>Caers</w:t>
      </w:r>
      <w:proofErr w:type="spellEnd"/>
      <w:r>
        <w:t xml:space="preserve"> &amp; </w:t>
      </w:r>
      <w:proofErr w:type="spellStart"/>
      <w:r>
        <w:t>Castelyns</w:t>
      </w:r>
      <w:proofErr w:type="spellEnd"/>
      <w:r>
        <w:t>, 2011). The issue of reliability of information has been raised, an individual’s social media page could contrast starkly with their working abilities, there is also a considerable risk that the social media page accessed may belong to an individual with the same name. Improper use of information accessed through social media can have detrimental effects on both the screening process, resulting in invite to interview (</w:t>
      </w:r>
      <w:proofErr w:type="spellStart"/>
      <w:r>
        <w:t>Caers</w:t>
      </w:r>
      <w:proofErr w:type="spellEnd"/>
      <w:r>
        <w:t xml:space="preserve"> &amp; </w:t>
      </w:r>
      <w:proofErr w:type="spellStart"/>
      <w:r>
        <w:t>Castelyns</w:t>
      </w:r>
      <w:proofErr w:type="spellEnd"/>
      <w:r>
        <w:t>, 2011), and final hiring decisions (</w:t>
      </w:r>
      <w:proofErr w:type="spellStart"/>
      <w:r>
        <w:t>Boudlaie</w:t>
      </w:r>
      <w:proofErr w:type="spellEnd"/>
      <w:r>
        <w:t xml:space="preserve">, </w:t>
      </w:r>
      <w:proofErr w:type="spellStart"/>
      <w:r>
        <w:t>Nargesian</w:t>
      </w:r>
      <w:proofErr w:type="spellEnd"/>
      <w:r>
        <w:t xml:space="preserve"> &amp; Nik, 2019). </w:t>
      </w:r>
    </w:p>
    <w:p w14:paraId="4E2E5961" w14:textId="74C8FC32" w:rsidR="179F3563" w:rsidRDefault="179F3563" w:rsidP="004C279E">
      <w:pPr>
        <w:jc w:val="both"/>
        <w:rPr>
          <w:i/>
          <w:iCs/>
          <w:color w:val="ED7D31" w:themeColor="accent2"/>
        </w:rPr>
      </w:pPr>
    </w:p>
    <w:p w14:paraId="4FC44A3E" w14:textId="77777777" w:rsidR="00E237DE" w:rsidRDefault="00E237DE" w:rsidP="00E237DE">
      <w:pPr>
        <w:jc w:val="both"/>
        <w:rPr>
          <w:i/>
          <w:iCs/>
          <w:color w:val="833C0B" w:themeColor="accent2" w:themeShade="80"/>
        </w:rPr>
      </w:pPr>
      <w:r w:rsidRPr="00EE7856">
        <w:rPr>
          <w:i/>
          <w:iCs/>
          <w:color w:val="833C0B" w:themeColor="accent2" w:themeShade="80"/>
        </w:rPr>
        <w:lastRenderedPageBreak/>
        <w:t xml:space="preserve">**Paragraph on the personality traits of the big 5 and their implications in reference to recruitment and selection** </w:t>
      </w:r>
    </w:p>
    <w:p w14:paraId="2BF421E0" w14:textId="77777777" w:rsidR="00E237DE" w:rsidRPr="00F57F37" w:rsidRDefault="00E237DE" w:rsidP="004C279E">
      <w:pPr>
        <w:jc w:val="both"/>
        <w:rPr>
          <w:i/>
          <w:iCs/>
          <w:color w:val="ED7D31" w:themeColor="accent2"/>
        </w:rPr>
      </w:pPr>
    </w:p>
    <w:p w14:paraId="48D1CF57" w14:textId="38AC0041" w:rsidR="179F3563" w:rsidRPr="00E237DE" w:rsidRDefault="004C279E" w:rsidP="004C279E">
      <w:pPr>
        <w:jc w:val="both"/>
        <w:rPr>
          <w:color w:val="833C0B" w:themeColor="accent2" w:themeShade="80"/>
        </w:rPr>
      </w:pPr>
      <w:r w:rsidRPr="00E237DE">
        <w:rPr>
          <w:i/>
          <w:iCs/>
          <w:color w:val="833C0B" w:themeColor="accent2" w:themeShade="80"/>
        </w:rPr>
        <w:t>**</w:t>
      </w:r>
      <w:r w:rsidR="179F3563" w:rsidRPr="00E237DE">
        <w:rPr>
          <w:i/>
          <w:iCs/>
          <w:color w:val="833C0B" w:themeColor="accent2" w:themeShade="80"/>
        </w:rPr>
        <w:t>What information can be obtained by looking at an individual</w:t>
      </w:r>
      <w:r w:rsidR="00F57F37" w:rsidRPr="00E237DE">
        <w:rPr>
          <w:i/>
          <w:iCs/>
          <w:color w:val="833C0B" w:themeColor="accent2" w:themeShade="80"/>
        </w:rPr>
        <w:t>’</w:t>
      </w:r>
      <w:r w:rsidR="179F3563" w:rsidRPr="00E237DE">
        <w:rPr>
          <w:i/>
          <w:iCs/>
          <w:color w:val="833C0B" w:themeColor="accent2" w:themeShade="80"/>
        </w:rPr>
        <w:t>s social media page?</w:t>
      </w:r>
      <w:r w:rsidR="00F57F37" w:rsidRPr="00E237DE">
        <w:rPr>
          <w:i/>
          <w:iCs/>
          <w:color w:val="833C0B" w:themeColor="accent2" w:themeShade="80"/>
        </w:rPr>
        <w:t xml:space="preserve"> Consider the gap between what can be </w:t>
      </w:r>
      <w:r w:rsidR="00102404" w:rsidRPr="00E237DE">
        <w:rPr>
          <w:i/>
          <w:iCs/>
          <w:color w:val="833C0B" w:themeColor="accent2" w:themeShade="80"/>
        </w:rPr>
        <w:t>obtained by computer systems and algorith</w:t>
      </w:r>
      <w:r w:rsidR="00FE6E2A" w:rsidRPr="00E237DE">
        <w:rPr>
          <w:i/>
          <w:iCs/>
          <w:color w:val="833C0B" w:themeColor="accent2" w:themeShade="80"/>
        </w:rPr>
        <w:t xml:space="preserve">ms, in contrast with the lay-person’s </w:t>
      </w:r>
      <w:r w:rsidR="00FF465F" w:rsidRPr="00E237DE">
        <w:rPr>
          <w:i/>
          <w:iCs/>
          <w:color w:val="833C0B" w:themeColor="accent2" w:themeShade="80"/>
        </w:rPr>
        <w:t xml:space="preserve">interpretation of ambiguous information. </w:t>
      </w:r>
      <w:r w:rsidRPr="00E237DE">
        <w:rPr>
          <w:i/>
          <w:iCs/>
          <w:color w:val="833C0B" w:themeColor="accent2" w:themeShade="80"/>
        </w:rPr>
        <w:t>**</w:t>
      </w:r>
    </w:p>
    <w:p w14:paraId="41D7522A" w14:textId="29DF73B5" w:rsidR="179F3563" w:rsidRDefault="179F3563" w:rsidP="004C279E">
      <w:pPr>
        <w:jc w:val="both"/>
      </w:pPr>
    </w:p>
    <w:p w14:paraId="00522B38" w14:textId="034DECDA" w:rsidR="179F3563" w:rsidRDefault="179F3563" w:rsidP="004C279E">
      <w:pPr>
        <w:jc w:val="both"/>
      </w:pPr>
      <w:r>
        <w:t xml:space="preserve">Studies have found that the propensity of the recruiter to utilise social media in their daily lives may impact the utilisation and perceived validity of such information within recruitment selection. Within a Belgian recruitment and selection (R&amp;S) population, </w:t>
      </w:r>
      <w:proofErr w:type="spellStart"/>
      <w:r>
        <w:t>Caers</w:t>
      </w:r>
      <w:proofErr w:type="spellEnd"/>
      <w:r>
        <w:t xml:space="preserve"> and </w:t>
      </w:r>
      <w:proofErr w:type="spellStart"/>
      <w:r>
        <w:t>Castelyns</w:t>
      </w:r>
      <w:proofErr w:type="spellEnd"/>
      <w:r>
        <w:t xml:space="preserve"> (2011) investigated the differences in utilisation of Facebook and LinkedIn during the process of recruitment. Finding 70% of active LinkedIn users, and 43% of active Facebook users search for additional information about applicants through such social networking sites. With 40.2% of those using Facebook believing that a candidates’ profile picture provides an indication of the applicant’s level of extraversion. Interestingly extraversion was the only trait from the Big Five that was believed to be better understood as a result of accessing an individual’s profile image. </w:t>
      </w:r>
    </w:p>
    <w:p w14:paraId="5A59031A" w14:textId="77777777" w:rsidR="00EE7856" w:rsidRDefault="00EE7856" w:rsidP="004C279E">
      <w:pPr>
        <w:jc w:val="both"/>
        <w:rPr>
          <w:i/>
          <w:iCs/>
          <w:color w:val="833C0B" w:themeColor="accent2" w:themeShade="80"/>
        </w:rPr>
      </w:pPr>
    </w:p>
    <w:p w14:paraId="50C6DE82" w14:textId="5046ABCB" w:rsidR="00EE7856" w:rsidRPr="00EE7856" w:rsidRDefault="00EE7856" w:rsidP="004C279E">
      <w:pPr>
        <w:jc w:val="both"/>
        <w:rPr>
          <w:i/>
          <w:iCs/>
          <w:color w:val="833C0B" w:themeColor="accent2" w:themeShade="80"/>
        </w:rPr>
      </w:pPr>
      <w:r>
        <w:rPr>
          <w:b/>
          <w:bCs/>
          <w:i/>
          <w:iCs/>
          <w:color w:val="833C0B" w:themeColor="accent2" w:themeShade="80"/>
        </w:rPr>
        <w:t xml:space="preserve">Stacey – </w:t>
      </w:r>
      <w:r>
        <w:rPr>
          <w:i/>
          <w:iCs/>
          <w:color w:val="833C0B" w:themeColor="accent2" w:themeShade="80"/>
        </w:rPr>
        <w:t xml:space="preserve">the following section has not been changed (apart from the referencing orders as was highlighted when presented with the research proposal). It needs to be condensed </w:t>
      </w:r>
      <w:r w:rsidR="00173794">
        <w:rPr>
          <w:i/>
          <w:iCs/>
          <w:color w:val="833C0B" w:themeColor="accent2" w:themeShade="80"/>
        </w:rPr>
        <w:t xml:space="preserve">as the study focus has moved away from attractiveness in isolation and into the interaction between extraversion and attractiveness, and the issues of interpretation that underlie </w:t>
      </w:r>
      <w:r w:rsidR="00E237DE">
        <w:rPr>
          <w:i/>
          <w:iCs/>
          <w:color w:val="833C0B" w:themeColor="accent2" w:themeShade="80"/>
        </w:rPr>
        <w:t xml:space="preserve">drawing inferences from social media information. </w:t>
      </w:r>
    </w:p>
    <w:p w14:paraId="40703104" w14:textId="77777777" w:rsidR="00FF465F" w:rsidRDefault="00FF465F" w:rsidP="004C279E">
      <w:pPr>
        <w:jc w:val="both"/>
        <w:rPr>
          <w:i/>
          <w:iCs/>
          <w:color w:val="ED7D31" w:themeColor="accent2"/>
        </w:rPr>
      </w:pPr>
    </w:p>
    <w:p w14:paraId="2BFF7714" w14:textId="2FC6DAD1" w:rsidR="000B0218" w:rsidRPr="000B0218" w:rsidRDefault="002C11C8" w:rsidP="004C279E">
      <w:pPr>
        <w:jc w:val="both"/>
      </w:pPr>
      <w:r>
        <w:t xml:space="preserve"> </w:t>
      </w:r>
      <w:r w:rsidR="000B0218" w:rsidRPr="000B0218">
        <w:t>‘Attractiveness is a significant advantage for both children and adults in almost every domain of judgement, treatment and behaviour we examined’ (Langlois et al., 2000, p.404). A wealth of research has discovered a positive correlation between physical attractiveness and a host of positive occupational outcomes, including initial impression formation, hiring recommendations and predicted job success (</w:t>
      </w:r>
      <w:proofErr w:type="spellStart"/>
      <w:r w:rsidR="000B0218" w:rsidRPr="000B0218">
        <w:t>Hosada</w:t>
      </w:r>
      <w:proofErr w:type="spellEnd"/>
      <w:r w:rsidR="000B0218" w:rsidRPr="000B0218">
        <w:t>, Romero &amp; Coats, 2003), commonly known as the “what is beautiful is good stereotype”. This stereotype can be explained through the lens of implicit personality theory, which proposes that decision makers will judge attractive individuals more favourably than those who are less attractive as a result of the predominantly positive stereotype associated with attractive individuals (</w:t>
      </w:r>
      <w:proofErr w:type="spellStart"/>
      <w:r w:rsidR="000B0218" w:rsidRPr="000B0218">
        <w:t>Hosada</w:t>
      </w:r>
      <w:proofErr w:type="spellEnd"/>
      <w:r w:rsidR="000B0218" w:rsidRPr="000B0218">
        <w:t xml:space="preserve">, Romero &amp; Coats, 2003). </w:t>
      </w:r>
    </w:p>
    <w:p w14:paraId="226860F4" w14:textId="77777777" w:rsidR="004C279E" w:rsidRPr="004C279E" w:rsidRDefault="004C279E" w:rsidP="004C279E">
      <w:pPr>
        <w:jc w:val="both"/>
      </w:pPr>
      <w:r w:rsidRPr="004C279E">
        <w:t xml:space="preserve">In 1979, Heilman and </w:t>
      </w:r>
      <w:proofErr w:type="spellStart"/>
      <w:r w:rsidRPr="004C279E">
        <w:t>Saruwatari</w:t>
      </w:r>
      <w:proofErr w:type="spellEnd"/>
      <w:r w:rsidRPr="004C279E">
        <w:t xml:space="preserve"> investigated whether the all things beautiful stereotype was as pervasive and universal as previously thought. Utilising a 2 (applicant appearance: attractive/unattractive) x 2 (Applicant sex: male/ female) x 2 (job type: managerial/ non-managerial) multifactorial analysis, participants were asked to rate each applicant in terms of their? qualifications and whether or not they would recommend the applicant for the position. Results of the study found that the extent to which attractiveness positively or negatively influenced job applicants was dependent on the nature of the job and the applicants’ gender. If was found that, for men, attractiveness was advantageous regardless of position type. For women, however, the advantages of attractiveness were not as universal, with attractiveness being advantageous for nonmanagerial positions, but a disadvantage for women applying for managerial positions. This is a finding that has </w:t>
      </w:r>
      <w:r w:rsidRPr="004C279E">
        <w:lastRenderedPageBreak/>
        <w:t xml:space="preserve">been seen in many replication studies since (see Heilman &amp; </w:t>
      </w:r>
      <w:proofErr w:type="spellStart"/>
      <w:r w:rsidRPr="004C279E">
        <w:t>Stopeck</w:t>
      </w:r>
      <w:proofErr w:type="spellEnd"/>
      <w:r w:rsidRPr="004C279E">
        <w:t xml:space="preserve">, 1985). **include more up to date references here*** </w:t>
      </w:r>
    </w:p>
    <w:p w14:paraId="195C4503" w14:textId="77777777" w:rsidR="004C279E" w:rsidRPr="004C279E" w:rsidRDefault="004C279E" w:rsidP="004C279E">
      <w:pPr>
        <w:jc w:val="both"/>
      </w:pPr>
      <w:r w:rsidRPr="004C279E">
        <w:t>Heilman (1983) explained this finding, in part, through the Lack of Fit model. This model proposes that attractiveness exaggerates gender related attributes. As such, if there is an incongruity between the attributes associated with the applicant as a result of gender, and the perceived skills required for the position, then that individual is less likely to be considered. The Beauty is Beastly effect (REF?) is primarily found to affect females applying for conventionally masculine-typed jobs (for example…) and appears not to apply to men applying for feminine typed jobs (</w:t>
      </w:r>
      <w:proofErr w:type="spellStart"/>
      <w:r w:rsidRPr="004C279E">
        <w:t>e.g</w:t>
      </w:r>
      <w:proofErr w:type="spellEnd"/>
      <w:r w:rsidRPr="004C279E">
        <w:t xml:space="preserve">…._ (Agathe, </w:t>
      </w:r>
      <w:proofErr w:type="spellStart"/>
      <w:r w:rsidRPr="004C279E">
        <w:t>Sporrle</w:t>
      </w:r>
      <w:proofErr w:type="spellEnd"/>
      <w:r w:rsidRPr="004C279E">
        <w:t xml:space="preserve"> &amp; Manner, 2010; </w:t>
      </w:r>
      <w:proofErr w:type="spellStart"/>
      <w:r w:rsidRPr="004C279E">
        <w:t>Latu</w:t>
      </w:r>
      <w:proofErr w:type="spellEnd"/>
      <w:r w:rsidRPr="004C279E">
        <w:t xml:space="preserve">, Mast &amp; Stewart, 2015; </w:t>
      </w:r>
      <w:proofErr w:type="spellStart"/>
      <w:r w:rsidRPr="004C279E">
        <w:t>Pastian-Underdahl</w:t>
      </w:r>
      <w:proofErr w:type="spellEnd"/>
      <w:r w:rsidRPr="004C279E">
        <w:t xml:space="preserve"> &amp; Walker, 2015). One explanation offered for this finding is that a highly attractive women would be perceived as more feminine than their less attractive female counterpart. As a </w:t>
      </w:r>
      <w:proofErr w:type="gramStart"/>
      <w:r w:rsidRPr="004C279E">
        <w:t>result</w:t>
      </w:r>
      <w:proofErr w:type="gramEnd"/>
      <w:r w:rsidRPr="004C279E">
        <w:t xml:space="preserve"> both the positive and negative elements of the feminine gender stereotype are reinforced (Brewer &amp; Archer, 2007). Masculine typed jobs are associated with the attributes that build the male stereotype. The resulting Beauty is Beastly effect occurs due to the incongruence between the feminine stereotype, and the masculine attributes associated with the job role (Johnson, </w:t>
      </w:r>
      <w:proofErr w:type="spellStart"/>
      <w:r w:rsidRPr="004C279E">
        <w:t>Podratz</w:t>
      </w:r>
      <w:proofErr w:type="spellEnd"/>
      <w:r w:rsidRPr="004C279E">
        <w:t xml:space="preserve">, </w:t>
      </w:r>
      <w:proofErr w:type="spellStart"/>
      <w:r w:rsidRPr="004C279E">
        <w:t>Dipboye</w:t>
      </w:r>
      <w:proofErr w:type="spellEnd"/>
      <w:r w:rsidRPr="004C279E">
        <w:t xml:space="preserve"> &amp; Gibbons, 2010; </w:t>
      </w:r>
      <w:proofErr w:type="spellStart"/>
      <w:r w:rsidRPr="004C279E">
        <w:t>Pastian-Underdahl</w:t>
      </w:r>
      <w:proofErr w:type="spellEnd"/>
      <w:r w:rsidRPr="004C279E">
        <w:t xml:space="preserve"> &amp; Walker, 2015). It is important to note that the content of gender stereotypes is often oppositional, such that women who are perceived as highly feminine are not only associated strongly with feminine </w:t>
      </w:r>
      <w:proofErr w:type="gramStart"/>
      <w:r w:rsidRPr="004C279E">
        <w:t>traits, but</w:t>
      </w:r>
      <w:proofErr w:type="gramEnd"/>
      <w:r w:rsidRPr="004C279E">
        <w:t xml:space="preserve"> are assumed to be lacking in perceived masculine traits (Heilman, </w:t>
      </w:r>
      <w:proofErr w:type="spellStart"/>
      <w:r w:rsidRPr="004C279E">
        <w:t>Manzi</w:t>
      </w:r>
      <w:proofErr w:type="spellEnd"/>
      <w:r w:rsidRPr="004C279E">
        <w:t xml:space="preserve"> &amp; Braun, 2015). </w:t>
      </w:r>
    </w:p>
    <w:p w14:paraId="03D04BCD" w14:textId="77777777" w:rsidR="004C279E" w:rsidRPr="004C279E" w:rsidRDefault="004C279E" w:rsidP="004C279E">
      <w:pPr>
        <w:jc w:val="both"/>
      </w:pPr>
      <w:proofErr w:type="spellStart"/>
      <w:r w:rsidRPr="004C279E">
        <w:t>Latu</w:t>
      </w:r>
      <w:proofErr w:type="spellEnd"/>
      <w:r w:rsidRPr="004C279E">
        <w:t>, Mast and Stewart (2015) investigated the role of interviewers and applicants' stereotypes, both implicit and explicit in the employability ratings of women, and found the Beauty is Beastly effect to only be present when attractive females applied for male-typed jobs for which appearance was unimportant for the job role. When attractiveness is a perceived positive attribute for the position, regardless of whether the position is masculine or feminine typed, attractive females receive higher ratings of employability than less attractive women. This could be due to the applicant attributes and job role requirements being more congruent (Heilman, 1983</w:t>
      </w:r>
      <w:proofErr w:type="gramStart"/>
      <w:r w:rsidRPr="004C279E">
        <w:t>).*</w:t>
      </w:r>
      <w:proofErr w:type="gramEnd"/>
      <w:r w:rsidRPr="004C279E">
        <w:t xml:space="preserve">* include more up to date reference** </w:t>
      </w:r>
    </w:p>
    <w:p w14:paraId="68F8A46D" w14:textId="77777777" w:rsidR="004C279E" w:rsidRPr="004C279E" w:rsidRDefault="004C279E" w:rsidP="004C279E">
      <w:pPr>
        <w:jc w:val="both"/>
      </w:pPr>
      <w:r w:rsidRPr="004C279E">
        <w:t xml:space="preserve">It has been suggested that the negative views held towards attractive women in the workplace extend beyond the lack of fit model and can be explained by the concept of intersexual rivalry and sexual insecurity (Sheppard &amp; Johnson, 2019). A bias has been found in the ratings of employability, attractiveness of candidate and interviewer sex. The findings supported the all things beautiful hypothesis when the interviewer and candidate were of opposite sex, or when the interviewer and candidate were both male. It was found in contrast, however, that female interviewers rated highly attractive female applicants as considerably less employable than their less attractive counterparts (Agathe, </w:t>
      </w:r>
      <w:proofErr w:type="spellStart"/>
      <w:r w:rsidRPr="004C279E">
        <w:t>Sporrle</w:t>
      </w:r>
      <w:proofErr w:type="spellEnd"/>
      <w:r w:rsidRPr="004C279E">
        <w:t xml:space="preserve"> &amp; Manner, 2010). However, when considering the level of attractiveness of the participant as a further variable, highly attractive female participants showed no evidence of discrimination against attractive female applicants, nor did they display any evidence of the all things beautiful effect (Agathe, </w:t>
      </w:r>
      <w:proofErr w:type="spellStart"/>
      <w:r w:rsidRPr="004C279E">
        <w:t>Sporrle</w:t>
      </w:r>
      <w:proofErr w:type="spellEnd"/>
      <w:r w:rsidRPr="004C279E">
        <w:t xml:space="preserve"> &amp; Manner, 2010). This provides further support for the role of intersexual rivalry, and threat to self-image in the beauty is beastly effect. </w:t>
      </w:r>
    </w:p>
    <w:p w14:paraId="25C8E934" w14:textId="77777777" w:rsidR="004C279E" w:rsidRPr="004C279E" w:rsidRDefault="004C279E" w:rsidP="004C279E">
      <w:pPr>
        <w:jc w:val="both"/>
      </w:pPr>
      <w:r w:rsidRPr="004C279E">
        <w:t xml:space="preserve">One explanation for the inconsistencies into the literature on attractiveness bias could be related to the job type considered within many studies. The beauty is beastly effect is argued to be the result of a lack of fit, however if no lack of fit is perceived the all things beautiful effect would be seen. Johnson, </w:t>
      </w:r>
      <w:proofErr w:type="spellStart"/>
      <w:r w:rsidRPr="004C279E">
        <w:t>Podratz</w:t>
      </w:r>
      <w:proofErr w:type="spellEnd"/>
      <w:r w:rsidRPr="004C279E">
        <w:t xml:space="preserve">, </w:t>
      </w:r>
      <w:proofErr w:type="spellStart"/>
      <w:r w:rsidRPr="004C279E">
        <w:t>Dipboye</w:t>
      </w:r>
      <w:proofErr w:type="spellEnd"/>
      <w:r w:rsidRPr="004C279E">
        <w:t xml:space="preserve"> and Gibbons (2010) paid close attention to the job type, categorising a list of 33 jobs as being masculine, feminine or neutral, many of which had been utilised in previous research on attractiveness bias. The results found support for both the “all things beautiful” and “beauty is beastly” effect, finding attractiveness to be beneficial for men and women applying to most jobs through receiving similar ratings of employment suitability. Physical attractiveness was beneficial for men applying to all job types. The benefits of attractiveness were stronger when women applied to </w:t>
      </w:r>
      <w:r w:rsidRPr="004C279E">
        <w:lastRenderedPageBreak/>
        <w:t xml:space="preserve">feminine typed jobs than masculine typed jobs. However, attractiveness was rarely found to be detrimental, simply less beneficial. The beauty is beastly effect was found only for attractive women applying for masculine jobs for which appearance was considered unimportant. In jobs in which appearance is important, such as sales, the all things beautiful effect is particularly evident (Johnson, </w:t>
      </w:r>
      <w:proofErr w:type="spellStart"/>
      <w:r w:rsidRPr="004C279E">
        <w:t>Podratz</w:t>
      </w:r>
      <w:proofErr w:type="spellEnd"/>
      <w:r w:rsidRPr="004C279E">
        <w:t xml:space="preserve">, </w:t>
      </w:r>
      <w:proofErr w:type="spellStart"/>
      <w:r w:rsidRPr="004C279E">
        <w:t>Dipboye</w:t>
      </w:r>
      <w:proofErr w:type="spellEnd"/>
      <w:r w:rsidRPr="004C279E">
        <w:t xml:space="preserve"> &amp; Gibbons, 2010). </w:t>
      </w:r>
    </w:p>
    <w:p w14:paraId="27A7302E" w14:textId="77777777" w:rsidR="004C279E" w:rsidRDefault="004C279E" w:rsidP="004C279E">
      <w:pPr>
        <w:jc w:val="both"/>
      </w:pPr>
      <w:r w:rsidRPr="004C279E">
        <w:t xml:space="preserve">There is a wealth of evidence outlining situations of discriminatory work practices against attractive female workers (Agathe, </w:t>
      </w:r>
      <w:proofErr w:type="spellStart"/>
      <w:r w:rsidRPr="004C279E">
        <w:t>Sporrle</w:t>
      </w:r>
      <w:proofErr w:type="spellEnd"/>
      <w:r w:rsidRPr="004C279E">
        <w:t xml:space="preserve"> &amp; Manner, 2010; Heilman, 1983; Heilman &amp; </w:t>
      </w:r>
      <w:proofErr w:type="spellStart"/>
      <w:r w:rsidRPr="004C279E">
        <w:t>Stopeck</w:t>
      </w:r>
      <w:proofErr w:type="spellEnd"/>
      <w:r w:rsidRPr="004C279E">
        <w:t xml:space="preserve">, 1985; </w:t>
      </w:r>
      <w:proofErr w:type="spellStart"/>
      <w:r w:rsidRPr="004C279E">
        <w:t>Latu</w:t>
      </w:r>
      <w:proofErr w:type="spellEnd"/>
      <w:r w:rsidRPr="004C279E">
        <w:t xml:space="preserve">, Mast &amp; Stewart, 2015; </w:t>
      </w:r>
      <w:proofErr w:type="spellStart"/>
      <w:r w:rsidRPr="004C279E">
        <w:t>Pastian-Underdahl</w:t>
      </w:r>
      <w:proofErr w:type="spellEnd"/>
      <w:r w:rsidRPr="004C279E">
        <w:t xml:space="preserve"> &amp; Walker, 2015). Sheppard and Johnson (2019) highlight the importance of acknowledging that consistent discrimination faced by attractive women could have a negative impact on their careers. The increased access to information about potential applicants, including images and personal information poses several challenges to hiring professionals. Improper use of such information can lead to a form of unregulated discrimination, highlighting the importance of understanding the biases that can lead to institutional discrimination. </w:t>
      </w:r>
    </w:p>
    <w:p w14:paraId="0B68C8F2" w14:textId="77777777" w:rsidR="0006341A" w:rsidRDefault="0006341A" w:rsidP="004C279E">
      <w:pPr>
        <w:jc w:val="both"/>
      </w:pPr>
    </w:p>
    <w:p w14:paraId="499F0F73" w14:textId="58D22F01" w:rsidR="0006341A" w:rsidRPr="0006341A" w:rsidRDefault="00EE7856" w:rsidP="004C279E">
      <w:pPr>
        <w:jc w:val="both"/>
        <w:rPr>
          <w:i/>
          <w:iCs/>
          <w:color w:val="833C0B" w:themeColor="accent2" w:themeShade="80"/>
        </w:rPr>
      </w:pPr>
      <w:r>
        <w:rPr>
          <w:i/>
          <w:iCs/>
          <w:color w:val="833C0B" w:themeColor="accent2" w:themeShade="80"/>
        </w:rPr>
        <w:t>**</w:t>
      </w:r>
      <w:r w:rsidR="0006341A">
        <w:rPr>
          <w:i/>
          <w:iCs/>
          <w:color w:val="833C0B" w:themeColor="accent2" w:themeShade="80"/>
        </w:rPr>
        <w:t xml:space="preserve">At this point the </w:t>
      </w:r>
      <w:r w:rsidR="000B50EC">
        <w:rPr>
          <w:i/>
          <w:iCs/>
          <w:color w:val="833C0B" w:themeColor="accent2" w:themeShade="80"/>
        </w:rPr>
        <w:t>literature review will funnel into the key elements that are considered within the study design. Along with the hypothesis</w:t>
      </w:r>
      <w:r>
        <w:rPr>
          <w:i/>
          <w:iCs/>
          <w:color w:val="833C0B" w:themeColor="accent2" w:themeShade="80"/>
        </w:rPr>
        <w:t xml:space="preserve"> and primary research question**</w:t>
      </w:r>
    </w:p>
    <w:p w14:paraId="165D3B72" w14:textId="77777777" w:rsidR="000B0218" w:rsidRPr="00F922E5" w:rsidRDefault="000B0218" w:rsidP="54DC8F5B">
      <w:pPr>
        <w:jc w:val="both"/>
      </w:pPr>
    </w:p>
    <w:p w14:paraId="792E7906" w14:textId="1D9698CE" w:rsidR="0034216B" w:rsidRDefault="0034216B" w:rsidP="167E0A82">
      <w:pPr>
        <w:jc w:val="both"/>
      </w:pPr>
    </w:p>
    <w:p w14:paraId="5B1BEE51" w14:textId="5992858C" w:rsidR="00C72E07" w:rsidRDefault="00C72E07" w:rsidP="167E0A82">
      <w:pPr>
        <w:rPr>
          <w:color w:val="000000" w:themeColor="text1"/>
        </w:rPr>
      </w:pPr>
    </w:p>
    <w:p w14:paraId="56085459" w14:textId="0901E9E7" w:rsidR="167E0A82" w:rsidRDefault="167E0A82" w:rsidP="167E0A82">
      <w:pPr>
        <w:rPr>
          <w:color w:val="000000" w:themeColor="text1"/>
        </w:rPr>
      </w:pPr>
    </w:p>
    <w:p w14:paraId="71F92B67" w14:textId="3B01FB34" w:rsidR="167E0A82" w:rsidRDefault="167E0A82" w:rsidP="167E0A82">
      <w:pPr>
        <w:rPr>
          <w:color w:val="000000" w:themeColor="text1"/>
        </w:rPr>
      </w:pPr>
    </w:p>
    <w:p w14:paraId="280E15F7" w14:textId="12BAC71C" w:rsidR="00F54DED" w:rsidRPr="00F54DED" w:rsidRDefault="00F54DED" w:rsidP="0C8EAAB7">
      <w:pPr>
        <w:rPr>
          <w:color w:val="000000" w:themeColor="text1"/>
        </w:rPr>
      </w:pPr>
      <w:r>
        <w:rPr>
          <w:color w:val="000000" w:themeColor="text1"/>
        </w:rPr>
        <w:br w:type="page"/>
      </w:r>
      <w:r w:rsidR="0C8EAAB7" w:rsidRPr="0C8EAAB7">
        <w:rPr>
          <w:color w:val="000000" w:themeColor="text1"/>
          <w:u w:val="single"/>
        </w:rPr>
        <w:lastRenderedPageBreak/>
        <w:t>Reference List</w:t>
      </w:r>
      <w:r w:rsidR="0C8EAAB7" w:rsidRPr="0C8EAAB7">
        <w:rPr>
          <w:color w:val="000000" w:themeColor="text1"/>
        </w:rPr>
        <w:t xml:space="preserve"> </w:t>
      </w:r>
    </w:p>
    <w:p w14:paraId="651A29D1" w14:textId="47C3E18F" w:rsidR="00C72E07" w:rsidRPr="00E237DE" w:rsidRDefault="00F54DED" w:rsidP="0C8EAAB7">
      <w:pPr>
        <w:rPr>
          <w:color w:val="833C0B" w:themeColor="accent2" w:themeShade="80"/>
          <w:u w:val="single"/>
        </w:rPr>
      </w:pPr>
      <w:r>
        <w:rPr>
          <w:color w:val="833C0B" w:themeColor="accent2" w:themeShade="80"/>
        </w:rPr>
        <w:t>**</w:t>
      </w:r>
      <w:r w:rsidR="00E237DE">
        <w:rPr>
          <w:color w:val="833C0B" w:themeColor="accent2" w:themeShade="80"/>
        </w:rPr>
        <w:t>Some references may not yet have been added (second unformatted reference list</w:t>
      </w:r>
      <w:r>
        <w:rPr>
          <w:color w:val="833C0B" w:themeColor="accent2" w:themeShade="80"/>
        </w:rPr>
        <w:t xml:space="preserve"> developing with increased literature search). **</w:t>
      </w:r>
    </w:p>
    <w:p w14:paraId="4CB10F77" w14:textId="179DA886" w:rsidR="000822F8" w:rsidRDefault="00900FB4" w:rsidP="00E237DE">
      <w:pPr>
        <w:ind w:hanging="284"/>
        <w:rPr>
          <w:color w:val="000000" w:themeColor="text1"/>
        </w:rPr>
      </w:pPr>
      <w:proofErr w:type="spellStart"/>
      <w:r>
        <w:rPr>
          <w:rFonts w:ascii="Arial" w:hAnsi="Arial" w:cs="Arial"/>
          <w:color w:val="222222"/>
          <w:sz w:val="20"/>
          <w:szCs w:val="20"/>
          <w:shd w:val="clear" w:color="auto" w:fill="FFFFFF"/>
        </w:rPr>
        <w:t>Agthe</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Spörrle</w:t>
      </w:r>
      <w:proofErr w:type="spellEnd"/>
      <w:r>
        <w:rPr>
          <w:rFonts w:ascii="Arial" w:hAnsi="Arial" w:cs="Arial"/>
          <w:color w:val="222222"/>
          <w:sz w:val="20"/>
          <w:szCs w:val="20"/>
          <w:shd w:val="clear" w:color="auto" w:fill="FFFFFF"/>
        </w:rPr>
        <w:t xml:space="preserve">, M., &amp; </w:t>
      </w:r>
      <w:proofErr w:type="spellStart"/>
      <w:r>
        <w:rPr>
          <w:rFonts w:ascii="Arial" w:hAnsi="Arial" w:cs="Arial"/>
          <w:color w:val="222222"/>
          <w:sz w:val="20"/>
          <w:szCs w:val="20"/>
          <w:shd w:val="clear" w:color="auto" w:fill="FFFFFF"/>
        </w:rPr>
        <w:t>Maner</w:t>
      </w:r>
      <w:proofErr w:type="spellEnd"/>
      <w:r>
        <w:rPr>
          <w:rFonts w:ascii="Arial" w:hAnsi="Arial" w:cs="Arial"/>
          <w:color w:val="222222"/>
          <w:sz w:val="20"/>
          <w:szCs w:val="20"/>
          <w:shd w:val="clear" w:color="auto" w:fill="FFFFFF"/>
        </w:rPr>
        <w:t>, J. K. (2010). Don't hate me because I'm beautiful: Anti-attractiveness bias in organizational evaluation and decision making. </w:t>
      </w:r>
      <w:r>
        <w:rPr>
          <w:rFonts w:ascii="Arial" w:hAnsi="Arial" w:cs="Arial"/>
          <w:i/>
          <w:iCs/>
          <w:color w:val="222222"/>
          <w:sz w:val="20"/>
          <w:szCs w:val="20"/>
          <w:shd w:val="clear" w:color="auto" w:fill="FFFFFF"/>
        </w:rPr>
        <w:t>Journal of Experimental Social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(6), 1151-1154.</w:t>
      </w:r>
    </w:p>
    <w:p w14:paraId="240A556B" w14:textId="4762C5BD" w:rsidR="000822F8" w:rsidRDefault="049341D4" w:rsidP="00E237DE">
      <w:pPr>
        <w:ind w:hanging="284"/>
        <w:rPr>
          <w:i/>
          <w:iCs/>
          <w:color w:val="000000" w:themeColor="text1"/>
        </w:rPr>
      </w:pPr>
      <w:r w:rsidRPr="049341D4">
        <w:rPr>
          <w:i/>
          <w:iCs/>
          <w:color w:val="000000" w:themeColor="text1"/>
        </w:rPr>
        <w:t xml:space="preserve">Equality Act 2010 (UK) </w:t>
      </w:r>
      <w:r w:rsidRPr="049341D4">
        <w:rPr>
          <w:color w:val="000000" w:themeColor="text1"/>
        </w:rPr>
        <w:t>section.4</w:t>
      </w:r>
      <w:r w:rsidRPr="049341D4">
        <w:rPr>
          <w:i/>
          <w:iCs/>
          <w:color w:val="000000" w:themeColor="text1"/>
        </w:rPr>
        <w:t xml:space="preserve"> retrieved from: </w:t>
      </w:r>
      <w:hyperlink r:id="rId8">
        <w:r w:rsidRPr="049341D4">
          <w:rPr>
            <w:rStyle w:val="Hyperlink"/>
            <w:i/>
            <w:iCs/>
          </w:rPr>
          <w:t>www.legislation.gov.uk/ukpga/2010/15</w:t>
        </w:r>
      </w:hyperlink>
    </w:p>
    <w:p w14:paraId="4403B522" w14:textId="3B6B6614" w:rsidR="049341D4" w:rsidRDefault="049341D4" w:rsidP="00E237DE">
      <w:pPr>
        <w:ind w:hanging="284"/>
      </w:pPr>
      <w:proofErr w:type="spellStart"/>
      <w:r w:rsidRPr="049341D4">
        <w:rPr>
          <w:rFonts w:ascii="Source Sans Pro" w:eastAsia="Source Sans Pro" w:hAnsi="Source Sans Pro" w:cs="Source Sans Pro"/>
          <w:color w:val="3A3A3A"/>
        </w:rPr>
        <w:t>Håkansson</w:t>
      </w:r>
      <w:proofErr w:type="spellEnd"/>
      <w:r w:rsidRPr="049341D4">
        <w:rPr>
          <w:rFonts w:ascii="Source Sans Pro" w:eastAsia="Source Sans Pro" w:hAnsi="Source Sans Pro" w:cs="Source Sans Pro"/>
          <w:color w:val="3A3A3A"/>
        </w:rPr>
        <w:t xml:space="preserve">, Peter, &amp; Nilsson, Anders. (2019). Getting a job when times are </w:t>
      </w:r>
      <w:proofErr w:type="gramStart"/>
      <w:r w:rsidRPr="049341D4">
        <w:rPr>
          <w:rFonts w:ascii="Source Sans Pro" w:eastAsia="Source Sans Pro" w:hAnsi="Source Sans Pro" w:cs="Source Sans Pro"/>
          <w:color w:val="3A3A3A"/>
        </w:rPr>
        <w:t>bad :</w:t>
      </w:r>
      <w:proofErr w:type="gramEnd"/>
      <w:r w:rsidRPr="049341D4">
        <w:rPr>
          <w:rFonts w:ascii="Source Sans Pro" w:eastAsia="Source Sans Pro" w:hAnsi="Source Sans Pro" w:cs="Source Sans Pro"/>
          <w:color w:val="3A3A3A"/>
        </w:rPr>
        <w:t xml:space="preserve">: Recruitment practices in Sweden before, during and after the Great Recession. </w:t>
      </w:r>
      <w:r w:rsidRPr="049341D4">
        <w:rPr>
          <w:rFonts w:ascii="Source Sans Pro" w:eastAsia="Source Sans Pro" w:hAnsi="Source Sans Pro" w:cs="Source Sans Pro"/>
          <w:i/>
          <w:iCs/>
          <w:color w:val="3A3A3A"/>
        </w:rPr>
        <w:t>Scandinavian Economic History Review,</w:t>
      </w:r>
      <w:r w:rsidRPr="049341D4">
        <w:rPr>
          <w:rFonts w:ascii="Source Sans Pro" w:eastAsia="Source Sans Pro" w:hAnsi="Source Sans Pro" w:cs="Source Sans Pro"/>
          <w:color w:val="3A3A3A"/>
        </w:rPr>
        <w:t xml:space="preserve"> </w:t>
      </w:r>
      <w:r w:rsidRPr="049341D4">
        <w:rPr>
          <w:rFonts w:ascii="Source Sans Pro" w:eastAsia="Source Sans Pro" w:hAnsi="Source Sans Pro" w:cs="Source Sans Pro"/>
          <w:i/>
          <w:iCs/>
          <w:color w:val="3A3A3A"/>
        </w:rPr>
        <w:t>67</w:t>
      </w:r>
      <w:r w:rsidRPr="049341D4">
        <w:rPr>
          <w:rFonts w:ascii="Source Sans Pro" w:eastAsia="Source Sans Pro" w:hAnsi="Source Sans Pro" w:cs="Source Sans Pro"/>
          <w:color w:val="3A3A3A"/>
        </w:rPr>
        <w:t>(2), 132-153.</w:t>
      </w:r>
    </w:p>
    <w:p w14:paraId="7AEB5879" w14:textId="77777777" w:rsidR="00E237DE" w:rsidRDefault="00163CF6" w:rsidP="00E237DE">
      <w:pPr>
        <w:ind w:hanging="284"/>
        <w:rPr>
          <w:color w:val="000000" w:themeColor="text1"/>
        </w:rPr>
      </w:pPr>
      <w:r>
        <w:rPr>
          <w:rFonts w:ascii="Arial" w:hAnsi="Arial" w:cs="Arial"/>
          <w:color w:val="222222"/>
          <w:sz w:val="20"/>
          <w:szCs w:val="20"/>
          <w:shd w:val="clear" w:color="auto" w:fill="FFFFFF"/>
        </w:rPr>
        <w:t xml:space="preserve">Heilman, M. E., &amp; </w:t>
      </w:r>
      <w:proofErr w:type="spellStart"/>
      <w:r>
        <w:rPr>
          <w:rFonts w:ascii="Arial" w:hAnsi="Arial" w:cs="Arial"/>
          <w:color w:val="222222"/>
          <w:sz w:val="20"/>
          <w:szCs w:val="20"/>
          <w:shd w:val="clear" w:color="auto" w:fill="FFFFFF"/>
        </w:rPr>
        <w:t>Saruwatari</w:t>
      </w:r>
      <w:proofErr w:type="spellEnd"/>
      <w:r>
        <w:rPr>
          <w:rFonts w:ascii="Arial" w:hAnsi="Arial" w:cs="Arial"/>
          <w:color w:val="222222"/>
          <w:sz w:val="20"/>
          <w:szCs w:val="20"/>
          <w:shd w:val="clear" w:color="auto" w:fill="FFFFFF"/>
        </w:rPr>
        <w:t>, L. R. (1979). When beauty is beastly: The effects of appearance and sex on evaluations of job applicants for managerial and nonmanagerial jobs. </w:t>
      </w:r>
      <w:r w:rsidRPr="0C8EAAB7">
        <w:rPr>
          <w:rFonts w:ascii="Arial" w:hAnsi="Arial" w:cs="Arial"/>
          <w:i/>
          <w:iCs/>
          <w:color w:val="222222"/>
          <w:sz w:val="20"/>
          <w:szCs w:val="20"/>
          <w:shd w:val="clear" w:color="auto" w:fill="FFFFFF"/>
        </w:rPr>
        <w:t xml:space="preserve">Organizational </w:t>
      </w:r>
      <w:proofErr w:type="spellStart"/>
      <w:r w:rsidRPr="0C8EAAB7">
        <w:rPr>
          <w:rFonts w:ascii="Arial" w:hAnsi="Arial" w:cs="Arial"/>
          <w:i/>
          <w:iCs/>
          <w:color w:val="222222"/>
          <w:sz w:val="20"/>
          <w:szCs w:val="20"/>
          <w:shd w:val="clear" w:color="auto" w:fill="FFFFFF"/>
        </w:rPr>
        <w:t>Behavior</w:t>
      </w:r>
      <w:proofErr w:type="spellEnd"/>
      <w:r w:rsidRPr="0C8EAAB7">
        <w:rPr>
          <w:rFonts w:ascii="Arial" w:hAnsi="Arial" w:cs="Arial"/>
          <w:i/>
          <w:iCs/>
          <w:color w:val="222222"/>
          <w:sz w:val="20"/>
          <w:szCs w:val="20"/>
          <w:shd w:val="clear" w:color="auto" w:fill="FFFFFF"/>
        </w:rPr>
        <w:t xml:space="preserve"> and Human Performance</w:t>
      </w:r>
      <w:r>
        <w:rPr>
          <w:rFonts w:ascii="Arial" w:hAnsi="Arial" w:cs="Arial"/>
          <w:color w:val="222222"/>
          <w:sz w:val="20"/>
          <w:szCs w:val="20"/>
          <w:shd w:val="clear" w:color="auto" w:fill="FFFFFF"/>
        </w:rPr>
        <w:t>, </w:t>
      </w:r>
      <w:r w:rsidRPr="0C8EAAB7">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(3), 360-372.</w:t>
      </w:r>
    </w:p>
    <w:p w14:paraId="3F222F99" w14:textId="77777777" w:rsidR="00E237DE" w:rsidRDefault="0C8EAAB7" w:rsidP="00E237DE">
      <w:pPr>
        <w:ind w:hanging="284"/>
        <w:rPr>
          <w:color w:val="000000" w:themeColor="text1"/>
        </w:rPr>
      </w:pPr>
      <w:r w:rsidRPr="0C8EAAB7">
        <w:rPr>
          <w:rFonts w:ascii="Calibri" w:eastAsia="Calibri" w:hAnsi="Calibri" w:cs="Calibri"/>
          <w:color w:val="000000" w:themeColor="text1"/>
          <w:lang w:val="en-US"/>
        </w:rPr>
        <w:t xml:space="preserve">Heilman, M., &amp; </w:t>
      </w:r>
      <w:proofErr w:type="spellStart"/>
      <w:r w:rsidRPr="0C8EAAB7">
        <w:rPr>
          <w:rFonts w:ascii="Calibri" w:eastAsia="Calibri" w:hAnsi="Calibri" w:cs="Calibri"/>
          <w:color w:val="000000" w:themeColor="text1"/>
          <w:lang w:val="en-US"/>
        </w:rPr>
        <w:t>Stopeck</w:t>
      </w:r>
      <w:proofErr w:type="spellEnd"/>
      <w:r w:rsidRPr="0C8EAAB7">
        <w:rPr>
          <w:rFonts w:ascii="Calibri" w:eastAsia="Calibri" w:hAnsi="Calibri" w:cs="Calibri"/>
          <w:color w:val="000000" w:themeColor="text1"/>
          <w:lang w:val="en-US"/>
        </w:rPr>
        <w:t xml:space="preserve">, M. (1985). Attractiveness and Corporate Success: Different Causal Attributions for Males and Females. </w:t>
      </w:r>
      <w:r w:rsidRPr="0C8EAAB7">
        <w:rPr>
          <w:rFonts w:ascii="Calibri" w:eastAsia="Calibri" w:hAnsi="Calibri" w:cs="Calibri"/>
          <w:i/>
          <w:iCs/>
          <w:color w:val="000000" w:themeColor="text1"/>
          <w:lang w:val="en-US"/>
        </w:rPr>
        <w:t>Journal of Applied Psychology,</w:t>
      </w:r>
      <w:r w:rsidRPr="0C8EAAB7">
        <w:rPr>
          <w:rFonts w:ascii="Calibri" w:eastAsia="Calibri" w:hAnsi="Calibri" w:cs="Calibri"/>
          <w:color w:val="000000" w:themeColor="text1"/>
          <w:lang w:val="en-US"/>
        </w:rPr>
        <w:t xml:space="preserve"> </w:t>
      </w:r>
      <w:r w:rsidRPr="0C8EAAB7">
        <w:rPr>
          <w:rFonts w:ascii="Calibri" w:eastAsia="Calibri" w:hAnsi="Calibri" w:cs="Calibri"/>
          <w:i/>
          <w:iCs/>
          <w:color w:val="000000" w:themeColor="text1"/>
          <w:lang w:val="en-US"/>
        </w:rPr>
        <w:t>70</w:t>
      </w:r>
      <w:r w:rsidRPr="0C8EAAB7">
        <w:rPr>
          <w:rFonts w:ascii="Calibri" w:eastAsia="Calibri" w:hAnsi="Calibri" w:cs="Calibri"/>
          <w:color w:val="000000" w:themeColor="text1"/>
          <w:lang w:val="en-US"/>
        </w:rPr>
        <w:t>(2), 379-388.</w:t>
      </w:r>
    </w:p>
    <w:p w14:paraId="5F5356D4" w14:textId="47F44C61" w:rsidR="0C8EAAB7" w:rsidRPr="00E237DE" w:rsidRDefault="0C8EAAB7" w:rsidP="00E237DE">
      <w:pPr>
        <w:ind w:hanging="284"/>
        <w:rPr>
          <w:color w:val="000000" w:themeColor="text1"/>
        </w:rPr>
      </w:pPr>
      <w:r w:rsidRPr="0C8EAAB7">
        <w:rPr>
          <w:rFonts w:ascii="Calibri" w:eastAsia="Calibri" w:hAnsi="Calibri" w:cs="Calibri"/>
          <w:color w:val="000000" w:themeColor="text1"/>
          <w:lang w:val="en-US"/>
        </w:rPr>
        <w:t xml:space="preserve">Heilman, M.E., </w:t>
      </w:r>
      <w:proofErr w:type="spellStart"/>
      <w:r w:rsidRPr="0C8EAAB7">
        <w:rPr>
          <w:rFonts w:ascii="Calibri" w:eastAsia="Calibri" w:hAnsi="Calibri" w:cs="Calibri"/>
          <w:color w:val="000000" w:themeColor="text1"/>
          <w:lang w:val="en-US"/>
        </w:rPr>
        <w:t>Manzi</w:t>
      </w:r>
      <w:proofErr w:type="spellEnd"/>
      <w:r w:rsidRPr="0C8EAAB7">
        <w:rPr>
          <w:rFonts w:ascii="Calibri" w:eastAsia="Calibri" w:hAnsi="Calibri" w:cs="Calibri"/>
          <w:color w:val="000000" w:themeColor="text1"/>
          <w:lang w:val="en-US"/>
        </w:rPr>
        <w:t xml:space="preserve">, F. &amp; Braun, S. (2015) ‘Presumed incompetent: perceived lack of fit and gender bias in recruitment and selection.’ in Handbook of gendered careers management: getting in, getting on, getting out. </w:t>
      </w:r>
      <w:proofErr w:type="spellStart"/>
      <w:r w:rsidRPr="0C8EAAB7">
        <w:rPr>
          <w:rFonts w:ascii="Calibri" w:eastAsia="Calibri" w:hAnsi="Calibri" w:cs="Calibri"/>
          <w:color w:val="000000" w:themeColor="text1"/>
          <w:lang w:val="en-US"/>
        </w:rPr>
        <w:t>Cheltnham</w:t>
      </w:r>
      <w:proofErr w:type="spellEnd"/>
      <w:r w:rsidRPr="0C8EAAB7">
        <w:rPr>
          <w:rFonts w:ascii="Calibri" w:eastAsia="Calibri" w:hAnsi="Calibri" w:cs="Calibri"/>
          <w:color w:val="000000" w:themeColor="text1"/>
          <w:lang w:val="en-US"/>
        </w:rPr>
        <w:t xml:space="preserve">: Edward Elgar, pp. 90-104. </w:t>
      </w:r>
      <w:hyperlink r:id="rId9">
        <w:r w:rsidRPr="0C8EAAB7">
          <w:rPr>
            <w:rStyle w:val="Hyperlink"/>
            <w:rFonts w:ascii="Calibri" w:eastAsia="Calibri" w:hAnsi="Calibri" w:cs="Calibri"/>
            <w:color w:val="000000" w:themeColor="text1"/>
            <w:lang w:val="en-US"/>
          </w:rPr>
          <w:t>http://dx.doi.org/10/4337/9781782537709.00014</w:t>
        </w:r>
      </w:hyperlink>
    </w:p>
    <w:p w14:paraId="6E141F22" w14:textId="3959DA8F" w:rsidR="736CBD84" w:rsidRPr="00E237DE" w:rsidRDefault="0C8EAAB7" w:rsidP="00E237DE">
      <w:pPr>
        <w:ind w:hanging="284"/>
        <w:rPr>
          <w:rFonts w:ascii="Calibri" w:eastAsia="Calibri" w:hAnsi="Calibri" w:cs="Calibri"/>
          <w:color w:val="000000" w:themeColor="text1"/>
          <w:lang w:val="en-US"/>
        </w:rPr>
      </w:pPr>
      <w:r w:rsidRPr="00E237DE">
        <w:rPr>
          <w:rFonts w:ascii="Calibri" w:eastAsia="Calibri" w:hAnsi="Calibri" w:cs="Calibri"/>
          <w:color w:val="000000" w:themeColor="text1"/>
          <w:lang w:val="en-US"/>
        </w:rPr>
        <w:t>Heilman, M. E. (1983). Sex bias in work settings: The lack of fit model. Research in organizational behavior.</w:t>
      </w:r>
    </w:p>
    <w:p w14:paraId="534F09AE" w14:textId="18EC6FE3" w:rsidR="0C8EAAB7" w:rsidRPr="00E237DE" w:rsidRDefault="0C8EAAB7" w:rsidP="00E237DE">
      <w:pPr>
        <w:ind w:hanging="284"/>
        <w:rPr>
          <w:rFonts w:ascii="Calibri" w:eastAsia="Calibri" w:hAnsi="Calibri" w:cs="Calibri"/>
          <w:color w:val="000000" w:themeColor="text1"/>
          <w:lang w:val="en-US"/>
        </w:rPr>
      </w:pPr>
      <w:r w:rsidRPr="00E237DE">
        <w:rPr>
          <w:rFonts w:ascii="Calibri" w:eastAsia="Calibri" w:hAnsi="Calibri" w:cs="Calibri"/>
          <w:color w:val="000000" w:themeColor="text1"/>
          <w:lang w:val="en-US"/>
        </w:rPr>
        <w:t xml:space="preserve">Hilton, J. L., &amp; von Hippel, W. (1996). Stereotypes. Annual Review of Psychology, 47, 237. </w:t>
      </w:r>
      <w:proofErr w:type="spellStart"/>
      <w:proofErr w:type="gramStart"/>
      <w:r w:rsidRPr="00E237DE">
        <w:rPr>
          <w:rFonts w:ascii="Calibri" w:eastAsia="Calibri" w:hAnsi="Calibri" w:cs="Calibri"/>
          <w:color w:val="000000" w:themeColor="text1"/>
          <w:lang w:val="en-US"/>
        </w:rPr>
        <w:t>doi:http</w:t>
      </w:r>
      <w:proofErr w:type="spellEnd"/>
      <w:r w:rsidRPr="00E237DE">
        <w:rPr>
          <w:rFonts w:ascii="Calibri" w:eastAsia="Calibri" w:hAnsi="Calibri" w:cs="Calibri"/>
          <w:color w:val="000000" w:themeColor="text1"/>
          <w:lang w:val="en-US"/>
        </w:rPr>
        <w:t>://dx.doi.org/10.1146/annurev.psych.47.1.237</w:t>
      </w:r>
      <w:proofErr w:type="gramEnd"/>
    </w:p>
    <w:p w14:paraId="3A2C415F" w14:textId="6BBB6A5A" w:rsidR="736CBD84" w:rsidRPr="00E237DE" w:rsidRDefault="736CBD84" w:rsidP="00E237DE">
      <w:pPr>
        <w:ind w:hanging="284"/>
        <w:rPr>
          <w:rFonts w:ascii="Calibri" w:eastAsia="Calibri" w:hAnsi="Calibri" w:cs="Calibri"/>
          <w:color w:val="000000" w:themeColor="text1"/>
          <w:lang w:val="en-US"/>
        </w:rPr>
      </w:pPr>
      <w:r w:rsidRPr="00E237DE">
        <w:rPr>
          <w:rFonts w:ascii="Calibri" w:eastAsia="Calibri" w:hAnsi="Calibri" w:cs="Calibri"/>
          <w:color w:val="000000" w:themeColor="text1"/>
          <w:lang w:val="en-US"/>
        </w:rPr>
        <w:t>Hosoda, M., Stone‐Romero, E. F., &amp; Coats, G. (2003). The effects of physical attractiveness on job‐related outcomes: A meta‐analysis of experimental studies. Personnel psychology, 56(2), 431-462.</w:t>
      </w:r>
    </w:p>
    <w:p w14:paraId="57ACE6F1" w14:textId="3F62C163" w:rsidR="006475C9" w:rsidRPr="00E237DE" w:rsidRDefault="006475C9" w:rsidP="00E237DE">
      <w:pPr>
        <w:ind w:hanging="284"/>
        <w:rPr>
          <w:rFonts w:ascii="Calibri" w:eastAsia="Calibri" w:hAnsi="Calibri" w:cs="Calibri"/>
          <w:color w:val="000000" w:themeColor="text1"/>
          <w:lang w:val="en-US"/>
        </w:rPr>
      </w:pPr>
      <w:r w:rsidRPr="00E237DE">
        <w:rPr>
          <w:rFonts w:ascii="Calibri" w:eastAsia="Calibri" w:hAnsi="Calibri" w:cs="Calibri"/>
          <w:color w:val="000000" w:themeColor="text1"/>
          <w:lang w:val="en-US"/>
        </w:rPr>
        <w:t xml:space="preserve">Johnson, S. K., </w:t>
      </w:r>
      <w:proofErr w:type="spellStart"/>
      <w:r w:rsidRPr="00E237DE">
        <w:rPr>
          <w:rFonts w:ascii="Calibri" w:eastAsia="Calibri" w:hAnsi="Calibri" w:cs="Calibri"/>
          <w:color w:val="000000" w:themeColor="text1"/>
          <w:lang w:val="en-US"/>
        </w:rPr>
        <w:t>Podratz</w:t>
      </w:r>
      <w:proofErr w:type="spellEnd"/>
      <w:r w:rsidRPr="00E237DE">
        <w:rPr>
          <w:rFonts w:ascii="Calibri" w:eastAsia="Calibri" w:hAnsi="Calibri" w:cs="Calibri"/>
          <w:color w:val="000000" w:themeColor="text1"/>
          <w:lang w:val="en-US"/>
        </w:rPr>
        <w:t xml:space="preserve">, K. E., </w:t>
      </w:r>
      <w:proofErr w:type="spellStart"/>
      <w:r w:rsidRPr="00E237DE">
        <w:rPr>
          <w:rFonts w:ascii="Calibri" w:eastAsia="Calibri" w:hAnsi="Calibri" w:cs="Calibri"/>
          <w:color w:val="000000" w:themeColor="text1"/>
          <w:lang w:val="en-US"/>
        </w:rPr>
        <w:t>Dipboye</w:t>
      </w:r>
      <w:proofErr w:type="spellEnd"/>
      <w:r w:rsidRPr="00E237DE">
        <w:rPr>
          <w:rFonts w:ascii="Calibri" w:eastAsia="Calibri" w:hAnsi="Calibri" w:cs="Calibri"/>
          <w:color w:val="000000" w:themeColor="text1"/>
          <w:lang w:val="en-US"/>
        </w:rPr>
        <w:t>, R. L., &amp; Gibbons, E. (2010). Physical attractiveness biases in ratings of employment suitability: Tracking down the “beauty is beastly” effect. The Journal of social psychology, 150(3), 301-318.</w:t>
      </w:r>
    </w:p>
    <w:p w14:paraId="7289E5D2" w14:textId="2ED8DE48" w:rsidR="736CBD84" w:rsidRPr="00E237DE" w:rsidRDefault="736CBD84" w:rsidP="00E237DE">
      <w:pPr>
        <w:ind w:hanging="284"/>
        <w:rPr>
          <w:rFonts w:ascii="Calibri" w:eastAsia="Calibri" w:hAnsi="Calibri" w:cs="Calibri"/>
          <w:color w:val="000000" w:themeColor="text1"/>
          <w:lang w:val="en-US"/>
        </w:rPr>
      </w:pPr>
      <w:r w:rsidRPr="00E237DE">
        <w:rPr>
          <w:rFonts w:ascii="Calibri" w:eastAsia="Calibri" w:hAnsi="Calibri" w:cs="Calibri"/>
          <w:color w:val="000000" w:themeColor="text1"/>
          <w:lang w:val="en-US"/>
        </w:rPr>
        <w:t xml:space="preserve">König, C. J., </w:t>
      </w:r>
      <w:proofErr w:type="spellStart"/>
      <w:r w:rsidRPr="00E237DE">
        <w:rPr>
          <w:rFonts w:ascii="Calibri" w:eastAsia="Calibri" w:hAnsi="Calibri" w:cs="Calibri"/>
          <w:color w:val="000000" w:themeColor="text1"/>
          <w:lang w:val="en-US"/>
        </w:rPr>
        <w:t>Klehe</w:t>
      </w:r>
      <w:proofErr w:type="spellEnd"/>
      <w:r w:rsidRPr="00E237DE">
        <w:rPr>
          <w:rFonts w:ascii="Calibri" w:eastAsia="Calibri" w:hAnsi="Calibri" w:cs="Calibri"/>
          <w:color w:val="000000" w:themeColor="text1"/>
          <w:lang w:val="en-US"/>
        </w:rPr>
        <w:t xml:space="preserve">, U. C., </w:t>
      </w:r>
      <w:proofErr w:type="spellStart"/>
      <w:r w:rsidRPr="00E237DE">
        <w:rPr>
          <w:rFonts w:ascii="Calibri" w:eastAsia="Calibri" w:hAnsi="Calibri" w:cs="Calibri"/>
          <w:color w:val="000000" w:themeColor="text1"/>
          <w:lang w:val="en-US"/>
        </w:rPr>
        <w:t>Berchtold</w:t>
      </w:r>
      <w:proofErr w:type="spellEnd"/>
      <w:r w:rsidRPr="00E237DE">
        <w:rPr>
          <w:rFonts w:ascii="Calibri" w:eastAsia="Calibri" w:hAnsi="Calibri" w:cs="Calibri"/>
          <w:color w:val="000000" w:themeColor="text1"/>
          <w:lang w:val="en-US"/>
        </w:rPr>
        <w:t xml:space="preserve">, M., &amp; </w:t>
      </w:r>
      <w:proofErr w:type="spellStart"/>
      <w:r w:rsidRPr="00E237DE">
        <w:rPr>
          <w:rFonts w:ascii="Calibri" w:eastAsia="Calibri" w:hAnsi="Calibri" w:cs="Calibri"/>
          <w:color w:val="000000" w:themeColor="text1"/>
          <w:lang w:val="en-US"/>
        </w:rPr>
        <w:t>Kleinmann</w:t>
      </w:r>
      <w:proofErr w:type="spellEnd"/>
      <w:r w:rsidRPr="00E237DE">
        <w:rPr>
          <w:rFonts w:ascii="Calibri" w:eastAsia="Calibri" w:hAnsi="Calibri" w:cs="Calibri"/>
          <w:color w:val="000000" w:themeColor="text1"/>
          <w:lang w:val="en-US"/>
        </w:rPr>
        <w:t>, M. (2010). Reasons for being selective when choosing personnel selection procedures. International Journal of Selection and Assessment, 18(1), 17-27.</w:t>
      </w:r>
    </w:p>
    <w:p w14:paraId="1308C2B0" w14:textId="3F677122" w:rsidR="736CBD84" w:rsidRPr="00E237DE" w:rsidRDefault="736CBD84" w:rsidP="00E237DE">
      <w:pPr>
        <w:ind w:hanging="284"/>
        <w:rPr>
          <w:rFonts w:ascii="Calibri" w:eastAsia="Calibri" w:hAnsi="Calibri" w:cs="Calibri"/>
          <w:color w:val="000000" w:themeColor="text1"/>
          <w:lang w:val="en-US"/>
        </w:rPr>
      </w:pPr>
      <w:proofErr w:type="spellStart"/>
      <w:r w:rsidRPr="00E237DE">
        <w:rPr>
          <w:rFonts w:ascii="Calibri" w:eastAsia="Calibri" w:hAnsi="Calibri" w:cs="Calibri"/>
          <w:color w:val="000000" w:themeColor="text1"/>
          <w:lang w:val="en-US"/>
        </w:rPr>
        <w:t>Latu</w:t>
      </w:r>
      <w:proofErr w:type="spellEnd"/>
      <w:r w:rsidRPr="00E237DE">
        <w:rPr>
          <w:rFonts w:ascii="Calibri" w:eastAsia="Calibri" w:hAnsi="Calibri" w:cs="Calibri"/>
          <w:color w:val="000000" w:themeColor="text1"/>
          <w:lang w:val="en-US"/>
        </w:rPr>
        <w:t>, I. M., Mast, M. S., &amp; Stewart, T. L. (2015). Gender biases in (inter) action: The role of interviewers’ and applicants’ implicit and explicit stereotypes in predicting women’s job interview outcomes. Psychology of Women Quarterly, 39(4), 539-552.</w:t>
      </w:r>
    </w:p>
    <w:p w14:paraId="1D6EEE5D" w14:textId="55645772" w:rsidR="736CBD84" w:rsidRPr="00E237DE" w:rsidRDefault="736CBD84" w:rsidP="00E237DE">
      <w:pPr>
        <w:ind w:hanging="284"/>
        <w:rPr>
          <w:rFonts w:ascii="Calibri" w:eastAsia="Calibri" w:hAnsi="Calibri" w:cs="Calibri"/>
          <w:color w:val="000000" w:themeColor="text1"/>
          <w:lang w:val="en-US"/>
        </w:rPr>
      </w:pPr>
      <w:r w:rsidRPr="00E237DE">
        <w:rPr>
          <w:rFonts w:ascii="Calibri" w:eastAsia="Calibri" w:hAnsi="Calibri" w:cs="Calibri"/>
          <w:color w:val="000000" w:themeColor="text1"/>
          <w:lang w:val="en-US"/>
        </w:rPr>
        <w:t xml:space="preserve">Langlois, J. H., </w:t>
      </w:r>
      <w:proofErr w:type="spellStart"/>
      <w:r w:rsidRPr="00E237DE">
        <w:rPr>
          <w:rFonts w:ascii="Calibri" w:eastAsia="Calibri" w:hAnsi="Calibri" w:cs="Calibri"/>
          <w:color w:val="000000" w:themeColor="text1"/>
          <w:lang w:val="en-US"/>
        </w:rPr>
        <w:t>Kalakanis</w:t>
      </w:r>
      <w:proofErr w:type="spellEnd"/>
      <w:r w:rsidRPr="00E237DE">
        <w:rPr>
          <w:rFonts w:ascii="Calibri" w:eastAsia="Calibri" w:hAnsi="Calibri" w:cs="Calibri"/>
          <w:color w:val="000000" w:themeColor="text1"/>
          <w:lang w:val="en-US"/>
        </w:rPr>
        <w:t>, L., Rubenstein, A. J., Larson, A., Hallam, M., &amp; Smoot, M. (2000). Maxims or myths of beauty? A meta-analytic and theoretical review. Psychological bulletin, 126(3), 390.</w:t>
      </w:r>
    </w:p>
    <w:p w14:paraId="0193253D" w14:textId="126C3C0B" w:rsidR="00980B77" w:rsidRPr="00E237DE" w:rsidRDefault="736CBD84" w:rsidP="00E237DE">
      <w:pPr>
        <w:ind w:hanging="284"/>
        <w:rPr>
          <w:rFonts w:ascii="Calibri" w:eastAsia="Calibri" w:hAnsi="Calibri" w:cs="Calibri"/>
          <w:color w:val="000000" w:themeColor="text1"/>
          <w:lang w:val="en-US"/>
        </w:rPr>
      </w:pPr>
      <w:proofErr w:type="spellStart"/>
      <w:r w:rsidRPr="00E237DE">
        <w:rPr>
          <w:rFonts w:ascii="Calibri" w:eastAsia="Calibri" w:hAnsi="Calibri" w:cs="Calibri"/>
          <w:color w:val="000000" w:themeColor="text1"/>
          <w:lang w:val="en-US"/>
        </w:rPr>
        <w:t>Paustian-Underdahl</w:t>
      </w:r>
      <w:proofErr w:type="spellEnd"/>
      <w:r w:rsidRPr="00E237DE">
        <w:rPr>
          <w:rFonts w:ascii="Calibri" w:eastAsia="Calibri" w:hAnsi="Calibri" w:cs="Calibri"/>
          <w:color w:val="000000" w:themeColor="text1"/>
          <w:lang w:val="en-US"/>
        </w:rPr>
        <w:t xml:space="preserve">, S. C &amp; Walker, L.S (2016). Revisiting the beauty is beastly effect: examining when and why sex and attractiveness impact hiring judgements. The international Journal of Human Resource Management, 27:10, 1034-1058, DOI:10.1080/09585192.2015.1053963. </w:t>
      </w:r>
    </w:p>
    <w:p w14:paraId="03C46FBF" w14:textId="5C538C39" w:rsidR="736CBD84" w:rsidRPr="00E237DE" w:rsidRDefault="736CBD84" w:rsidP="00E237DE">
      <w:pPr>
        <w:ind w:hanging="284"/>
        <w:rPr>
          <w:rFonts w:ascii="Calibri" w:eastAsia="Calibri" w:hAnsi="Calibri" w:cs="Calibri"/>
          <w:color w:val="000000" w:themeColor="text1"/>
          <w:lang w:val="en-US"/>
        </w:rPr>
      </w:pPr>
      <w:r w:rsidRPr="00E237DE">
        <w:rPr>
          <w:rFonts w:ascii="Calibri" w:eastAsia="Calibri" w:hAnsi="Calibri" w:cs="Calibri"/>
          <w:color w:val="000000" w:themeColor="text1"/>
          <w:lang w:val="en-US"/>
        </w:rPr>
        <w:lastRenderedPageBreak/>
        <w:t>Schmidt, F. L., &amp; Hunter, J. E. (1998). The validity and utility of selection methods in personnel psychology: Practical and theoretical implications of 85 years of research findings. Psychological bulletin, 124(2), 262.</w:t>
      </w:r>
    </w:p>
    <w:p w14:paraId="4F72FD28" w14:textId="2CEE7422" w:rsidR="54DC8F5B" w:rsidRPr="00E237DE" w:rsidRDefault="54DC8F5B" w:rsidP="00E237DE">
      <w:pPr>
        <w:ind w:hanging="284"/>
        <w:rPr>
          <w:rFonts w:ascii="Calibri" w:eastAsia="Calibri" w:hAnsi="Calibri" w:cs="Calibri"/>
          <w:color w:val="000000" w:themeColor="text1"/>
          <w:lang w:val="en-US"/>
        </w:rPr>
      </w:pPr>
      <w:proofErr w:type="spellStart"/>
      <w:r w:rsidRPr="00E237DE">
        <w:rPr>
          <w:rFonts w:ascii="Calibri" w:eastAsia="Calibri" w:hAnsi="Calibri" w:cs="Calibri"/>
          <w:color w:val="000000" w:themeColor="text1"/>
          <w:lang w:val="en-US"/>
        </w:rPr>
        <w:t>Quercia</w:t>
      </w:r>
      <w:proofErr w:type="spellEnd"/>
      <w:r w:rsidRPr="00E237DE">
        <w:rPr>
          <w:rFonts w:ascii="Calibri" w:eastAsia="Calibri" w:hAnsi="Calibri" w:cs="Calibri"/>
          <w:color w:val="000000" w:themeColor="text1"/>
          <w:lang w:val="en-US"/>
        </w:rPr>
        <w:t>, D., Kosinski, M., Stillwell, D., &amp; Crowcroft, J. (2011, October). Our twitter profiles, our selves: Predicting personality with twitter. In 2011 IEEE third international conference on privacy, security, risk and trust and 2011 IEEE third international conference on social computing (pp. 180-185). IEEE.</w:t>
      </w:r>
    </w:p>
    <w:p w14:paraId="05C24AC6" w14:textId="09BB436F" w:rsidR="00C72E07" w:rsidRDefault="00C72E07">
      <w:pPr>
        <w:rPr>
          <w:color w:val="000000" w:themeColor="text1"/>
        </w:rPr>
      </w:pPr>
    </w:p>
    <w:p w14:paraId="7016A0F5" w14:textId="7022F735" w:rsidR="00C72E07" w:rsidRPr="0034216B" w:rsidRDefault="00C72E07">
      <w:pPr>
        <w:rPr>
          <w:color w:val="000000" w:themeColor="text1"/>
        </w:rPr>
      </w:pPr>
    </w:p>
    <w:sectPr w:rsidR="00C72E07" w:rsidRPr="003421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6B"/>
    <w:rsid w:val="00024387"/>
    <w:rsid w:val="00034E5A"/>
    <w:rsid w:val="00041865"/>
    <w:rsid w:val="00046D5E"/>
    <w:rsid w:val="00053442"/>
    <w:rsid w:val="000561A6"/>
    <w:rsid w:val="0006341A"/>
    <w:rsid w:val="000634B5"/>
    <w:rsid w:val="00065C09"/>
    <w:rsid w:val="00066CF2"/>
    <w:rsid w:val="00067000"/>
    <w:rsid w:val="00076619"/>
    <w:rsid w:val="0007688C"/>
    <w:rsid w:val="000822F8"/>
    <w:rsid w:val="000848CF"/>
    <w:rsid w:val="000A4797"/>
    <w:rsid w:val="000A59A2"/>
    <w:rsid w:val="000A78C9"/>
    <w:rsid w:val="000B0218"/>
    <w:rsid w:val="000B38D1"/>
    <w:rsid w:val="000B50EC"/>
    <w:rsid w:val="000C05A6"/>
    <w:rsid w:val="000C080B"/>
    <w:rsid w:val="000C7BAF"/>
    <w:rsid w:val="000D4AB1"/>
    <w:rsid w:val="000D7B10"/>
    <w:rsid w:val="000E0B92"/>
    <w:rsid w:val="000E7550"/>
    <w:rsid w:val="000F5AE5"/>
    <w:rsid w:val="00102404"/>
    <w:rsid w:val="0010625E"/>
    <w:rsid w:val="001075D6"/>
    <w:rsid w:val="00111FFA"/>
    <w:rsid w:val="00114D0A"/>
    <w:rsid w:val="001271FA"/>
    <w:rsid w:val="00150122"/>
    <w:rsid w:val="001575C4"/>
    <w:rsid w:val="00163CF6"/>
    <w:rsid w:val="00173794"/>
    <w:rsid w:val="0018201F"/>
    <w:rsid w:val="00190B44"/>
    <w:rsid w:val="00190EAE"/>
    <w:rsid w:val="0019139F"/>
    <w:rsid w:val="001B6014"/>
    <w:rsid w:val="001D283E"/>
    <w:rsid w:val="001D705B"/>
    <w:rsid w:val="002011B2"/>
    <w:rsid w:val="00207AEA"/>
    <w:rsid w:val="00211CA2"/>
    <w:rsid w:val="0021388F"/>
    <w:rsid w:val="00251B8D"/>
    <w:rsid w:val="002523EF"/>
    <w:rsid w:val="00254A7A"/>
    <w:rsid w:val="00276790"/>
    <w:rsid w:val="00286D4F"/>
    <w:rsid w:val="00297194"/>
    <w:rsid w:val="002A0E2F"/>
    <w:rsid w:val="002B0A5F"/>
    <w:rsid w:val="002B4029"/>
    <w:rsid w:val="002C0B80"/>
    <w:rsid w:val="002C11C8"/>
    <w:rsid w:val="002C5876"/>
    <w:rsid w:val="002D37B7"/>
    <w:rsid w:val="002D76CD"/>
    <w:rsid w:val="002D7A6A"/>
    <w:rsid w:val="002E3421"/>
    <w:rsid w:val="002F2BFD"/>
    <w:rsid w:val="002F739A"/>
    <w:rsid w:val="00305D53"/>
    <w:rsid w:val="003175EC"/>
    <w:rsid w:val="00326211"/>
    <w:rsid w:val="0034216B"/>
    <w:rsid w:val="00367854"/>
    <w:rsid w:val="003757BE"/>
    <w:rsid w:val="00383376"/>
    <w:rsid w:val="0038433F"/>
    <w:rsid w:val="00384ACF"/>
    <w:rsid w:val="00393A58"/>
    <w:rsid w:val="003A1C85"/>
    <w:rsid w:val="003A6845"/>
    <w:rsid w:val="003E630B"/>
    <w:rsid w:val="00415B5C"/>
    <w:rsid w:val="00420D8B"/>
    <w:rsid w:val="00424AEC"/>
    <w:rsid w:val="004415BF"/>
    <w:rsid w:val="00455313"/>
    <w:rsid w:val="0046599F"/>
    <w:rsid w:val="00471CCF"/>
    <w:rsid w:val="004A5664"/>
    <w:rsid w:val="004A5EE9"/>
    <w:rsid w:val="004A652C"/>
    <w:rsid w:val="004C279E"/>
    <w:rsid w:val="004C3C74"/>
    <w:rsid w:val="004D4DA1"/>
    <w:rsid w:val="004D5D00"/>
    <w:rsid w:val="004D6274"/>
    <w:rsid w:val="005011A7"/>
    <w:rsid w:val="00522B79"/>
    <w:rsid w:val="00531F3A"/>
    <w:rsid w:val="00535CF4"/>
    <w:rsid w:val="00540F5C"/>
    <w:rsid w:val="00541264"/>
    <w:rsid w:val="00547221"/>
    <w:rsid w:val="00547D53"/>
    <w:rsid w:val="00557ADE"/>
    <w:rsid w:val="00561AE0"/>
    <w:rsid w:val="005820C5"/>
    <w:rsid w:val="005A15FC"/>
    <w:rsid w:val="005C1269"/>
    <w:rsid w:val="005C4D35"/>
    <w:rsid w:val="005D07EE"/>
    <w:rsid w:val="005E0C0F"/>
    <w:rsid w:val="005E6426"/>
    <w:rsid w:val="005F19B5"/>
    <w:rsid w:val="005F7F5D"/>
    <w:rsid w:val="00603185"/>
    <w:rsid w:val="0060525F"/>
    <w:rsid w:val="00611915"/>
    <w:rsid w:val="006475C9"/>
    <w:rsid w:val="00662C6E"/>
    <w:rsid w:val="00664C7B"/>
    <w:rsid w:val="006662CC"/>
    <w:rsid w:val="00666FCE"/>
    <w:rsid w:val="0067032A"/>
    <w:rsid w:val="006722D5"/>
    <w:rsid w:val="00686561"/>
    <w:rsid w:val="00694796"/>
    <w:rsid w:val="006D6AB3"/>
    <w:rsid w:val="006D7A38"/>
    <w:rsid w:val="006E1D07"/>
    <w:rsid w:val="006F02BA"/>
    <w:rsid w:val="007235F8"/>
    <w:rsid w:val="00744DAB"/>
    <w:rsid w:val="007705D3"/>
    <w:rsid w:val="00794A84"/>
    <w:rsid w:val="007951C4"/>
    <w:rsid w:val="007B2192"/>
    <w:rsid w:val="007B447B"/>
    <w:rsid w:val="007E1470"/>
    <w:rsid w:val="007E1713"/>
    <w:rsid w:val="00802613"/>
    <w:rsid w:val="008029BE"/>
    <w:rsid w:val="00820F91"/>
    <w:rsid w:val="00846D74"/>
    <w:rsid w:val="00864F05"/>
    <w:rsid w:val="008655CB"/>
    <w:rsid w:val="00865BB1"/>
    <w:rsid w:val="0088500D"/>
    <w:rsid w:val="00885013"/>
    <w:rsid w:val="00892087"/>
    <w:rsid w:val="008A0178"/>
    <w:rsid w:val="008D1756"/>
    <w:rsid w:val="008E1B34"/>
    <w:rsid w:val="008F2C0D"/>
    <w:rsid w:val="008F4599"/>
    <w:rsid w:val="00900FB4"/>
    <w:rsid w:val="0091392F"/>
    <w:rsid w:val="00923555"/>
    <w:rsid w:val="00924C29"/>
    <w:rsid w:val="00937F8D"/>
    <w:rsid w:val="00942712"/>
    <w:rsid w:val="009447D7"/>
    <w:rsid w:val="009565E0"/>
    <w:rsid w:val="00961529"/>
    <w:rsid w:val="0096309F"/>
    <w:rsid w:val="009729B2"/>
    <w:rsid w:val="00980B77"/>
    <w:rsid w:val="00990C11"/>
    <w:rsid w:val="009949CE"/>
    <w:rsid w:val="00995658"/>
    <w:rsid w:val="009B2CDC"/>
    <w:rsid w:val="009D1208"/>
    <w:rsid w:val="009D1325"/>
    <w:rsid w:val="009F5091"/>
    <w:rsid w:val="00A03E0C"/>
    <w:rsid w:val="00A05254"/>
    <w:rsid w:val="00A130B7"/>
    <w:rsid w:val="00A17B23"/>
    <w:rsid w:val="00A23285"/>
    <w:rsid w:val="00A26ABE"/>
    <w:rsid w:val="00A43061"/>
    <w:rsid w:val="00A562BD"/>
    <w:rsid w:val="00A728EF"/>
    <w:rsid w:val="00A748B5"/>
    <w:rsid w:val="00A80F70"/>
    <w:rsid w:val="00A84500"/>
    <w:rsid w:val="00A93A60"/>
    <w:rsid w:val="00A94E10"/>
    <w:rsid w:val="00A95237"/>
    <w:rsid w:val="00AA7070"/>
    <w:rsid w:val="00AB131D"/>
    <w:rsid w:val="00AC174A"/>
    <w:rsid w:val="00AC36F9"/>
    <w:rsid w:val="00AD07BC"/>
    <w:rsid w:val="00AD2B56"/>
    <w:rsid w:val="00AD6CFD"/>
    <w:rsid w:val="00AF0D77"/>
    <w:rsid w:val="00AF3BD4"/>
    <w:rsid w:val="00B04772"/>
    <w:rsid w:val="00B04FD3"/>
    <w:rsid w:val="00B400F5"/>
    <w:rsid w:val="00B40B0D"/>
    <w:rsid w:val="00B428A9"/>
    <w:rsid w:val="00B5633A"/>
    <w:rsid w:val="00B64545"/>
    <w:rsid w:val="00B9789F"/>
    <w:rsid w:val="00BA279E"/>
    <w:rsid w:val="00BB2FA7"/>
    <w:rsid w:val="00BF5F6E"/>
    <w:rsid w:val="00BF7FEE"/>
    <w:rsid w:val="00C0349E"/>
    <w:rsid w:val="00C040F3"/>
    <w:rsid w:val="00C1192E"/>
    <w:rsid w:val="00C15065"/>
    <w:rsid w:val="00C15F45"/>
    <w:rsid w:val="00C174C5"/>
    <w:rsid w:val="00C22B5C"/>
    <w:rsid w:val="00C2375E"/>
    <w:rsid w:val="00C27413"/>
    <w:rsid w:val="00C3293F"/>
    <w:rsid w:val="00C40F79"/>
    <w:rsid w:val="00C46C33"/>
    <w:rsid w:val="00C47DBA"/>
    <w:rsid w:val="00C543F6"/>
    <w:rsid w:val="00C72E07"/>
    <w:rsid w:val="00C743F7"/>
    <w:rsid w:val="00C809E1"/>
    <w:rsid w:val="00C912A6"/>
    <w:rsid w:val="00C969CF"/>
    <w:rsid w:val="00CC542A"/>
    <w:rsid w:val="00CC6887"/>
    <w:rsid w:val="00CC71D1"/>
    <w:rsid w:val="00CE7F08"/>
    <w:rsid w:val="00CF6CED"/>
    <w:rsid w:val="00D272D6"/>
    <w:rsid w:val="00D326F9"/>
    <w:rsid w:val="00D74A6B"/>
    <w:rsid w:val="00D76CA1"/>
    <w:rsid w:val="00D83054"/>
    <w:rsid w:val="00D8686F"/>
    <w:rsid w:val="00D87278"/>
    <w:rsid w:val="00DA177E"/>
    <w:rsid w:val="00DE079B"/>
    <w:rsid w:val="00DE6251"/>
    <w:rsid w:val="00DF4046"/>
    <w:rsid w:val="00E0012C"/>
    <w:rsid w:val="00E044E2"/>
    <w:rsid w:val="00E17D1A"/>
    <w:rsid w:val="00E23716"/>
    <w:rsid w:val="00E237DE"/>
    <w:rsid w:val="00E5066E"/>
    <w:rsid w:val="00E55838"/>
    <w:rsid w:val="00E57500"/>
    <w:rsid w:val="00E654D8"/>
    <w:rsid w:val="00E70874"/>
    <w:rsid w:val="00E73C06"/>
    <w:rsid w:val="00E740C1"/>
    <w:rsid w:val="00E771A5"/>
    <w:rsid w:val="00E83E42"/>
    <w:rsid w:val="00E87F45"/>
    <w:rsid w:val="00E9077E"/>
    <w:rsid w:val="00EA7C56"/>
    <w:rsid w:val="00EB2DEF"/>
    <w:rsid w:val="00EB3BFF"/>
    <w:rsid w:val="00EE7856"/>
    <w:rsid w:val="00EF1ADA"/>
    <w:rsid w:val="00F06996"/>
    <w:rsid w:val="00F3566D"/>
    <w:rsid w:val="00F54DED"/>
    <w:rsid w:val="00F57F37"/>
    <w:rsid w:val="00F62B01"/>
    <w:rsid w:val="00F7029C"/>
    <w:rsid w:val="00F713C2"/>
    <w:rsid w:val="00F80022"/>
    <w:rsid w:val="00F810BA"/>
    <w:rsid w:val="00F82DBC"/>
    <w:rsid w:val="00F83FC1"/>
    <w:rsid w:val="00F85C59"/>
    <w:rsid w:val="00F922E5"/>
    <w:rsid w:val="00FA27D7"/>
    <w:rsid w:val="00FB213F"/>
    <w:rsid w:val="00FB53E1"/>
    <w:rsid w:val="00FB58CA"/>
    <w:rsid w:val="00FC7397"/>
    <w:rsid w:val="00FE6E2A"/>
    <w:rsid w:val="00FF465F"/>
    <w:rsid w:val="049341D4"/>
    <w:rsid w:val="0C8EAAB7"/>
    <w:rsid w:val="167E0A82"/>
    <w:rsid w:val="179F3563"/>
    <w:rsid w:val="54DC8F5B"/>
    <w:rsid w:val="6F60FD8B"/>
    <w:rsid w:val="711BCF53"/>
    <w:rsid w:val="71F25246"/>
    <w:rsid w:val="736CB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32FF8"/>
  <w15:chartTrackingRefBased/>
  <w15:docId w15:val="{12156026-1F9C-42F7-A567-7B608DB31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0B77"/>
    <w:rPr>
      <w:color w:val="0563C1" w:themeColor="hyperlink"/>
      <w:u w:val="single"/>
    </w:rPr>
  </w:style>
  <w:style w:type="character" w:styleId="UnresolvedMention">
    <w:name w:val="Unresolved Mention"/>
    <w:basedOn w:val="DefaultParagraphFont"/>
    <w:uiPriority w:val="99"/>
    <w:semiHidden/>
    <w:unhideWhenUsed/>
    <w:rsid w:val="00980B77"/>
    <w:rPr>
      <w:color w:val="605E5C"/>
      <w:shd w:val="clear" w:color="auto" w:fill="E1DFDD"/>
    </w:rPr>
  </w:style>
  <w:style w:type="paragraph" w:styleId="NormalWeb">
    <w:name w:val="Normal (Web)"/>
    <w:basedOn w:val="Normal"/>
    <w:uiPriority w:val="99"/>
    <w:semiHidden/>
    <w:unhideWhenUsed/>
    <w:rsid w:val="000B021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6207722">
      <w:bodyDiv w:val="1"/>
      <w:marLeft w:val="0"/>
      <w:marRight w:val="0"/>
      <w:marTop w:val="0"/>
      <w:marBottom w:val="0"/>
      <w:divBdr>
        <w:top w:val="none" w:sz="0" w:space="0" w:color="auto"/>
        <w:left w:val="none" w:sz="0" w:space="0" w:color="auto"/>
        <w:bottom w:val="none" w:sz="0" w:space="0" w:color="auto"/>
        <w:right w:val="none" w:sz="0" w:space="0" w:color="auto"/>
      </w:divBdr>
    </w:div>
    <w:div w:id="1453670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0/15"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dx.doi.org/10/4337/9781782537709.00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D98C36E-DFB9-4D97-BA80-80117BFBD6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97B6AB-E815-4980-9F03-ECD9FC5D95C2}">
  <ds:schemaRefs>
    <ds:schemaRef ds:uri="http://schemas.microsoft.com/office/infopath/2007/PartnerControls"/>
    <ds:schemaRef ds:uri="http://schemas.microsoft.com/office/2006/documentManagement/types"/>
    <ds:schemaRef ds:uri="http://purl.org/dc/terms/"/>
    <ds:schemaRef ds:uri="http://schemas.microsoft.com/office/2006/metadata/properties"/>
    <ds:schemaRef ds:uri="http://purl.org/dc/elements/1.1/"/>
    <ds:schemaRef ds:uri="http://schemas.openxmlformats.org/package/2006/metadata/core-properties"/>
    <ds:schemaRef ds:uri="http://purl.org/dc/dcmitype/"/>
    <ds:schemaRef ds:uri="ed25a739-d205-4a8f-b117-2566f909cb60"/>
    <ds:schemaRef ds:uri="http://www.w3.org/XML/1998/namespace"/>
  </ds:schemaRefs>
</ds:datastoreItem>
</file>

<file path=customXml/itemProps3.xml><?xml version="1.0" encoding="utf-8"?>
<ds:datastoreItem xmlns:ds="http://schemas.openxmlformats.org/officeDocument/2006/customXml" ds:itemID="{380B176F-0EE8-4558-B1F8-9F81A161EB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3152</Words>
  <Characters>17970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21080</CharactersWithSpaces>
  <SharedDoc>false</SharedDoc>
  <HLinks>
    <vt:vector size="12" baseType="variant">
      <vt:variant>
        <vt:i4>4587607</vt:i4>
      </vt:variant>
      <vt:variant>
        <vt:i4>3</vt:i4>
      </vt:variant>
      <vt:variant>
        <vt:i4>0</vt:i4>
      </vt:variant>
      <vt:variant>
        <vt:i4>5</vt:i4>
      </vt:variant>
      <vt:variant>
        <vt:lpwstr>http://dx.doi.org/10/4337/9781782537709.00014</vt:lpwstr>
      </vt:variant>
      <vt:variant>
        <vt:lpwstr/>
      </vt:variant>
      <vt:variant>
        <vt:i4>7077991</vt:i4>
      </vt:variant>
      <vt:variant>
        <vt:i4>0</vt:i4>
      </vt:variant>
      <vt:variant>
        <vt:i4>0</vt:i4>
      </vt:variant>
      <vt:variant>
        <vt:i4>5</vt:i4>
      </vt:variant>
      <vt:variant>
        <vt:lpwstr>http://www.legislation.gov.uk/ukpga/2010/15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Phillips (1351715)</dc:creator>
  <cp:keywords/>
  <dc:description/>
  <cp:lastModifiedBy>Bronwen Phillips</cp:lastModifiedBy>
  <cp:revision>2</cp:revision>
  <dcterms:created xsi:type="dcterms:W3CDTF">2019-11-17T22:29:00Z</dcterms:created>
  <dcterms:modified xsi:type="dcterms:W3CDTF">2019-11-17T22:29:00Z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