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27448" w14:textId="77777777" w:rsidR="00900C64" w:rsidRPr="002D7504" w:rsidRDefault="00900C64" w:rsidP="00900C64">
      <w:pPr>
        <w:jc w:val="center"/>
      </w:pPr>
      <w:r>
        <w:rPr>
          <w:noProof/>
        </w:rPr>
        <w:drawing>
          <wp:inline distT="0" distB="0" distL="0" distR="0" wp14:anchorId="31217C30" wp14:editId="6CA61028">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BA3A707" w14:textId="77777777" w:rsidR="00900C64" w:rsidRPr="007B4B22" w:rsidRDefault="00900C64" w:rsidP="00900C64">
      <w:pPr>
        <w:pStyle w:val="paragraph"/>
        <w:spacing w:before="0" w:beforeAutospacing="0" w:after="0" w:afterAutospacing="0" w:line="360" w:lineRule="auto"/>
        <w:jc w:val="center"/>
        <w:textAlignment w:val="baseline"/>
        <w:rPr>
          <w:rFonts w:ascii="Arial" w:hAnsi="Arial" w:cs="Arial"/>
          <w:sz w:val="48"/>
          <w:szCs w:val="48"/>
        </w:rPr>
      </w:pPr>
      <w:r w:rsidRPr="007B4B22">
        <w:rPr>
          <w:rStyle w:val="normaltextrun"/>
          <w:rFonts w:ascii="Arial" w:eastAsiaTheme="majorEastAsia" w:hAnsi="Arial" w:cs="Arial"/>
          <w:color w:val="000000"/>
          <w:sz w:val="48"/>
          <w:szCs w:val="48"/>
          <w:lang w:val="en-US"/>
        </w:rPr>
        <w:t>Syeda Anisa Afzaal</w:t>
      </w:r>
    </w:p>
    <w:p w14:paraId="604B8C36" w14:textId="77777777" w:rsidR="00900C64" w:rsidRPr="007B4B22" w:rsidRDefault="00900C64" w:rsidP="00900C64">
      <w:pPr>
        <w:pStyle w:val="paragraph"/>
        <w:spacing w:before="0" w:beforeAutospacing="0" w:after="0" w:afterAutospacing="0" w:line="360" w:lineRule="auto"/>
        <w:jc w:val="center"/>
        <w:textAlignment w:val="baseline"/>
        <w:rPr>
          <w:rFonts w:ascii="Arial" w:hAnsi="Arial" w:cs="Arial"/>
          <w:sz w:val="48"/>
          <w:szCs w:val="48"/>
        </w:rPr>
      </w:pPr>
      <w:r w:rsidRPr="007B4B22">
        <w:rPr>
          <w:rStyle w:val="normaltextrun"/>
          <w:rFonts w:ascii="Arial" w:eastAsiaTheme="majorEastAsia" w:hAnsi="Arial" w:cs="Arial"/>
          <w:color w:val="000000"/>
          <w:sz w:val="48"/>
          <w:szCs w:val="48"/>
          <w:lang w:val="en-US"/>
        </w:rPr>
        <w:t>2310939</w:t>
      </w:r>
    </w:p>
    <w:p w14:paraId="294200E4" w14:textId="77777777" w:rsidR="00900C64" w:rsidRDefault="00900C64" w:rsidP="00900C64">
      <w:pPr>
        <w:pStyle w:val="paragraph"/>
        <w:spacing w:after="0" w:line="360" w:lineRule="auto"/>
        <w:jc w:val="center"/>
        <w:textAlignment w:val="baseline"/>
        <w:rPr>
          <w:rFonts w:ascii="Arial" w:eastAsiaTheme="majorEastAsia" w:hAnsi="Arial" w:cs="Arial"/>
          <w:sz w:val="48"/>
          <w:szCs w:val="48"/>
        </w:rPr>
      </w:pPr>
      <w:r w:rsidRPr="00900C64">
        <w:rPr>
          <w:rFonts w:ascii="Arial" w:eastAsiaTheme="majorEastAsia" w:hAnsi="Arial" w:cs="Arial"/>
          <w:sz w:val="48"/>
          <w:szCs w:val="48"/>
        </w:rPr>
        <w:t>BMHP6029_BIRM – Psychopathological Classifications and Provisions</w:t>
      </w:r>
    </w:p>
    <w:p w14:paraId="49700486" w14:textId="31D872A4" w:rsidR="00900C64" w:rsidRPr="007B4B22" w:rsidRDefault="00900C64" w:rsidP="00900C64">
      <w:pPr>
        <w:pStyle w:val="paragraph"/>
        <w:spacing w:after="0" w:line="360" w:lineRule="auto"/>
        <w:jc w:val="center"/>
        <w:textAlignment w:val="baseline"/>
        <w:rPr>
          <w:rFonts w:ascii="Arial" w:eastAsiaTheme="majorEastAsia" w:hAnsi="Arial" w:cs="Arial"/>
          <w:sz w:val="48"/>
          <w:szCs w:val="48"/>
        </w:rPr>
      </w:pPr>
      <w:r w:rsidRPr="00EB43EE">
        <w:rPr>
          <w:rFonts w:ascii="Arial" w:eastAsiaTheme="majorEastAsia" w:hAnsi="Arial" w:cs="Arial"/>
          <w:sz w:val="48"/>
          <w:szCs w:val="48"/>
        </w:rPr>
        <w:t>Lecturers -</w:t>
      </w:r>
      <w:r w:rsidRPr="007B4B22">
        <w:rPr>
          <w:rFonts w:ascii="Arial" w:eastAsiaTheme="majorEastAsia" w:hAnsi="Arial" w:cs="Arial"/>
          <w:sz w:val="48"/>
          <w:szCs w:val="48"/>
        </w:rPr>
        <w:t xml:space="preserve"> </w:t>
      </w:r>
      <w:r w:rsidRPr="00900C64">
        <w:rPr>
          <w:rFonts w:ascii="Arial" w:eastAsiaTheme="majorEastAsia" w:hAnsi="Arial" w:cs="Arial"/>
          <w:sz w:val="48"/>
          <w:szCs w:val="48"/>
        </w:rPr>
        <w:t>Tomy Adattu Chacko</w:t>
      </w:r>
    </w:p>
    <w:p w14:paraId="696A613E" w14:textId="77777777" w:rsidR="00900C64" w:rsidRDefault="00900C64" w:rsidP="00900C64">
      <w:pPr>
        <w:pStyle w:val="paragraph"/>
        <w:spacing w:before="0" w:beforeAutospacing="0" w:after="0" w:afterAutospacing="0" w:line="360" w:lineRule="auto"/>
        <w:jc w:val="center"/>
        <w:textAlignment w:val="baseline"/>
        <w:rPr>
          <w:rFonts w:ascii="Arial" w:eastAsiaTheme="majorEastAsia" w:hAnsi="Arial" w:cs="Arial"/>
          <w:color w:val="000000"/>
          <w:sz w:val="48"/>
          <w:szCs w:val="48"/>
        </w:rPr>
      </w:pPr>
      <w:r w:rsidRPr="007B4B22">
        <w:rPr>
          <w:rFonts w:ascii="Arial" w:eastAsiaTheme="majorEastAsia" w:hAnsi="Arial" w:cs="Arial"/>
          <w:color w:val="000000"/>
          <w:sz w:val="48"/>
          <w:szCs w:val="48"/>
        </w:rPr>
        <w:t>Component 2</w:t>
      </w:r>
    </w:p>
    <w:p w14:paraId="68E3C5CF" w14:textId="1D128C83" w:rsidR="00EF4A21" w:rsidRPr="007B4B22" w:rsidRDefault="00EF4A21" w:rsidP="00900C64">
      <w:pPr>
        <w:pStyle w:val="paragraph"/>
        <w:spacing w:before="0" w:beforeAutospacing="0" w:after="0" w:afterAutospacing="0" w:line="360" w:lineRule="auto"/>
        <w:jc w:val="center"/>
        <w:textAlignment w:val="baseline"/>
        <w:rPr>
          <w:rFonts w:ascii="Arial" w:eastAsiaTheme="majorEastAsia" w:hAnsi="Arial" w:cs="Arial"/>
          <w:color w:val="000000"/>
          <w:sz w:val="48"/>
          <w:szCs w:val="48"/>
        </w:rPr>
      </w:pPr>
      <w:r>
        <w:rPr>
          <w:rFonts w:ascii="Arial" w:eastAsiaTheme="majorEastAsia" w:hAnsi="Arial" w:cs="Arial"/>
          <w:color w:val="000000"/>
          <w:sz w:val="48"/>
          <w:szCs w:val="48"/>
        </w:rPr>
        <w:t>Written Report</w:t>
      </w:r>
    </w:p>
    <w:p w14:paraId="1B997B3A" w14:textId="77799C1E" w:rsidR="00900C64" w:rsidRDefault="00900C64">
      <w:r>
        <w:br w:type="page"/>
      </w:r>
    </w:p>
    <w:p w14:paraId="2E7705F1" w14:textId="519D2513" w:rsidR="00453A4E" w:rsidRPr="00A26A74" w:rsidRDefault="00453A4E" w:rsidP="00453A4E">
      <w:pPr>
        <w:spacing w:line="360" w:lineRule="auto"/>
        <w:jc w:val="center"/>
        <w:rPr>
          <w:rFonts w:ascii="Arial" w:hAnsi="Arial" w:cs="Arial"/>
          <w:b/>
          <w:bCs/>
          <w:sz w:val="28"/>
          <w:szCs w:val="28"/>
        </w:rPr>
      </w:pPr>
      <w:r w:rsidRPr="00A26A74">
        <w:rPr>
          <w:rFonts w:ascii="Arial" w:hAnsi="Arial" w:cs="Arial"/>
          <w:b/>
          <w:bCs/>
          <w:sz w:val="28"/>
          <w:szCs w:val="28"/>
        </w:rPr>
        <w:lastRenderedPageBreak/>
        <w:t>Report</w:t>
      </w:r>
    </w:p>
    <w:p w14:paraId="78803BBE" w14:textId="41536940" w:rsidR="00453A4E" w:rsidRPr="00EF4A21" w:rsidRDefault="00453A4E" w:rsidP="00EF4A21">
      <w:pPr>
        <w:spacing w:line="360" w:lineRule="auto"/>
        <w:rPr>
          <w:rFonts w:ascii="Arial" w:hAnsi="Arial" w:cs="Arial"/>
          <w:b/>
          <w:bCs/>
          <w:sz w:val="22"/>
          <w:szCs w:val="22"/>
        </w:rPr>
      </w:pPr>
      <w:r w:rsidRPr="00EF4A21">
        <w:rPr>
          <w:rFonts w:ascii="Arial" w:hAnsi="Arial" w:cs="Arial"/>
          <w:b/>
          <w:bCs/>
          <w:sz w:val="22"/>
          <w:szCs w:val="22"/>
        </w:rPr>
        <w:t>Title:</w:t>
      </w:r>
    </w:p>
    <w:p w14:paraId="6ABD050C" w14:textId="49975AA5" w:rsidR="00EF4A21" w:rsidRPr="00EF4A21" w:rsidRDefault="00EF4A21" w:rsidP="00EF4A21">
      <w:pPr>
        <w:spacing w:line="360" w:lineRule="auto"/>
        <w:ind w:firstLine="720"/>
        <w:rPr>
          <w:rFonts w:ascii="Arial" w:hAnsi="Arial" w:cs="Arial"/>
          <w:b/>
          <w:bCs/>
          <w:sz w:val="22"/>
          <w:szCs w:val="22"/>
        </w:rPr>
      </w:pPr>
      <w:r w:rsidRPr="00EF4A21">
        <w:rPr>
          <w:rFonts w:ascii="Arial" w:hAnsi="Arial" w:cs="Arial"/>
          <w:b/>
          <w:bCs/>
          <w:sz w:val="22"/>
          <w:szCs w:val="22"/>
        </w:rPr>
        <w:t>Elimination Disorders</w:t>
      </w:r>
    </w:p>
    <w:p w14:paraId="4A73751E" w14:textId="77777777" w:rsidR="00EF4A21" w:rsidRPr="00EF4A21" w:rsidRDefault="00EF4A21" w:rsidP="00EF4A21">
      <w:pPr>
        <w:spacing w:line="360" w:lineRule="auto"/>
        <w:rPr>
          <w:rFonts w:ascii="Arial" w:hAnsi="Arial" w:cs="Arial"/>
          <w:b/>
          <w:bCs/>
          <w:sz w:val="22"/>
          <w:szCs w:val="22"/>
        </w:rPr>
      </w:pPr>
    </w:p>
    <w:p w14:paraId="6C717F15" w14:textId="3BBD91CE"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Introduction</w:t>
      </w:r>
    </w:p>
    <w:p w14:paraId="50C27B12"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Elimination disorders are neurodevelopmental conditions characterised by inappropriate voiding of urine or faeces in individuals who have reached an age where continence is expected. The two primary types are enuresis (urinary incontinence) and encopresis (faecal incontinence), which may occur voluntarily or involuntarily. These disorders are typically diagnosed in children aged five years or older for enuresis and four years or older for encopresis, and they can significantly impact a child’s emotional wellbeing, social development, and academic performance (WHO, 2023).</w:t>
      </w:r>
    </w:p>
    <w:p w14:paraId="4FF83E60" w14:textId="5ECDD92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In the International Classification of Diseases, 11th Revision (ICD-11), elimination disorders are listed under Chapter 6: Mental, Behavioural or Neurodevelopmental Disorders. </w:t>
      </w:r>
      <w:r>
        <w:rPr>
          <w:rFonts w:ascii="Arial" w:hAnsi="Arial" w:cs="Arial"/>
          <w:sz w:val="22"/>
          <w:szCs w:val="22"/>
        </w:rPr>
        <w:t>A study by V</w:t>
      </w:r>
      <w:r w:rsidRPr="00EF4A21">
        <w:rPr>
          <w:rFonts w:ascii="Arial" w:hAnsi="Arial" w:cs="Arial"/>
          <w:sz w:val="22"/>
          <w:szCs w:val="22"/>
        </w:rPr>
        <w:t xml:space="preserve">on Gontard </w:t>
      </w:r>
      <w:r>
        <w:rPr>
          <w:rFonts w:ascii="Arial" w:hAnsi="Arial" w:cs="Arial"/>
          <w:sz w:val="22"/>
          <w:szCs w:val="22"/>
        </w:rPr>
        <w:t>(</w:t>
      </w:r>
      <w:r w:rsidRPr="00EF4A21">
        <w:rPr>
          <w:rFonts w:ascii="Arial" w:hAnsi="Arial" w:cs="Arial"/>
          <w:sz w:val="22"/>
          <w:szCs w:val="22"/>
        </w:rPr>
        <w:t>2020)</w:t>
      </w:r>
      <w:r>
        <w:rPr>
          <w:rFonts w:ascii="Arial" w:hAnsi="Arial" w:cs="Arial"/>
          <w:sz w:val="22"/>
          <w:szCs w:val="22"/>
        </w:rPr>
        <w:t xml:space="preserve"> includes that t</w:t>
      </w:r>
      <w:r w:rsidRPr="00EF4A21">
        <w:rPr>
          <w:rFonts w:ascii="Arial" w:hAnsi="Arial" w:cs="Arial"/>
          <w:sz w:val="22"/>
          <w:szCs w:val="22"/>
        </w:rPr>
        <w:t>his classification reflects a shift from viewing these conditions as purely behavioural to recognising their developmental and psychological dimensions The term “disorder” is used to emphasise the deviation from expected developmental milestones rather than a disease process.</w:t>
      </w:r>
    </w:p>
    <w:p w14:paraId="017DD321"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This report provides a critical examination of elimination disorders, focusing on their classification, diagnostic criteria, treatment options, and rehabilitation strategies. It also explores current debates and emerging issues, including cultural influences and links to neurodivergence, and concludes with recommendations for improving clinical practice and policy.</w:t>
      </w:r>
    </w:p>
    <w:p w14:paraId="51145621" w14:textId="3B31A223" w:rsidR="00EF4A21" w:rsidRPr="00EF4A21" w:rsidRDefault="00EF4A21" w:rsidP="00EF4A21">
      <w:pPr>
        <w:spacing w:line="360" w:lineRule="auto"/>
        <w:rPr>
          <w:rFonts w:ascii="Arial" w:hAnsi="Arial" w:cs="Arial"/>
          <w:b/>
          <w:bCs/>
          <w:sz w:val="22"/>
          <w:szCs w:val="22"/>
        </w:rPr>
      </w:pPr>
    </w:p>
    <w:p w14:paraId="2B59B6F2" w14:textId="76BF2F3C"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 xml:space="preserve">1. </w:t>
      </w:r>
      <w:r w:rsidRPr="00EF4A21">
        <w:rPr>
          <w:rFonts w:ascii="Arial" w:hAnsi="Arial" w:cs="Arial"/>
          <w:b/>
          <w:bCs/>
          <w:sz w:val="22"/>
          <w:szCs w:val="22"/>
        </w:rPr>
        <w:t>Classification and Diagnosis of Elimination Disorders</w:t>
      </w:r>
    </w:p>
    <w:p w14:paraId="2BCC1A43" w14:textId="77777777"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ICD-11 Classification</w:t>
      </w:r>
    </w:p>
    <w:p w14:paraId="4EFDA804" w14:textId="3FCF12F5"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WHO </w:t>
      </w:r>
      <w:r>
        <w:rPr>
          <w:rFonts w:ascii="Arial" w:hAnsi="Arial" w:cs="Arial"/>
          <w:sz w:val="22"/>
          <w:szCs w:val="22"/>
        </w:rPr>
        <w:t>(</w:t>
      </w:r>
      <w:r w:rsidRPr="00EF4A21">
        <w:rPr>
          <w:rFonts w:ascii="Arial" w:hAnsi="Arial" w:cs="Arial"/>
          <w:sz w:val="22"/>
          <w:szCs w:val="22"/>
        </w:rPr>
        <w:t>2023)</w:t>
      </w:r>
      <w:r>
        <w:rPr>
          <w:rFonts w:ascii="Arial" w:hAnsi="Arial" w:cs="Arial"/>
          <w:sz w:val="22"/>
          <w:szCs w:val="22"/>
        </w:rPr>
        <w:t xml:space="preserve">, in </w:t>
      </w:r>
      <w:r w:rsidRPr="00EF4A21">
        <w:rPr>
          <w:rFonts w:ascii="Arial" w:hAnsi="Arial" w:cs="Arial"/>
          <w:sz w:val="22"/>
          <w:szCs w:val="22"/>
        </w:rPr>
        <w:t>ICD-11, enuresis is coded as 6C00 and encopresis as 6C01, placing them alongside other developmental conditions such as autism spectrum disorder and attention-deficit/hyperactivity disorder</w:t>
      </w:r>
      <w:r>
        <w:rPr>
          <w:rFonts w:ascii="Arial" w:hAnsi="Arial" w:cs="Arial"/>
          <w:sz w:val="22"/>
          <w:szCs w:val="22"/>
        </w:rPr>
        <w:t>.</w:t>
      </w:r>
    </w:p>
    <w:p w14:paraId="742390B8"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The language used in ICD-11 is deliberate and significant. The term “disorder” is preferred over “illness” or “condition,” which underscores the behavioural and developmental nature of </w:t>
      </w:r>
      <w:r w:rsidRPr="00EF4A21">
        <w:rPr>
          <w:rFonts w:ascii="Arial" w:hAnsi="Arial" w:cs="Arial"/>
          <w:sz w:val="22"/>
          <w:szCs w:val="22"/>
        </w:rPr>
        <w:lastRenderedPageBreak/>
        <w:t>these diagnoses. This terminology helps clinicians and caregivers understand that these disorders are not simply medical problems but are rooted in developmental processes that may be influenced by psychological, social, and environmental factors (von Gontard, 2020).</w:t>
      </w:r>
    </w:p>
    <w:p w14:paraId="1373D8EF" w14:textId="55928AAB"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t xml:space="preserve">a) </w:t>
      </w:r>
      <w:r w:rsidR="00EF4A21" w:rsidRPr="00D41053">
        <w:rPr>
          <w:rFonts w:ascii="Arial" w:hAnsi="Arial" w:cs="Arial"/>
          <w:b/>
          <w:bCs/>
          <w:sz w:val="22"/>
          <w:szCs w:val="22"/>
        </w:rPr>
        <w:t>Diagnostic Criteria</w:t>
      </w:r>
    </w:p>
    <w:p w14:paraId="5E56067D"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Diagnosis of elimination disorders requires that the child has reached a developmental age where continence is expected—typically age five for enuresis and age four for encopresis. The behaviours must be persistent and meet specific frequency thresholds:</w:t>
      </w:r>
    </w:p>
    <w:p w14:paraId="2543D60F" w14:textId="77777777" w:rsidR="00EF4A21" w:rsidRPr="00EF4A21" w:rsidRDefault="00EF4A21" w:rsidP="00EF4A21">
      <w:pPr>
        <w:numPr>
          <w:ilvl w:val="0"/>
          <w:numId w:val="16"/>
        </w:numPr>
        <w:spacing w:line="360" w:lineRule="auto"/>
        <w:rPr>
          <w:rFonts w:ascii="Arial" w:hAnsi="Arial" w:cs="Arial"/>
          <w:sz w:val="22"/>
          <w:szCs w:val="22"/>
        </w:rPr>
      </w:pPr>
      <w:r w:rsidRPr="00EF4A21">
        <w:rPr>
          <w:rFonts w:ascii="Arial" w:hAnsi="Arial" w:cs="Arial"/>
          <w:b/>
          <w:bCs/>
          <w:sz w:val="22"/>
          <w:szCs w:val="22"/>
        </w:rPr>
        <w:t>Enuresis</w:t>
      </w:r>
      <w:r w:rsidRPr="00EF4A21">
        <w:rPr>
          <w:rFonts w:ascii="Arial" w:hAnsi="Arial" w:cs="Arial"/>
          <w:sz w:val="22"/>
          <w:szCs w:val="22"/>
        </w:rPr>
        <w:t>: Repeated voiding of urine into bed or clothing at least twice a week for three consecutive months.</w:t>
      </w:r>
    </w:p>
    <w:p w14:paraId="3677BF76" w14:textId="77777777" w:rsidR="00EF4A21" w:rsidRPr="00EF4A21" w:rsidRDefault="00EF4A21" w:rsidP="00EF4A21">
      <w:pPr>
        <w:numPr>
          <w:ilvl w:val="0"/>
          <w:numId w:val="16"/>
        </w:numPr>
        <w:spacing w:line="360" w:lineRule="auto"/>
        <w:rPr>
          <w:rFonts w:ascii="Arial" w:hAnsi="Arial" w:cs="Arial"/>
          <w:sz w:val="22"/>
          <w:szCs w:val="22"/>
        </w:rPr>
      </w:pPr>
      <w:r w:rsidRPr="00EF4A21">
        <w:rPr>
          <w:rFonts w:ascii="Arial" w:hAnsi="Arial" w:cs="Arial"/>
          <w:b/>
          <w:bCs/>
          <w:sz w:val="22"/>
          <w:szCs w:val="22"/>
        </w:rPr>
        <w:t>Encopresis</w:t>
      </w:r>
      <w:r w:rsidRPr="00EF4A21">
        <w:rPr>
          <w:rFonts w:ascii="Arial" w:hAnsi="Arial" w:cs="Arial"/>
          <w:sz w:val="22"/>
          <w:szCs w:val="22"/>
        </w:rPr>
        <w:t>: Repeated passage of faeces in inappropriate places at least once a month for three months.</w:t>
      </w:r>
    </w:p>
    <w:p w14:paraId="2AF8ECAF" w14:textId="7C7D4A08"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NICE </w:t>
      </w:r>
      <w:r>
        <w:rPr>
          <w:rFonts w:ascii="Arial" w:hAnsi="Arial" w:cs="Arial"/>
          <w:sz w:val="22"/>
          <w:szCs w:val="22"/>
        </w:rPr>
        <w:t>(</w:t>
      </w:r>
      <w:r w:rsidRPr="00EF4A21">
        <w:rPr>
          <w:rFonts w:ascii="Arial" w:hAnsi="Arial" w:cs="Arial"/>
          <w:sz w:val="22"/>
          <w:szCs w:val="22"/>
        </w:rPr>
        <w:t>2025)</w:t>
      </w:r>
      <w:r>
        <w:rPr>
          <w:rFonts w:ascii="Arial" w:hAnsi="Arial" w:cs="Arial"/>
          <w:sz w:val="22"/>
          <w:szCs w:val="22"/>
        </w:rPr>
        <w:t xml:space="preserve"> t</w:t>
      </w:r>
      <w:r w:rsidRPr="00EF4A21">
        <w:rPr>
          <w:rFonts w:ascii="Arial" w:hAnsi="Arial" w:cs="Arial"/>
          <w:sz w:val="22"/>
          <w:szCs w:val="22"/>
        </w:rPr>
        <w:t xml:space="preserve">hese behaviours </w:t>
      </w:r>
      <w:r>
        <w:rPr>
          <w:rFonts w:ascii="Arial" w:hAnsi="Arial" w:cs="Arial"/>
          <w:sz w:val="22"/>
          <w:szCs w:val="22"/>
        </w:rPr>
        <w:t>could</w:t>
      </w:r>
      <w:r w:rsidRPr="00EF4A21">
        <w:rPr>
          <w:rFonts w:ascii="Arial" w:hAnsi="Arial" w:cs="Arial"/>
          <w:sz w:val="22"/>
          <w:szCs w:val="22"/>
        </w:rPr>
        <w:t xml:space="preserve"> be voluntary or involuntary. Importantly, clinicians must rule out medical causes before confirming a diagnosis. For enuresis, this includes urinary tract infections, diabetes mellitus, and anatomical abnormalities of the urinary system. For encopresis, conditions such as Hirschsprung’s disease, inflammatory bowel disease, and the use of laxatives must be excluded</w:t>
      </w:r>
      <w:r>
        <w:rPr>
          <w:rFonts w:ascii="Arial" w:hAnsi="Arial" w:cs="Arial"/>
          <w:sz w:val="22"/>
          <w:szCs w:val="22"/>
        </w:rPr>
        <w:t>.</w:t>
      </w:r>
    </w:p>
    <w:p w14:paraId="2A9CAEBF" w14:textId="1809E358"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t xml:space="preserve">b) </w:t>
      </w:r>
      <w:r w:rsidR="00EF4A21" w:rsidRPr="00D41053">
        <w:rPr>
          <w:rFonts w:ascii="Arial" w:hAnsi="Arial" w:cs="Arial"/>
          <w:b/>
          <w:bCs/>
          <w:sz w:val="22"/>
          <w:szCs w:val="22"/>
        </w:rPr>
        <w:t>Subtypes of Enuresis</w:t>
      </w:r>
    </w:p>
    <w:p w14:paraId="57E89F91"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Understanding subtypes is essential for accurate diagnosis and effective treatment planning. Enuresis is commonly divided into:</w:t>
      </w:r>
    </w:p>
    <w:p w14:paraId="123E50C6"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Primary enuresis</w:t>
      </w:r>
      <w:r w:rsidRPr="00EF4A21">
        <w:rPr>
          <w:rFonts w:ascii="Arial" w:hAnsi="Arial" w:cs="Arial"/>
          <w:sz w:val="22"/>
          <w:szCs w:val="22"/>
        </w:rPr>
        <w:t>: The child has never achieved sustained bladder control.</w:t>
      </w:r>
    </w:p>
    <w:p w14:paraId="7BAD8043"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Secondary enuresis</w:t>
      </w:r>
      <w:r w:rsidRPr="00EF4A21">
        <w:rPr>
          <w:rFonts w:ascii="Arial" w:hAnsi="Arial" w:cs="Arial"/>
          <w:sz w:val="22"/>
          <w:szCs w:val="22"/>
        </w:rPr>
        <w:t>: The child had previously achieved continence but has relapsed.</w:t>
      </w:r>
    </w:p>
    <w:p w14:paraId="4A1E7D5B"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Nocturnal enuresis</w:t>
      </w:r>
      <w:r w:rsidRPr="00EF4A21">
        <w:rPr>
          <w:rFonts w:ascii="Arial" w:hAnsi="Arial" w:cs="Arial"/>
          <w:sz w:val="22"/>
          <w:szCs w:val="22"/>
        </w:rPr>
        <w:t>: Occurs during sleep and is often associated with delayed bladder maturation.</w:t>
      </w:r>
    </w:p>
    <w:p w14:paraId="0EBBDF02"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Diurnal enuresis</w:t>
      </w:r>
      <w:r w:rsidRPr="00EF4A21">
        <w:rPr>
          <w:rFonts w:ascii="Arial" w:hAnsi="Arial" w:cs="Arial"/>
          <w:sz w:val="22"/>
          <w:szCs w:val="22"/>
        </w:rPr>
        <w:t>: Occurs during waking hours and may be linked to behavioural or emotional stressors.</w:t>
      </w:r>
    </w:p>
    <w:p w14:paraId="58670620"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Encopresis is similarly categorised into:</w:t>
      </w:r>
    </w:p>
    <w:p w14:paraId="0362CE86" w14:textId="77777777" w:rsidR="00EF4A21" w:rsidRPr="00EF4A21" w:rsidRDefault="00EF4A21" w:rsidP="00EF4A21">
      <w:pPr>
        <w:numPr>
          <w:ilvl w:val="0"/>
          <w:numId w:val="18"/>
        </w:numPr>
        <w:spacing w:line="360" w:lineRule="auto"/>
        <w:rPr>
          <w:rFonts w:ascii="Arial" w:hAnsi="Arial" w:cs="Arial"/>
          <w:sz w:val="22"/>
          <w:szCs w:val="22"/>
        </w:rPr>
      </w:pPr>
      <w:r w:rsidRPr="00EF4A21">
        <w:rPr>
          <w:rFonts w:ascii="Arial" w:hAnsi="Arial" w:cs="Arial"/>
          <w:b/>
          <w:bCs/>
          <w:sz w:val="22"/>
          <w:szCs w:val="22"/>
        </w:rPr>
        <w:t>Retentive encopresis</w:t>
      </w:r>
      <w:r w:rsidRPr="00EF4A21">
        <w:rPr>
          <w:rFonts w:ascii="Arial" w:hAnsi="Arial" w:cs="Arial"/>
          <w:sz w:val="22"/>
          <w:szCs w:val="22"/>
        </w:rPr>
        <w:t>: Associated with chronic constipation and stool withholding.</w:t>
      </w:r>
    </w:p>
    <w:p w14:paraId="16BCC759" w14:textId="279217E1" w:rsidR="00EF4A21" w:rsidRPr="00EF4A21" w:rsidRDefault="00EF4A21" w:rsidP="00EF4A21">
      <w:pPr>
        <w:numPr>
          <w:ilvl w:val="0"/>
          <w:numId w:val="18"/>
        </w:numPr>
        <w:spacing w:line="360" w:lineRule="auto"/>
        <w:rPr>
          <w:rFonts w:ascii="Arial" w:hAnsi="Arial" w:cs="Arial"/>
          <w:sz w:val="22"/>
          <w:szCs w:val="22"/>
        </w:rPr>
      </w:pPr>
      <w:r w:rsidRPr="00EF4A21">
        <w:rPr>
          <w:rFonts w:ascii="Arial" w:hAnsi="Arial" w:cs="Arial"/>
          <w:b/>
          <w:bCs/>
          <w:sz w:val="22"/>
          <w:szCs w:val="22"/>
        </w:rPr>
        <w:t>Non-retentive encopresis</w:t>
      </w:r>
      <w:r w:rsidRPr="00EF4A21">
        <w:rPr>
          <w:rFonts w:ascii="Arial" w:hAnsi="Arial" w:cs="Arial"/>
          <w:sz w:val="22"/>
          <w:szCs w:val="22"/>
        </w:rPr>
        <w:t>: Occurs without constipation and is often behavioural in origin (Matson, 2023).</w:t>
      </w:r>
      <w:r w:rsidRPr="00A26A74">
        <w:rPr>
          <w:rFonts w:ascii="Arial" w:hAnsi="Arial" w:cs="Arial"/>
          <w:sz w:val="22"/>
          <w:szCs w:val="22"/>
        </w:rPr>
        <w:br w:type="page"/>
      </w:r>
    </w:p>
    <w:p w14:paraId="1F2D2387" w14:textId="3AE6DD48"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lastRenderedPageBreak/>
        <w:t xml:space="preserve">c) </w:t>
      </w:r>
      <w:r w:rsidR="00EF4A21" w:rsidRPr="00D41053">
        <w:rPr>
          <w:rFonts w:ascii="Arial" w:hAnsi="Arial" w:cs="Arial"/>
          <w:b/>
          <w:bCs/>
          <w:sz w:val="22"/>
          <w:szCs w:val="22"/>
        </w:rPr>
        <w:t>Assessment Tools and Process</w:t>
      </w:r>
    </w:p>
    <w:p w14:paraId="21B8A78C"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Diagnosis involves a comprehensive evaluation using multiple tools and approaches:</w:t>
      </w:r>
    </w:p>
    <w:p w14:paraId="440058F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Clinical interviews</w:t>
      </w:r>
      <w:r w:rsidRPr="00EF4A21">
        <w:rPr>
          <w:rFonts w:ascii="Arial" w:hAnsi="Arial" w:cs="Arial"/>
          <w:sz w:val="22"/>
          <w:szCs w:val="22"/>
        </w:rPr>
        <w:t xml:space="preserve"> with the child and caregivers to gather developmental, behavioural, and psychosocial history.</w:t>
      </w:r>
    </w:p>
    <w:p w14:paraId="5C631A7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Behavioural checklists</w:t>
      </w:r>
      <w:r w:rsidRPr="00EF4A21">
        <w:rPr>
          <w:rFonts w:ascii="Arial" w:hAnsi="Arial" w:cs="Arial"/>
          <w:sz w:val="22"/>
          <w:szCs w:val="22"/>
        </w:rPr>
        <w:t xml:space="preserve"> to assess patterns and triggers.</w:t>
      </w:r>
    </w:p>
    <w:p w14:paraId="60FC52DA"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Developmental history</w:t>
      </w:r>
      <w:r w:rsidRPr="00EF4A21">
        <w:rPr>
          <w:rFonts w:ascii="Arial" w:hAnsi="Arial" w:cs="Arial"/>
          <w:sz w:val="22"/>
          <w:szCs w:val="22"/>
        </w:rPr>
        <w:t xml:space="preserve"> to identify delays or regressions.</w:t>
      </w:r>
    </w:p>
    <w:p w14:paraId="4B03516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Physical examination</w:t>
      </w:r>
      <w:r w:rsidRPr="00EF4A21">
        <w:rPr>
          <w:rFonts w:ascii="Arial" w:hAnsi="Arial" w:cs="Arial"/>
          <w:sz w:val="22"/>
          <w:szCs w:val="22"/>
        </w:rPr>
        <w:t xml:space="preserve"> to rule out organic causes.</w:t>
      </w:r>
    </w:p>
    <w:p w14:paraId="381B0CF9" w14:textId="65FD7204"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Findings by </w:t>
      </w:r>
      <w:r w:rsidRPr="00EF4A21">
        <w:rPr>
          <w:rFonts w:ascii="Arial" w:hAnsi="Arial" w:cs="Arial"/>
          <w:sz w:val="22"/>
          <w:szCs w:val="22"/>
        </w:rPr>
        <w:t>NHS Lothian</w:t>
      </w:r>
      <w:r>
        <w:rPr>
          <w:rFonts w:ascii="Arial" w:hAnsi="Arial" w:cs="Arial"/>
          <w:sz w:val="22"/>
          <w:szCs w:val="22"/>
        </w:rPr>
        <w:t xml:space="preserve"> (</w:t>
      </w:r>
      <w:r w:rsidRPr="00EF4A21">
        <w:rPr>
          <w:rFonts w:ascii="Arial" w:hAnsi="Arial" w:cs="Arial"/>
          <w:sz w:val="22"/>
          <w:szCs w:val="22"/>
        </w:rPr>
        <w:t>2025</w:t>
      </w:r>
      <w:r>
        <w:rPr>
          <w:rFonts w:ascii="Arial" w:hAnsi="Arial" w:cs="Arial"/>
          <w:sz w:val="22"/>
          <w:szCs w:val="22"/>
        </w:rPr>
        <w:t>) shows that the c</w:t>
      </w:r>
      <w:r w:rsidRPr="00EF4A21">
        <w:rPr>
          <w:rFonts w:ascii="Arial" w:hAnsi="Arial" w:cs="Arial"/>
          <w:sz w:val="22"/>
          <w:szCs w:val="22"/>
        </w:rPr>
        <w:t>ollaboration with paediatricians is critical to ensure that physical causes are excluded. In complex cases, referrals to specialists such as paediatric urologists or gastroenterologists may be necessary. Multidisciplinary involvement, including psychologists and continence nurses, enhances diagnostic accuracy and supports holistic care</w:t>
      </w:r>
      <w:r>
        <w:rPr>
          <w:rFonts w:ascii="Arial" w:hAnsi="Arial" w:cs="Arial"/>
          <w:sz w:val="22"/>
          <w:szCs w:val="22"/>
        </w:rPr>
        <w:t>.</w:t>
      </w:r>
    </w:p>
    <w:p w14:paraId="30CA4EAA" w14:textId="77777777" w:rsidR="00EF4A21" w:rsidRDefault="00EF4A21" w:rsidP="00EF4A21">
      <w:pPr>
        <w:spacing w:line="360" w:lineRule="auto"/>
        <w:rPr>
          <w:rFonts w:ascii="Arial" w:hAnsi="Arial" w:cs="Arial"/>
          <w:b/>
          <w:bCs/>
          <w:sz w:val="22"/>
          <w:szCs w:val="22"/>
        </w:rPr>
      </w:pPr>
    </w:p>
    <w:p w14:paraId="6EEB55C6" w14:textId="470BF532"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2</w:t>
      </w:r>
      <w:r w:rsidRPr="00EF4A21">
        <w:rPr>
          <w:rFonts w:ascii="Arial" w:hAnsi="Arial" w:cs="Arial"/>
          <w:b/>
          <w:bCs/>
          <w:sz w:val="22"/>
          <w:szCs w:val="22"/>
        </w:rPr>
        <w:t>. Treatment and Rehabilitation</w:t>
      </w:r>
    </w:p>
    <w:p w14:paraId="437C3ADB"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Elimination disorders, including enuresis and encopresis, require a multifaceted treatment approach that addresses behavioural, psychological, and physiological factors. Effective management often involves a combination of interventions tailored to the child’s developmental stage, family context, and underlying causes. The goal is not only to reduce symptoms but also to support the child’s emotional wellbeing and social integration.</w:t>
      </w:r>
    </w:p>
    <w:p w14:paraId="0FEACB7D" w14:textId="725D21F8" w:rsidR="00EF4A21" w:rsidRPr="00EF4A21" w:rsidRDefault="00EF4A21" w:rsidP="00EF4A21">
      <w:pPr>
        <w:spacing w:line="360" w:lineRule="auto"/>
        <w:rPr>
          <w:rFonts w:ascii="Arial" w:hAnsi="Arial" w:cs="Arial"/>
          <w:b/>
          <w:bCs/>
          <w:sz w:val="22"/>
          <w:szCs w:val="22"/>
        </w:rPr>
      </w:pPr>
      <w:r>
        <w:rPr>
          <w:rFonts w:ascii="Segoe UI Emoji" w:hAnsi="Segoe UI Emoji" w:cs="Segoe UI Emoji"/>
          <w:b/>
          <w:bCs/>
          <w:sz w:val="22"/>
          <w:szCs w:val="22"/>
        </w:rPr>
        <w:t xml:space="preserve">a) </w:t>
      </w:r>
      <w:r w:rsidRPr="00EF4A21">
        <w:rPr>
          <w:rFonts w:ascii="Arial" w:hAnsi="Arial" w:cs="Arial"/>
          <w:b/>
          <w:bCs/>
          <w:sz w:val="22"/>
          <w:szCs w:val="22"/>
        </w:rPr>
        <w:t>Standard Treatment Approaches</w:t>
      </w:r>
    </w:p>
    <w:p w14:paraId="3D8D2B6A"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interventions are the first-line treatment for both enuresis and encopresis. These strategies are grounded in habit formation and positive reinforcement. Common techniques include:</w:t>
      </w:r>
    </w:p>
    <w:p w14:paraId="6BC75367"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Reward systems</w:t>
      </w:r>
      <w:r w:rsidRPr="00EF4A21">
        <w:rPr>
          <w:rFonts w:ascii="Arial" w:hAnsi="Arial" w:cs="Arial"/>
          <w:sz w:val="22"/>
          <w:szCs w:val="22"/>
        </w:rPr>
        <w:t>: Children are praised or rewarded for dry nights or successful toileting, reinforcing desired behaviours.</w:t>
      </w:r>
    </w:p>
    <w:p w14:paraId="58D784B6"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Scheduled toileting</w:t>
      </w:r>
      <w:r w:rsidRPr="00EF4A21">
        <w:rPr>
          <w:rFonts w:ascii="Arial" w:hAnsi="Arial" w:cs="Arial"/>
          <w:sz w:val="22"/>
          <w:szCs w:val="22"/>
        </w:rPr>
        <w:t>: Encourages regular bathroom visits to prevent accidents and establish routine.</w:t>
      </w:r>
    </w:p>
    <w:p w14:paraId="5F0B2257"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Moisture alarms</w:t>
      </w:r>
      <w:r w:rsidRPr="00EF4A21">
        <w:rPr>
          <w:rFonts w:ascii="Arial" w:hAnsi="Arial" w:cs="Arial"/>
          <w:sz w:val="22"/>
          <w:szCs w:val="22"/>
        </w:rPr>
        <w:t>: Used primarily for nocturnal enuresis, these devices wake the child when wetness is detected, helping them develop bladder awareness and control (NICE, 2025).</w:t>
      </w:r>
    </w:p>
    <w:p w14:paraId="493156D8"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Psychological therapies are particularly beneficial when elimination disorders are linked to emotional distress, trauma, or anxiety. Cognitive Behavioural Therapy (CBT) is the most widely used approach. It helps children identify and manage stressors, develop coping strategies, and reduce feelings of shame or embarrassment. CBT may also involve parent training to improve family dynamics and reduce punitive responses to accidents (Matson, 2023).</w:t>
      </w:r>
    </w:p>
    <w:p w14:paraId="04DD8440" w14:textId="54C9E3D0"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NHS </w:t>
      </w:r>
      <w:r>
        <w:rPr>
          <w:rFonts w:ascii="Arial" w:hAnsi="Arial" w:cs="Arial"/>
          <w:sz w:val="22"/>
          <w:szCs w:val="22"/>
        </w:rPr>
        <w:t>(</w:t>
      </w:r>
      <w:r w:rsidRPr="00EF4A21">
        <w:rPr>
          <w:rFonts w:ascii="Arial" w:hAnsi="Arial" w:cs="Arial"/>
          <w:sz w:val="22"/>
          <w:szCs w:val="22"/>
        </w:rPr>
        <w:t>2023)</w:t>
      </w:r>
      <w:r>
        <w:rPr>
          <w:rFonts w:ascii="Arial" w:hAnsi="Arial" w:cs="Arial"/>
          <w:sz w:val="22"/>
          <w:szCs w:val="22"/>
        </w:rPr>
        <w:t xml:space="preserve"> p</w:t>
      </w:r>
      <w:r w:rsidRPr="00EF4A21">
        <w:rPr>
          <w:rFonts w:ascii="Arial" w:hAnsi="Arial" w:cs="Arial"/>
          <w:sz w:val="22"/>
          <w:szCs w:val="22"/>
        </w:rPr>
        <w:t xml:space="preserve">harmacological treatment is considered when behavioural methods are insufficient or when rapid symptom control is needed. For enuresis, desmopressin is commonly prescribed. It reduces nighttime urine production and is effective in the short term, though relapse is common once the medication is discontinued. For encopresis, especially when associated with constipation, laxatives and stool softeners such as polyethylene glycol are used to clear impacted stool and prevent recurrence </w:t>
      </w:r>
    </w:p>
    <w:p w14:paraId="41272E51" w14:textId="17760DE5" w:rsidR="00EF4A21" w:rsidRPr="00EF4A21" w:rsidRDefault="00D41053" w:rsidP="00EF4A21">
      <w:pPr>
        <w:spacing w:line="360" w:lineRule="auto"/>
        <w:rPr>
          <w:rFonts w:ascii="Arial" w:hAnsi="Arial" w:cs="Arial"/>
          <w:b/>
          <w:bCs/>
          <w:sz w:val="22"/>
          <w:szCs w:val="22"/>
        </w:rPr>
      </w:pPr>
      <w:r>
        <w:rPr>
          <w:rFonts w:ascii="Segoe UI Emoji" w:hAnsi="Segoe UI Emoji" w:cs="Segoe UI Emoji"/>
          <w:b/>
          <w:bCs/>
          <w:sz w:val="22"/>
          <w:szCs w:val="22"/>
        </w:rPr>
        <w:t xml:space="preserve">b) </w:t>
      </w:r>
      <w:r w:rsidR="00EF4A21" w:rsidRPr="00EF4A21">
        <w:rPr>
          <w:rFonts w:ascii="Arial" w:hAnsi="Arial" w:cs="Arial"/>
          <w:b/>
          <w:bCs/>
          <w:sz w:val="22"/>
          <w:szCs w:val="22"/>
        </w:rPr>
        <w:t>Rehabilitation Measures</w:t>
      </w:r>
    </w:p>
    <w:p w14:paraId="1728B391" w14:textId="5F5F0C6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Rehabilitation extends beyond symptom management to include emotional support and social reintegration. </w:t>
      </w:r>
      <w:r w:rsidR="00D41053">
        <w:rPr>
          <w:rFonts w:ascii="Arial" w:hAnsi="Arial" w:cs="Arial"/>
          <w:sz w:val="22"/>
          <w:szCs w:val="22"/>
        </w:rPr>
        <w:t xml:space="preserve">According to </w:t>
      </w:r>
      <w:r w:rsidR="00D41053" w:rsidRPr="00EF4A21">
        <w:rPr>
          <w:rFonts w:ascii="Arial" w:hAnsi="Arial" w:cs="Arial"/>
          <w:sz w:val="22"/>
          <w:szCs w:val="22"/>
        </w:rPr>
        <w:t>GOSH</w:t>
      </w:r>
      <w:r w:rsidR="00D41053">
        <w:rPr>
          <w:rFonts w:ascii="Arial" w:hAnsi="Arial" w:cs="Arial"/>
          <w:sz w:val="22"/>
          <w:szCs w:val="22"/>
        </w:rPr>
        <w:t xml:space="preserve"> (</w:t>
      </w:r>
      <w:r w:rsidR="00D41053" w:rsidRPr="00EF4A21">
        <w:rPr>
          <w:rFonts w:ascii="Arial" w:hAnsi="Arial" w:cs="Arial"/>
          <w:sz w:val="22"/>
          <w:szCs w:val="22"/>
        </w:rPr>
        <w:t>2025)</w:t>
      </w:r>
      <w:r w:rsidR="00D41053">
        <w:rPr>
          <w:rFonts w:ascii="Arial" w:hAnsi="Arial" w:cs="Arial"/>
          <w:sz w:val="22"/>
          <w:szCs w:val="22"/>
        </w:rPr>
        <w:t xml:space="preserve"> f</w:t>
      </w:r>
      <w:r w:rsidRPr="00EF4A21">
        <w:rPr>
          <w:rFonts w:ascii="Arial" w:hAnsi="Arial" w:cs="Arial"/>
          <w:sz w:val="22"/>
          <w:szCs w:val="22"/>
        </w:rPr>
        <w:t>amily-based interventions are essential. Parents receive psychoeducation about the disorder, helping them respond with empathy and consistency rather than frustration or punishment. This reduces family stress and improves treatment adherence</w:t>
      </w:r>
      <w:r w:rsidR="00D41053">
        <w:rPr>
          <w:rFonts w:ascii="Arial" w:hAnsi="Arial" w:cs="Arial"/>
          <w:sz w:val="22"/>
          <w:szCs w:val="22"/>
        </w:rPr>
        <w:t>.</w:t>
      </w:r>
    </w:p>
    <w:p w14:paraId="0F7D88DC" w14:textId="67C10288"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School support is another critical component. Teachers and school nurses can provide discreet toileting access, avoid punitive measures, and foster a supportive environment. This is particularly important for children who experience accidents during school hours, as stigma and bullying can exacerbate anxiety and avoidance behaviours (HIOW NHS, 2025).</w:t>
      </w:r>
    </w:p>
    <w:p w14:paraId="5DF828D3"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Digital tools and mobile apps are increasingly used to support treatment. These tools can track toileting patterns, set reminders, and provide motivational feedback. They also facilitate communication between families and healthcare providers, enabling more responsive and personalised care (Shropshire Community Health, 2025).</w:t>
      </w:r>
    </w:p>
    <w:p w14:paraId="14431CBE" w14:textId="5B57DC63" w:rsidR="00EF4A21" w:rsidRPr="00EF4A21" w:rsidRDefault="00D41053" w:rsidP="00EF4A21">
      <w:pPr>
        <w:spacing w:line="360" w:lineRule="auto"/>
        <w:rPr>
          <w:rFonts w:ascii="Arial" w:hAnsi="Arial" w:cs="Arial"/>
          <w:b/>
          <w:bCs/>
          <w:sz w:val="22"/>
          <w:szCs w:val="22"/>
        </w:rPr>
      </w:pPr>
      <w:r>
        <w:rPr>
          <w:rFonts w:ascii="Segoe UI Emoji" w:hAnsi="Segoe UI Emoji" w:cs="Segoe UI Emoji"/>
          <w:b/>
          <w:bCs/>
          <w:sz w:val="22"/>
          <w:szCs w:val="22"/>
        </w:rPr>
        <w:t xml:space="preserve">c) </w:t>
      </w:r>
      <w:r w:rsidR="00EF4A21" w:rsidRPr="00EF4A21">
        <w:rPr>
          <w:rFonts w:ascii="Arial" w:hAnsi="Arial" w:cs="Arial"/>
          <w:b/>
          <w:bCs/>
          <w:sz w:val="22"/>
          <w:szCs w:val="22"/>
        </w:rPr>
        <w:t>Effectiveness and Limitations</w:t>
      </w:r>
    </w:p>
    <w:p w14:paraId="6DB262B0"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interventions are generally effective, especially when implemented consistently and supported by caregivers. However, they require time, patience, and structured routines, which may be challenging for some families. Pharmacological treatments offer short-term relief but do not address underlying behavioural or emotional issues, and symptoms often return after discontinuation (NICE, 2025).</w:t>
      </w:r>
    </w:p>
    <w:p w14:paraId="6F80E695"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Stigma and embarrassment remain significant barriers to treatment. Children may feel ashamed, and parents may delay seeking help due to fear of judgment. This can lead to chronic issues and reduced quality of life. Additionally, access to specialised care is limited in rural or underserved areas, where continence services and paediatric mental health support may be scarce (NHS Lothian, 2025).</w:t>
      </w:r>
    </w:p>
    <w:p w14:paraId="39E4C493" w14:textId="77777777" w:rsidR="00EF4A21" w:rsidRPr="00EF4A21" w:rsidRDefault="00EF4A21" w:rsidP="00EF4A21">
      <w:pPr>
        <w:spacing w:line="360" w:lineRule="auto"/>
        <w:rPr>
          <w:rFonts w:ascii="Arial" w:hAnsi="Arial" w:cs="Arial"/>
          <w:b/>
          <w:bCs/>
          <w:sz w:val="22"/>
          <w:szCs w:val="22"/>
        </w:rPr>
      </w:pPr>
    </w:p>
    <w:p w14:paraId="3EAFC81E" w14:textId="0BB75A17"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3</w:t>
      </w:r>
      <w:r w:rsidRPr="00EF4A21">
        <w:rPr>
          <w:rFonts w:ascii="Arial" w:hAnsi="Arial" w:cs="Arial"/>
          <w:b/>
          <w:bCs/>
          <w:sz w:val="22"/>
          <w:szCs w:val="22"/>
        </w:rPr>
        <w:t>. Current Debates and Emerging Issues</w:t>
      </w:r>
    </w:p>
    <w:p w14:paraId="27CF775D" w14:textId="6C14A77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This disorder </w:t>
      </w:r>
      <w:r w:rsidRPr="00EF4A21">
        <w:rPr>
          <w:rFonts w:ascii="Arial" w:hAnsi="Arial" w:cs="Arial"/>
          <w:sz w:val="22"/>
          <w:szCs w:val="22"/>
        </w:rPr>
        <w:t>increasingly recognised as complex conditions that intersect medical, psychological, developmental, and social domains. While the ICD-11 classifies them as neurodevelopmental disorders, ongoing debates challenge this framing and highlight the need for more integrated approaches in diagnosis, treatment, and policy.</w:t>
      </w:r>
    </w:p>
    <w:p w14:paraId="5D22EDC3" w14:textId="32AF16E9" w:rsidR="00EF4A21" w:rsidRPr="00C45176" w:rsidRDefault="00C45176" w:rsidP="00C45176">
      <w:pPr>
        <w:spacing w:line="360" w:lineRule="auto"/>
        <w:rPr>
          <w:rFonts w:ascii="Arial" w:hAnsi="Arial" w:cs="Arial"/>
          <w:b/>
          <w:bCs/>
          <w:sz w:val="22"/>
          <w:szCs w:val="22"/>
        </w:rPr>
      </w:pPr>
      <w:r>
        <w:rPr>
          <w:rFonts w:ascii="Arial" w:hAnsi="Arial" w:cs="Arial"/>
          <w:b/>
          <w:bCs/>
          <w:sz w:val="22"/>
          <w:szCs w:val="22"/>
        </w:rPr>
        <w:t xml:space="preserve">i) </w:t>
      </w:r>
      <w:r w:rsidR="00EF4A21" w:rsidRPr="00C45176">
        <w:rPr>
          <w:rFonts w:ascii="Arial" w:hAnsi="Arial" w:cs="Arial"/>
          <w:b/>
          <w:bCs/>
          <w:sz w:val="22"/>
          <w:szCs w:val="22"/>
        </w:rPr>
        <w:t>Debates on Classification: Medical vs. Behavioural Perspectives</w:t>
      </w:r>
    </w:p>
    <w:p w14:paraId="20082B45" w14:textId="6308C316"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A key debate in the clinical community concerns whether elimination disorders should be primarily classified as medical or behavioural conditions. Some clinicians argue that enuresis and encopresis are rooted in physiological dysfunctions such as delayed bladder maturation or chronic </w:t>
      </w:r>
      <w:r w:rsidRPr="00EF4A21">
        <w:rPr>
          <w:rFonts w:ascii="Arial" w:hAnsi="Arial" w:cs="Arial"/>
          <w:sz w:val="22"/>
          <w:szCs w:val="22"/>
        </w:rPr>
        <w:t>constipation and</w:t>
      </w:r>
      <w:r w:rsidRPr="00EF4A21">
        <w:rPr>
          <w:rFonts w:ascii="Arial" w:hAnsi="Arial" w:cs="Arial"/>
          <w:sz w:val="22"/>
          <w:szCs w:val="22"/>
        </w:rPr>
        <w:t xml:space="preserve"> therefore should be managed through medical interventions like desmopressin or laxatives (NHS, 2023). This view supports a biomedical model of care, often prioritising pharmacological treatment.</w:t>
      </w:r>
    </w:p>
    <w:p w14:paraId="7470B48E" w14:textId="0D122CF0"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However, others advocate for a psychological and developmental framing, emphasising the emotional and behavioural dimensions of these disorders. Children with elimination difficulties often experience anxiety, embarrassment, and social withdrawal, which can exacerbate symptoms. The NHS recognises that psychological support, including behavioural therapy and family counselling, is essential in many cases, particularly when elimination issues are linked to trauma or stress (NHS England, 2023). This </w:t>
      </w:r>
      <w:r w:rsidR="00C45176" w:rsidRPr="00EF4A21">
        <w:rPr>
          <w:rFonts w:ascii="Arial" w:hAnsi="Arial" w:cs="Arial"/>
          <w:sz w:val="22"/>
          <w:szCs w:val="22"/>
        </w:rPr>
        <w:t>division</w:t>
      </w:r>
      <w:r w:rsidRPr="00EF4A21">
        <w:rPr>
          <w:rFonts w:ascii="Arial" w:hAnsi="Arial" w:cs="Arial"/>
          <w:sz w:val="22"/>
          <w:szCs w:val="22"/>
        </w:rPr>
        <w:t xml:space="preserve"> in perspectives influences how services are commissioned and delivered across the UK.</w:t>
      </w:r>
    </w:p>
    <w:p w14:paraId="22CB9829" w14:textId="5DE754E0"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 xml:space="preserve">ii) </w:t>
      </w:r>
      <w:r w:rsidR="00EF4A21" w:rsidRPr="00EF4A21">
        <w:rPr>
          <w:rFonts w:ascii="Arial" w:hAnsi="Arial" w:cs="Arial"/>
          <w:b/>
          <w:bCs/>
          <w:sz w:val="22"/>
          <w:szCs w:val="22"/>
        </w:rPr>
        <w:t>Neuro</w:t>
      </w:r>
      <w:r>
        <w:rPr>
          <w:rFonts w:ascii="Arial" w:hAnsi="Arial" w:cs="Arial"/>
          <w:b/>
          <w:bCs/>
          <w:sz w:val="22"/>
          <w:szCs w:val="22"/>
        </w:rPr>
        <w:t>-</w:t>
      </w:r>
      <w:r w:rsidR="00EF4A21" w:rsidRPr="00EF4A21">
        <w:rPr>
          <w:rFonts w:ascii="Arial" w:hAnsi="Arial" w:cs="Arial"/>
          <w:b/>
          <w:bCs/>
          <w:sz w:val="22"/>
          <w:szCs w:val="22"/>
        </w:rPr>
        <w:t>divergence and Diagnostic Overlap</w:t>
      </w:r>
    </w:p>
    <w:p w14:paraId="77991803" w14:textId="0D52AF22"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Another emerging issue is the high comorbidity between elimination disorders and neuro</w:t>
      </w:r>
      <w:r w:rsidR="00C45176">
        <w:rPr>
          <w:rFonts w:ascii="Arial" w:hAnsi="Arial" w:cs="Arial"/>
          <w:sz w:val="22"/>
          <w:szCs w:val="22"/>
        </w:rPr>
        <w:t>-</w:t>
      </w:r>
      <w:r w:rsidRPr="00EF4A21">
        <w:rPr>
          <w:rFonts w:ascii="Arial" w:hAnsi="Arial" w:cs="Arial"/>
          <w:sz w:val="22"/>
          <w:szCs w:val="22"/>
        </w:rPr>
        <w:t>developmental conditions such as autism spectrum disorder (ASD) and attention-deficit/hyperactivity disorder (ADHD). NHS England has acknowledged that children with neurodevelopmental conditions often face additional challenges with continence, including sensory sensitivities, communication difficulties, and executive functioning deficits (NHS England, 2023).</w:t>
      </w:r>
    </w:p>
    <w:p w14:paraId="473B10FE" w14:textId="03184E14"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 xml:space="preserve">This overlap has prompted calls for a more </w:t>
      </w:r>
      <w:r w:rsidR="00C45176">
        <w:rPr>
          <w:rFonts w:ascii="Arial" w:hAnsi="Arial" w:cs="Arial"/>
          <w:sz w:val="22"/>
          <w:szCs w:val="22"/>
        </w:rPr>
        <w:t>‘</w:t>
      </w:r>
      <w:r w:rsidRPr="00EF4A21">
        <w:rPr>
          <w:rFonts w:ascii="Arial" w:hAnsi="Arial" w:cs="Arial"/>
          <w:sz w:val="22"/>
          <w:szCs w:val="22"/>
        </w:rPr>
        <w:t>nuanced classification system</w:t>
      </w:r>
      <w:r w:rsidR="00C45176">
        <w:rPr>
          <w:rFonts w:ascii="Arial" w:hAnsi="Arial" w:cs="Arial"/>
          <w:sz w:val="22"/>
          <w:szCs w:val="22"/>
        </w:rPr>
        <w:t>’</w:t>
      </w:r>
      <w:r w:rsidRPr="00EF4A21">
        <w:rPr>
          <w:rFonts w:ascii="Arial" w:hAnsi="Arial" w:cs="Arial"/>
          <w:sz w:val="22"/>
          <w:szCs w:val="22"/>
        </w:rPr>
        <w:t xml:space="preserve"> that reflects the interconnected nature of these conditions. Current diagnostic frameworks may not fully capture the complexity of comorbid presentations, potentially leading to fragmented care. Integrated care pathways that consider both neurodevelopmental and elimination challenges are increasingly advocated in NHS guidance and service models (NHS England, 2023c).</w:t>
      </w:r>
    </w:p>
    <w:p w14:paraId="4007BB50" w14:textId="23FD0921"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iii)</w:t>
      </w:r>
      <w:r w:rsidR="00EF4A21" w:rsidRPr="00EF4A21">
        <w:rPr>
          <w:rFonts w:ascii="Arial" w:hAnsi="Arial" w:cs="Arial"/>
          <w:b/>
          <w:bCs/>
          <w:sz w:val="22"/>
          <w:szCs w:val="22"/>
        </w:rPr>
        <w:t xml:space="preserve"> Cultural and Social Influences on Diagnosis</w:t>
      </w:r>
    </w:p>
    <w:p w14:paraId="03A9BA24" w14:textId="064B2D36"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Cultural norms around toilet training significantly influence the timing and perception of elimination disorders. For example, some cultures encourage early toilet training, while others adopt a more relaxed approach. These differences can affect when parents seek help and how clinicians interpret symptoms. The NHS</w:t>
      </w:r>
      <w:r w:rsidR="00C45176">
        <w:rPr>
          <w:rFonts w:ascii="Arial" w:hAnsi="Arial" w:cs="Arial"/>
          <w:sz w:val="22"/>
          <w:szCs w:val="22"/>
        </w:rPr>
        <w:t xml:space="preserve"> England (2023)</w:t>
      </w:r>
      <w:r w:rsidRPr="00EF4A21">
        <w:rPr>
          <w:rFonts w:ascii="Arial" w:hAnsi="Arial" w:cs="Arial"/>
          <w:sz w:val="22"/>
          <w:szCs w:val="22"/>
        </w:rPr>
        <w:t xml:space="preserve"> highlights the importance of culturally sensitive care, particularly in diverse communities where stigma around incontinence may delay diagnosis and treatment</w:t>
      </w:r>
      <w:r w:rsidR="00C45176">
        <w:rPr>
          <w:rFonts w:ascii="Arial" w:hAnsi="Arial" w:cs="Arial"/>
          <w:sz w:val="22"/>
          <w:szCs w:val="22"/>
        </w:rPr>
        <w:t>.</w:t>
      </w:r>
    </w:p>
    <w:p w14:paraId="2156B4E5" w14:textId="58CC136B" w:rsidR="00EF4A21" w:rsidRPr="00EF4A21" w:rsidRDefault="00C45176"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NHS England</w:t>
      </w:r>
      <w:r>
        <w:rPr>
          <w:rFonts w:ascii="Arial" w:hAnsi="Arial" w:cs="Arial"/>
          <w:sz w:val="22"/>
          <w:szCs w:val="22"/>
        </w:rPr>
        <w:t xml:space="preserve"> (</w:t>
      </w:r>
      <w:r w:rsidRPr="00EF4A21">
        <w:rPr>
          <w:rFonts w:ascii="Arial" w:hAnsi="Arial" w:cs="Arial"/>
          <w:sz w:val="22"/>
          <w:szCs w:val="22"/>
        </w:rPr>
        <w:t>2023)</w:t>
      </w:r>
      <w:r>
        <w:rPr>
          <w:rFonts w:ascii="Arial" w:hAnsi="Arial" w:cs="Arial"/>
          <w:sz w:val="22"/>
          <w:szCs w:val="22"/>
        </w:rPr>
        <w:t>, s</w:t>
      </w:r>
      <w:r w:rsidR="00EF4A21" w:rsidRPr="00EF4A21">
        <w:rPr>
          <w:rFonts w:ascii="Arial" w:hAnsi="Arial" w:cs="Arial"/>
          <w:sz w:val="22"/>
          <w:szCs w:val="22"/>
        </w:rPr>
        <w:t>ocial stigma remains a major barrier. Children with elimination disorders may face bullying or exclusion at school, while families may avoid seeking help due to embarrassment. NHS mental health case studies have shown that stigma can lead to delayed intervention and increased psychological distress</w:t>
      </w:r>
      <w:r>
        <w:rPr>
          <w:rFonts w:ascii="Arial" w:hAnsi="Arial" w:cs="Arial"/>
          <w:sz w:val="22"/>
          <w:szCs w:val="22"/>
        </w:rPr>
        <w:t>.</w:t>
      </w:r>
    </w:p>
    <w:p w14:paraId="1666896A" w14:textId="0D3D8381"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 xml:space="preserve">iv) </w:t>
      </w:r>
      <w:r w:rsidR="00EF4A21" w:rsidRPr="00EF4A21">
        <w:rPr>
          <w:rFonts w:ascii="Arial" w:hAnsi="Arial" w:cs="Arial"/>
          <w:b/>
          <w:bCs/>
          <w:sz w:val="22"/>
          <w:szCs w:val="22"/>
        </w:rPr>
        <w:t>Policy and Service Delivery Challenges</w:t>
      </w:r>
    </w:p>
    <w:p w14:paraId="76B26146" w14:textId="61FE816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There is a growing need for clearer guidelines</w:t>
      </w:r>
      <w:r w:rsidRPr="00EF4A21">
        <w:rPr>
          <w:rFonts w:ascii="Arial" w:hAnsi="Arial" w:cs="Arial"/>
          <w:i/>
          <w:iCs/>
          <w:sz w:val="22"/>
          <w:szCs w:val="22"/>
        </w:rPr>
        <w:t xml:space="preserve"> </w:t>
      </w:r>
      <w:r w:rsidRPr="00EF4A21">
        <w:rPr>
          <w:rFonts w:ascii="Arial" w:hAnsi="Arial" w:cs="Arial"/>
          <w:sz w:val="22"/>
          <w:szCs w:val="22"/>
        </w:rPr>
        <w:t xml:space="preserve">and consistent support in schools and primary care. NHS England’s </w:t>
      </w:r>
      <w:r w:rsidR="00C45176" w:rsidRPr="00EF4A21">
        <w:rPr>
          <w:rFonts w:ascii="Arial" w:hAnsi="Arial" w:cs="Arial"/>
          <w:sz w:val="22"/>
          <w:szCs w:val="22"/>
        </w:rPr>
        <w:t>Long-Term</w:t>
      </w:r>
      <w:r w:rsidRPr="00EF4A21">
        <w:rPr>
          <w:rFonts w:ascii="Arial" w:hAnsi="Arial" w:cs="Arial"/>
          <w:sz w:val="22"/>
          <w:szCs w:val="22"/>
        </w:rPr>
        <w:t xml:space="preserve"> Plan emphasises the importance of early intervention and integrated care for children with mental health and developmental needs (NHS England, 2023). However, access to specialist continence services remains uneven, particularly in rural or underserved areas.</w:t>
      </w:r>
    </w:p>
    <w:p w14:paraId="344ABC5B" w14:textId="7BB8538A"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Funding debates also persist. While behavioural interventions are cost-effective and evidence-based, they are often underfunded compared to medical treatments. NHS implementation guidance calls for a balanced approach that includes both medical and psychological support, but resource allocation remains a challenge (NHS England, 2023).</w:t>
      </w:r>
    </w:p>
    <w:p w14:paraId="1D1B8B21" w14:textId="77777777" w:rsidR="00C45176" w:rsidRDefault="00C45176" w:rsidP="00EF4A21">
      <w:pPr>
        <w:spacing w:line="360" w:lineRule="auto"/>
        <w:rPr>
          <w:rFonts w:ascii="Arial" w:hAnsi="Arial" w:cs="Arial"/>
          <w:b/>
          <w:bCs/>
          <w:sz w:val="22"/>
          <w:szCs w:val="22"/>
        </w:rPr>
      </w:pPr>
    </w:p>
    <w:p w14:paraId="56D6E623" w14:textId="751C5133" w:rsidR="00EF4A21" w:rsidRPr="00EF4A21" w:rsidRDefault="00C45176" w:rsidP="00EF4A21">
      <w:pPr>
        <w:spacing w:line="360" w:lineRule="auto"/>
        <w:rPr>
          <w:rFonts w:ascii="Arial" w:hAnsi="Arial" w:cs="Arial"/>
          <w:b/>
          <w:bCs/>
          <w:sz w:val="22"/>
          <w:szCs w:val="22"/>
        </w:rPr>
      </w:pPr>
      <w:r>
        <w:rPr>
          <w:rFonts w:ascii="Arial" w:hAnsi="Arial" w:cs="Arial"/>
          <w:b/>
          <w:bCs/>
          <w:sz w:val="22"/>
          <w:szCs w:val="22"/>
        </w:rPr>
        <w:t>4</w:t>
      </w:r>
      <w:r w:rsidR="00EF4A21" w:rsidRPr="00EF4A21">
        <w:rPr>
          <w:rFonts w:ascii="Arial" w:hAnsi="Arial" w:cs="Arial"/>
          <w:b/>
          <w:bCs/>
          <w:sz w:val="22"/>
          <w:szCs w:val="22"/>
        </w:rPr>
        <w:t>. Recommendations</w:t>
      </w:r>
    </w:p>
    <w:p w14:paraId="65DD6DB1" w14:textId="4BA46922"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Effective management of elimination disorders require coordinated improvements across classification, diagnosis, treatment access, family support, and research. These recommendations aim to enhance clinical outcomes and reduce the psychosocial burden on affected children and families.</w:t>
      </w:r>
    </w:p>
    <w:p w14:paraId="7AC61336" w14:textId="19E1DF8A"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lastRenderedPageBreak/>
        <w:t>Improve Classification</w:t>
      </w:r>
    </w:p>
    <w:p w14:paraId="1BDBFEBF"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The current ICD-11 framework categorises enuresis and encopresis under neurodevelopmental disorders but lacks specificity. Future updates should include subtypes—such as primary versus secondary enuresis—and recognise frequent comorbidities with conditions like ADHD and autism spectrum disorder. This would support more accurate diagnosis and tailored interventions (WHO, 2023).</w:t>
      </w:r>
    </w:p>
    <w:p w14:paraId="61C8B03D" w14:textId="09496C1B"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Enhance Diagnosis</w:t>
      </w:r>
    </w:p>
    <w:p w14:paraId="6B1DFF9B" w14:textId="29476734"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Clearer and developmentally appropriate screening tools should be developed for use in schools and primary care settings. NHS England </w:t>
      </w:r>
      <w:r w:rsidR="00C45176">
        <w:rPr>
          <w:rFonts w:ascii="Arial" w:hAnsi="Arial" w:cs="Arial"/>
          <w:sz w:val="22"/>
          <w:szCs w:val="22"/>
        </w:rPr>
        <w:t xml:space="preserve">(2023) </w:t>
      </w:r>
      <w:r w:rsidRPr="00EF4A21">
        <w:rPr>
          <w:rFonts w:ascii="Arial" w:hAnsi="Arial" w:cs="Arial"/>
          <w:sz w:val="22"/>
          <w:szCs w:val="22"/>
        </w:rPr>
        <w:t>advocates for integrated assessment pathways involving general practitioners, school nurses, and paediatric services to ensure early identification and reduce delays</w:t>
      </w:r>
      <w:r w:rsidR="00C45176">
        <w:rPr>
          <w:rFonts w:ascii="Arial" w:hAnsi="Arial" w:cs="Arial"/>
          <w:sz w:val="22"/>
          <w:szCs w:val="22"/>
        </w:rPr>
        <w:t>.</w:t>
      </w:r>
    </w:p>
    <w:p w14:paraId="78E3C947" w14:textId="60C4F969"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Strengthen Treatment Access</w:t>
      </w:r>
    </w:p>
    <w:p w14:paraId="55AD9F41" w14:textId="7FA1146C"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therapies are effective but often under-resourced. Expanding access through NHS community continence services and Child and Adolescent Mental Health Services (CAMHS) would improve outcomes. Training for GPs, educators, and school staff is essential to ensure consistent support and reduce stigma (NHS England, 2023).</w:t>
      </w:r>
    </w:p>
    <w:p w14:paraId="00C36133" w14:textId="619966EC"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Support Families</w:t>
      </w:r>
    </w:p>
    <w:p w14:paraId="62749A2C" w14:textId="550E56F5"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Public awareness campaigns can help normalise elimination disorders and encourage help-seeking. Digital resources—including mobile apps and online peer support networks—can empower families with practical tools and emotional support. NHS case studies show that family engagement improves adherence and recovery (NHS England, 2023).</w:t>
      </w:r>
    </w:p>
    <w:p w14:paraId="2E4B701D" w14:textId="5EE3AAED"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Further Research</w:t>
      </w:r>
    </w:p>
    <w:p w14:paraId="1F18DD95" w14:textId="5F211E83"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More research is needed to explore the links between elimination disorders and neurodevelopmental conditions. Longitudinal studies should evaluate the effectiveness of behavioural, psychological, and pharmacological treatments over time. NHS research priorities include improving outcomes for children with complex mental health and developmental needs (NHS England, 2023).</w:t>
      </w:r>
    </w:p>
    <w:p w14:paraId="02C8C9CF" w14:textId="77777777" w:rsidR="00EF4A21" w:rsidRPr="00EF4A21" w:rsidRDefault="00EF4A21" w:rsidP="00EF4A21">
      <w:pPr>
        <w:spacing w:line="360" w:lineRule="auto"/>
        <w:rPr>
          <w:rFonts w:ascii="Arial" w:hAnsi="Arial" w:cs="Arial"/>
          <w:b/>
          <w:bCs/>
          <w:sz w:val="22"/>
          <w:szCs w:val="22"/>
        </w:rPr>
      </w:pPr>
    </w:p>
    <w:p w14:paraId="4769C6D9" w14:textId="5A9CE4EF"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5</w:t>
      </w:r>
      <w:r w:rsidRPr="00EF4A21">
        <w:rPr>
          <w:rFonts w:ascii="Arial" w:hAnsi="Arial" w:cs="Arial"/>
          <w:b/>
          <w:bCs/>
          <w:sz w:val="22"/>
          <w:szCs w:val="22"/>
        </w:rPr>
        <w:t>. Conclusion</w:t>
      </w:r>
    </w:p>
    <w:p w14:paraId="44F26A05" w14:textId="39E50955"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Elimination disorders such as enuresis and encopresis are complex and frequently misunderstood, often straddling the boundaries between medical, behavioural, and developmental domains. While ICD-11 offers a valuable framework for classification, it </w:t>
      </w:r>
      <w:r w:rsidRPr="00EF4A21">
        <w:rPr>
          <w:rFonts w:ascii="Arial" w:hAnsi="Arial" w:cs="Arial"/>
          <w:sz w:val="22"/>
          <w:szCs w:val="22"/>
        </w:rPr>
        <w:lastRenderedPageBreak/>
        <w:t>requires refinement to better reflect subtypes and comorbidities. Improvements in diagnostic tools, treatment access, and professional training are essential to ensure timely and effective care. Addressing stigma through public education and supporting families with digital and community resources can significantly enhance engagement. Ultimately, refining policy and expanding services will lead to more equitable outcomes and improved quality of life for affected children and their families.</w:t>
      </w:r>
      <w:r w:rsidRPr="00EF4A21">
        <w:rPr>
          <w:rFonts w:ascii="Arial" w:hAnsi="Arial" w:cs="Arial"/>
          <w:sz w:val="22"/>
          <w:szCs w:val="22"/>
        </w:rPr>
        <w:t xml:space="preserve"> </w:t>
      </w:r>
      <w:r>
        <w:rPr>
          <w:rFonts w:ascii="Arial" w:hAnsi="Arial" w:cs="Arial"/>
          <w:sz w:val="22"/>
          <w:szCs w:val="22"/>
        </w:rPr>
        <w:br w:type="page"/>
      </w:r>
    </w:p>
    <w:p w14:paraId="5040F463" w14:textId="77777777" w:rsidR="00C45176" w:rsidRPr="00EF4A21" w:rsidRDefault="00C45176" w:rsidP="00C45176">
      <w:pPr>
        <w:spacing w:line="360" w:lineRule="auto"/>
        <w:rPr>
          <w:rFonts w:ascii="Arial" w:hAnsi="Arial" w:cs="Arial"/>
          <w:b/>
          <w:bCs/>
        </w:rPr>
      </w:pPr>
      <w:r w:rsidRPr="00EF4A21">
        <w:rPr>
          <w:rFonts w:ascii="Arial" w:hAnsi="Arial" w:cs="Arial"/>
          <w:b/>
          <w:bCs/>
        </w:rPr>
        <w:lastRenderedPageBreak/>
        <w:t>References</w:t>
      </w:r>
      <w:r w:rsidRPr="00A26A74">
        <w:rPr>
          <w:rFonts w:ascii="Arial" w:hAnsi="Arial" w:cs="Arial"/>
          <w:b/>
          <w:bCs/>
        </w:rPr>
        <w:t>:</w:t>
      </w:r>
    </w:p>
    <w:p w14:paraId="51C5B36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GOSH, </w:t>
      </w:r>
      <w:r w:rsidRPr="00A26A74">
        <w:rPr>
          <w:rFonts w:ascii="Arial" w:hAnsi="Arial" w:cs="Arial"/>
          <w:sz w:val="22"/>
          <w:szCs w:val="22"/>
        </w:rPr>
        <w:t>(</w:t>
      </w:r>
      <w:r w:rsidRPr="00A26A74">
        <w:rPr>
          <w:rFonts w:ascii="Arial" w:hAnsi="Arial" w:cs="Arial"/>
          <w:sz w:val="22"/>
          <w:szCs w:val="22"/>
        </w:rPr>
        <w:t>2025</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Bowel incontinence</w:t>
      </w:r>
      <w:r w:rsidRPr="00A26A74">
        <w:rPr>
          <w:rFonts w:ascii="Arial" w:hAnsi="Arial" w:cs="Arial"/>
          <w:sz w:val="22"/>
          <w:szCs w:val="22"/>
        </w:rPr>
        <w:t xml:space="preserve">. Great Ormond Street Hospital. Available at: </w:t>
      </w:r>
      <w:hyperlink r:id="rId6" w:history="1">
        <w:r w:rsidRPr="00A26A74">
          <w:rPr>
            <w:rStyle w:val="Hyperlink"/>
            <w:rFonts w:ascii="Arial" w:hAnsi="Arial" w:cs="Arial"/>
            <w:sz w:val="22"/>
            <w:szCs w:val="22"/>
          </w:rPr>
          <w:t>https://www.gosh.nhs.uk/conditions-</w:t>
        </w:r>
        <w:r w:rsidRPr="00A26A74">
          <w:rPr>
            <w:rStyle w:val="Hyperlink"/>
            <w:rFonts w:ascii="Arial" w:hAnsi="Arial" w:cs="Arial"/>
            <w:sz w:val="22"/>
            <w:szCs w:val="22"/>
          </w:rPr>
          <w:t>a</w:t>
        </w:r>
        <w:r w:rsidRPr="00A26A74">
          <w:rPr>
            <w:rStyle w:val="Hyperlink"/>
            <w:rFonts w:ascii="Arial" w:hAnsi="Arial" w:cs="Arial"/>
            <w:sz w:val="22"/>
            <w:szCs w:val="22"/>
          </w:rPr>
          <w:t>nd-treatments/conditions-we-treat/bowel-incontinence/</w:t>
        </w:r>
      </w:hyperlink>
      <w:r w:rsidRPr="00A26A74">
        <w:rPr>
          <w:rFonts w:ascii="Arial" w:hAnsi="Arial" w:cs="Arial"/>
          <w:sz w:val="22"/>
          <w:szCs w:val="22"/>
        </w:rPr>
        <w:t xml:space="preserve"> </w:t>
      </w:r>
      <w:bookmarkStart w:id="0" w:name="_Hlk214249470"/>
      <w:r w:rsidRPr="00A26A74">
        <w:rPr>
          <w:rFonts w:ascii="Arial" w:hAnsi="Arial" w:cs="Arial"/>
          <w:sz w:val="22"/>
          <w:szCs w:val="22"/>
        </w:rPr>
        <w:t>(</w:t>
      </w:r>
      <w:r w:rsidRPr="00A26A74">
        <w:rPr>
          <w:rFonts w:ascii="Arial" w:hAnsi="Arial" w:cs="Arial"/>
          <w:sz w:val="22"/>
          <w:szCs w:val="22"/>
        </w:rPr>
        <w:t>Accessed</w:t>
      </w:r>
      <w:r w:rsidRPr="00A26A74">
        <w:rPr>
          <w:rFonts w:ascii="Arial" w:hAnsi="Arial" w:cs="Arial"/>
          <w:sz w:val="22"/>
          <w:szCs w:val="22"/>
        </w:rPr>
        <w:t>: 14</w:t>
      </w:r>
      <w:r w:rsidRPr="00A26A74">
        <w:rPr>
          <w:rFonts w:ascii="Arial" w:hAnsi="Arial" w:cs="Arial"/>
          <w:sz w:val="22"/>
          <w:szCs w:val="22"/>
          <w:vertAlign w:val="superscript"/>
        </w:rPr>
        <w:t>th</w:t>
      </w:r>
      <w:r w:rsidRPr="00A26A74">
        <w:rPr>
          <w:rFonts w:ascii="Arial" w:hAnsi="Arial" w:cs="Arial"/>
          <w:sz w:val="22"/>
          <w:szCs w:val="22"/>
        </w:rPr>
        <w:t xml:space="preserve"> Nov 2025</w:t>
      </w:r>
      <w:r w:rsidRPr="00A26A74">
        <w:rPr>
          <w:rFonts w:ascii="Arial" w:hAnsi="Arial" w:cs="Arial"/>
          <w:sz w:val="22"/>
          <w:szCs w:val="22"/>
        </w:rPr>
        <w:t>).</w:t>
      </w:r>
      <w:bookmarkEnd w:id="0"/>
    </w:p>
    <w:p w14:paraId="2880039B"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HIOW NHS, </w:t>
      </w:r>
      <w:r w:rsidRPr="00A26A74">
        <w:rPr>
          <w:rFonts w:ascii="Arial" w:hAnsi="Arial" w:cs="Arial"/>
          <w:sz w:val="22"/>
          <w:szCs w:val="22"/>
        </w:rPr>
        <w:t>(</w:t>
      </w:r>
      <w:r w:rsidRPr="00A26A74">
        <w:rPr>
          <w:rFonts w:ascii="Arial" w:hAnsi="Arial" w:cs="Arial"/>
          <w:sz w:val="22"/>
          <w:szCs w:val="22"/>
        </w:rPr>
        <w:t>2025</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Children’s Continence Service</w:t>
      </w:r>
      <w:r w:rsidRPr="00A26A74">
        <w:rPr>
          <w:rFonts w:ascii="Arial" w:hAnsi="Arial" w:cs="Arial"/>
          <w:sz w:val="22"/>
          <w:szCs w:val="22"/>
        </w:rPr>
        <w:t xml:space="preserve">. Hampshire and Isle of Wight NHS Foundation Trust. Available at: </w:t>
      </w:r>
      <w:hyperlink r:id="rId7" w:history="1">
        <w:r w:rsidRPr="00A26A74">
          <w:rPr>
            <w:rStyle w:val="Hyperlink"/>
            <w:rFonts w:ascii="Arial" w:hAnsi="Arial" w:cs="Arial"/>
            <w:sz w:val="22"/>
            <w:szCs w:val="22"/>
          </w:rPr>
          <w:t>https://hiowhealthcare.nhs.uk/our-services/a-z-list-of-services/community-</w:t>
        </w:r>
        <w:r w:rsidRPr="00A26A74">
          <w:rPr>
            <w:rStyle w:val="Hyperlink"/>
            <w:rFonts w:ascii="Arial" w:hAnsi="Arial" w:cs="Arial"/>
            <w:sz w:val="22"/>
            <w:szCs w:val="22"/>
          </w:rPr>
          <w:t>p</w:t>
        </w:r>
        <w:r w:rsidRPr="00A26A74">
          <w:rPr>
            <w:rStyle w:val="Hyperlink"/>
            <w:rFonts w:ascii="Arial" w:hAnsi="Arial" w:cs="Arial"/>
            <w:sz w:val="22"/>
            <w:szCs w:val="22"/>
          </w:rPr>
          <w:t>aediatric-continence-service</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21729F3"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Matson, J.L.,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Handbook of Clinical Child Psychology: Integrating Theory and Research into Practice</w:t>
      </w:r>
      <w:r w:rsidRPr="00A26A74">
        <w:rPr>
          <w:rFonts w:ascii="Arial" w:hAnsi="Arial" w:cs="Arial"/>
          <w:sz w:val="22"/>
          <w:szCs w:val="22"/>
        </w:rPr>
        <w:t xml:space="preserve">. Springer Nature. Available at: </w:t>
      </w:r>
      <w:hyperlink r:id="rId8" w:history="1">
        <w:r w:rsidRPr="00A26A74">
          <w:rPr>
            <w:rStyle w:val="Hyperlink"/>
            <w:rFonts w:ascii="Arial" w:hAnsi="Arial" w:cs="Arial"/>
            <w:sz w:val="22"/>
            <w:szCs w:val="22"/>
          </w:rPr>
          <w:t>https://link.springer.com/book/10</w:t>
        </w:r>
        <w:r w:rsidRPr="00A26A74">
          <w:rPr>
            <w:rStyle w:val="Hyperlink"/>
            <w:rFonts w:ascii="Arial" w:hAnsi="Arial" w:cs="Arial"/>
            <w:sz w:val="22"/>
            <w:szCs w:val="22"/>
          </w:rPr>
          <w:t>.</w:t>
        </w:r>
        <w:r w:rsidRPr="00A26A74">
          <w:rPr>
            <w:rStyle w:val="Hyperlink"/>
            <w:rFonts w:ascii="Arial" w:hAnsi="Arial" w:cs="Arial"/>
            <w:sz w:val="22"/>
            <w:szCs w:val="22"/>
          </w:rPr>
          <w:t>1007/97</w:t>
        </w:r>
        <w:r w:rsidRPr="00A26A74">
          <w:rPr>
            <w:rStyle w:val="Hyperlink"/>
            <w:rFonts w:ascii="Arial" w:hAnsi="Arial" w:cs="Arial"/>
            <w:sz w:val="22"/>
            <w:szCs w:val="22"/>
          </w:rPr>
          <w:t>8</w:t>
        </w:r>
        <w:r w:rsidRPr="00A26A74">
          <w:rPr>
            <w:rStyle w:val="Hyperlink"/>
            <w:rFonts w:ascii="Arial" w:hAnsi="Arial" w:cs="Arial"/>
            <w:sz w:val="22"/>
            <w:szCs w:val="22"/>
          </w:rPr>
          <w:t>-3-031-24926-6</w:t>
        </w:r>
      </w:hyperlink>
      <w:r w:rsidRPr="00A26A74">
        <w:rPr>
          <w:rFonts w:ascii="Arial" w:hAnsi="Arial" w:cs="Arial"/>
          <w:sz w:val="22"/>
          <w:szCs w:val="22"/>
        </w:rPr>
        <w:t xml:space="preserve"> </w:t>
      </w:r>
      <w:r w:rsidRPr="00A26A74">
        <w:rPr>
          <w:rFonts w:ascii="Arial" w:hAnsi="Arial" w:cs="Arial"/>
          <w:sz w:val="22"/>
          <w:szCs w:val="22"/>
        </w:rPr>
        <w:t>(Accessed: 1</w:t>
      </w:r>
      <w:r w:rsidRPr="00A26A74">
        <w:rPr>
          <w:rFonts w:ascii="Arial" w:hAnsi="Arial" w:cs="Arial"/>
          <w:sz w:val="22"/>
          <w:szCs w:val="22"/>
        </w:rPr>
        <w:t>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DB1248B" w14:textId="37D72796"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Bedwetting in children</w:t>
      </w:r>
      <w:r w:rsidRPr="00A26A74">
        <w:rPr>
          <w:rFonts w:ascii="Arial" w:hAnsi="Arial" w:cs="Arial"/>
          <w:sz w:val="22"/>
          <w:szCs w:val="22"/>
        </w:rPr>
        <w:t>. Available at:</w:t>
      </w:r>
      <w:r w:rsidRPr="00A26A74">
        <w:rPr>
          <w:rFonts w:ascii="Arial" w:hAnsi="Arial" w:cs="Arial"/>
          <w:sz w:val="22"/>
          <w:szCs w:val="22"/>
        </w:rPr>
        <w:t xml:space="preserve"> </w:t>
      </w:r>
      <w:hyperlink r:id="rId9" w:history="1">
        <w:r w:rsidRPr="00A94227">
          <w:rPr>
            <w:rStyle w:val="Hyperlink"/>
            <w:rFonts w:ascii="Arial" w:hAnsi="Arial" w:cs="Arial"/>
            <w:sz w:val="22"/>
            <w:szCs w:val="22"/>
          </w:rPr>
          <w:t>https://ww</w:t>
        </w:r>
        <w:r w:rsidRPr="00A94227">
          <w:rPr>
            <w:rStyle w:val="Hyperlink"/>
            <w:rFonts w:ascii="Arial" w:hAnsi="Arial" w:cs="Arial"/>
            <w:sz w:val="22"/>
            <w:szCs w:val="22"/>
          </w:rPr>
          <w:t>w</w:t>
        </w:r>
        <w:r w:rsidRPr="00A94227">
          <w:rPr>
            <w:rStyle w:val="Hyperlink"/>
            <w:rFonts w:ascii="Arial" w:hAnsi="Arial" w:cs="Arial"/>
            <w:sz w:val="22"/>
            <w:szCs w:val="22"/>
          </w:rPr>
          <w:t>.nhs.uk/symptoms/bedwetting/</w:t>
        </w:r>
      </w:hyperlink>
      <w:r>
        <w:rPr>
          <w:rFonts w:ascii="Arial" w:hAnsi="Arial" w:cs="Arial"/>
          <w:sz w:val="22"/>
          <w:szCs w:val="22"/>
        </w:rPr>
        <w:t xml:space="preserve"> </w:t>
      </w:r>
      <w:r w:rsidRPr="00A26A74">
        <w:rPr>
          <w:rFonts w:ascii="Arial" w:hAnsi="Arial" w:cs="Arial"/>
          <w:sz w:val="22"/>
          <w:szCs w:val="22"/>
        </w:rPr>
        <w:t xml:space="preserve"> </w:t>
      </w:r>
      <w:r w:rsidRPr="00A26A74">
        <w:rPr>
          <w:rFonts w:ascii="Arial" w:hAnsi="Arial" w:cs="Arial"/>
          <w:sz w:val="22"/>
          <w:szCs w:val="22"/>
        </w:rPr>
        <w:t>(Accessed: 1</w:t>
      </w:r>
      <w:r w:rsidRPr="00A26A74">
        <w:rPr>
          <w:rFonts w:ascii="Arial" w:hAnsi="Arial" w:cs="Arial"/>
          <w:sz w:val="22"/>
          <w:szCs w:val="22"/>
        </w:rPr>
        <w:t>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6FD3DD7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2023a</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Children and young people’s mental health services: policy and implementation</w:t>
      </w:r>
      <w:r w:rsidRPr="00A26A74">
        <w:rPr>
          <w:rFonts w:ascii="Arial" w:hAnsi="Arial" w:cs="Arial"/>
          <w:sz w:val="22"/>
          <w:szCs w:val="22"/>
        </w:rPr>
        <w:t xml:space="preserve">.  Available at: </w:t>
      </w:r>
      <w:hyperlink r:id="rId10" w:history="1">
        <w:r w:rsidRPr="00A26A74">
          <w:rPr>
            <w:rStyle w:val="Hyperlink"/>
            <w:rFonts w:ascii="Arial" w:hAnsi="Arial" w:cs="Arial"/>
            <w:sz w:val="22"/>
            <w:szCs w:val="22"/>
          </w:rPr>
          <w:t>https://w</w:t>
        </w:r>
        <w:r w:rsidRPr="00A26A74">
          <w:rPr>
            <w:rStyle w:val="Hyperlink"/>
            <w:rFonts w:ascii="Arial" w:hAnsi="Arial" w:cs="Arial"/>
            <w:sz w:val="22"/>
            <w:szCs w:val="22"/>
          </w:rPr>
          <w:t>w</w:t>
        </w:r>
        <w:r w:rsidRPr="00A26A74">
          <w:rPr>
            <w:rStyle w:val="Hyperlink"/>
            <w:rFonts w:ascii="Arial" w:hAnsi="Arial" w:cs="Arial"/>
            <w:sz w:val="22"/>
            <w:szCs w:val="22"/>
          </w:rPr>
          <w:t>w</w:t>
        </w:r>
        <w:r w:rsidRPr="00A26A74">
          <w:rPr>
            <w:rStyle w:val="Hyperlink"/>
            <w:rFonts w:ascii="Arial" w:hAnsi="Arial" w:cs="Arial"/>
            <w:sz w:val="22"/>
            <w:szCs w:val="22"/>
          </w:rPr>
          <w:t>.</w:t>
        </w:r>
        <w:r w:rsidRPr="00A26A74">
          <w:rPr>
            <w:rStyle w:val="Hyperlink"/>
            <w:rFonts w:ascii="Arial" w:hAnsi="Arial" w:cs="Arial"/>
            <w:sz w:val="22"/>
            <w:szCs w:val="22"/>
          </w:rPr>
          <w:t>england.nhs.uk/m</w:t>
        </w:r>
        <w:r w:rsidRPr="00A26A74">
          <w:rPr>
            <w:rStyle w:val="Hyperlink"/>
            <w:rFonts w:ascii="Arial" w:hAnsi="Arial" w:cs="Arial"/>
            <w:sz w:val="22"/>
            <w:szCs w:val="22"/>
          </w:rPr>
          <w:t>e</w:t>
        </w:r>
        <w:r w:rsidRPr="00A26A74">
          <w:rPr>
            <w:rStyle w:val="Hyperlink"/>
            <w:rFonts w:ascii="Arial" w:hAnsi="Arial" w:cs="Arial"/>
            <w:sz w:val="22"/>
            <w:szCs w:val="22"/>
          </w:rPr>
          <w:t>ntal-health/cyp/</w:t>
        </w:r>
      </w:hyperlink>
      <w:r w:rsidRPr="00A26A74">
        <w:rPr>
          <w:rFonts w:ascii="Arial" w:hAnsi="Arial" w:cs="Arial"/>
          <w:sz w:val="22"/>
          <w:szCs w:val="22"/>
        </w:rPr>
        <w:t xml:space="preserve"> </w:t>
      </w:r>
      <w:r w:rsidRPr="00A26A74">
        <w:rPr>
          <w:rFonts w:ascii="Arial" w:hAnsi="Arial" w:cs="Arial"/>
          <w:sz w:val="22"/>
          <w:szCs w:val="22"/>
        </w:rPr>
        <w:t xml:space="preserve"> (Accessed: 1</w:t>
      </w:r>
      <w:r w:rsidRPr="00A26A74">
        <w:rPr>
          <w:rFonts w:ascii="Arial" w:hAnsi="Arial" w:cs="Arial"/>
          <w:sz w:val="22"/>
          <w:szCs w:val="22"/>
        </w:rPr>
        <w:t>2</w:t>
      </w:r>
      <w:r w:rsidRPr="00A26A74">
        <w:rPr>
          <w:rFonts w:ascii="Arial" w:hAnsi="Arial" w:cs="Arial"/>
          <w:sz w:val="22"/>
          <w:szCs w:val="22"/>
          <w:vertAlign w:val="superscript"/>
        </w:rPr>
        <w:t>th</w:t>
      </w:r>
      <w:r w:rsidRPr="00A26A74">
        <w:rPr>
          <w:rFonts w:ascii="Arial" w:hAnsi="Arial" w:cs="Arial"/>
          <w:sz w:val="22"/>
          <w:szCs w:val="22"/>
        </w:rPr>
        <w:t xml:space="preserve"> Nov 2025)</w:t>
      </w:r>
      <w:r w:rsidRPr="00A26A74">
        <w:rPr>
          <w:rFonts w:ascii="Arial" w:hAnsi="Arial" w:cs="Arial"/>
          <w:sz w:val="22"/>
          <w:szCs w:val="22"/>
        </w:rPr>
        <w:t>.</w:t>
      </w:r>
    </w:p>
    <w:p w14:paraId="2DE3C019"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b)</w:t>
      </w:r>
      <w:r w:rsidRPr="00A26A74">
        <w:rPr>
          <w:rFonts w:ascii="Arial" w:hAnsi="Arial" w:cs="Arial"/>
          <w:sz w:val="22"/>
          <w:szCs w:val="22"/>
        </w:rPr>
        <w:t xml:space="preserve">. </w:t>
      </w:r>
      <w:r w:rsidRPr="00A26A74">
        <w:rPr>
          <w:rFonts w:ascii="Arial" w:hAnsi="Arial" w:cs="Arial"/>
          <w:i/>
          <w:iCs/>
          <w:sz w:val="22"/>
          <w:szCs w:val="22"/>
        </w:rPr>
        <w:t>Mental health conditions</w:t>
      </w:r>
      <w:r w:rsidRPr="00A26A74">
        <w:rPr>
          <w:rFonts w:ascii="Arial" w:hAnsi="Arial" w:cs="Arial"/>
          <w:sz w:val="22"/>
          <w:szCs w:val="22"/>
        </w:rPr>
        <w:t xml:space="preserve">. Available at: </w:t>
      </w:r>
      <w:hyperlink r:id="rId11" w:history="1">
        <w:r w:rsidRPr="00A26A74">
          <w:rPr>
            <w:rStyle w:val="Hyperlink"/>
            <w:rFonts w:ascii="Arial" w:hAnsi="Arial" w:cs="Arial"/>
            <w:sz w:val="22"/>
            <w:szCs w:val="22"/>
          </w:rPr>
          <w:t>https://ww</w:t>
        </w:r>
        <w:r w:rsidRPr="00A26A74">
          <w:rPr>
            <w:rStyle w:val="Hyperlink"/>
            <w:rFonts w:ascii="Arial" w:hAnsi="Arial" w:cs="Arial"/>
            <w:sz w:val="22"/>
            <w:szCs w:val="22"/>
          </w:rPr>
          <w:t>w</w:t>
        </w:r>
        <w:r w:rsidRPr="00A26A74">
          <w:rPr>
            <w:rStyle w:val="Hyperlink"/>
            <w:rFonts w:ascii="Arial" w:hAnsi="Arial" w:cs="Arial"/>
            <w:sz w:val="22"/>
            <w:szCs w:val="22"/>
          </w:rPr>
          <w:t>.nhs.uk/mental-health/conditions/</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154D5CD2"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c)</w:t>
      </w:r>
      <w:r w:rsidRPr="00A26A74">
        <w:rPr>
          <w:rFonts w:ascii="Arial" w:hAnsi="Arial" w:cs="Arial"/>
          <w:sz w:val="22"/>
          <w:szCs w:val="22"/>
        </w:rPr>
        <w:t xml:space="preserve">. </w:t>
      </w:r>
      <w:r w:rsidRPr="00A26A74">
        <w:rPr>
          <w:rFonts w:ascii="Arial" w:hAnsi="Arial" w:cs="Arial"/>
          <w:i/>
          <w:iCs/>
          <w:sz w:val="22"/>
          <w:szCs w:val="22"/>
        </w:rPr>
        <w:t>Urgent and emergency mental health care for children and young people: national implementation guidance</w:t>
      </w:r>
      <w:r w:rsidRPr="00A26A74">
        <w:rPr>
          <w:rFonts w:ascii="Arial" w:hAnsi="Arial" w:cs="Arial"/>
          <w:sz w:val="22"/>
          <w:szCs w:val="22"/>
        </w:rPr>
        <w:t xml:space="preserve">. Available at: </w:t>
      </w:r>
      <w:hyperlink r:id="rId12" w:history="1">
        <w:r w:rsidRPr="00A26A74">
          <w:rPr>
            <w:rStyle w:val="Hyperlink"/>
            <w:rFonts w:ascii="Arial" w:hAnsi="Arial" w:cs="Arial"/>
            <w:sz w:val="22"/>
            <w:szCs w:val="22"/>
          </w:rPr>
          <w:t>https://www.england.nhs.uk/long-read/urgent-and-eme</w:t>
        </w:r>
        <w:r w:rsidRPr="00A26A74">
          <w:rPr>
            <w:rStyle w:val="Hyperlink"/>
            <w:rFonts w:ascii="Arial" w:hAnsi="Arial" w:cs="Arial"/>
            <w:sz w:val="22"/>
            <w:szCs w:val="22"/>
          </w:rPr>
          <w:t>r</w:t>
        </w:r>
        <w:r w:rsidRPr="00A26A74">
          <w:rPr>
            <w:rStyle w:val="Hyperlink"/>
            <w:rFonts w:ascii="Arial" w:hAnsi="Arial" w:cs="Arial"/>
            <w:sz w:val="22"/>
            <w:szCs w:val="22"/>
          </w:rPr>
          <w:t>gency-mental-health-care-for-children-and-young-people-national-implementation-guidance/</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3EEA0AE"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d)</w:t>
      </w:r>
      <w:r w:rsidRPr="00A26A74">
        <w:rPr>
          <w:rFonts w:ascii="Arial" w:hAnsi="Arial" w:cs="Arial"/>
          <w:sz w:val="22"/>
          <w:szCs w:val="22"/>
        </w:rPr>
        <w:t xml:space="preserve">. </w:t>
      </w:r>
      <w:r w:rsidRPr="00A26A74">
        <w:rPr>
          <w:rFonts w:ascii="Arial" w:hAnsi="Arial" w:cs="Arial"/>
          <w:i/>
          <w:iCs/>
          <w:sz w:val="22"/>
          <w:szCs w:val="22"/>
        </w:rPr>
        <w:t>Mental health case studies</w:t>
      </w:r>
      <w:r w:rsidRPr="00A26A74">
        <w:rPr>
          <w:rFonts w:ascii="Arial" w:hAnsi="Arial" w:cs="Arial"/>
          <w:sz w:val="22"/>
          <w:szCs w:val="22"/>
        </w:rPr>
        <w:t xml:space="preserve">. Available at: </w:t>
      </w:r>
      <w:hyperlink r:id="rId13" w:history="1">
        <w:r w:rsidRPr="00A26A74">
          <w:rPr>
            <w:rStyle w:val="Hyperlink"/>
            <w:rFonts w:ascii="Arial" w:hAnsi="Arial" w:cs="Arial"/>
            <w:sz w:val="22"/>
            <w:szCs w:val="22"/>
          </w:rPr>
          <w:t>https://www.england.nhs.uk/</w:t>
        </w:r>
        <w:r w:rsidRPr="00A26A74">
          <w:rPr>
            <w:rStyle w:val="Hyperlink"/>
            <w:rFonts w:ascii="Arial" w:hAnsi="Arial" w:cs="Arial"/>
            <w:sz w:val="22"/>
            <w:szCs w:val="22"/>
          </w:rPr>
          <w:t>m</w:t>
        </w:r>
        <w:r w:rsidRPr="00A26A74">
          <w:rPr>
            <w:rStyle w:val="Hyperlink"/>
            <w:rFonts w:ascii="Arial" w:hAnsi="Arial" w:cs="Arial"/>
            <w:sz w:val="22"/>
            <w:szCs w:val="22"/>
          </w:rPr>
          <w:t>ental-health/case-studies/</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04971C7D"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e)</w:t>
      </w:r>
      <w:r w:rsidRPr="00A26A74">
        <w:rPr>
          <w:rFonts w:ascii="Arial" w:hAnsi="Arial" w:cs="Arial"/>
          <w:sz w:val="22"/>
          <w:szCs w:val="22"/>
        </w:rPr>
        <w:t xml:space="preserve">. </w:t>
      </w:r>
      <w:r w:rsidRPr="00A26A74">
        <w:rPr>
          <w:rFonts w:ascii="Arial" w:hAnsi="Arial" w:cs="Arial"/>
          <w:i/>
          <w:iCs/>
          <w:sz w:val="22"/>
          <w:szCs w:val="22"/>
        </w:rPr>
        <w:t>Adult and older adult mental health</w:t>
      </w:r>
      <w:r w:rsidRPr="00A26A74">
        <w:rPr>
          <w:rFonts w:ascii="Arial" w:hAnsi="Arial" w:cs="Arial"/>
          <w:sz w:val="22"/>
          <w:szCs w:val="22"/>
        </w:rPr>
        <w:t xml:space="preserve">. Available at: </w:t>
      </w:r>
      <w:hyperlink r:id="rId14" w:history="1">
        <w:r w:rsidRPr="00A26A74">
          <w:rPr>
            <w:rStyle w:val="Hyperlink"/>
            <w:rFonts w:ascii="Arial" w:hAnsi="Arial" w:cs="Arial"/>
            <w:sz w:val="22"/>
            <w:szCs w:val="22"/>
          </w:rPr>
          <w:t>https://www.england.nhs.uk/mental-health/adults/</w:t>
        </w:r>
      </w:hyperlink>
      <w:r w:rsidRPr="00A26A74">
        <w:rPr>
          <w:rFonts w:ascii="Arial" w:hAnsi="Arial" w:cs="Arial"/>
          <w:sz w:val="22"/>
          <w:szCs w:val="22"/>
        </w:rPr>
        <w:t xml:space="preserve"> </w:t>
      </w:r>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342CA2C1"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f)</w:t>
      </w:r>
      <w:r w:rsidRPr="00A26A74">
        <w:rPr>
          <w:rFonts w:ascii="Arial" w:hAnsi="Arial" w:cs="Arial"/>
          <w:sz w:val="22"/>
          <w:szCs w:val="22"/>
        </w:rPr>
        <w:t xml:space="preserve">. </w:t>
      </w:r>
      <w:r w:rsidRPr="00A26A74">
        <w:rPr>
          <w:rFonts w:ascii="Arial" w:hAnsi="Arial" w:cs="Arial"/>
          <w:i/>
          <w:iCs/>
          <w:sz w:val="22"/>
          <w:szCs w:val="22"/>
        </w:rPr>
        <w:t>The NHS Long Term Plan</w:t>
      </w:r>
      <w:r w:rsidRPr="00A26A74">
        <w:rPr>
          <w:rFonts w:ascii="Arial" w:hAnsi="Arial" w:cs="Arial"/>
          <w:sz w:val="22"/>
          <w:szCs w:val="22"/>
        </w:rPr>
        <w:t xml:space="preserve">. Available at: </w:t>
      </w:r>
      <w:hyperlink r:id="rId15" w:history="1">
        <w:r w:rsidRPr="00A26A74">
          <w:rPr>
            <w:rStyle w:val="Hyperlink"/>
            <w:rFonts w:ascii="Arial" w:hAnsi="Arial" w:cs="Arial"/>
            <w:sz w:val="22"/>
            <w:szCs w:val="22"/>
          </w:rPr>
          <w:t>https://www.longt</w:t>
        </w:r>
        <w:r w:rsidRPr="00A26A74">
          <w:rPr>
            <w:rStyle w:val="Hyperlink"/>
            <w:rFonts w:ascii="Arial" w:hAnsi="Arial" w:cs="Arial"/>
            <w:sz w:val="22"/>
            <w:szCs w:val="22"/>
          </w:rPr>
          <w:t>e</w:t>
        </w:r>
        <w:r w:rsidRPr="00A26A74">
          <w:rPr>
            <w:rStyle w:val="Hyperlink"/>
            <w:rFonts w:ascii="Arial" w:hAnsi="Arial" w:cs="Arial"/>
            <w:sz w:val="22"/>
            <w:szCs w:val="22"/>
          </w:rPr>
          <w:t>r</w:t>
        </w:r>
        <w:r w:rsidRPr="00A26A74">
          <w:rPr>
            <w:rStyle w:val="Hyperlink"/>
            <w:rFonts w:ascii="Arial" w:hAnsi="Arial" w:cs="Arial"/>
            <w:sz w:val="22"/>
            <w:szCs w:val="22"/>
          </w:rPr>
          <w:t>m</w:t>
        </w:r>
        <w:r w:rsidRPr="00A26A74">
          <w:rPr>
            <w:rStyle w:val="Hyperlink"/>
            <w:rFonts w:ascii="Arial" w:hAnsi="Arial" w:cs="Arial"/>
            <w:sz w:val="22"/>
            <w:szCs w:val="22"/>
          </w:rPr>
          <w:t>plan.nhs.uk/</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2F6C9A8F"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g)</w:t>
      </w:r>
      <w:r w:rsidRPr="00A26A74">
        <w:rPr>
          <w:rFonts w:ascii="Arial" w:hAnsi="Arial" w:cs="Arial"/>
          <w:sz w:val="22"/>
          <w:szCs w:val="22"/>
        </w:rPr>
        <w:t xml:space="preserve">. </w:t>
      </w:r>
      <w:r w:rsidRPr="00A26A74">
        <w:rPr>
          <w:rFonts w:ascii="Arial" w:hAnsi="Arial" w:cs="Arial"/>
          <w:i/>
          <w:iCs/>
          <w:sz w:val="22"/>
          <w:szCs w:val="22"/>
        </w:rPr>
        <w:t>One in five children and young people had a probable mental disorder in 2023</w:t>
      </w:r>
      <w:r w:rsidRPr="00A26A74">
        <w:rPr>
          <w:rFonts w:ascii="Arial" w:hAnsi="Arial" w:cs="Arial"/>
          <w:sz w:val="22"/>
          <w:szCs w:val="22"/>
        </w:rPr>
        <w:t xml:space="preserve">. Available at: </w:t>
      </w:r>
      <w:hyperlink r:id="rId16" w:history="1">
        <w:r w:rsidRPr="00A26A74">
          <w:rPr>
            <w:rStyle w:val="Hyperlink"/>
            <w:rFonts w:ascii="Arial" w:hAnsi="Arial" w:cs="Arial"/>
            <w:sz w:val="22"/>
            <w:szCs w:val="22"/>
          </w:rPr>
          <w:t>https://www.england.nhs.uk/2023/11/one-in-five-children-and-young-people-had-a-probable-mental-disorder-in-2023/</w:t>
        </w:r>
      </w:hyperlink>
      <w:r w:rsidRPr="00A26A74">
        <w:rPr>
          <w:rFonts w:ascii="Arial" w:hAnsi="Arial" w:cs="Arial"/>
          <w:sz w:val="22"/>
          <w:szCs w:val="22"/>
        </w:rPr>
        <w:t xml:space="preserve"> </w:t>
      </w:r>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74722E9F"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lastRenderedPageBreak/>
        <w:t xml:space="preserve">NHS Lothian, </w:t>
      </w:r>
      <w:r w:rsidRPr="00A26A74">
        <w:rPr>
          <w:rFonts w:ascii="Arial" w:hAnsi="Arial" w:cs="Arial"/>
          <w:sz w:val="22"/>
          <w:szCs w:val="22"/>
        </w:rPr>
        <w:t>(</w:t>
      </w:r>
      <w:r w:rsidRPr="00A26A74">
        <w:rPr>
          <w:rFonts w:ascii="Arial" w:hAnsi="Arial" w:cs="Arial"/>
          <w:sz w:val="22"/>
          <w:szCs w:val="22"/>
        </w:rPr>
        <w:t>2025</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Complex Encopresis/Enuresis (CAMHS)</w:t>
      </w:r>
      <w:r w:rsidRPr="00A26A74">
        <w:rPr>
          <w:rFonts w:ascii="Arial" w:hAnsi="Arial" w:cs="Arial"/>
          <w:sz w:val="22"/>
          <w:szCs w:val="22"/>
        </w:rPr>
        <w:t xml:space="preserve">. Available at: </w:t>
      </w:r>
      <w:hyperlink r:id="rId17" w:history="1">
        <w:r w:rsidRPr="00A26A74">
          <w:rPr>
            <w:rStyle w:val="Hyperlink"/>
            <w:rFonts w:ascii="Arial" w:hAnsi="Arial" w:cs="Arial"/>
            <w:sz w:val="22"/>
            <w:szCs w:val="22"/>
          </w:rPr>
          <w:t>https://apps.n</w:t>
        </w:r>
        <w:r w:rsidRPr="00A26A74">
          <w:rPr>
            <w:rStyle w:val="Hyperlink"/>
            <w:rFonts w:ascii="Arial" w:hAnsi="Arial" w:cs="Arial"/>
            <w:sz w:val="22"/>
            <w:szCs w:val="22"/>
          </w:rPr>
          <w:t>h</w:t>
        </w:r>
        <w:r w:rsidRPr="00A26A74">
          <w:rPr>
            <w:rStyle w:val="Hyperlink"/>
            <w:rFonts w:ascii="Arial" w:hAnsi="Arial" w:cs="Arial"/>
            <w:sz w:val="22"/>
            <w:szCs w:val="22"/>
          </w:rPr>
          <w:t>slothian.scot/refhelp/guidelines/childandadolescentmentalhealthcamh/complex-encopresis-enuresis-camhs/</w:t>
        </w:r>
      </w:hyperlink>
      <w:r w:rsidRPr="00A26A74">
        <w:rPr>
          <w:rFonts w:ascii="Arial" w:hAnsi="Arial" w:cs="Arial"/>
          <w:sz w:val="22"/>
          <w:szCs w:val="22"/>
        </w:rPr>
        <w:t xml:space="preserve"> </w:t>
      </w:r>
      <w:r w:rsidRPr="00A26A74">
        <w:rPr>
          <w:rFonts w:ascii="Arial" w:hAnsi="Arial" w:cs="Arial"/>
          <w:sz w:val="22"/>
          <w:szCs w:val="22"/>
        </w:rPr>
        <w:t>(Accessed: 1</w:t>
      </w:r>
      <w:r w:rsidRPr="00A26A74">
        <w:rPr>
          <w:rFonts w:ascii="Arial" w:hAnsi="Arial" w:cs="Arial"/>
          <w:sz w:val="22"/>
          <w:szCs w:val="22"/>
        </w:rPr>
        <w:t>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B737F53"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NICE, </w:t>
      </w:r>
      <w:r w:rsidRPr="00A26A74">
        <w:rPr>
          <w:rFonts w:ascii="Arial" w:hAnsi="Arial" w:cs="Arial"/>
          <w:sz w:val="22"/>
          <w:szCs w:val="22"/>
        </w:rPr>
        <w:t>(</w:t>
      </w:r>
      <w:r w:rsidRPr="00A26A74">
        <w:rPr>
          <w:rFonts w:ascii="Arial" w:hAnsi="Arial" w:cs="Arial"/>
          <w:sz w:val="22"/>
          <w:szCs w:val="22"/>
        </w:rPr>
        <w:t>2025</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Bedwetting in children and young people</w:t>
      </w:r>
      <w:r w:rsidRPr="00A26A74">
        <w:rPr>
          <w:rFonts w:ascii="Arial" w:hAnsi="Arial" w:cs="Arial"/>
          <w:sz w:val="22"/>
          <w:szCs w:val="22"/>
        </w:rPr>
        <w:t xml:space="preserve">. Available at: </w:t>
      </w:r>
      <w:hyperlink r:id="rId18" w:history="1">
        <w:r w:rsidRPr="00A26A74">
          <w:rPr>
            <w:rStyle w:val="Hyperlink"/>
            <w:rFonts w:ascii="Arial" w:hAnsi="Arial" w:cs="Arial"/>
            <w:sz w:val="22"/>
            <w:szCs w:val="22"/>
          </w:rPr>
          <w:t>https://www.nice.org.uk/guid</w:t>
        </w:r>
        <w:r w:rsidRPr="00A26A74">
          <w:rPr>
            <w:rStyle w:val="Hyperlink"/>
            <w:rFonts w:ascii="Arial" w:hAnsi="Arial" w:cs="Arial"/>
            <w:sz w:val="22"/>
            <w:szCs w:val="22"/>
          </w:rPr>
          <w:t>a</w:t>
        </w:r>
        <w:r w:rsidRPr="00A26A74">
          <w:rPr>
            <w:rStyle w:val="Hyperlink"/>
            <w:rFonts w:ascii="Arial" w:hAnsi="Arial" w:cs="Arial"/>
            <w:sz w:val="22"/>
            <w:szCs w:val="22"/>
          </w:rPr>
          <w:t>nce/cg111</w:t>
        </w:r>
      </w:hyperlink>
      <w:r w:rsidRPr="00A26A74">
        <w:rPr>
          <w:rFonts w:ascii="Arial" w:hAnsi="Arial" w:cs="Arial"/>
          <w:sz w:val="22"/>
          <w:szCs w:val="22"/>
        </w:rPr>
        <w:t xml:space="preserve"> </w:t>
      </w:r>
      <w:r w:rsidRPr="00A26A74">
        <w:rPr>
          <w:rFonts w:ascii="Arial" w:hAnsi="Arial" w:cs="Arial"/>
          <w:sz w:val="22"/>
          <w:szCs w:val="22"/>
        </w:rPr>
        <w:t xml:space="preserve"> (Accessed: 1</w:t>
      </w:r>
      <w:r w:rsidRPr="00A26A74">
        <w:rPr>
          <w:rFonts w:ascii="Arial" w:hAnsi="Arial" w:cs="Arial"/>
          <w:sz w:val="22"/>
          <w:szCs w:val="22"/>
        </w:rPr>
        <w:t>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78E86CD7"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Shropshire Community Health</w:t>
      </w:r>
      <w:r w:rsidRPr="00A26A74">
        <w:rPr>
          <w:rFonts w:ascii="Arial" w:hAnsi="Arial" w:cs="Arial"/>
          <w:sz w:val="22"/>
          <w:szCs w:val="22"/>
        </w:rPr>
        <w:t xml:space="preserve"> (</w:t>
      </w:r>
      <w:r w:rsidRPr="00A26A74">
        <w:rPr>
          <w:rFonts w:ascii="Arial" w:hAnsi="Arial" w:cs="Arial"/>
          <w:sz w:val="22"/>
          <w:szCs w:val="22"/>
        </w:rPr>
        <w:t>2025</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Enuresis Policy</w:t>
      </w:r>
      <w:r w:rsidRPr="00A26A74">
        <w:rPr>
          <w:rFonts w:ascii="Arial" w:hAnsi="Arial" w:cs="Arial"/>
          <w:sz w:val="22"/>
          <w:szCs w:val="22"/>
        </w:rPr>
        <w:t xml:space="preserve">. [pdf] Available at: </w:t>
      </w:r>
      <w:hyperlink r:id="rId19" w:history="1">
        <w:r w:rsidRPr="00A26A74">
          <w:rPr>
            <w:rStyle w:val="Hyperlink"/>
            <w:rFonts w:ascii="Arial" w:hAnsi="Arial" w:cs="Arial"/>
            <w:sz w:val="22"/>
            <w:szCs w:val="22"/>
          </w:rPr>
          <w:t>https://www.shropscomm</w:t>
        </w:r>
        <w:r w:rsidRPr="00A26A74">
          <w:rPr>
            <w:rStyle w:val="Hyperlink"/>
            <w:rFonts w:ascii="Arial" w:hAnsi="Arial" w:cs="Arial"/>
            <w:sz w:val="22"/>
            <w:szCs w:val="22"/>
          </w:rPr>
          <w:t>u</w:t>
        </w:r>
        <w:r w:rsidRPr="00A26A74">
          <w:rPr>
            <w:rStyle w:val="Hyperlink"/>
            <w:rFonts w:ascii="Arial" w:hAnsi="Arial" w:cs="Arial"/>
            <w:sz w:val="22"/>
            <w:szCs w:val="22"/>
          </w:rPr>
          <w:t>nityhealth.nhs.uk/content/doclib/10354.pdf</w:t>
        </w:r>
      </w:hyperlink>
      <w:r w:rsidRPr="00A26A74">
        <w:rPr>
          <w:rFonts w:ascii="Arial" w:hAnsi="Arial" w:cs="Arial"/>
          <w:sz w:val="22"/>
          <w:szCs w:val="22"/>
        </w:rPr>
        <w:t xml:space="preserve"> </w:t>
      </w:r>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07A45E3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V</w:t>
      </w:r>
      <w:r w:rsidRPr="00A26A74">
        <w:rPr>
          <w:rFonts w:ascii="Arial" w:hAnsi="Arial" w:cs="Arial"/>
          <w:sz w:val="22"/>
          <w:szCs w:val="22"/>
        </w:rPr>
        <w:t xml:space="preserve">on Gontard, A., </w:t>
      </w:r>
      <w:r w:rsidRPr="00A26A74">
        <w:rPr>
          <w:rFonts w:ascii="Arial" w:hAnsi="Arial" w:cs="Arial"/>
          <w:sz w:val="22"/>
          <w:szCs w:val="22"/>
        </w:rPr>
        <w:t>(</w:t>
      </w:r>
      <w:r w:rsidRPr="00A26A74">
        <w:rPr>
          <w:rFonts w:ascii="Arial" w:hAnsi="Arial" w:cs="Arial"/>
          <w:sz w:val="22"/>
          <w:szCs w:val="22"/>
        </w:rPr>
        <w:t>2020</w:t>
      </w:r>
      <w:r w:rsidRPr="00A26A74">
        <w:rPr>
          <w:rFonts w:ascii="Arial" w:hAnsi="Arial" w:cs="Arial"/>
          <w:sz w:val="22"/>
          <w:szCs w:val="22"/>
        </w:rPr>
        <w:t>)</w:t>
      </w:r>
      <w:r w:rsidRPr="00A26A74">
        <w:rPr>
          <w:rFonts w:ascii="Arial" w:hAnsi="Arial" w:cs="Arial"/>
          <w:sz w:val="22"/>
          <w:szCs w:val="22"/>
        </w:rPr>
        <w:t xml:space="preserve">. Elimination disorders – ICD-11 classification and definitions. </w:t>
      </w:r>
      <w:r w:rsidRPr="00A26A74">
        <w:rPr>
          <w:rFonts w:ascii="Arial" w:hAnsi="Arial" w:cs="Arial"/>
          <w:i/>
          <w:iCs/>
          <w:sz w:val="22"/>
          <w:szCs w:val="22"/>
        </w:rPr>
        <w:t>Zeitschrift für Kinder- und Jugendpsychiatrie und Psychotherapie</w:t>
      </w:r>
      <w:r w:rsidRPr="00A26A74">
        <w:rPr>
          <w:rFonts w:ascii="Arial" w:hAnsi="Arial" w:cs="Arial"/>
          <w:sz w:val="22"/>
          <w:szCs w:val="22"/>
        </w:rPr>
        <w:t>, 49(6), pp.421–428.</w:t>
      </w:r>
      <w:r w:rsidRPr="00A26A74">
        <w:rPr>
          <w:rFonts w:ascii="Arial" w:hAnsi="Arial" w:cs="Arial"/>
          <w:sz w:val="22"/>
          <w:szCs w:val="22"/>
        </w:rPr>
        <w:t xml:space="preserve"> </w:t>
      </w:r>
      <w:r w:rsidRPr="00A26A74">
        <w:rPr>
          <w:rFonts w:ascii="Arial" w:hAnsi="Arial" w:cs="Arial"/>
          <w:sz w:val="22"/>
          <w:szCs w:val="22"/>
        </w:rPr>
        <w:t>(Accessed: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47BED286"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WHO </w:t>
      </w:r>
      <w:r w:rsidRPr="00A26A74">
        <w:rPr>
          <w:rFonts w:ascii="Arial" w:hAnsi="Arial" w:cs="Arial"/>
          <w:sz w:val="22"/>
          <w:szCs w:val="22"/>
        </w:rPr>
        <w:t>(</w:t>
      </w:r>
      <w:r w:rsidRPr="00A26A74">
        <w:rPr>
          <w:rFonts w:ascii="Arial" w:hAnsi="Arial" w:cs="Arial"/>
          <w:sz w:val="22"/>
          <w:szCs w:val="22"/>
        </w:rPr>
        <w:t>2023</w:t>
      </w:r>
      <w:r w:rsidRPr="00A26A74">
        <w:rPr>
          <w:rFonts w:ascii="Arial" w:hAnsi="Arial" w:cs="Arial"/>
          <w:sz w:val="22"/>
          <w:szCs w:val="22"/>
        </w:rPr>
        <w:t>)</w:t>
      </w:r>
      <w:r w:rsidRPr="00A26A74">
        <w:rPr>
          <w:rFonts w:ascii="Arial" w:hAnsi="Arial" w:cs="Arial"/>
          <w:sz w:val="22"/>
          <w:szCs w:val="22"/>
        </w:rPr>
        <w:t xml:space="preserve">. </w:t>
      </w:r>
      <w:r w:rsidRPr="00A26A74">
        <w:rPr>
          <w:rFonts w:ascii="Arial" w:hAnsi="Arial" w:cs="Arial"/>
          <w:i/>
          <w:iCs/>
          <w:sz w:val="22"/>
          <w:szCs w:val="22"/>
        </w:rPr>
        <w:t>ICD-11 International Classification of Diseases</w:t>
      </w:r>
      <w:r w:rsidRPr="00A26A74">
        <w:rPr>
          <w:rFonts w:ascii="Arial" w:hAnsi="Arial" w:cs="Arial"/>
          <w:sz w:val="22"/>
          <w:szCs w:val="22"/>
        </w:rPr>
        <w:t xml:space="preserve">. Available at: </w:t>
      </w:r>
      <w:hyperlink r:id="rId20" w:history="1">
        <w:r w:rsidRPr="00A26A74">
          <w:rPr>
            <w:rStyle w:val="Hyperlink"/>
            <w:rFonts w:ascii="Arial" w:hAnsi="Arial" w:cs="Arial"/>
            <w:sz w:val="22"/>
            <w:szCs w:val="22"/>
          </w:rPr>
          <w:t>https://icd.</w:t>
        </w:r>
        <w:r w:rsidRPr="00A26A74">
          <w:rPr>
            <w:rStyle w:val="Hyperlink"/>
            <w:rFonts w:ascii="Arial" w:hAnsi="Arial" w:cs="Arial"/>
            <w:sz w:val="22"/>
            <w:szCs w:val="22"/>
          </w:rPr>
          <w:t>w</w:t>
        </w:r>
        <w:r w:rsidRPr="00A26A74">
          <w:rPr>
            <w:rStyle w:val="Hyperlink"/>
            <w:rFonts w:ascii="Arial" w:hAnsi="Arial" w:cs="Arial"/>
            <w:sz w:val="22"/>
            <w:szCs w:val="22"/>
          </w:rPr>
          <w:t>ho.int/en/</w:t>
        </w:r>
      </w:hyperlink>
      <w:r w:rsidRPr="00A26A74">
        <w:rPr>
          <w:rFonts w:ascii="Arial" w:hAnsi="Arial" w:cs="Arial"/>
          <w:sz w:val="22"/>
          <w:szCs w:val="22"/>
        </w:rPr>
        <w:t xml:space="preserve"> </w:t>
      </w:r>
      <w:r w:rsidRPr="00A26A74">
        <w:rPr>
          <w:rFonts w:ascii="Arial" w:hAnsi="Arial" w:cs="Arial"/>
          <w:sz w:val="22"/>
          <w:szCs w:val="22"/>
        </w:rPr>
        <w:t>(Accessed: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sectPr w:rsidR="00A26A74" w:rsidRPr="00A26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1468"/>
    <w:multiLevelType w:val="multilevel"/>
    <w:tmpl w:val="3A7E7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83FDB"/>
    <w:multiLevelType w:val="multilevel"/>
    <w:tmpl w:val="0DAC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C4968"/>
    <w:multiLevelType w:val="multilevel"/>
    <w:tmpl w:val="B906C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43E7C"/>
    <w:multiLevelType w:val="multilevel"/>
    <w:tmpl w:val="C4D8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64D75"/>
    <w:multiLevelType w:val="multilevel"/>
    <w:tmpl w:val="893A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E74BA"/>
    <w:multiLevelType w:val="multilevel"/>
    <w:tmpl w:val="C8B8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E976E1"/>
    <w:multiLevelType w:val="multilevel"/>
    <w:tmpl w:val="DB9A6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B5893"/>
    <w:multiLevelType w:val="hybridMultilevel"/>
    <w:tmpl w:val="839C8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D8517B"/>
    <w:multiLevelType w:val="hybridMultilevel"/>
    <w:tmpl w:val="5DDAE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C3228"/>
    <w:multiLevelType w:val="multilevel"/>
    <w:tmpl w:val="BB44A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CD5F20"/>
    <w:multiLevelType w:val="multilevel"/>
    <w:tmpl w:val="15FCC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B41843"/>
    <w:multiLevelType w:val="multilevel"/>
    <w:tmpl w:val="CF06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EE67D7"/>
    <w:multiLevelType w:val="multilevel"/>
    <w:tmpl w:val="ED128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9D18AC"/>
    <w:multiLevelType w:val="hybridMultilevel"/>
    <w:tmpl w:val="5C14C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B15B0F"/>
    <w:multiLevelType w:val="multilevel"/>
    <w:tmpl w:val="4828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6261BD"/>
    <w:multiLevelType w:val="multilevel"/>
    <w:tmpl w:val="D3888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C25FE"/>
    <w:multiLevelType w:val="multilevel"/>
    <w:tmpl w:val="96FC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82237"/>
    <w:multiLevelType w:val="multilevel"/>
    <w:tmpl w:val="9020A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5959EB"/>
    <w:multiLevelType w:val="multilevel"/>
    <w:tmpl w:val="887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AE6893"/>
    <w:multiLevelType w:val="hybridMultilevel"/>
    <w:tmpl w:val="9AA888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231D37"/>
    <w:multiLevelType w:val="multilevel"/>
    <w:tmpl w:val="C730336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FC1E98"/>
    <w:multiLevelType w:val="multilevel"/>
    <w:tmpl w:val="AB7E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B55086"/>
    <w:multiLevelType w:val="multilevel"/>
    <w:tmpl w:val="DBC4A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5836777">
    <w:abstractNumId w:val="22"/>
  </w:num>
  <w:num w:numId="2" w16cid:durableId="1938902322">
    <w:abstractNumId w:val="0"/>
  </w:num>
  <w:num w:numId="3" w16cid:durableId="519585302">
    <w:abstractNumId w:val="10"/>
  </w:num>
  <w:num w:numId="4" w16cid:durableId="1053500972">
    <w:abstractNumId w:val="7"/>
  </w:num>
  <w:num w:numId="5" w16cid:durableId="1323849918">
    <w:abstractNumId w:val="5"/>
  </w:num>
  <w:num w:numId="6" w16cid:durableId="2127506182">
    <w:abstractNumId w:val="9"/>
  </w:num>
  <w:num w:numId="7" w16cid:durableId="253782032">
    <w:abstractNumId w:val="14"/>
  </w:num>
  <w:num w:numId="8" w16cid:durableId="1424690001">
    <w:abstractNumId w:val="3"/>
  </w:num>
  <w:num w:numId="9" w16cid:durableId="1020352226">
    <w:abstractNumId w:val="16"/>
  </w:num>
  <w:num w:numId="10" w16cid:durableId="2125540652">
    <w:abstractNumId w:val="17"/>
  </w:num>
  <w:num w:numId="11" w16cid:durableId="419185250">
    <w:abstractNumId w:val="4"/>
  </w:num>
  <w:num w:numId="12" w16cid:durableId="429080716">
    <w:abstractNumId w:val="11"/>
  </w:num>
  <w:num w:numId="13" w16cid:durableId="547571342">
    <w:abstractNumId w:val="21"/>
  </w:num>
  <w:num w:numId="14" w16cid:durableId="391347596">
    <w:abstractNumId w:val="1"/>
  </w:num>
  <w:num w:numId="15" w16cid:durableId="427697400">
    <w:abstractNumId w:val="15"/>
  </w:num>
  <w:num w:numId="16" w16cid:durableId="2109347353">
    <w:abstractNumId w:val="2"/>
  </w:num>
  <w:num w:numId="17" w16cid:durableId="1494762481">
    <w:abstractNumId w:val="20"/>
  </w:num>
  <w:num w:numId="18" w16cid:durableId="57287051">
    <w:abstractNumId w:val="12"/>
  </w:num>
  <w:num w:numId="19" w16cid:durableId="1879930898">
    <w:abstractNumId w:val="6"/>
  </w:num>
  <w:num w:numId="20" w16cid:durableId="303043880">
    <w:abstractNumId w:val="18"/>
  </w:num>
  <w:num w:numId="21" w16cid:durableId="906110011">
    <w:abstractNumId w:val="8"/>
  </w:num>
  <w:num w:numId="22" w16cid:durableId="541097657">
    <w:abstractNumId w:val="19"/>
  </w:num>
  <w:num w:numId="23" w16cid:durableId="17570202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64"/>
    <w:rsid w:val="0020794E"/>
    <w:rsid w:val="00272109"/>
    <w:rsid w:val="00453A4E"/>
    <w:rsid w:val="00491F71"/>
    <w:rsid w:val="00736BA0"/>
    <w:rsid w:val="00900C64"/>
    <w:rsid w:val="00A26A74"/>
    <w:rsid w:val="00AC5CD3"/>
    <w:rsid w:val="00BE4C8F"/>
    <w:rsid w:val="00C45176"/>
    <w:rsid w:val="00D41053"/>
    <w:rsid w:val="00EF4A21"/>
    <w:rsid w:val="00FF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9D192"/>
  <w15:chartTrackingRefBased/>
  <w15:docId w15:val="{8599D4D2-7419-46AB-855B-E3E377F9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C64"/>
  </w:style>
  <w:style w:type="paragraph" w:styleId="Heading1">
    <w:name w:val="heading 1"/>
    <w:basedOn w:val="Normal"/>
    <w:next w:val="Normal"/>
    <w:link w:val="Heading1Char"/>
    <w:uiPriority w:val="9"/>
    <w:qFormat/>
    <w:rsid w:val="00900C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C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C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C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C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C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C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C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C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C64"/>
    <w:rPr>
      <w:rFonts w:eastAsiaTheme="majorEastAsia" w:cstheme="majorBidi"/>
      <w:color w:val="272727" w:themeColor="text1" w:themeTint="D8"/>
    </w:rPr>
  </w:style>
  <w:style w:type="paragraph" w:styleId="Title">
    <w:name w:val="Title"/>
    <w:basedOn w:val="Normal"/>
    <w:next w:val="Normal"/>
    <w:link w:val="TitleChar"/>
    <w:uiPriority w:val="10"/>
    <w:qFormat/>
    <w:rsid w:val="00900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C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C64"/>
    <w:pPr>
      <w:spacing w:before="160"/>
      <w:jc w:val="center"/>
    </w:pPr>
    <w:rPr>
      <w:i/>
      <w:iCs/>
      <w:color w:val="404040" w:themeColor="text1" w:themeTint="BF"/>
    </w:rPr>
  </w:style>
  <w:style w:type="character" w:customStyle="1" w:styleId="QuoteChar">
    <w:name w:val="Quote Char"/>
    <w:basedOn w:val="DefaultParagraphFont"/>
    <w:link w:val="Quote"/>
    <w:uiPriority w:val="29"/>
    <w:rsid w:val="00900C64"/>
    <w:rPr>
      <w:i/>
      <w:iCs/>
      <w:color w:val="404040" w:themeColor="text1" w:themeTint="BF"/>
    </w:rPr>
  </w:style>
  <w:style w:type="paragraph" w:styleId="ListParagraph">
    <w:name w:val="List Paragraph"/>
    <w:basedOn w:val="Normal"/>
    <w:uiPriority w:val="34"/>
    <w:qFormat/>
    <w:rsid w:val="00900C64"/>
    <w:pPr>
      <w:ind w:left="720"/>
      <w:contextualSpacing/>
    </w:pPr>
  </w:style>
  <w:style w:type="character" w:styleId="IntenseEmphasis">
    <w:name w:val="Intense Emphasis"/>
    <w:basedOn w:val="DefaultParagraphFont"/>
    <w:uiPriority w:val="21"/>
    <w:qFormat/>
    <w:rsid w:val="00900C64"/>
    <w:rPr>
      <w:i/>
      <w:iCs/>
      <w:color w:val="0F4761" w:themeColor="accent1" w:themeShade="BF"/>
    </w:rPr>
  </w:style>
  <w:style w:type="paragraph" w:styleId="IntenseQuote">
    <w:name w:val="Intense Quote"/>
    <w:basedOn w:val="Normal"/>
    <w:next w:val="Normal"/>
    <w:link w:val="IntenseQuoteChar"/>
    <w:uiPriority w:val="30"/>
    <w:qFormat/>
    <w:rsid w:val="00900C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C64"/>
    <w:rPr>
      <w:i/>
      <w:iCs/>
      <w:color w:val="0F4761" w:themeColor="accent1" w:themeShade="BF"/>
    </w:rPr>
  </w:style>
  <w:style w:type="character" w:styleId="IntenseReference">
    <w:name w:val="Intense Reference"/>
    <w:basedOn w:val="DefaultParagraphFont"/>
    <w:uiPriority w:val="32"/>
    <w:qFormat/>
    <w:rsid w:val="00900C64"/>
    <w:rPr>
      <w:b/>
      <w:bCs/>
      <w:smallCaps/>
      <w:color w:val="0F4761" w:themeColor="accent1" w:themeShade="BF"/>
      <w:spacing w:val="5"/>
    </w:rPr>
  </w:style>
  <w:style w:type="paragraph" w:customStyle="1" w:styleId="paragraph">
    <w:name w:val="paragraph"/>
    <w:basedOn w:val="Normal"/>
    <w:rsid w:val="00900C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00C64"/>
  </w:style>
  <w:style w:type="character" w:styleId="Hyperlink">
    <w:name w:val="Hyperlink"/>
    <w:basedOn w:val="DefaultParagraphFont"/>
    <w:uiPriority w:val="99"/>
    <w:unhideWhenUsed/>
    <w:rsid w:val="00C45176"/>
    <w:rPr>
      <w:color w:val="467886" w:themeColor="hyperlink"/>
      <w:u w:val="single"/>
    </w:rPr>
  </w:style>
  <w:style w:type="character" w:styleId="UnresolvedMention">
    <w:name w:val="Unresolved Mention"/>
    <w:basedOn w:val="DefaultParagraphFont"/>
    <w:uiPriority w:val="99"/>
    <w:semiHidden/>
    <w:unhideWhenUsed/>
    <w:rsid w:val="00C45176"/>
    <w:rPr>
      <w:color w:val="605E5C"/>
      <w:shd w:val="clear" w:color="auto" w:fill="E1DFDD"/>
    </w:rPr>
  </w:style>
  <w:style w:type="character" w:styleId="FollowedHyperlink">
    <w:name w:val="FollowedHyperlink"/>
    <w:basedOn w:val="DefaultParagraphFont"/>
    <w:uiPriority w:val="99"/>
    <w:semiHidden/>
    <w:unhideWhenUsed/>
    <w:rsid w:val="00C451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book/10.1007/978-3-031-24926-6" TargetMode="External"/><Relationship Id="rId13" Type="http://schemas.openxmlformats.org/officeDocument/2006/relationships/hyperlink" Target="https://www.england.nhs.uk/mental-health/case-studies/" TargetMode="External"/><Relationship Id="rId18" Type="http://schemas.openxmlformats.org/officeDocument/2006/relationships/hyperlink" Target="https://www.nice.org.uk/guidance/cg11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iowhealthcare.nhs.uk/our-services/a-z-list-of-services/community-paediatric-continence-service" TargetMode="External"/><Relationship Id="rId12" Type="http://schemas.openxmlformats.org/officeDocument/2006/relationships/hyperlink" Target="https://www.england.nhs.uk/long-read/urgent-and-emergency-mental-health-care-for-children-and-young-people-national-implementation-guidance/" TargetMode="External"/><Relationship Id="rId17" Type="http://schemas.openxmlformats.org/officeDocument/2006/relationships/hyperlink" Target="https://apps.nhslothian.scot/refhelp/guidelines/childandadolescentmentalhealthcamh/complex-encopresis-enuresis-camhs/" TargetMode="External"/><Relationship Id="rId2" Type="http://schemas.openxmlformats.org/officeDocument/2006/relationships/styles" Target="styles.xml"/><Relationship Id="rId16" Type="http://schemas.openxmlformats.org/officeDocument/2006/relationships/hyperlink" Target="https://www.england.nhs.uk/2023/11/one-in-five-children-and-young-people-had-a-probable-mental-disorder-in-2023/" TargetMode="External"/><Relationship Id="rId20" Type="http://schemas.openxmlformats.org/officeDocument/2006/relationships/hyperlink" Target="https://icd.who.int/en/" TargetMode="External"/><Relationship Id="rId1" Type="http://schemas.openxmlformats.org/officeDocument/2006/relationships/numbering" Target="numbering.xml"/><Relationship Id="rId6" Type="http://schemas.openxmlformats.org/officeDocument/2006/relationships/hyperlink" Target="https://www.gosh.nhs.uk/conditions-and-treatments/conditions-we-treat/bowel-incontinence/" TargetMode="External"/><Relationship Id="rId11" Type="http://schemas.openxmlformats.org/officeDocument/2006/relationships/hyperlink" Target="https://www.nhs.uk/mental-health/conditions/" TargetMode="External"/><Relationship Id="rId5" Type="http://schemas.openxmlformats.org/officeDocument/2006/relationships/image" Target="media/image1.png"/><Relationship Id="rId15" Type="http://schemas.openxmlformats.org/officeDocument/2006/relationships/hyperlink" Target="https://www.longtermplan.nhs.uk/" TargetMode="External"/><Relationship Id="rId10" Type="http://schemas.openxmlformats.org/officeDocument/2006/relationships/hyperlink" Target="https://www.england.nhs.uk/mental-health/cyp/" TargetMode="External"/><Relationship Id="rId19" Type="http://schemas.openxmlformats.org/officeDocument/2006/relationships/hyperlink" Target="https://www.shropscommunityhealth.nhs.uk/content/doclib/10354.pdf" TargetMode="External"/><Relationship Id="rId4" Type="http://schemas.openxmlformats.org/officeDocument/2006/relationships/webSettings" Target="webSettings.xml"/><Relationship Id="rId9" Type="http://schemas.openxmlformats.org/officeDocument/2006/relationships/hyperlink" Target="https://www.nhs.uk/symptoms/bedwetting/" TargetMode="External"/><Relationship Id="rId14" Type="http://schemas.openxmlformats.org/officeDocument/2006/relationships/hyperlink" Target="https://www.england.nhs.uk/mental-health/ad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10535</TotalTime>
  <Pages>11</Pages>
  <Words>2979</Words>
  <Characters>16982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Anisa Fatima</dc:creator>
  <cp:keywords/>
  <dc:description/>
  <cp:lastModifiedBy>Syeda Anisa Fatima</cp:lastModifiedBy>
  <cp:revision>11</cp:revision>
  <dcterms:created xsi:type="dcterms:W3CDTF">2025-09-22T09:42:00Z</dcterms:created>
  <dcterms:modified xsi:type="dcterms:W3CDTF">2025-11-17T06:06:00Z</dcterms:modified>
</cp:coreProperties>
</file>