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shd w:val="clear" w:color="auto" w:fill="FFFFFF" w:themeFill="background1"/>
        <w:tblLook w:val="04A0" w:firstRow="1" w:lastRow="0" w:firstColumn="1" w:lastColumn="0" w:noHBand="0" w:noVBand="1"/>
      </w:tblPr>
      <w:tblGrid>
        <w:gridCol w:w="9576"/>
      </w:tblGrid>
      <w:tr w:rsidR="00E36464" w:rsidRPr="005E7A7C" w:rsidTr="00790BF5">
        <w:trPr>
          <w:trHeight w:val="2880"/>
        </w:trPr>
        <w:tc>
          <w:tcPr>
            <w:tcW w:w="5000" w:type="pct"/>
            <w:shd w:val="clear" w:color="auto" w:fill="FFFFFF" w:themeFill="background1"/>
            <w:hideMark/>
          </w:tcPr>
          <w:p w:rsidR="00E36464" w:rsidRPr="005E7A7C" w:rsidRDefault="00E36464" w:rsidP="00790BF5">
            <w:pPr>
              <w:spacing w:after="0" w:line="276" w:lineRule="auto"/>
              <w:rPr>
                <w:rFonts w:asciiTheme="majorHAnsi" w:eastAsiaTheme="majorEastAsia" w:hAnsiTheme="majorHAnsi" w:cstheme="majorBidi"/>
                <w:caps/>
                <w:sz w:val="22"/>
                <w:lang w:val="en-US" w:eastAsia="ja-JP"/>
              </w:rPr>
            </w:pPr>
            <w:r w:rsidRPr="005E7A7C">
              <w:rPr>
                <w:rFonts w:eastAsiaTheme="minorEastAsia" w:cs="Times New Roman"/>
                <w:noProof/>
                <w:sz w:val="22"/>
                <w:lang w:val="en-US"/>
              </w:rPr>
              <w:drawing>
                <wp:inline distT="0" distB="0" distL="0" distR="0" wp14:anchorId="6226DBEE" wp14:editId="07D01600">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E36464" w:rsidRPr="005E7A7C" w:rsidTr="00790BF5">
        <w:trPr>
          <w:trHeight w:val="1440"/>
        </w:trPr>
        <w:tc>
          <w:tcPr>
            <w:tcW w:w="5000" w:type="pct"/>
            <w:shd w:val="clear" w:color="auto" w:fill="FFFFFF" w:themeFill="background1"/>
            <w:vAlign w:val="center"/>
          </w:tcPr>
          <w:p w:rsidR="00E36464" w:rsidRDefault="00E36464" w:rsidP="00E36464">
            <w:pPr>
              <w:spacing w:after="0" w:line="276" w:lineRule="auto"/>
              <w:jc w:val="center"/>
              <w:rPr>
                <w:rFonts w:asciiTheme="minorHAnsi" w:hAnsiTheme="minorHAnsi" w:cs="Cambria"/>
                <w:b/>
                <w:bCs/>
                <w:sz w:val="72"/>
                <w:szCs w:val="72"/>
              </w:rPr>
            </w:pPr>
            <w:r w:rsidRPr="00FA3A4A">
              <w:rPr>
                <w:rFonts w:asciiTheme="minorHAnsi" w:hAnsiTheme="minorHAnsi" w:cs="Cambria"/>
                <w:b/>
                <w:bCs/>
                <w:sz w:val="72"/>
                <w:szCs w:val="72"/>
              </w:rPr>
              <w:t>BMMB7006</w:t>
            </w:r>
          </w:p>
          <w:p w:rsidR="00E36464" w:rsidRDefault="00E36464" w:rsidP="00E36464">
            <w:pPr>
              <w:spacing w:after="0" w:line="276" w:lineRule="auto"/>
              <w:jc w:val="center"/>
              <w:rPr>
                <w:rFonts w:asciiTheme="minorHAnsi" w:hAnsiTheme="minorHAnsi" w:cs="Cambria"/>
                <w:b/>
                <w:bCs/>
                <w:sz w:val="72"/>
                <w:szCs w:val="72"/>
              </w:rPr>
            </w:pPr>
          </w:p>
          <w:p w:rsidR="00E36464" w:rsidRPr="005E7A7C" w:rsidRDefault="00E36464" w:rsidP="00E36464">
            <w:pPr>
              <w:spacing w:after="0" w:line="276" w:lineRule="auto"/>
              <w:jc w:val="center"/>
              <w:rPr>
                <w:rFonts w:asciiTheme="majorHAnsi" w:eastAsiaTheme="majorEastAsia" w:hAnsiTheme="majorHAnsi" w:cstheme="majorBidi"/>
                <w:sz w:val="80"/>
                <w:szCs w:val="80"/>
                <w:lang w:val="en-US" w:eastAsia="ja-JP"/>
              </w:rPr>
            </w:pPr>
            <w:r w:rsidRPr="00FA3A4A">
              <w:rPr>
                <w:rFonts w:eastAsiaTheme="minorEastAsia" w:cs="Cambria"/>
                <w:b/>
                <w:bCs/>
                <w:sz w:val="36"/>
                <w:szCs w:val="36"/>
                <w:lang w:val="en-US" w:eastAsia="ja-JP"/>
              </w:rPr>
              <w:t>Global Business Challenges</w:t>
            </w:r>
            <w:r w:rsidRPr="005E7A7C">
              <w:rPr>
                <w:rFonts w:asciiTheme="majorHAnsi" w:eastAsiaTheme="majorEastAsia" w:hAnsiTheme="majorHAnsi" w:cstheme="majorBidi"/>
                <w:sz w:val="80"/>
                <w:szCs w:val="80"/>
                <w:lang w:val="en-US" w:eastAsia="ja-JP"/>
              </w:rPr>
              <w:t xml:space="preserve"> </w:t>
            </w:r>
          </w:p>
        </w:tc>
      </w:tr>
      <w:tr w:rsidR="00E36464" w:rsidRPr="005E7A7C" w:rsidTr="00790BF5">
        <w:trPr>
          <w:trHeight w:val="720"/>
        </w:trPr>
        <w:tc>
          <w:tcPr>
            <w:tcW w:w="5000" w:type="pct"/>
            <w:shd w:val="clear" w:color="auto" w:fill="FFFFFF" w:themeFill="background1"/>
            <w:vAlign w:val="center"/>
            <w:hideMark/>
          </w:tcPr>
          <w:p w:rsidR="00E36464" w:rsidRPr="005E7A7C" w:rsidRDefault="00E36464" w:rsidP="00790BF5">
            <w:pPr>
              <w:spacing w:after="0" w:line="276" w:lineRule="auto"/>
              <w:jc w:val="center"/>
              <w:rPr>
                <w:rFonts w:eastAsiaTheme="minorEastAsia" w:cs="Times New Roman"/>
                <w:b/>
                <w:bCs/>
                <w:sz w:val="52"/>
                <w:szCs w:val="52"/>
                <w:lang w:val="en-US" w:eastAsia="ja-JP"/>
              </w:rPr>
            </w:pPr>
          </w:p>
          <w:p w:rsidR="00E36464" w:rsidRPr="005E7A7C" w:rsidRDefault="00E36464" w:rsidP="00790BF5">
            <w:pPr>
              <w:spacing w:after="0" w:line="276" w:lineRule="auto"/>
              <w:jc w:val="center"/>
              <w:rPr>
                <w:rFonts w:eastAsiaTheme="minorEastAsia" w:cs="Times New Roman"/>
                <w:b/>
                <w:bCs/>
                <w:sz w:val="52"/>
                <w:szCs w:val="52"/>
                <w:lang w:val="en-US" w:eastAsia="ja-JP"/>
              </w:rPr>
            </w:pPr>
            <w:r>
              <w:rPr>
                <w:rFonts w:eastAsiaTheme="minorEastAsia" w:cs="Times New Roman"/>
                <w:b/>
                <w:bCs/>
                <w:sz w:val="52"/>
                <w:szCs w:val="52"/>
                <w:lang w:val="en-US" w:eastAsia="ja-JP"/>
              </w:rPr>
              <w:t xml:space="preserve">Name: </w:t>
            </w:r>
            <w:proofErr w:type="spellStart"/>
            <w:r>
              <w:rPr>
                <w:rFonts w:eastAsiaTheme="minorEastAsia" w:cs="Times New Roman"/>
                <w:b/>
                <w:bCs/>
                <w:sz w:val="52"/>
                <w:szCs w:val="52"/>
                <w:lang w:val="en-US" w:eastAsia="ja-JP"/>
              </w:rPr>
              <w:t>Ronok</w:t>
            </w:r>
            <w:proofErr w:type="spellEnd"/>
            <w:r>
              <w:rPr>
                <w:rFonts w:eastAsiaTheme="minorEastAsia" w:cs="Times New Roman"/>
                <w:b/>
                <w:bCs/>
                <w:sz w:val="52"/>
                <w:szCs w:val="52"/>
                <w:lang w:val="en-US" w:eastAsia="ja-JP"/>
              </w:rPr>
              <w:t xml:space="preserve"> Ahmed </w:t>
            </w:r>
            <w:proofErr w:type="spellStart"/>
            <w:r>
              <w:rPr>
                <w:rFonts w:eastAsiaTheme="minorEastAsia" w:cs="Times New Roman"/>
                <w:b/>
                <w:bCs/>
                <w:sz w:val="52"/>
                <w:szCs w:val="52"/>
                <w:lang w:val="en-US" w:eastAsia="ja-JP"/>
              </w:rPr>
              <w:t>Shihab</w:t>
            </w:r>
            <w:proofErr w:type="spellEnd"/>
            <w:r w:rsidRPr="005E7A7C">
              <w:rPr>
                <w:rFonts w:eastAsiaTheme="minorEastAsia" w:cs="Times New Roman"/>
                <w:b/>
                <w:bCs/>
                <w:sz w:val="52"/>
                <w:szCs w:val="52"/>
                <w:lang w:val="en-US" w:eastAsia="ja-JP"/>
              </w:rPr>
              <w:t xml:space="preserve"> </w:t>
            </w:r>
          </w:p>
          <w:p w:rsidR="00E36464" w:rsidRPr="005E7A7C" w:rsidRDefault="00E36464" w:rsidP="00790BF5">
            <w:pPr>
              <w:spacing w:after="0" w:line="276" w:lineRule="auto"/>
              <w:jc w:val="center"/>
              <w:rPr>
                <w:rFonts w:asciiTheme="minorHAnsi" w:eastAsiaTheme="minorEastAsia" w:hAnsiTheme="minorHAnsi" w:cs="Times New Roman"/>
                <w:b/>
                <w:bCs/>
                <w:sz w:val="52"/>
                <w:szCs w:val="52"/>
                <w:lang w:val="en-US" w:eastAsia="ja-JP"/>
              </w:rPr>
            </w:pPr>
            <w:r w:rsidRPr="005E7A7C">
              <w:rPr>
                <w:rFonts w:eastAsiaTheme="minorEastAsia" w:cs="Times New Roman"/>
                <w:b/>
                <w:bCs/>
                <w:sz w:val="52"/>
                <w:szCs w:val="52"/>
                <w:lang w:val="en-US" w:eastAsia="ja-JP"/>
              </w:rPr>
              <w:t xml:space="preserve">ID: </w:t>
            </w:r>
            <w:r>
              <w:rPr>
                <w:rFonts w:eastAsiaTheme="minorEastAsia" w:cs="Times New Roman"/>
                <w:b/>
                <w:bCs/>
                <w:sz w:val="52"/>
                <w:szCs w:val="52"/>
                <w:lang w:val="en-US" w:eastAsia="ja-JP"/>
              </w:rPr>
              <w:t>2506432</w:t>
            </w:r>
          </w:p>
        </w:tc>
      </w:tr>
      <w:tr w:rsidR="00E36464" w:rsidRPr="005E7A7C" w:rsidTr="00790BF5">
        <w:trPr>
          <w:trHeight w:val="360"/>
        </w:trPr>
        <w:tc>
          <w:tcPr>
            <w:tcW w:w="5000" w:type="pct"/>
            <w:shd w:val="clear" w:color="auto" w:fill="FFFFFF" w:themeFill="background1"/>
            <w:vAlign w:val="center"/>
          </w:tcPr>
          <w:p w:rsidR="00E36464" w:rsidRPr="005E7A7C" w:rsidRDefault="00E36464" w:rsidP="00790BF5">
            <w:pPr>
              <w:spacing w:after="0" w:line="276" w:lineRule="auto"/>
              <w:jc w:val="center"/>
              <w:rPr>
                <w:rFonts w:eastAsiaTheme="minorEastAsia" w:cs="Times New Roman"/>
                <w:sz w:val="22"/>
                <w:lang w:val="en-US" w:eastAsia="ja-JP"/>
              </w:rPr>
            </w:pPr>
          </w:p>
        </w:tc>
      </w:tr>
      <w:tr w:rsidR="00E36464" w:rsidRPr="005E7A7C" w:rsidTr="00790BF5">
        <w:trPr>
          <w:trHeight w:val="360"/>
        </w:trPr>
        <w:tc>
          <w:tcPr>
            <w:tcW w:w="5000" w:type="pct"/>
            <w:shd w:val="clear" w:color="auto" w:fill="FFFFFF" w:themeFill="background1"/>
            <w:vAlign w:val="center"/>
          </w:tcPr>
          <w:p w:rsidR="00E36464" w:rsidRPr="005E7A7C" w:rsidRDefault="002A4E60" w:rsidP="00790BF5">
            <w:pPr>
              <w:spacing w:after="0" w:line="276" w:lineRule="auto"/>
              <w:jc w:val="center"/>
              <w:rPr>
                <w:rFonts w:eastAsiaTheme="minorEastAsia" w:cs="Times New Roman"/>
                <w:b/>
                <w:bCs/>
                <w:sz w:val="22"/>
                <w:lang w:val="en-US" w:eastAsia="ja-JP"/>
              </w:rPr>
            </w:pPr>
            <w:r>
              <w:rPr>
                <w:rFonts w:eastAsiaTheme="minorEastAsia" w:cs="Times New Roman"/>
                <w:b/>
                <w:bCs/>
                <w:sz w:val="22"/>
                <w:lang w:val="en-US" w:eastAsia="ja-JP"/>
              </w:rPr>
              <w:t>Word Count - 5488</w:t>
            </w:r>
          </w:p>
        </w:tc>
      </w:tr>
      <w:tr w:rsidR="00E36464" w:rsidRPr="005E7A7C" w:rsidTr="00790BF5">
        <w:trPr>
          <w:trHeight w:val="360"/>
        </w:trPr>
        <w:tc>
          <w:tcPr>
            <w:tcW w:w="5000" w:type="pct"/>
            <w:shd w:val="clear" w:color="auto" w:fill="FFFFFF" w:themeFill="background1"/>
            <w:vAlign w:val="center"/>
          </w:tcPr>
          <w:p w:rsidR="00E36464" w:rsidRPr="005E7A7C" w:rsidRDefault="00E36464" w:rsidP="00790BF5">
            <w:pPr>
              <w:spacing w:after="0" w:line="276" w:lineRule="auto"/>
              <w:jc w:val="center"/>
              <w:rPr>
                <w:rFonts w:eastAsiaTheme="minorEastAsia" w:cs="Times New Roman"/>
                <w:b/>
                <w:bCs/>
                <w:sz w:val="22"/>
                <w:lang w:val="en-US" w:eastAsia="ja-JP"/>
              </w:rPr>
            </w:pPr>
          </w:p>
        </w:tc>
      </w:tr>
    </w:tbl>
    <w:p w:rsidR="00E36464" w:rsidRDefault="00E36464">
      <w:pPr>
        <w:spacing w:line="276" w:lineRule="auto"/>
        <w:jc w:val="left"/>
        <w:rPr>
          <w:rFonts w:eastAsiaTheme="majorEastAsia" w:cstheme="majorBidi"/>
          <w:b/>
          <w:bCs/>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val="en-GB" w:eastAsia="en-US"/>
        </w:rPr>
        <w:id w:val="773598031"/>
        <w:docPartObj>
          <w:docPartGallery w:val="Table of Contents"/>
          <w:docPartUnique/>
        </w:docPartObj>
      </w:sdtPr>
      <w:sdtEndPr>
        <w:rPr>
          <w:noProof/>
        </w:rPr>
      </w:sdtEndPr>
      <w:sdtContent>
        <w:p w:rsidR="00E36464" w:rsidRDefault="00E36464">
          <w:pPr>
            <w:pStyle w:val="TOCHeading"/>
          </w:pPr>
          <w:r>
            <w:t>Contents</w:t>
          </w:r>
          <w:bookmarkStart w:id="0" w:name="_GoBack"/>
          <w:bookmarkEnd w:id="0"/>
        </w:p>
        <w:p w:rsidR="002A4E60" w:rsidRDefault="00E3646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8179316" w:history="1">
            <w:r w:rsidR="002A4E60" w:rsidRPr="005F3285">
              <w:rPr>
                <w:rStyle w:val="Hyperlink"/>
                <w:noProof/>
              </w:rPr>
              <w:t>1. Executive Summary</w:t>
            </w:r>
            <w:r w:rsidR="002A4E60">
              <w:rPr>
                <w:noProof/>
                <w:webHidden/>
              </w:rPr>
              <w:tab/>
            </w:r>
            <w:r w:rsidR="002A4E60">
              <w:rPr>
                <w:noProof/>
                <w:webHidden/>
              </w:rPr>
              <w:fldChar w:fldCharType="begin"/>
            </w:r>
            <w:r w:rsidR="002A4E60">
              <w:rPr>
                <w:noProof/>
                <w:webHidden/>
              </w:rPr>
              <w:instrText xml:space="preserve"> PAGEREF _Toc228179316 \h </w:instrText>
            </w:r>
            <w:r w:rsidR="002A4E60">
              <w:rPr>
                <w:noProof/>
                <w:webHidden/>
              </w:rPr>
            </w:r>
            <w:r w:rsidR="002A4E60">
              <w:rPr>
                <w:noProof/>
                <w:webHidden/>
              </w:rPr>
              <w:fldChar w:fldCharType="separate"/>
            </w:r>
            <w:r w:rsidR="002A4E60">
              <w:rPr>
                <w:noProof/>
                <w:webHidden/>
              </w:rPr>
              <w:t>1</w:t>
            </w:r>
            <w:r w:rsidR="002A4E60">
              <w:rPr>
                <w:noProof/>
                <w:webHidden/>
              </w:rPr>
              <w:fldChar w:fldCharType="end"/>
            </w:r>
          </w:hyperlink>
        </w:p>
        <w:p w:rsidR="002A4E60" w:rsidRDefault="002A4E60">
          <w:pPr>
            <w:pStyle w:val="TOC1"/>
            <w:tabs>
              <w:tab w:val="right" w:leader="dot" w:pos="9350"/>
            </w:tabs>
            <w:rPr>
              <w:rFonts w:asciiTheme="minorHAnsi" w:eastAsiaTheme="minorEastAsia" w:hAnsiTheme="minorHAnsi"/>
              <w:noProof/>
              <w:sz w:val="22"/>
              <w:lang w:val="en-US"/>
            </w:rPr>
          </w:pPr>
          <w:hyperlink w:anchor="_Toc228179317" w:history="1">
            <w:r w:rsidRPr="005F3285">
              <w:rPr>
                <w:rStyle w:val="Hyperlink"/>
                <w:noProof/>
              </w:rPr>
              <w:t>2. Introduction</w:t>
            </w:r>
            <w:r>
              <w:rPr>
                <w:noProof/>
                <w:webHidden/>
              </w:rPr>
              <w:tab/>
            </w:r>
            <w:r>
              <w:rPr>
                <w:noProof/>
                <w:webHidden/>
              </w:rPr>
              <w:fldChar w:fldCharType="begin"/>
            </w:r>
            <w:r>
              <w:rPr>
                <w:noProof/>
                <w:webHidden/>
              </w:rPr>
              <w:instrText xml:space="preserve"> PAGEREF _Toc228179317 \h </w:instrText>
            </w:r>
            <w:r>
              <w:rPr>
                <w:noProof/>
                <w:webHidden/>
              </w:rPr>
            </w:r>
            <w:r>
              <w:rPr>
                <w:noProof/>
                <w:webHidden/>
              </w:rPr>
              <w:fldChar w:fldCharType="separate"/>
            </w:r>
            <w:r>
              <w:rPr>
                <w:noProof/>
                <w:webHidden/>
              </w:rPr>
              <w:t>2</w:t>
            </w:r>
            <w:r>
              <w:rPr>
                <w:noProof/>
                <w:webHidden/>
              </w:rPr>
              <w:fldChar w:fldCharType="end"/>
            </w:r>
          </w:hyperlink>
        </w:p>
        <w:p w:rsidR="002A4E60" w:rsidRDefault="002A4E60">
          <w:pPr>
            <w:pStyle w:val="TOC1"/>
            <w:tabs>
              <w:tab w:val="right" w:leader="dot" w:pos="9350"/>
            </w:tabs>
            <w:rPr>
              <w:rFonts w:asciiTheme="minorHAnsi" w:eastAsiaTheme="minorEastAsia" w:hAnsiTheme="minorHAnsi"/>
              <w:noProof/>
              <w:sz w:val="22"/>
              <w:lang w:val="en-US"/>
            </w:rPr>
          </w:pPr>
          <w:hyperlink w:anchor="_Toc228179318" w:history="1">
            <w:r w:rsidRPr="005F3285">
              <w:rPr>
                <w:rStyle w:val="Hyperlink"/>
                <w:noProof/>
              </w:rPr>
              <w:t>3. Main Body</w:t>
            </w:r>
            <w:r>
              <w:rPr>
                <w:noProof/>
                <w:webHidden/>
              </w:rPr>
              <w:tab/>
            </w:r>
            <w:r>
              <w:rPr>
                <w:noProof/>
                <w:webHidden/>
              </w:rPr>
              <w:fldChar w:fldCharType="begin"/>
            </w:r>
            <w:r>
              <w:rPr>
                <w:noProof/>
                <w:webHidden/>
              </w:rPr>
              <w:instrText xml:space="preserve"> PAGEREF _Toc228179318 \h </w:instrText>
            </w:r>
            <w:r>
              <w:rPr>
                <w:noProof/>
                <w:webHidden/>
              </w:rPr>
            </w:r>
            <w:r>
              <w:rPr>
                <w:noProof/>
                <w:webHidden/>
              </w:rPr>
              <w:fldChar w:fldCharType="separate"/>
            </w:r>
            <w:r>
              <w:rPr>
                <w:noProof/>
                <w:webHidden/>
              </w:rPr>
              <w:t>4</w:t>
            </w:r>
            <w:r>
              <w:rPr>
                <w:noProof/>
                <w:webHidden/>
              </w:rPr>
              <w:fldChar w:fldCharType="end"/>
            </w:r>
          </w:hyperlink>
        </w:p>
        <w:p w:rsidR="002A4E60" w:rsidRDefault="002A4E60">
          <w:pPr>
            <w:pStyle w:val="TOC2"/>
            <w:tabs>
              <w:tab w:val="right" w:leader="dot" w:pos="9350"/>
            </w:tabs>
            <w:rPr>
              <w:rFonts w:asciiTheme="minorHAnsi" w:eastAsiaTheme="minorEastAsia" w:hAnsiTheme="minorHAnsi"/>
              <w:noProof/>
              <w:sz w:val="22"/>
              <w:lang w:val="en-US"/>
            </w:rPr>
          </w:pPr>
          <w:hyperlink w:anchor="_Toc228179319" w:history="1">
            <w:r w:rsidRPr="005F3285">
              <w:rPr>
                <w:rStyle w:val="Hyperlink"/>
                <w:noProof/>
              </w:rPr>
              <w:t>3.1 Regulatory Analysis Related to AI</w:t>
            </w:r>
            <w:r>
              <w:rPr>
                <w:noProof/>
                <w:webHidden/>
              </w:rPr>
              <w:tab/>
            </w:r>
            <w:r>
              <w:rPr>
                <w:noProof/>
                <w:webHidden/>
              </w:rPr>
              <w:fldChar w:fldCharType="begin"/>
            </w:r>
            <w:r>
              <w:rPr>
                <w:noProof/>
                <w:webHidden/>
              </w:rPr>
              <w:instrText xml:space="preserve"> PAGEREF _Toc228179319 \h </w:instrText>
            </w:r>
            <w:r>
              <w:rPr>
                <w:noProof/>
                <w:webHidden/>
              </w:rPr>
            </w:r>
            <w:r>
              <w:rPr>
                <w:noProof/>
                <w:webHidden/>
              </w:rPr>
              <w:fldChar w:fldCharType="separate"/>
            </w:r>
            <w:r>
              <w:rPr>
                <w:noProof/>
                <w:webHidden/>
              </w:rPr>
              <w:t>4</w:t>
            </w:r>
            <w:r>
              <w:rPr>
                <w:noProof/>
                <w:webHidden/>
              </w:rPr>
              <w:fldChar w:fldCharType="end"/>
            </w:r>
          </w:hyperlink>
        </w:p>
        <w:p w:rsidR="002A4E60" w:rsidRDefault="002A4E60">
          <w:pPr>
            <w:pStyle w:val="TOC2"/>
            <w:tabs>
              <w:tab w:val="right" w:leader="dot" w:pos="9350"/>
            </w:tabs>
            <w:rPr>
              <w:rFonts w:asciiTheme="minorHAnsi" w:eastAsiaTheme="minorEastAsia" w:hAnsiTheme="minorHAnsi"/>
              <w:noProof/>
              <w:sz w:val="22"/>
              <w:lang w:val="en-US"/>
            </w:rPr>
          </w:pPr>
          <w:hyperlink w:anchor="_Toc228179320" w:history="1">
            <w:r w:rsidRPr="005F3285">
              <w:rPr>
                <w:rStyle w:val="Hyperlink"/>
                <w:noProof/>
              </w:rPr>
              <w:t>3.2 Governance of Data and Information</w:t>
            </w:r>
            <w:r>
              <w:rPr>
                <w:noProof/>
                <w:webHidden/>
              </w:rPr>
              <w:tab/>
            </w:r>
            <w:r>
              <w:rPr>
                <w:noProof/>
                <w:webHidden/>
              </w:rPr>
              <w:fldChar w:fldCharType="begin"/>
            </w:r>
            <w:r>
              <w:rPr>
                <w:noProof/>
                <w:webHidden/>
              </w:rPr>
              <w:instrText xml:space="preserve"> PAGEREF _Toc228179320 \h </w:instrText>
            </w:r>
            <w:r>
              <w:rPr>
                <w:noProof/>
                <w:webHidden/>
              </w:rPr>
            </w:r>
            <w:r>
              <w:rPr>
                <w:noProof/>
                <w:webHidden/>
              </w:rPr>
              <w:fldChar w:fldCharType="separate"/>
            </w:r>
            <w:r>
              <w:rPr>
                <w:noProof/>
                <w:webHidden/>
              </w:rPr>
              <w:t>7</w:t>
            </w:r>
            <w:r>
              <w:rPr>
                <w:noProof/>
                <w:webHidden/>
              </w:rPr>
              <w:fldChar w:fldCharType="end"/>
            </w:r>
          </w:hyperlink>
        </w:p>
        <w:p w:rsidR="002A4E60" w:rsidRDefault="002A4E60">
          <w:pPr>
            <w:pStyle w:val="TOC2"/>
            <w:tabs>
              <w:tab w:val="right" w:leader="dot" w:pos="9350"/>
            </w:tabs>
            <w:rPr>
              <w:rFonts w:asciiTheme="minorHAnsi" w:eastAsiaTheme="minorEastAsia" w:hAnsiTheme="minorHAnsi"/>
              <w:noProof/>
              <w:sz w:val="22"/>
              <w:lang w:val="en-US"/>
            </w:rPr>
          </w:pPr>
          <w:hyperlink w:anchor="_Toc228179321" w:history="1">
            <w:r w:rsidRPr="005F3285">
              <w:rPr>
                <w:rStyle w:val="Hyperlink"/>
                <w:noProof/>
              </w:rPr>
              <w:t>3.3 Ethical Considerations of AI</w:t>
            </w:r>
            <w:r>
              <w:rPr>
                <w:noProof/>
                <w:webHidden/>
              </w:rPr>
              <w:tab/>
            </w:r>
            <w:r>
              <w:rPr>
                <w:noProof/>
                <w:webHidden/>
              </w:rPr>
              <w:fldChar w:fldCharType="begin"/>
            </w:r>
            <w:r>
              <w:rPr>
                <w:noProof/>
                <w:webHidden/>
              </w:rPr>
              <w:instrText xml:space="preserve"> PAGEREF _Toc228179321 \h </w:instrText>
            </w:r>
            <w:r>
              <w:rPr>
                <w:noProof/>
                <w:webHidden/>
              </w:rPr>
            </w:r>
            <w:r>
              <w:rPr>
                <w:noProof/>
                <w:webHidden/>
              </w:rPr>
              <w:fldChar w:fldCharType="separate"/>
            </w:r>
            <w:r>
              <w:rPr>
                <w:noProof/>
                <w:webHidden/>
              </w:rPr>
              <w:t>10</w:t>
            </w:r>
            <w:r>
              <w:rPr>
                <w:noProof/>
                <w:webHidden/>
              </w:rPr>
              <w:fldChar w:fldCharType="end"/>
            </w:r>
          </w:hyperlink>
        </w:p>
        <w:p w:rsidR="002A4E60" w:rsidRDefault="002A4E60">
          <w:pPr>
            <w:pStyle w:val="TOC2"/>
            <w:tabs>
              <w:tab w:val="right" w:leader="dot" w:pos="9350"/>
            </w:tabs>
            <w:rPr>
              <w:rFonts w:asciiTheme="minorHAnsi" w:eastAsiaTheme="minorEastAsia" w:hAnsiTheme="minorHAnsi"/>
              <w:noProof/>
              <w:sz w:val="22"/>
              <w:lang w:val="en-US"/>
            </w:rPr>
          </w:pPr>
          <w:hyperlink w:anchor="_Toc228179322" w:history="1">
            <w:r w:rsidRPr="005F3285">
              <w:rPr>
                <w:rStyle w:val="Hyperlink"/>
                <w:noProof/>
              </w:rPr>
              <w:t>3.4 Customer Trust in AI</w:t>
            </w:r>
            <w:r>
              <w:rPr>
                <w:noProof/>
                <w:webHidden/>
              </w:rPr>
              <w:tab/>
            </w:r>
            <w:r>
              <w:rPr>
                <w:noProof/>
                <w:webHidden/>
              </w:rPr>
              <w:fldChar w:fldCharType="begin"/>
            </w:r>
            <w:r>
              <w:rPr>
                <w:noProof/>
                <w:webHidden/>
              </w:rPr>
              <w:instrText xml:space="preserve"> PAGEREF _Toc228179322 \h </w:instrText>
            </w:r>
            <w:r>
              <w:rPr>
                <w:noProof/>
                <w:webHidden/>
              </w:rPr>
            </w:r>
            <w:r>
              <w:rPr>
                <w:noProof/>
                <w:webHidden/>
              </w:rPr>
              <w:fldChar w:fldCharType="separate"/>
            </w:r>
            <w:r>
              <w:rPr>
                <w:noProof/>
                <w:webHidden/>
              </w:rPr>
              <w:t>13</w:t>
            </w:r>
            <w:r>
              <w:rPr>
                <w:noProof/>
                <w:webHidden/>
              </w:rPr>
              <w:fldChar w:fldCharType="end"/>
            </w:r>
          </w:hyperlink>
        </w:p>
        <w:p w:rsidR="002A4E60" w:rsidRDefault="002A4E60">
          <w:pPr>
            <w:pStyle w:val="TOC1"/>
            <w:tabs>
              <w:tab w:val="right" w:leader="dot" w:pos="9350"/>
            </w:tabs>
            <w:rPr>
              <w:rFonts w:asciiTheme="minorHAnsi" w:eastAsiaTheme="minorEastAsia" w:hAnsiTheme="minorHAnsi"/>
              <w:noProof/>
              <w:sz w:val="22"/>
              <w:lang w:val="en-US"/>
            </w:rPr>
          </w:pPr>
          <w:hyperlink w:anchor="_Toc228179323" w:history="1">
            <w:r w:rsidRPr="005F3285">
              <w:rPr>
                <w:rStyle w:val="Hyperlink"/>
                <w:noProof/>
              </w:rPr>
              <w:t>4. Conclusion</w:t>
            </w:r>
            <w:r>
              <w:rPr>
                <w:noProof/>
                <w:webHidden/>
              </w:rPr>
              <w:tab/>
            </w:r>
            <w:r>
              <w:rPr>
                <w:noProof/>
                <w:webHidden/>
              </w:rPr>
              <w:fldChar w:fldCharType="begin"/>
            </w:r>
            <w:r>
              <w:rPr>
                <w:noProof/>
                <w:webHidden/>
              </w:rPr>
              <w:instrText xml:space="preserve"> PAGEREF _Toc228179323 \h </w:instrText>
            </w:r>
            <w:r>
              <w:rPr>
                <w:noProof/>
                <w:webHidden/>
              </w:rPr>
            </w:r>
            <w:r>
              <w:rPr>
                <w:noProof/>
                <w:webHidden/>
              </w:rPr>
              <w:fldChar w:fldCharType="separate"/>
            </w:r>
            <w:r>
              <w:rPr>
                <w:noProof/>
                <w:webHidden/>
              </w:rPr>
              <w:t>16</w:t>
            </w:r>
            <w:r>
              <w:rPr>
                <w:noProof/>
                <w:webHidden/>
              </w:rPr>
              <w:fldChar w:fldCharType="end"/>
            </w:r>
          </w:hyperlink>
        </w:p>
        <w:p w:rsidR="002A4E60" w:rsidRDefault="002A4E60">
          <w:pPr>
            <w:pStyle w:val="TOC1"/>
            <w:tabs>
              <w:tab w:val="right" w:leader="dot" w:pos="9350"/>
            </w:tabs>
            <w:rPr>
              <w:rFonts w:asciiTheme="minorHAnsi" w:eastAsiaTheme="minorEastAsia" w:hAnsiTheme="minorHAnsi"/>
              <w:noProof/>
              <w:sz w:val="22"/>
              <w:lang w:val="en-US"/>
            </w:rPr>
          </w:pPr>
          <w:hyperlink w:anchor="_Toc228179324" w:history="1">
            <w:r w:rsidRPr="005F3285">
              <w:rPr>
                <w:rStyle w:val="Hyperlink"/>
                <w:noProof/>
                <w:lang w:val="en-US"/>
              </w:rPr>
              <w:t>5. References</w:t>
            </w:r>
            <w:r>
              <w:rPr>
                <w:noProof/>
                <w:webHidden/>
              </w:rPr>
              <w:tab/>
            </w:r>
            <w:r>
              <w:rPr>
                <w:noProof/>
                <w:webHidden/>
              </w:rPr>
              <w:fldChar w:fldCharType="begin"/>
            </w:r>
            <w:r>
              <w:rPr>
                <w:noProof/>
                <w:webHidden/>
              </w:rPr>
              <w:instrText xml:space="preserve"> PAGEREF _Toc228179324 \h </w:instrText>
            </w:r>
            <w:r>
              <w:rPr>
                <w:noProof/>
                <w:webHidden/>
              </w:rPr>
            </w:r>
            <w:r>
              <w:rPr>
                <w:noProof/>
                <w:webHidden/>
              </w:rPr>
              <w:fldChar w:fldCharType="separate"/>
            </w:r>
            <w:r>
              <w:rPr>
                <w:noProof/>
                <w:webHidden/>
              </w:rPr>
              <w:t>18</w:t>
            </w:r>
            <w:r>
              <w:rPr>
                <w:noProof/>
                <w:webHidden/>
              </w:rPr>
              <w:fldChar w:fldCharType="end"/>
            </w:r>
          </w:hyperlink>
        </w:p>
        <w:p w:rsidR="00E36464" w:rsidRDefault="00E36464">
          <w:r>
            <w:rPr>
              <w:b/>
              <w:bCs/>
              <w:noProof/>
            </w:rPr>
            <w:fldChar w:fldCharType="end"/>
          </w:r>
        </w:p>
      </w:sdtContent>
    </w:sdt>
    <w:p w:rsidR="00E36464" w:rsidRDefault="00E36464">
      <w:pPr>
        <w:spacing w:line="276" w:lineRule="auto"/>
        <w:jc w:val="left"/>
        <w:rPr>
          <w:rFonts w:eastAsiaTheme="majorEastAsia" w:cstheme="majorBidi"/>
          <w:b/>
          <w:bCs/>
          <w:color w:val="365F91" w:themeColor="accent1" w:themeShade="BF"/>
          <w:sz w:val="32"/>
          <w:szCs w:val="28"/>
        </w:rPr>
      </w:pPr>
      <w:r>
        <w:br w:type="page"/>
      </w:r>
    </w:p>
    <w:p w:rsidR="00E36464" w:rsidRDefault="00E36464" w:rsidP="001F182C">
      <w:pPr>
        <w:pStyle w:val="Heading1"/>
        <w:sectPr w:rsidR="00E36464" w:rsidSect="00E36464">
          <w:footerReference w:type="default" r:id="rId10"/>
          <w:pgSz w:w="12240" w:h="15840"/>
          <w:pgMar w:top="1440" w:right="1440" w:bottom="1440" w:left="1440" w:header="720" w:footer="720" w:gutter="0"/>
          <w:pgNumType w:fmt="lowerRoman"/>
          <w:cols w:space="720"/>
          <w:docGrid w:linePitch="360"/>
        </w:sectPr>
      </w:pPr>
    </w:p>
    <w:p w:rsidR="0010704D" w:rsidRDefault="0010704D" w:rsidP="001F182C">
      <w:pPr>
        <w:pStyle w:val="Heading1"/>
      </w:pPr>
      <w:bookmarkStart w:id="1" w:name="_Toc228179316"/>
      <w:r>
        <w:lastRenderedPageBreak/>
        <w:t xml:space="preserve">1. </w:t>
      </w:r>
      <w:r w:rsidR="00315922">
        <w:t>Executive Summa</w:t>
      </w:r>
      <w:r>
        <w:t>ry</w:t>
      </w:r>
      <w:bookmarkEnd w:id="1"/>
    </w:p>
    <w:p w:rsidR="0010704D" w:rsidRPr="0010704D" w:rsidRDefault="0010704D" w:rsidP="0010704D">
      <w:r>
        <w:t>This report examines the risks that come with the expansion of artificial i</w:t>
      </w:r>
      <w:r w:rsidR="00315922">
        <w:t>ntelligence (AI) in Tesco, a UK-</w:t>
      </w:r>
      <w:r>
        <w:t xml:space="preserve">based multinational retail firm. It is based on Tesco’s activities in the United Kingdom (UK) and the United States (USA). The report discusses four areas that include regulation, data governance, ethical AI, and customer trust. The results indicate that regulation has a significant impact on the use </w:t>
      </w:r>
      <w:r w:rsidR="00315922">
        <w:t>of AI. The UK has a well-organis</w:t>
      </w:r>
      <w:r>
        <w:t xml:space="preserve">ed system in the form of UK GDPR and associated legislation, </w:t>
      </w:r>
      <w:r w:rsidR="00315922">
        <w:t>whereas the USA has a disorganis</w:t>
      </w:r>
      <w:r>
        <w:t xml:space="preserve">ed, state-based one. This poses a challenge to Tesco since it has to abide by varying laws in different regions. To prevent penalties and safeguard the reputation of the company, it needs to comply properly. Data governance is singled out as a key pillar of AI systems. Tesco is a company that depends on the mass data of customers via its operations and loyalty programmes. Such risks may include </w:t>
      </w:r>
      <w:proofErr w:type="gramStart"/>
      <w:r>
        <w:t>information</w:t>
      </w:r>
      <w:proofErr w:type="gramEnd"/>
      <w:r>
        <w:t xml:space="preserve"> breaches and misuse of data due to poor data management. Good governance guarantees data accuracy, security, and appropriate use, which are fundamental to trustworthy AI performance. The other important issue is ethical AI. The problems of bias, the absence of transparency, and poor accountability may lead to unfair results. Those risks have the potential to tarnish the name of Tesco and diminish the trust of stakeholders. The UK, as well as the USA</w:t>
      </w:r>
      <w:r w:rsidR="00315922">
        <w:t>,</w:t>
      </w:r>
      <w:r>
        <w:t xml:space="preserve"> advocates ethical AI by principles and guidelines, yet it is upon companies to ensure that they employ these practices </w:t>
      </w:r>
      <w:r w:rsidR="00315922">
        <w:t>most effectively</w:t>
      </w:r>
      <w:r>
        <w:t>. There is a close connection between customer trust and the use of AI. Trust relies on transparency, fairness and data security. Clearly, customers demand to receive information and control their personal data. Loss of trust may have a detrimental impact on customer lo</w:t>
      </w:r>
      <w:r w:rsidR="00E36464">
        <w:t xml:space="preserve">yalty and business performance. </w:t>
      </w:r>
      <w:r>
        <w:t xml:space="preserve">To sum up, the report demonstrates that AI can be of great help and also poses serious risks. These are risks that are interrelated and that need a concerted effort. Tesco needs to reinforce its regulatory compliance, data governance, </w:t>
      </w:r>
      <w:proofErr w:type="gramStart"/>
      <w:r>
        <w:t>ethical</w:t>
      </w:r>
      <w:proofErr w:type="gramEnd"/>
      <w:r>
        <w:t xml:space="preserve"> behaviours and customer engagement. In such a way, the</w:t>
      </w:r>
      <w:r w:rsidR="00315922">
        <w:t xml:space="preserve"> company will be able to minimis</w:t>
      </w:r>
      <w:r>
        <w:t>e risks, gain trust, and attain sustainable growth in a competitive digital environment.</w:t>
      </w:r>
    </w:p>
    <w:p w:rsidR="002A4E60" w:rsidRDefault="002A4E60">
      <w:pPr>
        <w:spacing w:line="276" w:lineRule="auto"/>
        <w:jc w:val="left"/>
        <w:rPr>
          <w:rFonts w:eastAsiaTheme="majorEastAsia" w:cstheme="majorBidi"/>
          <w:b/>
          <w:bCs/>
          <w:color w:val="365F91" w:themeColor="accent1" w:themeShade="BF"/>
          <w:sz w:val="32"/>
          <w:szCs w:val="28"/>
        </w:rPr>
      </w:pPr>
      <w:r>
        <w:br w:type="page"/>
      </w:r>
    </w:p>
    <w:p w:rsidR="00235C3E" w:rsidRPr="00B279CC" w:rsidRDefault="00CF0EE1" w:rsidP="001F182C">
      <w:pPr>
        <w:pStyle w:val="Heading1"/>
      </w:pPr>
      <w:bookmarkStart w:id="2" w:name="_Toc228179317"/>
      <w:r>
        <w:lastRenderedPageBreak/>
        <w:t>2</w:t>
      </w:r>
      <w:r w:rsidR="00211116">
        <w:t>. Introduction</w:t>
      </w:r>
      <w:bookmarkEnd w:id="2"/>
    </w:p>
    <w:p w:rsidR="00235C3E" w:rsidRPr="00B279CC" w:rsidRDefault="00235C3E" w:rsidP="00235C3E">
      <w:r w:rsidRPr="00B279CC">
        <w:t xml:space="preserve">Artificial intelligence (AI) is emerging as one of the major components of business today. Nowadays, many organisations leverage AI to make decisions, cut expenses, and enhance efficiency. AI is able to process extensive amounts of data, automate, and improve the customer experience. Consequently, AI technologies are receiving more investment </w:t>
      </w:r>
      <w:r w:rsidR="00315922">
        <w:t>from</w:t>
      </w:r>
      <w:r w:rsidRPr="00B279CC">
        <w:t xml:space="preserve"> multinational companies. Nonetheless, there are also threats that are posed by the rapid development of AI </w:t>
      </w:r>
      <w:r w:rsidR="00315922">
        <w:t>that</w:t>
      </w:r>
      <w:r w:rsidRPr="00B279CC">
        <w:t xml:space="preserve"> have to be mitigated.</w:t>
      </w:r>
      <w:r w:rsidR="001F182C">
        <w:t xml:space="preserve"> </w:t>
      </w:r>
      <w:r w:rsidRPr="00B279CC">
        <w:t>The report is about Tesco plc</w:t>
      </w:r>
      <w:r w:rsidR="00315922">
        <w:t>, the major UK-</w:t>
      </w:r>
      <w:r w:rsidRPr="00B279CC">
        <w:t xml:space="preserve">based multinational retailing firm. Tesco is a company in the </w:t>
      </w:r>
      <w:r w:rsidR="00315922">
        <w:t>grocery</w:t>
      </w:r>
      <w:r w:rsidRPr="00B279CC">
        <w:t>, clothing, and financial services</w:t>
      </w:r>
      <w:r w:rsidR="00315922">
        <w:t xml:space="preserve"> sectors</w:t>
      </w:r>
      <w:r w:rsidRPr="00B279CC">
        <w:t xml:space="preserve">. It is well established in the United Kingdom and also has interests in other global markets, such as the United States. Tesco also applies AI in its demand forecasting, supply chain optimisation, pricing strategies and customer analytics via its </w:t>
      </w:r>
      <w:proofErr w:type="spellStart"/>
      <w:r w:rsidRPr="00B279CC">
        <w:t>Clubcard</w:t>
      </w:r>
      <w:proofErr w:type="spellEnd"/>
      <w:r w:rsidRPr="00B279CC">
        <w:t xml:space="preserve"> loyalty programme</w:t>
      </w:r>
      <w:r w:rsidR="00211116">
        <w:t xml:space="preserve"> (</w:t>
      </w:r>
      <w:proofErr w:type="spellStart"/>
      <w:r w:rsidR="00211116">
        <w:rPr>
          <w:rFonts w:eastAsia="Times New Roman" w:cs="Times New Roman"/>
          <w:szCs w:val="24"/>
          <w:lang w:val="en-US"/>
        </w:rPr>
        <w:t>Iaia</w:t>
      </w:r>
      <w:proofErr w:type="spellEnd"/>
      <w:r w:rsidR="00211116">
        <w:rPr>
          <w:rFonts w:eastAsia="Times New Roman" w:cs="Times New Roman"/>
          <w:szCs w:val="24"/>
          <w:lang w:val="en-US"/>
        </w:rPr>
        <w:t xml:space="preserve"> et al., </w:t>
      </w:r>
      <w:r w:rsidR="00211116" w:rsidRPr="00211116">
        <w:rPr>
          <w:rFonts w:eastAsia="Times New Roman" w:cs="Times New Roman"/>
          <w:szCs w:val="24"/>
          <w:lang w:val="en-US"/>
        </w:rPr>
        <w:t>2024)</w:t>
      </w:r>
      <w:r w:rsidRPr="00B279CC">
        <w:t xml:space="preserve">. These applications assist Tesco </w:t>
      </w:r>
      <w:r w:rsidR="00315922">
        <w:t>in being</w:t>
      </w:r>
      <w:r w:rsidRPr="00B279CC">
        <w:t xml:space="preserve"> efficient and satisfy</w:t>
      </w:r>
      <w:r w:rsidR="00315922">
        <w:t>ing</w:t>
      </w:r>
      <w:r w:rsidRPr="00B279CC">
        <w:t xml:space="preserve"> customers. Yet, they also expose data-use risks, regulation and ethical risks.</w:t>
      </w:r>
      <w:r w:rsidR="001F182C">
        <w:t xml:space="preserve"> </w:t>
      </w:r>
      <w:r w:rsidRPr="00B279CC">
        <w:t>This report is aimed at examining the risks involved in the development of AI in Tesco</w:t>
      </w:r>
      <w:r w:rsidR="00315922">
        <w:t>’</w:t>
      </w:r>
      <w:r w:rsidRPr="00B279CC">
        <w:t>s operatio</w:t>
      </w:r>
      <w:r w:rsidR="00B279CC">
        <w:t>ns. These are analys</w:t>
      </w:r>
      <w:r w:rsidRPr="00B279CC">
        <w:t xml:space="preserve">ed under four main aspects, which include regulation, data governance, ethical AI and customer trust. These spheres matter as they have </w:t>
      </w:r>
      <w:r w:rsidR="00315922">
        <w:t xml:space="preserve">a </w:t>
      </w:r>
      <w:r w:rsidRPr="00B279CC">
        <w:t xml:space="preserve">direct impact on the functioning of AI systems and their perception by the stakeholders. The report is a comparison of </w:t>
      </w:r>
      <w:r w:rsidR="00315922">
        <w:t xml:space="preserve">the </w:t>
      </w:r>
      <w:r w:rsidRPr="00B279CC">
        <w:t>regulatory and operating environment of the United States (USA) and the UK. This comparison is significant since multinational companies need to change in accordance with various legal and cultural requirements</w:t>
      </w:r>
      <w:r w:rsidR="001F182C">
        <w:t xml:space="preserve"> (</w:t>
      </w:r>
      <w:r w:rsidR="001F182C" w:rsidRPr="00211116">
        <w:rPr>
          <w:rFonts w:eastAsia="Times New Roman" w:cs="Times New Roman"/>
          <w:szCs w:val="24"/>
          <w:lang w:val="en-US"/>
        </w:rPr>
        <w:t>K</w:t>
      </w:r>
      <w:r w:rsidR="001F182C">
        <w:rPr>
          <w:rFonts w:eastAsia="Times New Roman" w:cs="Times New Roman"/>
          <w:szCs w:val="24"/>
          <w:lang w:val="en-US"/>
        </w:rPr>
        <w:t>rugman, and Wells. 2018)</w:t>
      </w:r>
      <w:r w:rsidRPr="00B279CC">
        <w:t>.</w:t>
      </w:r>
      <w:r w:rsidR="001F182C">
        <w:t xml:space="preserve"> </w:t>
      </w:r>
      <w:r w:rsidR="00315922">
        <w:t xml:space="preserve">An </w:t>
      </w:r>
      <w:r w:rsidR="00545BA7" w:rsidRPr="00B279CC">
        <w:t>AI system is driven by data.</w:t>
      </w:r>
      <w:r w:rsidR="00B279CC">
        <w:t xml:space="preserve"> </w:t>
      </w:r>
      <w:r w:rsidRPr="00B279CC">
        <w:t>Tesco gathers extensive inf</w:t>
      </w:r>
      <w:r w:rsidR="00B279CC">
        <w:t>ormation regarding its customers</w:t>
      </w:r>
      <w:r w:rsidRPr="00B279CC">
        <w:t xml:space="preserve"> in the course of operation and in </w:t>
      </w:r>
      <w:r w:rsidR="00315922">
        <w:t>its</w:t>
      </w:r>
      <w:r w:rsidRPr="00B279CC">
        <w:t xml:space="preserve"> loyalty programs. This information is applied to personalise the offers, inventory management, and services. But the application of this type of data brings into question privacy, security, and compliance. Data governance should thus be strong to make sure that data is dealt with in a responsible manner and according to the law</w:t>
      </w:r>
      <w:r w:rsidR="001F182C">
        <w:t xml:space="preserve"> (</w:t>
      </w:r>
      <w:proofErr w:type="spellStart"/>
      <w:r w:rsidR="001F182C">
        <w:rPr>
          <w:rFonts w:eastAsia="Times New Roman" w:cs="Times New Roman"/>
          <w:szCs w:val="24"/>
          <w:lang w:val="en-US"/>
        </w:rPr>
        <w:t>Sloman</w:t>
      </w:r>
      <w:proofErr w:type="spellEnd"/>
      <w:r w:rsidR="001F182C">
        <w:rPr>
          <w:rFonts w:eastAsia="Times New Roman" w:cs="Times New Roman"/>
          <w:szCs w:val="24"/>
          <w:lang w:val="en-US"/>
        </w:rPr>
        <w:t xml:space="preserve">, and Jones, </w:t>
      </w:r>
      <w:r w:rsidR="001F182C" w:rsidRPr="00211116">
        <w:rPr>
          <w:rFonts w:eastAsia="Times New Roman" w:cs="Times New Roman"/>
          <w:szCs w:val="24"/>
          <w:lang w:val="en-US"/>
        </w:rPr>
        <w:t>2020)</w:t>
      </w:r>
      <w:r w:rsidRPr="00B279CC">
        <w:t>.</w:t>
      </w:r>
      <w:r w:rsidR="001F182C">
        <w:t xml:space="preserve"> </w:t>
      </w:r>
      <w:r w:rsidRPr="00B279CC">
        <w:t>The UK GDPR and the Data Protection Act 2018 are frameworks that, in the UK, regulate the use of AI and data. The laws are aimed at safeguarding personal information and transparen</w:t>
      </w:r>
      <w:r w:rsidR="00315922">
        <w:t>cy. The strategy is more sector</w:t>
      </w:r>
      <w:r w:rsidRPr="00B279CC">
        <w:t xml:space="preserve">-based and flexible in the USA. Laws like the California Consumer Privacy Act (CCPA) and recommendations by the Federal Trade Commission (FTC) influence the application of data and AI by companies. This brings disparities in the manner </w:t>
      </w:r>
      <w:r w:rsidR="00315922">
        <w:t xml:space="preserve">in which </w:t>
      </w:r>
      <w:r w:rsidRPr="00B279CC">
        <w:t>Tesco has to run its operations in the regions.</w:t>
      </w:r>
      <w:r w:rsidR="001F182C">
        <w:t xml:space="preserve"> </w:t>
      </w:r>
      <w:r w:rsidRPr="00B279CC">
        <w:t>In some cases, AI systems may give biased or unfair</w:t>
      </w:r>
      <w:r w:rsidR="001F182C">
        <w:t xml:space="preserve"> results </w:t>
      </w:r>
      <w:r w:rsidR="00315922">
        <w:t>if</w:t>
      </w:r>
      <w:r w:rsidR="001F182C">
        <w:t xml:space="preserve"> the data utilis</w:t>
      </w:r>
      <w:r w:rsidRPr="00B279CC">
        <w:t xml:space="preserve">ed is not balanced. Transparency is also a concern, with </w:t>
      </w:r>
      <w:r w:rsidRPr="00B279CC">
        <w:lastRenderedPageBreak/>
        <w:t>numerous AI systems being hard to describe. Firms should make certain that their AI solutions are transparent, responsible and reasonable.</w:t>
      </w:r>
      <w:r w:rsidR="001F182C">
        <w:t xml:space="preserve"> </w:t>
      </w:r>
      <w:r w:rsidRPr="00B279CC">
        <w:t>Customers want their inf</w:t>
      </w:r>
      <w:r w:rsidR="00B279CC">
        <w:t>ormation to be secure and utilis</w:t>
      </w:r>
      <w:r w:rsidRPr="00B279CC">
        <w:t>ed in a responsible manner. When lost, it may have an influence on brand reputation and the performance of the business. In the case of Tesco, its high number of customers and use</w:t>
      </w:r>
      <w:r w:rsidR="00315922">
        <w:t xml:space="preserve"> of data-driven strategies make</w:t>
      </w:r>
      <w:r w:rsidRPr="00B279CC">
        <w:t xml:space="preserve"> it vital to uphold trust.</w:t>
      </w:r>
      <w:r w:rsidR="001F182C">
        <w:t xml:space="preserve"> </w:t>
      </w:r>
      <w:r w:rsidRPr="00B279CC">
        <w:t>The report is consultancy-based and is a secondary research. It will focus on offering practical ideas and suggestions. On the whole, it will demonstrate how Tesco can be able to address AI risks without compromising performance and trust.</w:t>
      </w:r>
    </w:p>
    <w:p w:rsidR="00CF0EE1" w:rsidRDefault="00CF0EE1">
      <w:pPr>
        <w:spacing w:line="276" w:lineRule="auto"/>
        <w:jc w:val="left"/>
        <w:rPr>
          <w:rFonts w:eastAsiaTheme="majorEastAsia" w:cstheme="majorBidi"/>
          <w:b/>
          <w:bCs/>
          <w:color w:val="365F91" w:themeColor="accent1" w:themeShade="BF"/>
          <w:sz w:val="32"/>
          <w:szCs w:val="28"/>
        </w:rPr>
      </w:pPr>
      <w:r>
        <w:br w:type="page"/>
      </w:r>
    </w:p>
    <w:p w:rsidR="00235C3E" w:rsidRPr="00B279CC" w:rsidRDefault="00CF0EE1" w:rsidP="001F182C">
      <w:pPr>
        <w:pStyle w:val="Heading1"/>
      </w:pPr>
      <w:bookmarkStart w:id="3" w:name="_Toc228179318"/>
      <w:r>
        <w:lastRenderedPageBreak/>
        <w:t>3.</w:t>
      </w:r>
      <w:r w:rsidR="001F182C">
        <w:t xml:space="preserve"> Main Body</w:t>
      </w:r>
      <w:bookmarkEnd w:id="3"/>
    </w:p>
    <w:p w:rsidR="00235C3E" w:rsidRPr="00B279CC" w:rsidRDefault="00CF0EE1" w:rsidP="00CF0EE1">
      <w:pPr>
        <w:pStyle w:val="Heading2"/>
      </w:pPr>
      <w:bookmarkStart w:id="4" w:name="_Toc228179319"/>
      <w:r>
        <w:t>3</w:t>
      </w:r>
      <w:r w:rsidR="00235C3E" w:rsidRPr="00B279CC">
        <w:t>.1 Re</w:t>
      </w:r>
      <w:r w:rsidR="001F182C">
        <w:t xml:space="preserve">gulatory Analysis Related </w:t>
      </w:r>
      <w:r w:rsidR="00315922">
        <w:t>to</w:t>
      </w:r>
      <w:r w:rsidR="001F182C">
        <w:t xml:space="preserve"> AI</w:t>
      </w:r>
      <w:bookmarkEnd w:id="4"/>
    </w:p>
    <w:p w:rsidR="00235C3E" w:rsidRPr="00B279CC" w:rsidRDefault="00235C3E" w:rsidP="00235C3E">
      <w:r w:rsidRPr="00B279CC">
        <w:t>One of the most important aspects of regulating the risks of artificial intelligence (AI) in MNCs is regulation. With the increased use of AI in business processes, governmen</w:t>
      </w:r>
      <w:r w:rsidR="00315922">
        <w:t>ts are establishing legislation</w:t>
      </w:r>
      <w:r w:rsidRPr="00B279CC">
        <w:t xml:space="preserve"> and regulations to regulate data collection, processing and usage. In the case of Tesco, which operates in both the United Kingdom (UK) and the United States (USA), regulation poses opportunities and challenges. The company will have to operate within the various legal regimes and also be able to run efficiently</w:t>
      </w:r>
      <w:r w:rsidR="001F182C">
        <w:t xml:space="preserve"> (</w:t>
      </w:r>
      <w:proofErr w:type="spellStart"/>
      <w:r w:rsidR="001F182C">
        <w:rPr>
          <w:rFonts w:eastAsia="Times New Roman" w:cs="Times New Roman"/>
          <w:szCs w:val="24"/>
          <w:lang w:val="en-US"/>
        </w:rPr>
        <w:t>Jham</w:t>
      </w:r>
      <w:proofErr w:type="spellEnd"/>
      <w:r w:rsidR="001F182C">
        <w:rPr>
          <w:rFonts w:eastAsia="Times New Roman" w:cs="Times New Roman"/>
          <w:szCs w:val="24"/>
          <w:lang w:val="en-US"/>
        </w:rPr>
        <w:t xml:space="preserve"> et al., </w:t>
      </w:r>
      <w:r w:rsidR="001F182C" w:rsidRPr="001F182C">
        <w:rPr>
          <w:rFonts w:eastAsia="Times New Roman" w:cs="Times New Roman"/>
          <w:szCs w:val="24"/>
          <w:lang w:val="en-US"/>
        </w:rPr>
        <w:t>2023)</w:t>
      </w:r>
      <w:r w:rsidRPr="00B279CC">
        <w:t>.</w:t>
      </w:r>
      <w:r w:rsidR="00CF0EE1">
        <w:t xml:space="preserve"> </w:t>
      </w:r>
      <w:r w:rsidRPr="00B279CC">
        <w:t xml:space="preserve">The regulation of AI in the UK does not rely on any specific AI legislation, but on the existing data protection legislation. The most significant are the Data Protection Act 2018 and the UK General Data Protection Regulation (UK GDPR). These laws force companies to handle personal information in a lawful manner, </w:t>
      </w:r>
      <w:r w:rsidR="00315922">
        <w:t>ensure</w:t>
      </w:r>
      <w:r w:rsidRPr="00B279CC">
        <w:t xml:space="preserve"> transparency, and safeguard individual rights. Tesco needs to articulate the nature of its customer-data </w:t>
      </w:r>
      <w:r w:rsidR="00B279CC">
        <w:t>utilisation</w:t>
      </w:r>
      <w:r w:rsidRPr="00B279CC">
        <w:t xml:space="preserve">, particularly with its </w:t>
      </w:r>
      <w:proofErr w:type="spellStart"/>
      <w:r w:rsidRPr="00B279CC">
        <w:t>Clubcard</w:t>
      </w:r>
      <w:proofErr w:type="spellEnd"/>
      <w:r w:rsidRPr="00B279CC">
        <w:t xml:space="preserve"> system, and has to seek the appropriate consent </w:t>
      </w:r>
      <w:r w:rsidR="00315922">
        <w:t>from</w:t>
      </w:r>
      <w:r w:rsidRPr="00B279CC">
        <w:t xml:space="preserve"> users</w:t>
      </w:r>
      <w:r w:rsidR="001F182C">
        <w:t xml:space="preserve"> (</w:t>
      </w:r>
      <w:proofErr w:type="spellStart"/>
      <w:r w:rsidR="001F182C">
        <w:rPr>
          <w:rFonts w:eastAsia="Times New Roman" w:cs="Times New Roman"/>
          <w:szCs w:val="24"/>
          <w:lang w:val="en-US"/>
        </w:rPr>
        <w:t>Yunxia</w:t>
      </w:r>
      <w:proofErr w:type="spellEnd"/>
      <w:r w:rsidR="001F182C">
        <w:rPr>
          <w:rFonts w:eastAsia="Times New Roman" w:cs="Times New Roman"/>
          <w:szCs w:val="24"/>
          <w:lang w:val="en-US"/>
        </w:rPr>
        <w:t xml:space="preserve"> et al., </w:t>
      </w:r>
      <w:r w:rsidR="001F182C" w:rsidRPr="001F182C">
        <w:rPr>
          <w:rFonts w:eastAsia="Times New Roman" w:cs="Times New Roman"/>
          <w:szCs w:val="24"/>
          <w:lang w:val="en-US"/>
        </w:rPr>
        <w:t>2026)</w:t>
      </w:r>
      <w:r w:rsidRPr="00B279CC">
        <w:t>.</w:t>
      </w:r>
      <w:r w:rsidR="00CF0EE1">
        <w:t xml:space="preserve"> </w:t>
      </w:r>
      <w:r w:rsidRPr="00B279CC">
        <w:t>The UK government has decided to adopt a regulatory strategy towards AI that is flexible and open to innovation. It does not introduce strict AI laws but offers directions by regulators like the Information Commissioner</w:t>
      </w:r>
      <w:r w:rsidR="00315922">
        <w:t>’</w:t>
      </w:r>
      <w:r w:rsidRPr="00B279CC">
        <w:t xml:space="preserve">s Office (ICO). This would motivate </w:t>
      </w:r>
      <w:r w:rsidR="00315922">
        <w:t xml:space="preserve">businesses to be innovative and, at the same time, </w:t>
      </w:r>
      <w:r w:rsidRPr="00B279CC">
        <w:t xml:space="preserve">accountable. But the absence of one AI law can </w:t>
      </w:r>
      <w:r w:rsidR="00315922">
        <w:t>confuse</w:t>
      </w:r>
      <w:r w:rsidRPr="00B279CC">
        <w:t>. Businesses might struggle to comprehend the application of various regulations to various AI uses.</w:t>
      </w:r>
    </w:p>
    <w:p w:rsidR="00235C3E" w:rsidRPr="00B279CC" w:rsidRDefault="00235C3E" w:rsidP="00235C3E">
      <w:r w:rsidRPr="00B279CC">
        <w:t>Recent statistics indicate that data protection laws are being i</w:t>
      </w:r>
      <w:r w:rsidR="002D7811">
        <w:t xml:space="preserve">ncreasingly enforced in the UK. </w:t>
      </w:r>
      <w:r w:rsidR="00B279CC">
        <w:t xml:space="preserve">In 2023, </w:t>
      </w:r>
      <w:r w:rsidR="002D7811">
        <w:t xml:space="preserve">the ICO punished different companies more than 12 million GBP due to data breaches. </w:t>
      </w:r>
      <w:r w:rsidRPr="00B279CC">
        <w:t xml:space="preserve">More so, over 11,000 data security breaches were also reported within the same year. These numbers show that regulatory bodies are on the hunt to keep a check on companies and </w:t>
      </w:r>
      <w:r w:rsidR="00315922">
        <w:t>act</w:t>
      </w:r>
      <w:r w:rsidRPr="00B279CC">
        <w:t xml:space="preserve"> when appropriate</w:t>
      </w:r>
      <w:r w:rsidR="001F182C">
        <w:t xml:space="preserve"> (</w:t>
      </w:r>
      <w:proofErr w:type="spellStart"/>
      <w:r w:rsidR="001F182C">
        <w:rPr>
          <w:rFonts w:eastAsia="Times New Roman" w:cs="Times New Roman"/>
          <w:szCs w:val="24"/>
          <w:lang w:val="en-US"/>
        </w:rPr>
        <w:t>Mouloudj</w:t>
      </w:r>
      <w:proofErr w:type="spellEnd"/>
      <w:r w:rsidR="001F182C">
        <w:rPr>
          <w:rFonts w:eastAsia="Times New Roman" w:cs="Times New Roman"/>
          <w:szCs w:val="24"/>
          <w:lang w:val="en-US"/>
        </w:rPr>
        <w:t xml:space="preserve"> et al., </w:t>
      </w:r>
      <w:r w:rsidR="001F182C" w:rsidRPr="001F182C">
        <w:rPr>
          <w:rFonts w:eastAsia="Times New Roman" w:cs="Times New Roman"/>
          <w:szCs w:val="24"/>
          <w:lang w:val="en-US"/>
        </w:rPr>
        <w:t>2026)</w:t>
      </w:r>
      <w:r w:rsidRPr="00B279CC">
        <w:t>. In the case of Tesco, this implies that non-compliance will lead to fines and a tarnished image.</w:t>
      </w:r>
      <w:r w:rsidR="00CF0EE1">
        <w:t xml:space="preserve"> </w:t>
      </w:r>
      <w:r w:rsidRPr="00B279CC">
        <w:t>In comparison, the USA is more fragmented and sector-based in its regulation. No federal law is similar to GDPR. Rather, various legislation</w:t>
      </w:r>
      <w:r w:rsidR="00315922">
        <w:t>s</w:t>
      </w:r>
      <w:r w:rsidRPr="00B279CC">
        <w:t xml:space="preserve"> </w:t>
      </w:r>
      <w:r w:rsidR="00315922">
        <w:t>are</w:t>
      </w:r>
      <w:r w:rsidRPr="00B279CC">
        <w:t xml:space="preserve"> applicable based on the industry and state. The California Consumer Privacy Act (CCPA) is one of the most crucial laws that </w:t>
      </w:r>
      <w:proofErr w:type="gramStart"/>
      <w:r w:rsidRPr="00B279CC">
        <w:t>provide</w:t>
      </w:r>
      <w:r w:rsidR="00315922">
        <w:t>s</w:t>
      </w:r>
      <w:proofErr w:type="gramEnd"/>
      <w:r w:rsidRPr="00B279CC">
        <w:t xml:space="preserve"> consumers with rights to their personal information. These are the right to access information on the data collected and the right to request deletion.</w:t>
      </w:r>
      <w:r w:rsidR="00CF0EE1">
        <w:t xml:space="preserve"> </w:t>
      </w:r>
      <w:r w:rsidR="00315922">
        <w:t>Regulatory organis</w:t>
      </w:r>
      <w:r w:rsidRPr="00B279CC">
        <w:t xml:space="preserve">ations like the Federal Trade Commission (FTC) are also used in the USA to </w:t>
      </w:r>
      <w:r w:rsidRPr="00B279CC">
        <w:lastRenderedPageBreak/>
        <w:t>implement regulations regarding data protection and AI. The FTC aims at the prevention of unfair or misleading practices</w:t>
      </w:r>
      <w:r w:rsidR="001F182C">
        <w:t xml:space="preserve"> (</w:t>
      </w:r>
      <w:proofErr w:type="spellStart"/>
      <w:r w:rsidR="001F182C">
        <w:rPr>
          <w:rFonts w:eastAsia="Times New Roman" w:cs="Times New Roman"/>
          <w:szCs w:val="24"/>
          <w:lang w:val="en-US"/>
        </w:rPr>
        <w:t>Loske</w:t>
      </w:r>
      <w:proofErr w:type="spellEnd"/>
      <w:r w:rsidR="001F182C">
        <w:rPr>
          <w:rFonts w:eastAsia="Times New Roman" w:cs="Times New Roman"/>
          <w:szCs w:val="24"/>
          <w:lang w:val="en-US"/>
        </w:rPr>
        <w:t xml:space="preserve">, and </w:t>
      </w:r>
      <w:proofErr w:type="spellStart"/>
      <w:r w:rsidR="001F182C">
        <w:rPr>
          <w:rFonts w:eastAsia="Times New Roman" w:cs="Times New Roman"/>
          <w:szCs w:val="24"/>
          <w:lang w:val="en-US"/>
        </w:rPr>
        <w:t>Klumpp</w:t>
      </w:r>
      <w:proofErr w:type="spellEnd"/>
      <w:r w:rsidR="001F182C">
        <w:rPr>
          <w:rFonts w:eastAsia="Times New Roman" w:cs="Times New Roman"/>
          <w:szCs w:val="24"/>
          <w:lang w:val="en-US"/>
        </w:rPr>
        <w:t xml:space="preserve">, </w:t>
      </w:r>
      <w:r w:rsidR="001F182C" w:rsidRPr="001F182C">
        <w:rPr>
          <w:rFonts w:eastAsia="Times New Roman" w:cs="Times New Roman"/>
          <w:szCs w:val="24"/>
          <w:lang w:val="en-US"/>
        </w:rPr>
        <w:t>2021)</w:t>
      </w:r>
      <w:r w:rsidRPr="00B279CC">
        <w:t>. It has become more concerned about AI-related risks, such as data misuse and algorithmic bias, in recent years.</w:t>
      </w:r>
    </w:p>
    <w:p w:rsidR="00235C3E" w:rsidRPr="00B279CC" w:rsidRDefault="00235C3E" w:rsidP="00235C3E">
      <w:r w:rsidRPr="00B279CC">
        <w:t>Statistics indicate that the enforcement of regulation</w:t>
      </w:r>
      <w:r w:rsidR="004B1573">
        <w:t xml:space="preserve">s in the USA is also </w:t>
      </w:r>
      <w:r w:rsidR="00315922">
        <w:t>increasing</w:t>
      </w:r>
      <w:r w:rsidR="004B1573">
        <w:t xml:space="preserve">. The FTC </w:t>
      </w:r>
      <w:r w:rsidR="00315922">
        <w:t>has also</w:t>
      </w:r>
      <w:r w:rsidR="004B1573">
        <w:t xml:space="preserve"> fined more than 5.7 billion USD for consumer protection law breach</w:t>
      </w:r>
      <w:r w:rsidR="00315922">
        <w:t>es</w:t>
      </w:r>
      <w:r w:rsidR="004B1573">
        <w:t xml:space="preserve"> and data privacy regulations breach</w:t>
      </w:r>
      <w:r w:rsidR="00315922">
        <w:t>es</w:t>
      </w:r>
      <w:r w:rsidR="004B1573">
        <w:t xml:space="preserve">. Besides, some companies have been taken under custody due to </w:t>
      </w:r>
      <w:r w:rsidR="00315922">
        <w:t xml:space="preserve">the </w:t>
      </w:r>
      <w:r w:rsidR="004B1573">
        <w:t xml:space="preserve">misuse of data and information of the customers and </w:t>
      </w:r>
      <w:r w:rsidR="00315922">
        <w:t xml:space="preserve">a </w:t>
      </w:r>
      <w:r w:rsidR="004B1573">
        <w:t xml:space="preserve">lack of transparency in using AI. It proves that despite </w:t>
      </w:r>
      <w:r w:rsidR="00315922">
        <w:t>a</w:t>
      </w:r>
      <w:r w:rsidR="004B1573">
        <w:t xml:space="preserve"> shortage of </w:t>
      </w:r>
      <w:r w:rsidR="00315922">
        <w:t>laws</w:t>
      </w:r>
      <w:r w:rsidR="004B1573">
        <w:t>, law enforcement is still strict</w:t>
      </w:r>
      <w:r w:rsidR="001F182C">
        <w:t xml:space="preserve"> (</w:t>
      </w:r>
      <w:proofErr w:type="spellStart"/>
      <w:r w:rsidR="001F182C">
        <w:rPr>
          <w:rFonts w:eastAsia="Times New Roman" w:cs="Times New Roman"/>
          <w:szCs w:val="24"/>
          <w:lang w:val="en-US"/>
        </w:rPr>
        <w:t>Albaheth</w:t>
      </w:r>
      <w:proofErr w:type="spellEnd"/>
      <w:r w:rsidR="001F182C">
        <w:rPr>
          <w:rFonts w:eastAsia="Times New Roman" w:cs="Times New Roman"/>
          <w:szCs w:val="24"/>
          <w:lang w:val="en-US"/>
        </w:rPr>
        <w:t xml:space="preserve">, </w:t>
      </w:r>
      <w:r w:rsidR="001F182C" w:rsidRPr="001F182C">
        <w:rPr>
          <w:rFonts w:eastAsia="Times New Roman" w:cs="Times New Roman"/>
          <w:szCs w:val="24"/>
          <w:lang w:val="en-US"/>
        </w:rPr>
        <w:t>2025)</w:t>
      </w:r>
      <w:r w:rsidR="004B1573">
        <w:t>.</w:t>
      </w:r>
      <w:r w:rsidR="00CF0EE1">
        <w:t xml:space="preserve"> </w:t>
      </w:r>
      <w:r w:rsidRPr="00B279CC">
        <w:t>The other significant change in the USA is the proposal of the AI Bill of Rights in 2022. The principles described in this framework include safe and effective systems, data privacy, and algorithmic discrimination prot</w:t>
      </w:r>
      <w:r w:rsidR="00315922">
        <w:t xml:space="preserve">ection. It is not a binding law, </w:t>
      </w:r>
      <w:r w:rsidRPr="00B279CC">
        <w:t>but it offers guidelines to AI-using companies. It promotes responsible business practices and the social consideration of technologies by businesses.</w:t>
      </w:r>
      <w:r w:rsidR="00CF0EE1">
        <w:t xml:space="preserve"> </w:t>
      </w:r>
      <w:r w:rsidRPr="00B279CC">
        <w:t>Regulations on the state level are also growing. Indicatively, California broadened its privacy statutes by the California Privacy Rights Act (CPRA), which became effective in 2023. Such laws have been proposed by other states like Virginia and Colorado. This makes the reg</w:t>
      </w:r>
      <w:r w:rsidR="00315922">
        <w:t xml:space="preserve">ulatory environment complicated, </w:t>
      </w:r>
      <w:r w:rsidRPr="00B279CC">
        <w:t>with firms having to abide by several state regulations</w:t>
      </w:r>
      <w:r w:rsidR="00570C90">
        <w:t xml:space="preserve"> (</w:t>
      </w:r>
      <w:proofErr w:type="spellStart"/>
      <w:r w:rsidR="00570C90">
        <w:rPr>
          <w:rFonts w:eastAsia="Times New Roman" w:cs="Times New Roman"/>
          <w:szCs w:val="24"/>
          <w:lang w:val="en-US"/>
        </w:rPr>
        <w:t>Jingyi</w:t>
      </w:r>
      <w:proofErr w:type="spellEnd"/>
      <w:r w:rsidR="00570C90">
        <w:rPr>
          <w:rFonts w:eastAsia="Times New Roman" w:cs="Times New Roman"/>
          <w:szCs w:val="24"/>
          <w:lang w:val="en-US"/>
        </w:rPr>
        <w:t xml:space="preserve"> Zhang, </w:t>
      </w:r>
      <w:r w:rsidR="00570C90" w:rsidRPr="00570C90">
        <w:rPr>
          <w:rFonts w:eastAsia="Times New Roman" w:cs="Times New Roman"/>
          <w:szCs w:val="24"/>
          <w:lang w:val="en-US"/>
        </w:rPr>
        <w:t>2025)</w:t>
      </w:r>
      <w:r w:rsidRPr="00B279CC">
        <w:t>.</w:t>
      </w:r>
      <w:r w:rsidR="00CF0EE1">
        <w:t xml:space="preserve"> </w:t>
      </w:r>
      <w:r w:rsidRPr="00B279CC">
        <w:t xml:space="preserve">One of the main differences between the UK and </w:t>
      </w:r>
      <w:r w:rsidR="00315922">
        <w:t xml:space="preserve">the </w:t>
      </w:r>
      <w:r w:rsidRPr="00B279CC">
        <w:t>USA is the standardisation. UK GDPR provides a more unified system in the UK, whereas the USA has numerous laws in states and sectors. In the case of Tesco, it implies that when it operates in the USA, it has to be attentive to various regulations. The company needs to modify its data practices according to the state where it operates.</w:t>
      </w:r>
    </w:p>
    <w:p w:rsidR="00CF0EE1" w:rsidRDefault="00235C3E" w:rsidP="00235C3E">
      <w:r w:rsidRPr="00B279CC">
        <w:t xml:space="preserve">In 2023, a large US retailer was sued due to its inability to adequately inform customers </w:t>
      </w:r>
      <w:r w:rsidR="00315922">
        <w:t>about</w:t>
      </w:r>
      <w:r w:rsidRPr="00B279CC">
        <w:t xml:space="preserve"> the use of their data through its recommendation system powered by AI. The result of the case was a multi-million dollar settlement and an obligation on the part of the company to enhance its transparency policies</w:t>
      </w:r>
      <w:r w:rsidR="00570C90">
        <w:t xml:space="preserve"> (</w:t>
      </w:r>
      <w:proofErr w:type="spellStart"/>
      <w:r w:rsidR="00570C90">
        <w:rPr>
          <w:rFonts w:eastAsia="Times New Roman" w:cs="Times New Roman"/>
          <w:szCs w:val="24"/>
          <w:lang w:val="en-US"/>
        </w:rPr>
        <w:t>Manikyamba</w:t>
      </w:r>
      <w:proofErr w:type="spellEnd"/>
      <w:r w:rsidR="00570C90">
        <w:rPr>
          <w:rFonts w:eastAsia="Times New Roman" w:cs="Times New Roman"/>
          <w:szCs w:val="24"/>
          <w:lang w:val="en-US"/>
        </w:rPr>
        <w:t xml:space="preserve"> et al., </w:t>
      </w:r>
      <w:r w:rsidR="00570C90" w:rsidRPr="00570C90">
        <w:rPr>
          <w:rFonts w:eastAsia="Times New Roman" w:cs="Times New Roman"/>
          <w:szCs w:val="24"/>
          <w:lang w:val="en-US"/>
        </w:rPr>
        <w:t>2022)</w:t>
      </w:r>
      <w:r w:rsidRPr="00B279CC">
        <w:t xml:space="preserve">. This case demonstrates the possibility of both monetary and reputational damage in </w:t>
      </w:r>
      <w:r w:rsidR="00315922">
        <w:t xml:space="preserve">the </w:t>
      </w:r>
      <w:r w:rsidRPr="00B279CC">
        <w:t>case of noncompliance.</w:t>
      </w:r>
      <w:r w:rsidR="00CF0EE1">
        <w:t xml:space="preserve"> </w:t>
      </w:r>
      <w:r w:rsidRPr="00B279CC">
        <w:t>Tesco</w:t>
      </w:r>
      <w:r w:rsidR="00315922">
        <w:t>’</w:t>
      </w:r>
      <w:r w:rsidRPr="00B279CC">
        <w:t xml:space="preserve">s </w:t>
      </w:r>
      <w:proofErr w:type="spellStart"/>
      <w:r w:rsidRPr="00B279CC">
        <w:t>Clubcard</w:t>
      </w:r>
      <w:proofErr w:type="spellEnd"/>
      <w:r w:rsidRPr="00B279CC">
        <w:t xml:space="preserve"> system gathers specifics of customer behaviour. As much as this may give useful insights, it also intensifies the regulatory risk. In the UK and </w:t>
      </w:r>
      <w:r w:rsidR="00315922">
        <w:t xml:space="preserve">the </w:t>
      </w:r>
      <w:r w:rsidRPr="00B279CC">
        <w:t xml:space="preserve">USA, the company should make sure that the data is gathered </w:t>
      </w:r>
      <w:r w:rsidR="00570C90" w:rsidRPr="00B279CC">
        <w:t>consensually</w:t>
      </w:r>
      <w:r w:rsidRPr="00B279CC">
        <w:t xml:space="preserve"> and is utilised in a legally appropriate way.</w:t>
      </w:r>
      <w:r w:rsidR="00CF0EE1">
        <w:t xml:space="preserve"> </w:t>
      </w:r>
      <w:r w:rsidRPr="00B279CC">
        <w:t xml:space="preserve">The AI systems frequently demand </w:t>
      </w:r>
      <w:r w:rsidR="00315922">
        <w:t xml:space="preserve">the </w:t>
      </w:r>
      <w:r w:rsidRPr="00B279CC">
        <w:t xml:space="preserve">sharing of data among nations. But there are varying regulations on data </w:t>
      </w:r>
      <w:r w:rsidRPr="00B279CC">
        <w:lastRenderedPageBreak/>
        <w:t>transfer across regions. There are some safeguards that facilitate the transfer of data in the UK, and the USA is based on agreements like the Data Privacy Framework agreement with the EU and the UK</w:t>
      </w:r>
      <w:r w:rsidR="00570C90">
        <w:t xml:space="preserve"> (</w:t>
      </w:r>
      <w:r w:rsidR="00570C90">
        <w:rPr>
          <w:rFonts w:eastAsia="Times New Roman" w:cs="Times New Roman"/>
          <w:szCs w:val="24"/>
          <w:lang w:val="en-US"/>
        </w:rPr>
        <w:t xml:space="preserve">Knudsen et al., </w:t>
      </w:r>
      <w:r w:rsidR="00570C90" w:rsidRPr="00570C90">
        <w:rPr>
          <w:rFonts w:eastAsia="Times New Roman" w:cs="Times New Roman"/>
          <w:szCs w:val="24"/>
          <w:lang w:val="en-US"/>
        </w:rPr>
        <w:t>2025)</w:t>
      </w:r>
      <w:r w:rsidRPr="00B279CC">
        <w:t xml:space="preserve">. Business organisations should make sure that they have proper security systems whenever they are sending information to </w:t>
      </w:r>
      <w:r w:rsidR="00315922">
        <w:t xml:space="preserve">a </w:t>
      </w:r>
      <w:r w:rsidRPr="00B279CC">
        <w:t>foreign country.</w:t>
      </w:r>
      <w:r w:rsidR="00CF0EE1">
        <w:t xml:space="preserve"> </w:t>
      </w:r>
      <w:r w:rsidRPr="00B279CC">
        <w:t>In the UK GDPR, businesses may be fined up to GBP</w:t>
      </w:r>
      <w:r w:rsidR="00570C90">
        <w:t xml:space="preserve"> 17.5 million or 4% </w:t>
      </w:r>
      <w:r w:rsidRPr="00B279CC">
        <w:t xml:space="preserve">of </w:t>
      </w:r>
      <w:r w:rsidR="00315922">
        <w:t xml:space="preserve">their </w:t>
      </w:r>
      <w:r w:rsidRPr="00B279CC">
        <w:t>annual turnover worldwide. Penalties in the USA are different depending on the law, yet may also be in millions of dollars. Besides fines, the companies can also incur legal expenses and loss of customers.</w:t>
      </w:r>
      <w:r w:rsidR="00CF0EE1">
        <w:t xml:space="preserve"> </w:t>
      </w:r>
      <w:r w:rsidR="004B1573">
        <w:t xml:space="preserve">The regulatory environment for business is changing </w:t>
      </w:r>
      <w:r w:rsidR="00315922">
        <w:t>at</w:t>
      </w:r>
      <w:r w:rsidR="004B1573">
        <w:t xml:space="preserve"> a rapid pace. </w:t>
      </w:r>
      <w:r w:rsidRPr="00B279CC">
        <w:t>Governments are revising the laws to cope with the new challenges posed by AI. Regulators in the UK are coming up with more specific guidance on the use of AI. In the USA, a discussion is underway regarding implementing a federal AI law. This implies that businesses have to keep pace and change their strategies constantly</w:t>
      </w:r>
      <w:r w:rsidR="00CF0EE1">
        <w:t xml:space="preserve"> (</w:t>
      </w:r>
      <w:proofErr w:type="spellStart"/>
      <w:r w:rsidR="00CF0EE1">
        <w:rPr>
          <w:rFonts w:eastAsia="Times New Roman" w:cs="Times New Roman"/>
          <w:szCs w:val="24"/>
          <w:lang w:val="en-US"/>
        </w:rPr>
        <w:t>Sanseverino</w:t>
      </w:r>
      <w:proofErr w:type="spellEnd"/>
      <w:r w:rsidR="00CF0EE1">
        <w:rPr>
          <w:rFonts w:eastAsia="Times New Roman" w:cs="Times New Roman"/>
          <w:szCs w:val="24"/>
          <w:lang w:val="en-US"/>
        </w:rPr>
        <w:t xml:space="preserve">, </w:t>
      </w:r>
      <w:r w:rsidR="00CF0EE1" w:rsidRPr="00CF0EE1">
        <w:rPr>
          <w:rFonts w:eastAsia="Times New Roman" w:cs="Times New Roman"/>
          <w:szCs w:val="24"/>
          <w:lang w:val="en-US"/>
        </w:rPr>
        <w:t>2024).</w:t>
      </w:r>
      <w:r w:rsidR="00CF0EE1">
        <w:t xml:space="preserve"> </w:t>
      </w:r>
      <w:r w:rsidRPr="00B279CC">
        <w:t>In the case of Tesco, the issue of dealing with such regulatory differences is a significant challenge. The firm needs to develop its AI systems to suit the best in all regions. This can include enacting more stringent policies that meet both the UK and US standards. Although this makes it more expensive, it will reduce risk and enhance compliance.</w:t>
      </w:r>
    </w:p>
    <w:p w:rsidR="00235C3E" w:rsidRPr="00B279CC" w:rsidRDefault="004B1573" w:rsidP="00235C3E">
      <w:r>
        <w:t>So, throughout the discussion</w:t>
      </w:r>
      <w:r w:rsidR="00315922">
        <w:t>,</w:t>
      </w:r>
      <w:r>
        <w:t xml:space="preserve"> it can be said that the regulatory analysis is becoming more complex</w:t>
      </w:r>
      <w:r w:rsidR="00315922">
        <w:t xml:space="preserve"> and important for businesses day by </w:t>
      </w:r>
      <w:r>
        <w:t xml:space="preserve">day. </w:t>
      </w:r>
      <w:r w:rsidR="00315922">
        <w:t xml:space="preserve">The </w:t>
      </w:r>
      <w:r w:rsidR="00235C3E" w:rsidRPr="00B279CC">
        <w:t>UK has a st</w:t>
      </w:r>
      <w:r w:rsidR="00315922">
        <w:t xml:space="preserve">ructured and flexible framework, </w:t>
      </w:r>
      <w:r w:rsidR="00235C3E" w:rsidRPr="00B279CC">
        <w:t>whereas the USA is fragmented and sector-based. According to recent statistics, there is an increase in enforcement and the penalties in both areas</w:t>
      </w:r>
      <w:r w:rsidR="00CF0EE1">
        <w:t xml:space="preserve"> (</w:t>
      </w:r>
      <w:proofErr w:type="spellStart"/>
      <w:r w:rsidR="00CF0EE1">
        <w:rPr>
          <w:rFonts w:eastAsia="Times New Roman" w:cs="Times New Roman"/>
          <w:szCs w:val="24"/>
          <w:lang w:val="en-US"/>
        </w:rPr>
        <w:t>Kharisma</w:t>
      </w:r>
      <w:proofErr w:type="spellEnd"/>
      <w:r w:rsidR="00CF0EE1">
        <w:rPr>
          <w:rFonts w:eastAsia="Times New Roman" w:cs="Times New Roman"/>
          <w:szCs w:val="24"/>
          <w:lang w:val="en-US"/>
        </w:rPr>
        <w:t xml:space="preserve">, and </w:t>
      </w:r>
      <w:proofErr w:type="spellStart"/>
      <w:r w:rsidR="00CF0EE1">
        <w:rPr>
          <w:rFonts w:eastAsia="Times New Roman" w:cs="Times New Roman"/>
          <w:szCs w:val="24"/>
          <w:lang w:val="en-US"/>
        </w:rPr>
        <w:t>Hunaifa</w:t>
      </w:r>
      <w:proofErr w:type="spellEnd"/>
      <w:r w:rsidR="00CF0EE1">
        <w:rPr>
          <w:rFonts w:eastAsia="Times New Roman" w:cs="Times New Roman"/>
          <w:szCs w:val="24"/>
          <w:lang w:val="en-US"/>
        </w:rPr>
        <w:t xml:space="preserve">, </w:t>
      </w:r>
      <w:r w:rsidR="00CF0EE1" w:rsidRPr="00CF0EE1">
        <w:rPr>
          <w:rFonts w:eastAsia="Times New Roman" w:cs="Times New Roman"/>
          <w:szCs w:val="24"/>
          <w:lang w:val="en-US"/>
        </w:rPr>
        <w:t>2023)</w:t>
      </w:r>
      <w:r w:rsidR="00235C3E" w:rsidRPr="00B279CC">
        <w:t>. The implications of non-compliance are pointed out by real-world examples. In the case of Tesco, regulator</w:t>
      </w:r>
      <w:r w:rsidR="00315922">
        <w:t>y management is vital in minimis</w:t>
      </w:r>
      <w:r w:rsidR="00235C3E" w:rsidRPr="00B279CC">
        <w:t xml:space="preserve">ing the risk, </w:t>
      </w:r>
      <w:r w:rsidR="00315922">
        <w:t xml:space="preserve">ensuring </w:t>
      </w:r>
      <w:r w:rsidR="00235C3E" w:rsidRPr="00B279CC">
        <w:t>legal compliance and sustaining customer trust.</w:t>
      </w:r>
    </w:p>
    <w:p w:rsidR="00235C3E" w:rsidRPr="00B279CC" w:rsidRDefault="00235C3E" w:rsidP="00235C3E"/>
    <w:p w:rsidR="00235C3E" w:rsidRPr="00B279CC" w:rsidRDefault="00235C3E" w:rsidP="00235C3E"/>
    <w:p w:rsidR="002A4E60" w:rsidRDefault="002A4E60">
      <w:pPr>
        <w:spacing w:line="276" w:lineRule="auto"/>
        <w:jc w:val="left"/>
        <w:rPr>
          <w:rFonts w:eastAsiaTheme="majorEastAsia" w:cstheme="majorBidi"/>
          <w:b/>
          <w:bCs/>
          <w:color w:val="4F81BD" w:themeColor="accent1"/>
          <w:sz w:val="28"/>
          <w:szCs w:val="26"/>
        </w:rPr>
      </w:pPr>
      <w:r>
        <w:br w:type="page"/>
      </w:r>
    </w:p>
    <w:p w:rsidR="00235C3E" w:rsidRPr="00B279CC" w:rsidRDefault="00CF0EE1" w:rsidP="00CF0EE1">
      <w:pPr>
        <w:pStyle w:val="Heading2"/>
      </w:pPr>
      <w:bookmarkStart w:id="5" w:name="_Toc228179320"/>
      <w:r>
        <w:lastRenderedPageBreak/>
        <w:t>3</w:t>
      </w:r>
      <w:r w:rsidR="00235C3E" w:rsidRPr="00B279CC">
        <w:t>.</w:t>
      </w:r>
      <w:r w:rsidR="00457164">
        <w:t>2 Governance of Data and Information</w:t>
      </w:r>
      <w:bookmarkEnd w:id="5"/>
    </w:p>
    <w:p w:rsidR="00235C3E" w:rsidRPr="00B279CC" w:rsidRDefault="00235C3E" w:rsidP="00235C3E">
      <w:r w:rsidRPr="00B279CC">
        <w:t xml:space="preserve">One of the major components of artificial intelligence (AI) systems management </w:t>
      </w:r>
      <w:r w:rsidR="00315922">
        <w:t>in</w:t>
      </w:r>
      <w:r w:rsidRPr="00B279CC">
        <w:t xml:space="preserve"> multinational companies is data governance. It can be defined as the gathering, storage, processing, sharing and safeguarding of data within organisations. With Tesco, the issue of data governance is particularly significant, as the company depend</w:t>
      </w:r>
      <w:r w:rsidR="00315922">
        <w:t>s on customer data immensely in its operations</w:t>
      </w:r>
      <w:r w:rsidRPr="00B279CC">
        <w:t xml:space="preserve"> and loyalty programmes like </w:t>
      </w:r>
      <w:proofErr w:type="spellStart"/>
      <w:r w:rsidRPr="00B279CC">
        <w:t>Clubcard</w:t>
      </w:r>
      <w:proofErr w:type="spellEnd"/>
      <w:r w:rsidRPr="00B279CC">
        <w:t xml:space="preserve">. </w:t>
      </w:r>
      <w:r w:rsidR="00457164">
        <w:t xml:space="preserve"> </w:t>
      </w:r>
      <w:r w:rsidRPr="00B279CC">
        <w:t>The operation of AI systems requires huge amounts of data. Tesco manages its supply chain, forecasts demand, optimises prices, personalises marketing, and uses the data to manage this. Nevertheless, the output of AI is dependent on the quality of the input data</w:t>
      </w:r>
      <w:r w:rsidR="00CF0EE1">
        <w:t xml:space="preserve"> (</w:t>
      </w:r>
      <w:proofErr w:type="spellStart"/>
      <w:r w:rsidR="00CF0EE1">
        <w:rPr>
          <w:rFonts w:eastAsia="Times New Roman" w:cs="Times New Roman"/>
          <w:szCs w:val="24"/>
          <w:lang w:val="en-US"/>
        </w:rPr>
        <w:t>Suorsa</w:t>
      </w:r>
      <w:proofErr w:type="spellEnd"/>
      <w:r w:rsidR="00CF0EE1">
        <w:rPr>
          <w:rFonts w:eastAsia="Times New Roman" w:cs="Times New Roman"/>
          <w:szCs w:val="24"/>
          <w:lang w:val="en-US"/>
        </w:rPr>
        <w:t xml:space="preserve">, and </w:t>
      </w:r>
      <w:proofErr w:type="spellStart"/>
      <w:r w:rsidR="00CF0EE1">
        <w:rPr>
          <w:rFonts w:eastAsia="Times New Roman" w:cs="Times New Roman"/>
          <w:szCs w:val="24"/>
          <w:lang w:val="en-US"/>
        </w:rPr>
        <w:t>Helo</w:t>
      </w:r>
      <w:proofErr w:type="spellEnd"/>
      <w:r w:rsidR="00CF0EE1">
        <w:rPr>
          <w:rFonts w:eastAsia="Times New Roman" w:cs="Times New Roman"/>
          <w:szCs w:val="24"/>
          <w:lang w:val="en-US"/>
        </w:rPr>
        <w:t xml:space="preserve">, </w:t>
      </w:r>
      <w:r w:rsidR="00CF0EE1" w:rsidRPr="00CF0EE1">
        <w:rPr>
          <w:rFonts w:eastAsia="Times New Roman" w:cs="Times New Roman"/>
          <w:szCs w:val="24"/>
          <w:lang w:val="en-US"/>
        </w:rPr>
        <w:t>2026)</w:t>
      </w:r>
      <w:r w:rsidRPr="00B279CC">
        <w:t>. The outcomes of the AI systems will also be unreliable in case the data is false or incomplete. This necessitates data governance in the quest to ensure efficiency and operational risk reduction.</w:t>
      </w:r>
    </w:p>
    <w:p w:rsidR="00235C3E" w:rsidRPr="00B279CC" w:rsidRDefault="00235C3E" w:rsidP="00235C3E">
      <w:r w:rsidRPr="00B279CC">
        <w:t xml:space="preserve">Recent statistics indicate that there is an upward trend in the data governance issues around the world. Over 3,200 publicly reported data breaches occurred in 2024 around the world, impacting over 350 million people. This indicates that data protection is a significant issue </w:t>
      </w:r>
      <w:r w:rsidR="00315922">
        <w:t>for</w:t>
      </w:r>
      <w:r w:rsidRPr="00B279CC">
        <w:t xml:space="preserve"> organisations. Also, there is </w:t>
      </w:r>
      <w:r w:rsidR="00315922">
        <w:t xml:space="preserve">an </w:t>
      </w:r>
      <w:r w:rsidRPr="00B279CC">
        <w:t>increased creation of data globa</w:t>
      </w:r>
      <w:r w:rsidR="004B1573">
        <w:t xml:space="preserve">lly. It is projected that over </w:t>
      </w:r>
      <w:r w:rsidRPr="00B279CC">
        <w:t>180 zettabytes o</w:t>
      </w:r>
      <w:r w:rsidR="00315922">
        <w:t xml:space="preserve">f data will be produced by 2025, </w:t>
      </w:r>
      <w:r w:rsidRPr="00B279CC">
        <w:t>and it puts more strain on businesses to handle data efficiently</w:t>
      </w:r>
      <w:r w:rsidR="00CF0EE1">
        <w:t xml:space="preserve"> </w:t>
      </w:r>
      <w:r w:rsidR="00CF0EE1">
        <w:rPr>
          <w:rFonts w:eastAsia="Times New Roman" w:cs="Times New Roman"/>
          <w:szCs w:val="24"/>
          <w:lang w:val="en-US"/>
        </w:rPr>
        <w:t xml:space="preserve">Singh et al., </w:t>
      </w:r>
      <w:r w:rsidR="00CF0EE1" w:rsidRPr="00CF0EE1">
        <w:rPr>
          <w:rFonts w:eastAsia="Times New Roman" w:cs="Times New Roman"/>
          <w:szCs w:val="24"/>
          <w:lang w:val="en-US"/>
        </w:rPr>
        <w:t>2026)</w:t>
      </w:r>
      <w:r w:rsidRPr="00B279CC">
        <w:t>.</w:t>
      </w:r>
      <w:r w:rsidR="00457164">
        <w:t xml:space="preserve"> </w:t>
      </w:r>
      <w:r w:rsidR="004B1573">
        <w:t xml:space="preserve">Tesco needs to expend </w:t>
      </w:r>
      <w:r w:rsidR="00315922">
        <w:t xml:space="preserve">a </w:t>
      </w:r>
      <w:r w:rsidR="004B1573">
        <w:t xml:space="preserve">significant amount of money </w:t>
      </w:r>
      <w:r w:rsidR="00315922">
        <w:t>on</w:t>
      </w:r>
      <w:r w:rsidR="004B1573">
        <w:t xml:space="preserve"> managing bad data. </w:t>
      </w:r>
      <w:r w:rsidRPr="00B279CC">
        <w:t xml:space="preserve">In 2024, the mean cost of a data breach was about 4.88 million, the most expensive to date. This expense encompasses fines imposed by the law, repairing systems, and business loss. In the case of retail corporations such as Tesco, where a large amount of data is collected about customers, financial risks are even more significant because of the size of </w:t>
      </w:r>
      <w:r w:rsidR="00315922">
        <w:t xml:space="preserve">the </w:t>
      </w:r>
      <w:r w:rsidRPr="00B279CC">
        <w:t>business operations.</w:t>
      </w:r>
      <w:r w:rsidR="00A1509A">
        <w:t xml:space="preserve"> </w:t>
      </w:r>
      <w:r w:rsidRPr="00B279CC">
        <w:t xml:space="preserve">One of the primary reasons </w:t>
      </w:r>
      <w:r w:rsidR="00315922">
        <w:t>for</w:t>
      </w:r>
      <w:r w:rsidRPr="00B279CC">
        <w:t xml:space="preserve"> dat</w:t>
      </w:r>
      <w:r w:rsidR="00A1509A">
        <w:t>a breach</w:t>
      </w:r>
      <w:r w:rsidR="00315922">
        <w:t>es</w:t>
      </w:r>
      <w:r w:rsidR="00A1509A">
        <w:t xml:space="preserve"> is due </w:t>
      </w:r>
      <w:r w:rsidR="00315922">
        <w:t>to human error. Statistics show</w:t>
      </w:r>
      <w:r w:rsidR="00A1509A">
        <w:t xml:space="preserve"> that weak passwords, unplanned data disbursement or violation of protocols have resulted in almost 74% of data breaches in 2023</w:t>
      </w:r>
      <w:r w:rsidR="00CF0EE1">
        <w:t xml:space="preserve"> (</w:t>
      </w:r>
      <w:proofErr w:type="spellStart"/>
      <w:r w:rsidR="00CF0EE1" w:rsidRPr="00CF0EE1">
        <w:rPr>
          <w:rFonts w:eastAsia="Times New Roman" w:cs="Times New Roman"/>
          <w:szCs w:val="24"/>
          <w:lang w:val="en-US"/>
        </w:rPr>
        <w:t>Mojtaba</w:t>
      </w:r>
      <w:proofErr w:type="spellEnd"/>
      <w:r w:rsidR="00CF0EE1" w:rsidRPr="00CF0EE1">
        <w:rPr>
          <w:rFonts w:eastAsia="Times New Roman" w:cs="Times New Roman"/>
          <w:szCs w:val="24"/>
          <w:lang w:val="en-US"/>
        </w:rPr>
        <w:t xml:space="preserve"> </w:t>
      </w:r>
      <w:proofErr w:type="spellStart"/>
      <w:r w:rsidR="00CF0EE1" w:rsidRPr="00CF0EE1">
        <w:rPr>
          <w:rFonts w:eastAsia="Times New Roman" w:cs="Times New Roman"/>
          <w:szCs w:val="24"/>
          <w:lang w:val="en-US"/>
        </w:rPr>
        <w:t>Norozi</w:t>
      </w:r>
      <w:proofErr w:type="spellEnd"/>
      <w:r w:rsidR="00CF0EE1" w:rsidRPr="00CF0EE1">
        <w:rPr>
          <w:rFonts w:eastAsia="Times New Roman" w:cs="Times New Roman"/>
          <w:szCs w:val="24"/>
          <w:lang w:val="en-US"/>
        </w:rPr>
        <w:t xml:space="preserve">, </w:t>
      </w:r>
      <w:proofErr w:type="spellStart"/>
      <w:r w:rsidR="00CF0EE1" w:rsidRPr="00CF0EE1">
        <w:rPr>
          <w:rFonts w:eastAsia="Times New Roman" w:cs="Times New Roman"/>
          <w:szCs w:val="24"/>
          <w:lang w:val="en-US"/>
        </w:rPr>
        <w:t>Morte</w:t>
      </w:r>
      <w:r w:rsidR="00CF0EE1">
        <w:rPr>
          <w:rFonts w:eastAsia="Times New Roman" w:cs="Times New Roman"/>
          <w:szCs w:val="24"/>
          <w:lang w:val="en-US"/>
        </w:rPr>
        <w:t>za</w:t>
      </w:r>
      <w:proofErr w:type="spellEnd"/>
      <w:r w:rsidR="00CF0EE1">
        <w:rPr>
          <w:rFonts w:eastAsia="Times New Roman" w:cs="Times New Roman"/>
          <w:szCs w:val="24"/>
          <w:lang w:val="en-US"/>
        </w:rPr>
        <w:t xml:space="preserve"> </w:t>
      </w:r>
      <w:proofErr w:type="spellStart"/>
      <w:r w:rsidR="00CF0EE1">
        <w:rPr>
          <w:rFonts w:eastAsia="Times New Roman" w:cs="Times New Roman"/>
          <w:szCs w:val="24"/>
          <w:lang w:val="en-US"/>
        </w:rPr>
        <w:t>Piri</w:t>
      </w:r>
      <w:proofErr w:type="spellEnd"/>
      <w:r w:rsidR="00CF0EE1">
        <w:rPr>
          <w:rFonts w:eastAsia="Times New Roman" w:cs="Times New Roman"/>
          <w:szCs w:val="24"/>
          <w:lang w:val="en-US"/>
        </w:rPr>
        <w:t xml:space="preserve"> and </w:t>
      </w:r>
      <w:proofErr w:type="spellStart"/>
      <w:r w:rsidR="00CF0EE1">
        <w:rPr>
          <w:rFonts w:eastAsia="Times New Roman" w:cs="Times New Roman"/>
          <w:szCs w:val="24"/>
          <w:lang w:val="en-US"/>
        </w:rPr>
        <w:t>Mohamadreza</w:t>
      </w:r>
      <w:proofErr w:type="spellEnd"/>
      <w:r w:rsidR="00CF0EE1">
        <w:rPr>
          <w:rFonts w:eastAsia="Times New Roman" w:cs="Times New Roman"/>
          <w:szCs w:val="24"/>
          <w:lang w:val="en-US"/>
        </w:rPr>
        <w:t xml:space="preserve"> Zahedi </w:t>
      </w:r>
      <w:r w:rsidR="00CF0EE1" w:rsidRPr="00CF0EE1">
        <w:rPr>
          <w:rFonts w:eastAsia="Times New Roman" w:cs="Times New Roman"/>
          <w:szCs w:val="24"/>
          <w:lang w:val="en-US"/>
        </w:rPr>
        <w:t>2026)</w:t>
      </w:r>
      <w:r w:rsidR="00A1509A">
        <w:t xml:space="preserve">. </w:t>
      </w:r>
      <w:r w:rsidR="00457164">
        <w:t xml:space="preserve"> </w:t>
      </w:r>
      <w:r w:rsidRPr="00B279CC">
        <w:t xml:space="preserve">This </w:t>
      </w:r>
      <w:proofErr w:type="gramStart"/>
      <w:r w:rsidR="00A1509A" w:rsidRPr="00B279CC">
        <w:t>point</w:t>
      </w:r>
      <w:r w:rsidR="00315922">
        <w:t>s</w:t>
      </w:r>
      <w:proofErr w:type="gramEnd"/>
      <w:r w:rsidRPr="00B279CC">
        <w:t xml:space="preserve"> out that data governance is not a technical problem, but an organisational one as well. The employees should be trained to treat data in a way that is responsible.</w:t>
      </w:r>
    </w:p>
    <w:p w:rsidR="00235C3E" w:rsidRPr="00B279CC" w:rsidRDefault="00235C3E" w:rsidP="00235C3E">
      <w:r w:rsidRPr="00B279CC">
        <w:t>Another significant aspect of data governance is cloud computing. Cloud systems are widely used in many companies to store and process data to enhance efficiency. Security incidents related to the cloud have b</w:t>
      </w:r>
      <w:r w:rsidR="00CF0EE1">
        <w:t xml:space="preserve">een on the rise by more than 25% </w:t>
      </w:r>
      <w:r w:rsidRPr="00B279CC">
        <w:t xml:space="preserve">in 2023 and 2024, primarily because </w:t>
      </w:r>
      <w:r w:rsidRPr="00B279CC">
        <w:lastRenderedPageBreak/>
        <w:t>of misconfigurations and insufficient access</w:t>
      </w:r>
      <w:r w:rsidR="00315922">
        <w:t xml:space="preserve"> controls. In the case of Tesco, which</w:t>
      </w:r>
      <w:r w:rsidRPr="00B279CC">
        <w:t xml:space="preserve"> operates on the basis of digital infrastructure, cloud security control is a significant aspect of data governance</w:t>
      </w:r>
      <w:r w:rsidR="00CF0EE1">
        <w:t xml:space="preserve"> (</w:t>
      </w:r>
      <w:proofErr w:type="spellStart"/>
      <w:r w:rsidR="00CF0EE1" w:rsidRPr="00CF0EE1">
        <w:rPr>
          <w:rFonts w:eastAsia="Times New Roman" w:cs="Times New Roman"/>
          <w:szCs w:val="24"/>
          <w:lang w:val="en-US"/>
        </w:rPr>
        <w:t>Verm</w:t>
      </w:r>
      <w:r w:rsidR="00CF0EE1">
        <w:rPr>
          <w:rFonts w:eastAsia="Times New Roman" w:cs="Times New Roman"/>
          <w:szCs w:val="24"/>
          <w:lang w:val="en-US"/>
        </w:rPr>
        <w:t>a</w:t>
      </w:r>
      <w:proofErr w:type="spellEnd"/>
      <w:r w:rsidR="00CF0EE1">
        <w:rPr>
          <w:rFonts w:eastAsia="Times New Roman" w:cs="Times New Roman"/>
          <w:szCs w:val="24"/>
          <w:lang w:val="en-US"/>
        </w:rPr>
        <w:t xml:space="preserve"> et al., </w:t>
      </w:r>
      <w:r w:rsidR="00CF0EE1" w:rsidRPr="00CF0EE1">
        <w:rPr>
          <w:rFonts w:eastAsia="Times New Roman" w:cs="Times New Roman"/>
          <w:szCs w:val="24"/>
          <w:lang w:val="en-US"/>
        </w:rPr>
        <w:t>2025)</w:t>
      </w:r>
      <w:r w:rsidRPr="00B279CC">
        <w:t>.</w:t>
      </w:r>
      <w:r w:rsidR="00457164">
        <w:t xml:space="preserve"> </w:t>
      </w:r>
      <w:r w:rsidRPr="00B279CC">
        <w:t xml:space="preserve">Data governance in the UK and </w:t>
      </w:r>
      <w:r w:rsidR="00315922">
        <w:t xml:space="preserve">the </w:t>
      </w:r>
      <w:r w:rsidRPr="00B279CC">
        <w:t xml:space="preserve">USA are different. The UK has a set of rules about how companies handle data, with the UK GDPR directing data governance in the UK. Tesco needs to make sure that personal information is gathered in accordance with the law, and used </w:t>
      </w:r>
      <w:r w:rsidR="00315922">
        <w:t>for</w:t>
      </w:r>
      <w:r w:rsidRPr="00B279CC">
        <w:t xml:space="preserve"> a certain end, and not to be accessed by unqualified personnel. The rights of the customers are als</w:t>
      </w:r>
      <w:r w:rsidR="00315922">
        <w:t>o provided, including the right</w:t>
      </w:r>
      <w:r w:rsidRPr="00B279CC">
        <w:t xml:space="preserve"> to access their</w:t>
      </w:r>
      <w:r w:rsidR="00315922">
        <w:t xml:space="preserve"> data and the right to request</w:t>
      </w:r>
      <w:r w:rsidRPr="00B279CC">
        <w:t xml:space="preserve"> deletion.</w:t>
      </w:r>
      <w:r w:rsidR="00457164">
        <w:t xml:space="preserve"> </w:t>
      </w:r>
      <w:r w:rsidRPr="00B279CC">
        <w:t xml:space="preserve">In </w:t>
      </w:r>
      <w:r w:rsidR="00315922">
        <w:t xml:space="preserve">the </w:t>
      </w:r>
      <w:r w:rsidRPr="00B279CC">
        <w:t>USA, data governance is more decentralised. Consumer protection laws like the California Consumer Privacy Act (CCPA) and California Privacy Rights Act (CPRA) provide rights to the consumer regarding their data, but these acts are state</w:t>
      </w:r>
      <w:r w:rsidR="00457164">
        <w:t>-</w:t>
      </w:r>
      <w:r w:rsidRPr="00B279CC">
        <w:t>wide. There is no national template, even though other states have introduced similar laws</w:t>
      </w:r>
      <w:r w:rsidR="00457164">
        <w:t xml:space="preserve"> (</w:t>
      </w:r>
      <w:r w:rsidR="00457164">
        <w:rPr>
          <w:rFonts w:eastAsia="Times New Roman" w:cs="Times New Roman"/>
          <w:szCs w:val="24"/>
          <w:lang w:val="en-US"/>
        </w:rPr>
        <w:t xml:space="preserve">Sebastian, </w:t>
      </w:r>
      <w:r w:rsidR="00457164" w:rsidRPr="00457164">
        <w:rPr>
          <w:rFonts w:eastAsia="Times New Roman" w:cs="Times New Roman"/>
          <w:szCs w:val="24"/>
          <w:lang w:val="en-US"/>
        </w:rPr>
        <w:t>2022)</w:t>
      </w:r>
      <w:r w:rsidRPr="00B279CC">
        <w:t>. This presents a problem to businesses such as Tesco since they will have to abide by various regulations in various states.</w:t>
      </w:r>
    </w:p>
    <w:p w:rsidR="00235C3E" w:rsidRPr="00B279CC" w:rsidRDefault="00235C3E" w:rsidP="00235C3E">
      <w:r w:rsidRPr="00B279CC">
        <w:t xml:space="preserve">Weak security controls and </w:t>
      </w:r>
      <w:r w:rsidR="00315922">
        <w:t xml:space="preserve">a </w:t>
      </w:r>
      <w:r w:rsidRPr="00B279CC">
        <w:t xml:space="preserve">lack of monitoring </w:t>
      </w:r>
      <w:r w:rsidR="00315922">
        <w:t xml:space="preserve">of </w:t>
      </w:r>
      <w:r w:rsidRPr="00B279CC">
        <w:t>third-party vendors caused the breach. This led to the company being sued and paying millions of dollars in restitution. The poor governance in this case demonstrates that improper governance may result in severe financial and reputational losses.</w:t>
      </w:r>
      <w:r w:rsidR="00457164">
        <w:t xml:space="preserve"> </w:t>
      </w:r>
      <w:r w:rsidRPr="00B279CC">
        <w:t xml:space="preserve">A second instance is the growing questioning of customer loyalty programmes. These programmes help retailers obtain specific information regarding customer behaviour. But regulators worry over the </w:t>
      </w:r>
      <w:r w:rsidR="00B279CC">
        <w:t>utilisation</w:t>
      </w:r>
      <w:r w:rsidRPr="00B279CC">
        <w:t xml:space="preserve"> of this data. Companies have been cautioned in the UK to be transparent about loyalty schemes</w:t>
      </w:r>
      <w:r w:rsidR="00457164">
        <w:t xml:space="preserve"> (</w:t>
      </w:r>
      <w:proofErr w:type="spellStart"/>
      <w:r w:rsidR="00457164">
        <w:rPr>
          <w:rFonts w:eastAsia="Times New Roman" w:cs="Times New Roman"/>
          <w:szCs w:val="24"/>
          <w:lang w:val="en-US"/>
        </w:rPr>
        <w:t>Broeders</w:t>
      </w:r>
      <w:proofErr w:type="spellEnd"/>
      <w:r w:rsidR="00457164">
        <w:rPr>
          <w:rFonts w:eastAsia="Times New Roman" w:cs="Times New Roman"/>
          <w:szCs w:val="24"/>
          <w:lang w:val="en-US"/>
        </w:rPr>
        <w:t xml:space="preserve">, </w:t>
      </w:r>
      <w:r w:rsidR="00457164" w:rsidRPr="00457164">
        <w:rPr>
          <w:rFonts w:eastAsia="Times New Roman" w:cs="Times New Roman"/>
          <w:szCs w:val="24"/>
          <w:lang w:val="en-US"/>
        </w:rPr>
        <w:t>2021)</w:t>
      </w:r>
      <w:r w:rsidRPr="00B279CC">
        <w:t>. Tesco</w:t>
      </w:r>
      <w:r w:rsidR="00315922">
        <w:t>’</w:t>
      </w:r>
      <w:r w:rsidRPr="00B279CC">
        <w:t xml:space="preserve">s </w:t>
      </w:r>
      <w:proofErr w:type="spellStart"/>
      <w:r w:rsidRPr="00B279CC">
        <w:t>Clubcard</w:t>
      </w:r>
      <w:proofErr w:type="spellEnd"/>
      <w:r w:rsidRPr="00B279CC">
        <w:t xml:space="preserve"> programme gathers high volumes of information, and this factor prompts the company to ensure high governance practices.</w:t>
      </w:r>
      <w:r w:rsidR="00457164">
        <w:t xml:space="preserve"> </w:t>
      </w:r>
      <w:r w:rsidRPr="00B279CC">
        <w:t xml:space="preserve">Tesco has a presence in various areas, and its AI applications usually demand the transfer of information between countries. Nonetheless, the transfer of data between the UK and </w:t>
      </w:r>
      <w:r w:rsidR="00315922">
        <w:t xml:space="preserve">the </w:t>
      </w:r>
      <w:r w:rsidRPr="00B279CC">
        <w:t xml:space="preserve">USA should be in accordance with certain legal provisions. When data </w:t>
      </w:r>
      <w:r w:rsidR="00315922">
        <w:t>is</w:t>
      </w:r>
      <w:r w:rsidRPr="00B279CC">
        <w:t xml:space="preserve"> transferred to other countries, companies should make sure that it is secured. The inability to comply with such requirements may lead to litigation.</w:t>
      </w:r>
      <w:r w:rsidR="00457164">
        <w:t xml:space="preserve"> </w:t>
      </w:r>
      <w:r w:rsidR="00315922">
        <w:t xml:space="preserve">Numerous companies </w:t>
      </w:r>
      <w:r w:rsidRPr="00B279CC">
        <w:t>do not remove information that is not necessary, which predisposes more breaches</w:t>
      </w:r>
      <w:r w:rsidR="00457164">
        <w:t xml:space="preserve"> (</w:t>
      </w:r>
      <w:proofErr w:type="spellStart"/>
      <w:r w:rsidR="00457164">
        <w:rPr>
          <w:rFonts w:eastAsia="Times New Roman" w:cs="Times New Roman"/>
          <w:szCs w:val="24"/>
          <w:lang w:val="en-US"/>
        </w:rPr>
        <w:t>Jingyi</w:t>
      </w:r>
      <w:proofErr w:type="spellEnd"/>
      <w:r w:rsidR="00457164">
        <w:rPr>
          <w:rFonts w:eastAsia="Times New Roman" w:cs="Times New Roman"/>
          <w:szCs w:val="24"/>
          <w:lang w:val="en-US"/>
        </w:rPr>
        <w:t xml:space="preserve"> Zhang, </w:t>
      </w:r>
      <w:r w:rsidR="00457164" w:rsidRPr="00570C90">
        <w:rPr>
          <w:rFonts w:eastAsia="Times New Roman" w:cs="Times New Roman"/>
          <w:szCs w:val="24"/>
          <w:lang w:val="en-US"/>
        </w:rPr>
        <w:t>2025)</w:t>
      </w:r>
      <w:r w:rsidRPr="00B279CC">
        <w:t>. Lifecycle management ensures that data is stored as long as required and is safely deleted when it is not needed.</w:t>
      </w:r>
    </w:p>
    <w:p w:rsidR="00235C3E" w:rsidRPr="00B279CC" w:rsidRDefault="00235C3E" w:rsidP="00235C3E"/>
    <w:p w:rsidR="00B435A9" w:rsidRPr="00B279CC" w:rsidRDefault="00235C3E" w:rsidP="00235C3E">
      <w:r w:rsidRPr="00B279CC">
        <w:lastRenderedPageBreak/>
        <w:t>Another risk that is increasing is the third-party risk. The businesses tend to outsource data storage and processing to external vendors. But the number of breaches by third part</w:t>
      </w:r>
      <w:r w:rsidR="00457164">
        <w:t xml:space="preserve">ies was also up by more than 20% </w:t>
      </w:r>
      <w:r w:rsidRPr="00B279CC">
        <w:t>in 2024. This demonstrates that corporations have to make sure that their associates adhere to the same data control norms. Tesco should take pains to pick and keep watch on its vendors to mitigate risks</w:t>
      </w:r>
      <w:r w:rsidR="00457164">
        <w:t xml:space="preserve"> (</w:t>
      </w:r>
      <w:proofErr w:type="spellStart"/>
      <w:r w:rsidR="00457164">
        <w:rPr>
          <w:rFonts w:eastAsia="Times New Roman" w:cs="Times New Roman"/>
          <w:szCs w:val="24"/>
          <w:lang w:val="en-US"/>
        </w:rPr>
        <w:t>Loske</w:t>
      </w:r>
      <w:proofErr w:type="spellEnd"/>
      <w:r w:rsidR="00457164">
        <w:rPr>
          <w:rFonts w:eastAsia="Times New Roman" w:cs="Times New Roman"/>
          <w:szCs w:val="24"/>
          <w:lang w:val="en-US"/>
        </w:rPr>
        <w:t xml:space="preserve">, and </w:t>
      </w:r>
      <w:proofErr w:type="spellStart"/>
      <w:r w:rsidR="00457164">
        <w:rPr>
          <w:rFonts w:eastAsia="Times New Roman" w:cs="Times New Roman"/>
          <w:szCs w:val="24"/>
          <w:lang w:val="en-US"/>
        </w:rPr>
        <w:t>Klumpp</w:t>
      </w:r>
      <w:proofErr w:type="spellEnd"/>
      <w:r w:rsidR="00457164">
        <w:rPr>
          <w:rFonts w:eastAsia="Times New Roman" w:cs="Times New Roman"/>
          <w:szCs w:val="24"/>
          <w:lang w:val="en-US"/>
        </w:rPr>
        <w:t xml:space="preserve">, </w:t>
      </w:r>
      <w:r w:rsidR="00457164" w:rsidRPr="001F182C">
        <w:rPr>
          <w:rFonts w:eastAsia="Times New Roman" w:cs="Times New Roman"/>
          <w:szCs w:val="24"/>
          <w:lang w:val="en-US"/>
        </w:rPr>
        <w:t>2021)</w:t>
      </w:r>
      <w:r w:rsidRPr="00B279CC">
        <w:t>.</w:t>
      </w:r>
      <w:r w:rsidR="00457164">
        <w:t xml:space="preserve"> </w:t>
      </w:r>
      <w:r w:rsidRPr="00B279CC">
        <w:t>It is also significant how fast</w:t>
      </w:r>
      <w:r w:rsidR="00703E66">
        <w:t xml:space="preserve"> data breaches can be detected. </w:t>
      </w:r>
      <w:r w:rsidR="00315922">
        <w:t>On</w:t>
      </w:r>
      <w:r w:rsidR="00703E66">
        <w:t xml:space="preserve"> average, it took more than 270 days in 2023 to detect </w:t>
      </w:r>
      <w:r w:rsidR="00315922">
        <w:t xml:space="preserve">a </w:t>
      </w:r>
      <w:r w:rsidR="00703E66">
        <w:t xml:space="preserve">data breach by MNCs. </w:t>
      </w:r>
      <w:r w:rsidRPr="00B279CC">
        <w:t>In the case of Tesco, data governance is crucial to underpin its AI systems and customer trust. This company deals with v</w:t>
      </w:r>
      <w:r w:rsidR="00315922">
        <w:t xml:space="preserve">olumes of sensitive information, </w:t>
      </w:r>
      <w:r w:rsidRPr="00B279CC">
        <w:t>and any failure would have dire consequences. Good governance can be used to facilitate adherence to UK and US regulations, enhance the quality of data used and lower risk.</w:t>
      </w:r>
      <w:r w:rsidR="00457164">
        <w:t xml:space="preserve"> </w:t>
      </w:r>
      <w:r w:rsidRPr="00B279CC">
        <w:t xml:space="preserve">Summing up, data governance plays a pivotal role in addressing AI risks. Recent statistics indicate that data </w:t>
      </w:r>
      <w:r w:rsidR="00315922">
        <w:t>breaches are</w:t>
      </w:r>
      <w:r w:rsidRPr="00B279CC">
        <w:t xml:space="preserve"> becoming more and more frequent and expensive. The biggest causes of risk are human errors, cloud infrastructure and third-party vendors</w:t>
      </w:r>
      <w:r w:rsidR="00457164">
        <w:t xml:space="preserve"> (</w:t>
      </w:r>
      <w:r w:rsidR="00457164">
        <w:rPr>
          <w:rFonts w:eastAsia="Times New Roman" w:cs="Times New Roman"/>
          <w:szCs w:val="24"/>
          <w:lang w:val="en-US"/>
        </w:rPr>
        <w:t xml:space="preserve">Cremer et al., </w:t>
      </w:r>
      <w:r w:rsidR="00457164" w:rsidRPr="00457164">
        <w:rPr>
          <w:rFonts w:eastAsia="Times New Roman" w:cs="Times New Roman"/>
          <w:szCs w:val="24"/>
          <w:lang w:val="en-US"/>
        </w:rPr>
        <w:t>2022)</w:t>
      </w:r>
      <w:r w:rsidR="00703E66">
        <w:t>.</w:t>
      </w:r>
      <w:r w:rsidR="00457164">
        <w:t xml:space="preserve"> </w:t>
      </w:r>
      <w:r w:rsidR="00703E66">
        <w:t xml:space="preserve">An example of </w:t>
      </w:r>
      <w:r w:rsidR="00315922">
        <w:t xml:space="preserve">the </w:t>
      </w:r>
      <w:r w:rsidR="00703E66">
        <w:t>negative impact of bad governance is provided here. The UK offers a more organis</w:t>
      </w:r>
      <w:r w:rsidRPr="00B279CC">
        <w:t xml:space="preserve">ed system, whereas the USA offers a more disjointed system. In the case of Tesco, this information needs to be managed across </w:t>
      </w:r>
      <w:r w:rsidR="00315922">
        <w:t xml:space="preserve">these regions, </w:t>
      </w:r>
      <w:r w:rsidR="00703E66" w:rsidRPr="00B279CC">
        <w:t xml:space="preserve">which </w:t>
      </w:r>
      <w:r w:rsidR="00315922">
        <w:t>means</w:t>
      </w:r>
      <w:r w:rsidRPr="00B279CC">
        <w:t xml:space="preserve"> that it should have good policies, ongoing monitoring and a dynamic approach to it.</w:t>
      </w:r>
    </w:p>
    <w:p w:rsidR="002A4E60" w:rsidRDefault="002A4E60">
      <w:pPr>
        <w:spacing w:line="276" w:lineRule="auto"/>
        <w:jc w:val="left"/>
        <w:rPr>
          <w:rFonts w:eastAsiaTheme="majorEastAsia" w:cstheme="majorBidi"/>
          <w:b/>
          <w:bCs/>
          <w:color w:val="4F81BD" w:themeColor="accent1"/>
          <w:sz w:val="28"/>
          <w:szCs w:val="26"/>
        </w:rPr>
      </w:pPr>
      <w:r>
        <w:br w:type="page"/>
      </w:r>
    </w:p>
    <w:p w:rsidR="00930D1D" w:rsidRPr="00B279CC" w:rsidRDefault="00457164" w:rsidP="00644DC0">
      <w:pPr>
        <w:pStyle w:val="Heading2"/>
      </w:pPr>
      <w:bookmarkStart w:id="6" w:name="_Toc228179321"/>
      <w:r>
        <w:lastRenderedPageBreak/>
        <w:t>3</w:t>
      </w:r>
      <w:r w:rsidR="00A73658">
        <w:t>.3 Ethical Considerations of AI</w:t>
      </w:r>
      <w:bookmarkEnd w:id="6"/>
    </w:p>
    <w:p w:rsidR="00BD18AC" w:rsidRDefault="00930D1D" w:rsidP="00930D1D">
      <w:r w:rsidRPr="00B279CC">
        <w:t>The responsible and ethical use of artificial intelligence systems is called ethical AI. It is aimed at making sure that AI is working in a transparent, no</w:t>
      </w:r>
      <w:r w:rsidR="00703E66">
        <w:t>n-bias</w:t>
      </w:r>
      <w:r w:rsidR="00315922">
        <w:t>ed</w:t>
      </w:r>
      <w:r w:rsidR="00703E66">
        <w:t xml:space="preserve">, and accountable manner. Ethical consideration matters significantly as Tesco is now relying more on AI for setting prices of its products, setting target customers and making supply chain decisions. </w:t>
      </w:r>
      <w:r w:rsidRPr="00B279CC">
        <w:t>Its</w:t>
      </w:r>
      <w:r w:rsidR="00A73658">
        <w:t xml:space="preserve"> presence in the UK and the USA</w:t>
      </w:r>
      <w:r w:rsidRPr="00B279CC">
        <w:t xml:space="preserve"> further complicates the matter, since the expectations and regulatory practices vary among regions</w:t>
      </w:r>
      <w:r w:rsidR="00A73658">
        <w:t xml:space="preserve"> (</w:t>
      </w:r>
      <w:proofErr w:type="spellStart"/>
      <w:r w:rsidR="00A73658" w:rsidRPr="00A73658">
        <w:rPr>
          <w:rFonts w:eastAsia="Times New Roman" w:cs="Times New Roman"/>
          <w:szCs w:val="24"/>
          <w:lang w:val="en-US"/>
        </w:rPr>
        <w:t>Eijkelenboom</w:t>
      </w:r>
      <w:proofErr w:type="spellEnd"/>
      <w:r w:rsidR="00A73658" w:rsidRPr="00A73658">
        <w:rPr>
          <w:rFonts w:eastAsia="Times New Roman" w:cs="Times New Roman"/>
          <w:szCs w:val="24"/>
          <w:lang w:val="en-US"/>
        </w:rPr>
        <w:t xml:space="preserve">, </w:t>
      </w:r>
      <w:r w:rsidR="00A73658">
        <w:rPr>
          <w:rFonts w:eastAsia="Times New Roman" w:cs="Times New Roman"/>
          <w:szCs w:val="24"/>
          <w:lang w:val="en-US"/>
        </w:rPr>
        <w:t xml:space="preserve">and </w:t>
      </w:r>
      <w:proofErr w:type="spellStart"/>
      <w:r w:rsidR="00A73658">
        <w:rPr>
          <w:rFonts w:eastAsia="Times New Roman" w:cs="Times New Roman"/>
          <w:szCs w:val="24"/>
          <w:lang w:val="en-US"/>
        </w:rPr>
        <w:t>Nieuwesteeg</w:t>
      </w:r>
      <w:proofErr w:type="spellEnd"/>
      <w:r w:rsidR="00A73658">
        <w:rPr>
          <w:rFonts w:eastAsia="Times New Roman" w:cs="Times New Roman"/>
          <w:szCs w:val="24"/>
          <w:lang w:val="en-US"/>
        </w:rPr>
        <w:t xml:space="preserve">, </w:t>
      </w:r>
      <w:r w:rsidR="00A73658" w:rsidRPr="00A73658">
        <w:rPr>
          <w:rFonts w:eastAsia="Times New Roman" w:cs="Times New Roman"/>
          <w:szCs w:val="24"/>
          <w:lang w:val="en-US"/>
        </w:rPr>
        <w:t>2021)</w:t>
      </w:r>
      <w:r w:rsidRPr="00B279CC">
        <w:t>.</w:t>
      </w:r>
      <w:r w:rsidR="00644DC0">
        <w:t xml:space="preserve"> </w:t>
      </w:r>
      <w:r w:rsidRPr="00B279CC">
        <w:t xml:space="preserve">Bias is one of the primary ethical issues of AI. AI systems are trained on historical data, and when this data is biased, it will </w:t>
      </w:r>
      <w:r w:rsidR="00315922">
        <w:t xml:space="preserve">be replicated by the system and, </w:t>
      </w:r>
      <w:r w:rsidRPr="00B279CC">
        <w:t>in some cases</w:t>
      </w:r>
      <w:r w:rsidR="00315922">
        <w:t>,</w:t>
      </w:r>
      <w:r w:rsidRPr="00B279CC">
        <w:t xml:space="preserve"> increased. </w:t>
      </w:r>
      <w:r w:rsidR="00664F27">
        <w:t xml:space="preserve">This may have </w:t>
      </w:r>
      <w:r w:rsidR="00315922">
        <w:t xml:space="preserve">an </w:t>
      </w:r>
      <w:r w:rsidR="00664F27">
        <w:t xml:space="preserve">impact </w:t>
      </w:r>
      <w:r w:rsidR="00315922">
        <w:t>on</w:t>
      </w:r>
      <w:r w:rsidR="00664F27">
        <w:t xml:space="preserve"> product price, different offers and product suggestions. </w:t>
      </w:r>
      <w:r w:rsidRPr="00B279CC">
        <w:t xml:space="preserve">As an illustration, AI may unknowingly discriminate </w:t>
      </w:r>
      <w:r w:rsidR="00315922">
        <w:t xml:space="preserve">against </w:t>
      </w:r>
      <w:r w:rsidRPr="00B279CC">
        <w:t xml:space="preserve">some groups of customers </w:t>
      </w:r>
      <w:r w:rsidR="00315922">
        <w:t>over</w:t>
      </w:r>
      <w:r w:rsidRPr="00B279CC">
        <w:t xml:space="preserve"> others </w:t>
      </w:r>
      <w:r w:rsidR="00315922">
        <w:t>based on</w:t>
      </w:r>
      <w:r w:rsidRPr="00B279CC">
        <w:t xml:space="preserve"> previous buying behaviour. It may result in unjust treatment and possible discrimination.</w:t>
      </w:r>
      <w:r w:rsidR="00644DC0">
        <w:t xml:space="preserve"> </w:t>
      </w:r>
      <w:r w:rsidRPr="00B279CC">
        <w:t>The statistics of recent years indicate the prevalence of this problem. Since 2021, research indicates that approximately 40-50 percent of the AI systems exhibit a degree of bias</w:t>
      </w:r>
      <w:r w:rsidR="00315922">
        <w:t>,</w:t>
      </w:r>
      <w:r w:rsidRPr="00B279CC">
        <w:t xml:space="preserve"> particularly when it comes to decision-making applications. Moreover, a 2023 survey revealed that a majorit</w:t>
      </w:r>
      <w:r w:rsidR="00CF0EE1">
        <w:t>y of organisations (more than 65%</w:t>
      </w:r>
      <w:r w:rsidRPr="00B279CC">
        <w:t>) report bias as a key threat when implementing AI. These statistics indicate that ethical issues are not uncommon but popular in every industry</w:t>
      </w:r>
      <w:r w:rsidR="00A73658">
        <w:t xml:space="preserve"> </w:t>
      </w:r>
      <w:r w:rsidR="00AA1730">
        <w:t>(</w:t>
      </w:r>
      <w:r w:rsidR="00A73658">
        <w:rPr>
          <w:rFonts w:eastAsia="Times New Roman" w:cs="Times New Roman"/>
          <w:szCs w:val="24"/>
          <w:lang w:val="en-US"/>
        </w:rPr>
        <w:t xml:space="preserve">Cartwright et al., </w:t>
      </w:r>
      <w:r w:rsidR="00A73658" w:rsidRPr="00A73658">
        <w:rPr>
          <w:rFonts w:eastAsia="Times New Roman" w:cs="Times New Roman"/>
          <w:szCs w:val="24"/>
          <w:lang w:val="en-US"/>
        </w:rPr>
        <w:t>2023)</w:t>
      </w:r>
      <w:r w:rsidRPr="00B279CC">
        <w:t>.</w:t>
      </w:r>
      <w:r w:rsidR="00644DC0">
        <w:t xml:space="preserve"> </w:t>
      </w:r>
      <w:r w:rsidRPr="00B279CC">
        <w:t xml:space="preserve">An example of a real-life application is the AI-based pricing schemes employed by retailers. The past few years have seen some businesses being accused of using their dynamic pricing algorithms to provide varying prices to varying customers on the basis of behaviour and location. This enhances profitability, but it brings </w:t>
      </w:r>
      <w:r w:rsidR="00BD18AC">
        <w:t>about moral issues of fairness.</w:t>
      </w:r>
    </w:p>
    <w:p w:rsidR="00930D1D" w:rsidRPr="00B279CC" w:rsidRDefault="00930D1D" w:rsidP="00930D1D">
      <w:r w:rsidRPr="00B279CC">
        <w:t>When Tesco implements such AI strategies, it should make sure that its prices are reasonable and not target vulnerable customers</w:t>
      </w:r>
      <w:r w:rsidR="00AA1730">
        <w:t xml:space="preserve"> (</w:t>
      </w:r>
      <w:proofErr w:type="spellStart"/>
      <w:r w:rsidR="00AA1730" w:rsidRPr="00AA1730">
        <w:rPr>
          <w:rFonts w:eastAsia="Times New Roman" w:cs="Times New Roman"/>
          <w:szCs w:val="24"/>
          <w:lang w:val="en-US"/>
        </w:rPr>
        <w:t>N</w:t>
      </w:r>
      <w:r w:rsidR="00AA1730">
        <w:rPr>
          <w:rFonts w:eastAsia="Times New Roman" w:cs="Times New Roman"/>
          <w:szCs w:val="24"/>
          <w:lang w:val="en-US"/>
        </w:rPr>
        <w:t>ong</w:t>
      </w:r>
      <w:proofErr w:type="spellEnd"/>
      <w:r w:rsidR="00AA1730">
        <w:rPr>
          <w:rFonts w:eastAsia="Times New Roman" w:cs="Times New Roman"/>
          <w:szCs w:val="24"/>
          <w:lang w:val="en-US"/>
        </w:rPr>
        <w:t xml:space="preserve"> et al., </w:t>
      </w:r>
      <w:r w:rsidR="00AA1730" w:rsidRPr="00AA1730">
        <w:rPr>
          <w:rFonts w:eastAsia="Times New Roman" w:cs="Times New Roman"/>
          <w:szCs w:val="24"/>
          <w:lang w:val="en-US"/>
        </w:rPr>
        <w:t>2025)</w:t>
      </w:r>
      <w:r w:rsidRPr="00B279CC">
        <w:t>.</w:t>
      </w:r>
      <w:r w:rsidR="00644DC0">
        <w:t xml:space="preserve"> </w:t>
      </w:r>
      <w:r w:rsidRPr="00B279CC">
        <w:t xml:space="preserve">A significant number of AI systems are black boxes, i.e. it is not easy to comprehend the way the decision-making process works. This poses a problem </w:t>
      </w:r>
      <w:r w:rsidR="00315922">
        <w:t>for</w:t>
      </w:r>
      <w:r w:rsidRPr="00B279CC">
        <w:t xml:space="preserve"> the customers and regulators. When a customer is given a certain offer or is left out </w:t>
      </w:r>
      <w:r w:rsidR="00315922">
        <w:t>of</w:t>
      </w:r>
      <w:r w:rsidRPr="00B279CC">
        <w:t xml:space="preserve"> a promotion, he may not know why. Insufficient transparency may decrease the level of trust and suspicion</w:t>
      </w:r>
      <w:r w:rsidR="00644DC0">
        <w:t xml:space="preserve"> (</w:t>
      </w:r>
      <w:r w:rsidR="00644DC0">
        <w:rPr>
          <w:lang w:val="en-US"/>
        </w:rPr>
        <w:t xml:space="preserve">Ryan et al., </w:t>
      </w:r>
      <w:r w:rsidR="00644DC0" w:rsidRPr="00644DC0">
        <w:rPr>
          <w:lang w:val="en-US"/>
        </w:rPr>
        <w:t>2024)</w:t>
      </w:r>
      <w:r w:rsidRPr="00B279CC">
        <w:t>.</w:t>
      </w:r>
      <w:r w:rsidR="00644DC0">
        <w:t xml:space="preserve"> </w:t>
      </w:r>
      <w:r w:rsidRPr="00B279CC">
        <w:t xml:space="preserve">According to statistics, approximately 60% of AI-based companies are faced with the problem of </w:t>
      </w:r>
      <w:proofErr w:type="spellStart"/>
      <w:r w:rsidR="00315922">
        <w:t>explain</w:t>
      </w:r>
      <w:r w:rsidR="00664F27" w:rsidRPr="00B279CC">
        <w:t>ability</w:t>
      </w:r>
      <w:proofErr w:type="spellEnd"/>
      <w:r w:rsidRPr="00B279CC">
        <w:t>, i.e. failing to completely understand how their systems make deci</w:t>
      </w:r>
      <w:r w:rsidR="00315922">
        <w:t>sions. This is of great concern, particularly in customer-</w:t>
      </w:r>
      <w:r w:rsidRPr="00B279CC">
        <w:t xml:space="preserve">facing sectors such as retail. There is no clear explanation </w:t>
      </w:r>
      <w:r w:rsidR="00315922">
        <w:t>of</w:t>
      </w:r>
      <w:r w:rsidRPr="00B279CC">
        <w:t xml:space="preserve"> how accountability and fairness can </w:t>
      </w:r>
      <w:r w:rsidRPr="00B279CC">
        <w:lastRenderedPageBreak/>
        <w:t>be assured.</w:t>
      </w:r>
      <w:r w:rsidR="00BD18AC">
        <w:t xml:space="preserve"> </w:t>
      </w:r>
      <w:r w:rsidRPr="00B279CC">
        <w:t xml:space="preserve">The UK and </w:t>
      </w:r>
      <w:r w:rsidR="00315922">
        <w:t xml:space="preserve">the </w:t>
      </w:r>
      <w:r w:rsidRPr="00B279CC">
        <w:t xml:space="preserve">USA have diverse approaches to AI ethics. Ethical AI in the UK is not regulated by strict laws but </w:t>
      </w:r>
      <w:r w:rsidR="00315922">
        <w:t xml:space="preserve">by </w:t>
      </w:r>
      <w:r w:rsidRPr="00B279CC">
        <w:t xml:space="preserve">principles. The values that the UK government encourages include safety, accountability, transparency and fairness. Such principles are backed by organisations </w:t>
      </w:r>
      <w:r w:rsidR="00315922">
        <w:t xml:space="preserve">such </w:t>
      </w:r>
      <w:r w:rsidRPr="00B279CC">
        <w:t>as the Information Commissioner</w:t>
      </w:r>
      <w:r w:rsidR="00315922">
        <w:t>’</w:t>
      </w:r>
      <w:r w:rsidRPr="00B279CC">
        <w:t>s Office (ICO). Nevertheless, they do not necessarily have legal status, and this provides greater freedom to the companies</w:t>
      </w:r>
      <w:r w:rsidR="00644DC0">
        <w:t xml:space="preserve"> (</w:t>
      </w:r>
      <w:r w:rsidR="00644DC0">
        <w:rPr>
          <w:lang w:val="en-US"/>
        </w:rPr>
        <w:t xml:space="preserve">Kim, and Lee, </w:t>
      </w:r>
      <w:r w:rsidR="00644DC0" w:rsidRPr="00644DC0">
        <w:rPr>
          <w:lang w:val="en-US"/>
        </w:rPr>
        <w:t>2021)</w:t>
      </w:r>
      <w:r w:rsidRPr="00B279CC">
        <w:t>.</w:t>
      </w:r>
      <w:r w:rsidR="00BD18AC">
        <w:t xml:space="preserve"> </w:t>
      </w:r>
      <w:r w:rsidRPr="00B279CC">
        <w:t>By contrast, the USA adheres to a p</w:t>
      </w:r>
      <w:r w:rsidR="00315922">
        <w:t xml:space="preserve">rinciple-based approach as well, </w:t>
      </w:r>
      <w:r w:rsidRPr="00B279CC">
        <w:t xml:space="preserve">but with a growing regulatory focus. In 2022, the AI Bill of Rights was introduced to give an ethical guideline to AI usage. It encompasses such principles as protection against algorithmic discrimination and the right to privacy of data. Even though it is not a legal requirement, it creates guidelines </w:t>
      </w:r>
      <w:r w:rsidR="00315922">
        <w:t>for</w:t>
      </w:r>
      <w:r w:rsidRPr="00B279CC">
        <w:t xml:space="preserve"> companies in the US market. Also, other agencies such as the Federal Trade Commission (FTC) are vigilant on AI practices and are acting against unfair or misrepresentative use.</w:t>
      </w:r>
    </w:p>
    <w:p w:rsidR="00930D1D" w:rsidRPr="00B279CC" w:rsidRDefault="00930D1D" w:rsidP="00930D1D">
      <w:r w:rsidRPr="00B279CC">
        <w:t>In cases where the decision made by AI systems is involved, it may be hard to know its owner</w:t>
      </w:r>
      <w:r w:rsidR="00F55FB5">
        <w:t xml:space="preserve">. This ambiguity may bring about legal and ethical problems. </w:t>
      </w:r>
      <w:r w:rsidRPr="00B279CC">
        <w:t xml:space="preserve">To Tesco, there is </w:t>
      </w:r>
      <w:r w:rsidR="00315922">
        <w:t>a</w:t>
      </w:r>
      <w:r w:rsidRPr="00B279CC">
        <w:t xml:space="preserve"> need to have explicit accountability of AI decision</w:t>
      </w:r>
      <w:r w:rsidR="00315922">
        <w:t xml:space="preserve">s and, </w:t>
      </w:r>
      <w:r w:rsidRPr="00B279CC">
        <w:t>in particular</w:t>
      </w:r>
      <w:r w:rsidR="00315922">
        <w:t>,</w:t>
      </w:r>
      <w:r w:rsidRPr="00B279CC">
        <w:t xml:space="preserve"> customer decisions.</w:t>
      </w:r>
      <w:r w:rsidR="00BD18AC">
        <w:t xml:space="preserve"> </w:t>
      </w:r>
      <w:r w:rsidRPr="00B279CC">
        <w:t xml:space="preserve">According to statistics, merely 30% to 35% of organisations have </w:t>
      </w:r>
      <w:proofErr w:type="gramStart"/>
      <w:r w:rsidRPr="00B279CC">
        <w:t>accountable</w:t>
      </w:r>
      <w:proofErr w:type="gramEnd"/>
      <w:r w:rsidRPr="00B279CC">
        <w:t xml:space="preserve"> structures of AI systems. It is an indication that ethical risks are not completely addressed by most firms</w:t>
      </w:r>
      <w:r w:rsidR="00644DC0">
        <w:t xml:space="preserve"> (Hunt et al., </w:t>
      </w:r>
      <w:r w:rsidR="00644DC0" w:rsidRPr="00885C77">
        <w:t>2022)</w:t>
      </w:r>
      <w:r w:rsidRPr="00B279CC">
        <w:t>. The lack of accountability makes it more difficult to rectify the mistakes and avoid future problems.</w:t>
      </w:r>
      <w:r w:rsidR="00BD18AC">
        <w:t xml:space="preserve"> </w:t>
      </w:r>
      <w:r w:rsidR="00664F27">
        <w:t xml:space="preserve">Privacy is another vital concern of ethical AI. </w:t>
      </w:r>
      <w:r w:rsidRPr="00B279CC">
        <w:t xml:space="preserve">Tesco has been gathering extensive customer information with its </w:t>
      </w:r>
      <w:proofErr w:type="spellStart"/>
      <w:r w:rsidRPr="00B279CC">
        <w:t>Clubcard</w:t>
      </w:r>
      <w:proofErr w:type="spellEnd"/>
      <w:r w:rsidRPr="00B279CC">
        <w:t xml:space="preserve"> programme and online platforms. This information is employed to personalise offers and enhance services. Nonetheless, customers might be uneasy when they suspect that their information is being exploited beyond </w:t>
      </w:r>
      <w:r w:rsidR="00315922">
        <w:t>reasonable limits</w:t>
      </w:r>
      <w:r w:rsidRPr="00B279CC">
        <w:t xml:space="preserve"> or without their consent being obtained.</w:t>
      </w:r>
      <w:r w:rsidR="00BD18AC">
        <w:t xml:space="preserve"> </w:t>
      </w:r>
      <w:r w:rsidR="00B229A9">
        <w:t xml:space="preserve">A survey conducted in 2024 reveals that nearly 70% of total customers are unhappy with the personal data used by different companies through AI. </w:t>
      </w:r>
      <w:r w:rsidRPr="00B279CC">
        <w:t>This implies that the awareness and concern amongst the population are high. Customers demand that companies be responsible with their data and safeguard their privacy.</w:t>
      </w:r>
      <w:r w:rsidR="00B229A9">
        <w:t xml:space="preserve"> Retailers like Tesco now use AI for providing customer services, giving description</w:t>
      </w:r>
      <w:r w:rsidR="00315922">
        <w:t>s</w:t>
      </w:r>
      <w:r w:rsidR="00B229A9">
        <w:t xml:space="preserve"> about the </w:t>
      </w:r>
      <w:r w:rsidR="00315922">
        <w:t>products and creating marketing-</w:t>
      </w:r>
      <w:r w:rsidR="00B229A9">
        <w:t>related content</w:t>
      </w:r>
      <w:r w:rsidR="00AA1730">
        <w:t xml:space="preserve"> (</w:t>
      </w:r>
      <w:proofErr w:type="spellStart"/>
      <w:r w:rsidR="00AA1730" w:rsidRPr="00AA1730">
        <w:rPr>
          <w:rFonts w:eastAsia="Times New Roman" w:cs="Times New Roman"/>
          <w:szCs w:val="24"/>
          <w:lang w:val="en-US"/>
        </w:rPr>
        <w:t>N</w:t>
      </w:r>
      <w:r w:rsidR="00AA1730">
        <w:rPr>
          <w:rFonts w:eastAsia="Times New Roman" w:cs="Times New Roman"/>
          <w:szCs w:val="24"/>
          <w:lang w:val="en-US"/>
        </w:rPr>
        <w:t>ong</w:t>
      </w:r>
      <w:proofErr w:type="spellEnd"/>
      <w:r w:rsidR="00AA1730">
        <w:rPr>
          <w:rFonts w:eastAsia="Times New Roman" w:cs="Times New Roman"/>
          <w:szCs w:val="24"/>
          <w:lang w:val="en-US"/>
        </w:rPr>
        <w:t xml:space="preserve"> et al., </w:t>
      </w:r>
      <w:r w:rsidR="00AA1730" w:rsidRPr="00AA1730">
        <w:rPr>
          <w:rFonts w:eastAsia="Times New Roman" w:cs="Times New Roman"/>
          <w:szCs w:val="24"/>
          <w:lang w:val="en-US"/>
        </w:rPr>
        <w:t>2025)</w:t>
      </w:r>
      <w:r w:rsidR="00B229A9">
        <w:t>.</w:t>
      </w:r>
      <w:r w:rsidR="002A4E60">
        <w:t xml:space="preserve"> </w:t>
      </w:r>
      <w:r w:rsidRPr="00B279CC">
        <w:t>These systems may lead to misleading and incorrect information at times, though. In 2023 and 2024, a number of companies were subject to criticism due to their AI systems producing false or inappropriate content. This underscores the importance of keen monitoring and control.</w:t>
      </w:r>
      <w:r w:rsidR="00BD18AC">
        <w:t xml:space="preserve"> </w:t>
      </w:r>
      <w:r w:rsidRPr="00B279CC">
        <w:t xml:space="preserve">There are third-party AI systems that pose ethical risks as well. Tesco can outsource AI tools and data processing. Nevertheless, the ethics of these </w:t>
      </w:r>
      <w:r w:rsidRPr="00B279CC">
        <w:lastRenderedPageBreak/>
        <w:t xml:space="preserve">vendors </w:t>
      </w:r>
      <w:r w:rsidR="00315922">
        <w:t>are</w:t>
      </w:r>
      <w:r w:rsidRPr="00B279CC">
        <w:t xml:space="preserve"> not always the same. Research indicates that more than a quarter of risks associated with AI </w:t>
      </w:r>
      <w:r w:rsidR="00F55FB5" w:rsidRPr="00B279CC">
        <w:t>are</w:t>
      </w:r>
      <w:r w:rsidRPr="00B279CC">
        <w:t xml:space="preserve"> related to third-party systems. This implies that firms need to consider their partners</w:t>
      </w:r>
      <w:r w:rsidR="00644DC0">
        <w:t xml:space="preserve"> (</w:t>
      </w:r>
      <w:proofErr w:type="spellStart"/>
      <w:r w:rsidR="00644DC0">
        <w:rPr>
          <w:lang w:val="en-US"/>
        </w:rPr>
        <w:t>Sattari</w:t>
      </w:r>
      <w:proofErr w:type="spellEnd"/>
      <w:r w:rsidR="00644DC0">
        <w:rPr>
          <w:lang w:val="en-US"/>
        </w:rPr>
        <w:t xml:space="preserve"> et al., </w:t>
      </w:r>
      <w:r w:rsidR="00644DC0" w:rsidRPr="00B54037">
        <w:t>2022)</w:t>
      </w:r>
      <w:r w:rsidRPr="00B279CC">
        <w:t>.</w:t>
      </w:r>
      <w:r w:rsidR="00BD18AC">
        <w:t xml:space="preserve"> </w:t>
      </w:r>
      <w:r w:rsidRPr="00B279CC">
        <w:t xml:space="preserve">Issues of ethical AI are addressed by training and organisational culture. Workers need to be familiar with AI functionality and aware </w:t>
      </w:r>
      <w:r w:rsidR="00F55FB5">
        <w:t>of the possible dangers. Even effectively designed systems can be hacked and used for negative purposes. So, the company should build an ethically strong culture.</w:t>
      </w:r>
      <w:r w:rsidR="00BD18AC">
        <w:t xml:space="preserve"> </w:t>
      </w:r>
      <w:r w:rsidRPr="00B279CC">
        <w:t>In the case of Tesco, ethical AI is crucial in safeguarding its brand image. Any moral negligence may result in social disapproval and distrust. As an example, prejudiced advice or discrimination in prices may ruin the relationships with customers</w:t>
      </w:r>
      <w:r w:rsidR="00644DC0">
        <w:t xml:space="preserve"> (</w:t>
      </w:r>
      <w:proofErr w:type="spellStart"/>
      <w:r w:rsidR="00644DC0">
        <w:rPr>
          <w:lang w:val="en-US"/>
        </w:rPr>
        <w:t>Molitor</w:t>
      </w:r>
      <w:proofErr w:type="spellEnd"/>
      <w:r w:rsidR="00644DC0">
        <w:rPr>
          <w:lang w:val="en-US"/>
        </w:rPr>
        <w:t xml:space="preserve"> et al., </w:t>
      </w:r>
      <w:r w:rsidR="00644DC0" w:rsidRPr="00644DC0">
        <w:rPr>
          <w:lang w:val="en-US"/>
        </w:rPr>
        <w:t>2023)</w:t>
      </w:r>
      <w:r w:rsidRPr="00B279CC">
        <w:t>.</w:t>
      </w:r>
      <w:r w:rsidR="00BD18AC">
        <w:t xml:space="preserve"> </w:t>
      </w:r>
      <w:r w:rsidRPr="00B279CC">
        <w:t>To sum up, ethical AI is one of the greatest challenges facing multinational companies. Such problems as prejudice, absence of transparency, low accountability, and privacy are serious risks. Both the UK and the USA encourage ethical AI, although predominantly by guidelines instead of laws. The recent statistics indicate that ethical issues are prevalent and growing. The consequences of low ethical practices are illustrated in real-life examples. In the case of Tesco, these concerns will need to be dealt with in order to be fair, to keep trust and to help succeed in the long-term.</w:t>
      </w:r>
    </w:p>
    <w:p w:rsidR="002A4E60" w:rsidRDefault="002A4E60">
      <w:pPr>
        <w:spacing w:line="276" w:lineRule="auto"/>
        <w:jc w:val="left"/>
        <w:rPr>
          <w:rFonts w:eastAsiaTheme="majorEastAsia" w:cstheme="majorBidi"/>
          <w:b/>
          <w:bCs/>
          <w:color w:val="4F81BD" w:themeColor="accent1"/>
          <w:sz w:val="28"/>
          <w:szCs w:val="26"/>
        </w:rPr>
      </w:pPr>
      <w:r>
        <w:br w:type="page"/>
      </w:r>
    </w:p>
    <w:p w:rsidR="00930D1D" w:rsidRPr="00B279CC" w:rsidRDefault="00BD18AC" w:rsidP="00BD18AC">
      <w:pPr>
        <w:pStyle w:val="Heading2"/>
      </w:pPr>
      <w:bookmarkStart w:id="7" w:name="_Toc228179322"/>
      <w:r>
        <w:lastRenderedPageBreak/>
        <w:t>3.4 Customer Trust in AI</w:t>
      </w:r>
      <w:bookmarkEnd w:id="7"/>
    </w:p>
    <w:p w:rsidR="00930D1D" w:rsidRPr="00B279CC" w:rsidRDefault="00930D1D" w:rsidP="00930D1D">
      <w:r w:rsidRPr="00B279CC">
        <w:t xml:space="preserve">One of the most important aspects of artificial intelligence (AI) adoption success in multinational companies is customer trust. Trust defines perceptions of the customers toward a company and whether they will share their data and keep using its services. In the case of Tesco, where the company depends on customer data in its </w:t>
      </w:r>
      <w:proofErr w:type="spellStart"/>
      <w:r w:rsidRPr="00B279CC">
        <w:t>Clubcard</w:t>
      </w:r>
      <w:proofErr w:type="spellEnd"/>
      <w:r w:rsidRPr="00B279CC">
        <w:t xml:space="preserve"> programme and online services, it is crucial to stay trustworthy. This is compounded by the fact that the com</w:t>
      </w:r>
      <w:r w:rsidR="00DB77C3">
        <w:t>pany operates in the UK and the USA</w:t>
      </w:r>
      <w:r w:rsidRPr="00B279CC">
        <w:t>, with the expectations of customers as well as the regulatory systems being different in both regions</w:t>
      </w:r>
      <w:r w:rsidR="00BD18AC">
        <w:t xml:space="preserve"> (Hunt et al., </w:t>
      </w:r>
      <w:r w:rsidR="00BD18AC" w:rsidRPr="00885C77">
        <w:t>2022)</w:t>
      </w:r>
      <w:r w:rsidRPr="00B279CC">
        <w:t>.</w:t>
      </w:r>
      <w:r w:rsidR="004F73C5">
        <w:t xml:space="preserve"> </w:t>
      </w:r>
      <w:r w:rsidRPr="00B279CC">
        <w:t xml:space="preserve">AI is a common application in retail, where it can be used to personalise services, suggest products, and enhance customer experience. Tesco applies AI to study the shopping behaviour, offer relevant offers, and </w:t>
      </w:r>
      <w:r w:rsidR="00315922">
        <w:t>manage prices</w:t>
      </w:r>
      <w:r w:rsidRPr="00B279CC">
        <w:t xml:space="preserve">. Although these applications are efficient and convenient, there is a concern </w:t>
      </w:r>
      <w:r w:rsidR="00315922">
        <w:t>about</w:t>
      </w:r>
      <w:r w:rsidRPr="00B279CC">
        <w:t xml:space="preserve"> the use of customer data. This may reduce trust when customers get the impression that their data is being abused or gathered without their explicit approval.</w:t>
      </w:r>
    </w:p>
    <w:p w:rsidR="004F73C5" w:rsidRDefault="00930D1D" w:rsidP="004F73C5">
      <w:r w:rsidRPr="00B279CC">
        <w:t>According to surveys that were cond</w:t>
      </w:r>
      <w:r w:rsidR="00BD18AC">
        <w:t xml:space="preserve">ucted in 2024, approximately 68% </w:t>
      </w:r>
      <w:r w:rsidRPr="00B279CC">
        <w:t xml:space="preserve">of consumers are concerned about how their personal data </w:t>
      </w:r>
      <w:r w:rsidR="00315922">
        <w:t>is</w:t>
      </w:r>
      <w:r w:rsidRPr="00B279CC">
        <w:t xml:space="preserve"> used </w:t>
      </w:r>
      <w:r w:rsidR="00BD18AC">
        <w:t xml:space="preserve">by companies. Moreover, over 60% </w:t>
      </w:r>
      <w:r w:rsidRPr="00B279CC">
        <w:t xml:space="preserve">of customers said that they would cease to use a company </w:t>
      </w:r>
      <w:r w:rsidR="00315922">
        <w:t>if</w:t>
      </w:r>
      <w:r w:rsidRPr="00B279CC">
        <w:t xml:space="preserve"> they believed that their data was not processed properly</w:t>
      </w:r>
      <w:r w:rsidR="00BD18AC">
        <w:t xml:space="preserve"> </w:t>
      </w:r>
      <w:r w:rsidR="00BD18AC">
        <w:rPr>
          <w:rFonts w:eastAsia="Times New Roman" w:cs="Times New Roman"/>
          <w:szCs w:val="24"/>
          <w:lang w:val="en-US"/>
        </w:rPr>
        <w:t>(</w:t>
      </w:r>
      <w:proofErr w:type="spellStart"/>
      <w:r w:rsidR="00BD18AC" w:rsidRPr="00BD18AC">
        <w:rPr>
          <w:rFonts w:eastAsia="Times New Roman" w:cs="Times New Roman"/>
          <w:szCs w:val="24"/>
          <w:lang w:val="en-US"/>
        </w:rPr>
        <w:t>Hennigha</w:t>
      </w:r>
      <w:r w:rsidR="00BD18AC">
        <w:rPr>
          <w:rFonts w:eastAsia="Times New Roman" w:cs="Times New Roman"/>
          <w:szCs w:val="24"/>
          <w:lang w:val="en-US"/>
        </w:rPr>
        <w:t>usen</w:t>
      </w:r>
      <w:proofErr w:type="spellEnd"/>
      <w:r w:rsidR="00BD18AC">
        <w:rPr>
          <w:rFonts w:eastAsia="Times New Roman" w:cs="Times New Roman"/>
          <w:szCs w:val="24"/>
          <w:lang w:val="en-US"/>
        </w:rPr>
        <w:t xml:space="preserve"> et al., </w:t>
      </w:r>
      <w:r w:rsidR="00BD18AC" w:rsidRPr="00BD18AC">
        <w:rPr>
          <w:rFonts w:eastAsia="Times New Roman" w:cs="Times New Roman"/>
          <w:szCs w:val="24"/>
          <w:lang w:val="en-US"/>
        </w:rPr>
        <w:t>2025)</w:t>
      </w:r>
      <w:r w:rsidRPr="00B279CC">
        <w:t>. These statistics demonstrate the extent to which trust is connected with data practices.</w:t>
      </w:r>
      <w:r w:rsidR="004F73C5">
        <w:t xml:space="preserve"> </w:t>
      </w:r>
      <w:r w:rsidRPr="00B279CC">
        <w:t xml:space="preserve">One of the most significant elements in establishing customer trust is transparency. Customers demand that companies provide clear information on how AI systems operate and the use of their data. </w:t>
      </w:r>
      <w:r w:rsidR="00BD18AC" w:rsidRPr="00B279CC">
        <w:t>Transparency</w:t>
      </w:r>
      <w:r w:rsidRPr="00B279CC">
        <w:t xml:space="preserve"> may lead to misunderstanding and mistrust.</w:t>
      </w:r>
      <w:r w:rsidR="004F73C5">
        <w:t xml:space="preserve"> </w:t>
      </w:r>
      <w:r w:rsidR="00DB77C3">
        <w:t xml:space="preserve">Though AI is running very fast and becoming one of the core components of business communication, over 55% of businesses still face problems while communicating with customers </w:t>
      </w:r>
      <w:r w:rsidR="004F73C5">
        <w:t>(</w:t>
      </w:r>
      <w:r w:rsidR="00DB77C3">
        <w:t>AI</w:t>
      </w:r>
      <w:r w:rsidR="004F73C5">
        <w:t xml:space="preserve"> </w:t>
      </w:r>
      <w:proofErr w:type="spellStart"/>
      <w:r w:rsidR="004F73C5">
        <w:rPr>
          <w:rFonts w:eastAsia="Times New Roman" w:cs="Times New Roman"/>
          <w:szCs w:val="24"/>
          <w:lang w:val="en-US"/>
        </w:rPr>
        <w:t>Bofill</w:t>
      </w:r>
      <w:proofErr w:type="spellEnd"/>
      <w:r w:rsidR="004F73C5">
        <w:rPr>
          <w:rFonts w:eastAsia="Times New Roman" w:cs="Times New Roman"/>
          <w:szCs w:val="24"/>
          <w:lang w:val="en-US"/>
        </w:rPr>
        <w:t xml:space="preserve"> et al., </w:t>
      </w:r>
      <w:r w:rsidR="004F73C5" w:rsidRPr="00BD18AC">
        <w:rPr>
          <w:rFonts w:eastAsia="Times New Roman" w:cs="Times New Roman"/>
          <w:szCs w:val="24"/>
          <w:lang w:val="en-US"/>
        </w:rPr>
        <w:t>2022)</w:t>
      </w:r>
      <w:r w:rsidR="00DB77C3">
        <w:t xml:space="preserve">. </w:t>
      </w:r>
      <w:r w:rsidRPr="00B279CC">
        <w:t>This implies that most companies are failing to meet the expectations of the</w:t>
      </w:r>
      <w:r w:rsidR="00315922">
        <w:t>ir</w:t>
      </w:r>
      <w:r w:rsidRPr="00B279CC">
        <w:t xml:space="preserve"> customers satisfactorily. In the case of Tesco, issues </w:t>
      </w:r>
      <w:r w:rsidR="00315922">
        <w:t xml:space="preserve">related </w:t>
      </w:r>
      <w:r w:rsidRPr="00B279CC">
        <w:t>to communication can be used to enhance trust by enhancing communication regarding the use of AI.</w:t>
      </w:r>
      <w:r w:rsidR="004F73C5">
        <w:t xml:space="preserve"> </w:t>
      </w:r>
    </w:p>
    <w:p w:rsidR="00930D1D" w:rsidRPr="00B279CC" w:rsidRDefault="00930D1D" w:rsidP="00930D1D">
      <w:r w:rsidRPr="00B279CC">
        <w:t xml:space="preserve">The UK and </w:t>
      </w:r>
      <w:r w:rsidR="00315922">
        <w:t xml:space="preserve">the </w:t>
      </w:r>
      <w:r w:rsidRPr="00B279CC">
        <w:t xml:space="preserve">USA deal with customer trust differently </w:t>
      </w:r>
      <w:r w:rsidR="00315922">
        <w:t>through</w:t>
      </w:r>
      <w:r w:rsidRPr="00B279CC">
        <w:t xml:space="preserve"> regulation and business practices. In the UK, </w:t>
      </w:r>
      <w:r w:rsidR="00DB77C3">
        <w:t xml:space="preserve">different laws like </w:t>
      </w:r>
      <w:r w:rsidR="00315922">
        <w:t xml:space="preserve">the </w:t>
      </w:r>
      <w:r w:rsidR="00DB77C3">
        <w:t xml:space="preserve">UK GDPR ensure </w:t>
      </w:r>
      <w:r w:rsidR="00315922">
        <w:t xml:space="preserve">the </w:t>
      </w:r>
      <w:r w:rsidR="00DB77C3">
        <w:t xml:space="preserve">protection of data. </w:t>
      </w:r>
      <w:r w:rsidRPr="00B279CC">
        <w:t xml:space="preserve">These regulations make companies open and provide customers with control over their personal data. The rights of customers include getting access to their data, as well as </w:t>
      </w:r>
      <w:r w:rsidR="00DB77C3">
        <w:t xml:space="preserve">demanding its removal. It </w:t>
      </w:r>
      <w:r w:rsidR="00DB77C3">
        <w:lastRenderedPageBreak/>
        <w:t>helps in creating a trustworthy environment for the partners</w:t>
      </w:r>
      <w:r w:rsidR="004F73C5">
        <w:t xml:space="preserve"> (</w:t>
      </w:r>
      <w:r w:rsidR="004F73C5">
        <w:rPr>
          <w:rFonts w:eastAsia="Times New Roman" w:cs="Times New Roman"/>
          <w:szCs w:val="24"/>
          <w:lang w:val="en-US"/>
        </w:rPr>
        <w:t>Lu, 2022).</w:t>
      </w:r>
      <w:r w:rsidR="004F73C5">
        <w:t xml:space="preserve"> </w:t>
      </w:r>
      <w:r w:rsidRPr="00B279CC">
        <w:t xml:space="preserve">In </w:t>
      </w:r>
      <w:r w:rsidR="00315922">
        <w:t>the USA, it is more market-</w:t>
      </w:r>
      <w:r w:rsidRPr="00B279CC">
        <w:t>based and less centralised. Similar rights are enshrined in laws like the California Consumer Privacy Act (CCPA) that are primarily state-based. This leads to customer trust not being based on a single national framework but rather on the practices of companies. This implies that Tesco will have to implement coherent policies in different states in order to remain trustworthy</w:t>
      </w:r>
      <w:r w:rsidR="004F73C5">
        <w:t xml:space="preserve"> (</w:t>
      </w:r>
      <w:r w:rsidR="004F73C5">
        <w:rPr>
          <w:rFonts w:eastAsia="Times New Roman" w:cs="Times New Roman"/>
          <w:szCs w:val="24"/>
          <w:lang w:val="en-US"/>
        </w:rPr>
        <w:t xml:space="preserve">Engineering, </w:t>
      </w:r>
      <w:r w:rsidR="004F73C5" w:rsidRPr="004F73C5">
        <w:rPr>
          <w:rFonts w:eastAsia="Times New Roman" w:cs="Times New Roman"/>
          <w:szCs w:val="24"/>
          <w:lang w:val="en-US"/>
        </w:rPr>
        <w:t>2023)</w:t>
      </w:r>
      <w:r w:rsidRPr="00B279CC">
        <w:t>.</w:t>
      </w:r>
      <w:r w:rsidR="004F73C5">
        <w:t xml:space="preserve"> </w:t>
      </w:r>
      <w:r w:rsidRPr="00B279CC">
        <w:t>Another determinant of trust is data security. Customers want their personal data not to be compromised in terms of breaches and cyberattacks. When the company in question fails to safeguard data, trust can be eroded in no time. The number of people impacted by data breaches in 2024 was hundreds of millions of people across the world, so they are not uncommon.</w:t>
      </w:r>
    </w:p>
    <w:p w:rsidR="00930D1D" w:rsidRPr="00B279CC" w:rsidRDefault="00930D1D" w:rsidP="00930D1D">
      <w:r w:rsidRPr="00B279CC">
        <w:t>Customers desire to be treated as equals and without discrimination. It should not be the case that AI systems involved in pricing or promotions are biased against some groups</w:t>
      </w:r>
      <w:r w:rsidR="004F73C5">
        <w:t xml:space="preserve"> (AI </w:t>
      </w:r>
      <w:proofErr w:type="spellStart"/>
      <w:r w:rsidR="004F73C5">
        <w:rPr>
          <w:rFonts w:eastAsia="Times New Roman" w:cs="Times New Roman"/>
          <w:szCs w:val="24"/>
          <w:lang w:val="en-US"/>
        </w:rPr>
        <w:t>Bofill</w:t>
      </w:r>
      <w:proofErr w:type="spellEnd"/>
      <w:r w:rsidR="004F73C5">
        <w:rPr>
          <w:rFonts w:eastAsia="Times New Roman" w:cs="Times New Roman"/>
          <w:szCs w:val="24"/>
          <w:lang w:val="en-US"/>
        </w:rPr>
        <w:t xml:space="preserve"> et al., </w:t>
      </w:r>
      <w:r w:rsidR="004F73C5" w:rsidRPr="00BD18AC">
        <w:rPr>
          <w:rFonts w:eastAsia="Times New Roman" w:cs="Times New Roman"/>
          <w:szCs w:val="24"/>
          <w:lang w:val="en-US"/>
        </w:rPr>
        <w:t>2022)</w:t>
      </w:r>
      <w:r w:rsidRPr="00B279CC">
        <w:t xml:space="preserve">. As an illustration, when </w:t>
      </w:r>
      <w:r w:rsidR="00DB77C3" w:rsidRPr="00B279CC">
        <w:t>Tesco’s</w:t>
      </w:r>
      <w:r w:rsidRPr="00B279CC">
        <w:t xml:space="preserve"> pricing algorithm has better discounts </w:t>
      </w:r>
      <w:r w:rsidR="00315922">
        <w:t>for</w:t>
      </w:r>
      <w:r w:rsidRPr="00B279CC">
        <w:t xml:space="preserve"> certain customers and leaves other customers without </w:t>
      </w:r>
      <w:r w:rsidR="00315922">
        <w:t xml:space="preserve">an </w:t>
      </w:r>
      <w:r w:rsidRPr="00B279CC">
        <w:t>obvious explanation, it can be considered to be unfair. This may decrease assurance and result in customer dissatisfaction.</w:t>
      </w:r>
      <w:r w:rsidR="004F73C5">
        <w:t xml:space="preserve"> </w:t>
      </w:r>
      <w:r w:rsidRPr="00B279CC">
        <w:t>Customers desire to be able to control their data and its application. This involves the capacity to consent, revoke consent and control their preferences. Resea</w:t>
      </w:r>
      <w:r w:rsidR="00DB77C3">
        <w:t>rch indicates that more than 70% of buyers like to patronis</w:t>
      </w:r>
      <w:r w:rsidRPr="00B279CC">
        <w:t>e businesses that provide them with complete access</w:t>
      </w:r>
      <w:r w:rsidR="00DB77C3">
        <w:t xml:space="preserve"> to their personal information. This can enhance the amount of loyal and potential customers</w:t>
      </w:r>
      <w:r w:rsidR="004F73C5">
        <w:t xml:space="preserve"> (</w:t>
      </w:r>
      <w:r w:rsidR="004F73C5">
        <w:rPr>
          <w:rFonts w:eastAsia="Times New Roman" w:cs="Times New Roman"/>
          <w:szCs w:val="24"/>
          <w:lang w:val="en-US"/>
        </w:rPr>
        <w:t xml:space="preserve">Tang, and Li, </w:t>
      </w:r>
      <w:r w:rsidR="004F73C5" w:rsidRPr="004F73C5">
        <w:rPr>
          <w:rFonts w:eastAsia="Times New Roman" w:cs="Times New Roman"/>
          <w:szCs w:val="24"/>
          <w:lang w:val="en-US"/>
        </w:rPr>
        <w:t>2026)</w:t>
      </w:r>
      <w:r w:rsidR="00DB77C3">
        <w:t>.</w:t>
      </w:r>
      <w:r w:rsidR="004F73C5">
        <w:t xml:space="preserve"> </w:t>
      </w:r>
      <w:r w:rsidRPr="00B279CC">
        <w:t xml:space="preserve">Consistency is another aspect that is significant. Tesco should make sure that it has the same data practices in the UK and </w:t>
      </w:r>
      <w:r w:rsidR="00315922">
        <w:t xml:space="preserve">the </w:t>
      </w:r>
      <w:r w:rsidRPr="00B279CC">
        <w:t xml:space="preserve">USA. Policy variations may </w:t>
      </w:r>
      <w:r w:rsidR="00315922">
        <w:t>confuse</w:t>
      </w:r>
      <w:r w:rsidRPr="00B279CC">
        <w:t xml:space="preserve"> and decrease trust. An integrated strategy makes customers feel secure, wherever they are.</w:t>
      </w:r>
      <w:r w:rsidR="004F73C5">
        <w:t xml:space="preserve"> </w:t>
      </w:r>
      <w:r w:rsidRPr="00B279CC">
        <w:t>The companies should be on the frontline to educate customers on the benefits of AI to them. As an illustration, Tesco can provide an explanation of how personalised offers will help customers save money or it will enhance their shopping experience</w:t>
      </w:r>
      <w:r w:rsidR="004F73C5">
        <w:t xml:space="preserve"> (</w:t>
      </w:r>
      <w:proofErr w:type="spellStart"/>
      <w:r w:rsidR="004F73C5">
        <w:rPr>
          <w:lang w:val="en-US"/>
        </w:rPr>
        <w:t>Molitor</w:t>
      </w:r>
      <w:proofErr w:type="spellEnd"/>
      <w:r w:rsidR="004F73C5">
        <w:rPr>
          <w:lang w:val="en-US"/>
        </w:rPr>
        <w:t xml:space="preserve"> et al., </w:t>
      </w:r>
      <w:r w:rsidR="004F73C5" w:rsidRPr="00644DC0">
        <w:rPr>
          <w:lang w:val="en-US"/>
        </w:rPr>
        <w:t>2023)</w:t>
      </w:r>
      <w:r w:rsidRPr="00B279CC">
        <w:t>. Efficient and direct communication will assist customers in knowing the worth of AI and alleviate fears.</w:t>
      </w:r>
      <w:r w:rsidR="004F73C5">
        <w:t xml:space="preserve"> </w:t>
      </w:r>
      <w:r w:rsidRPr="00B279CC">
        <w:t>When companies use AI responsibly, customers would be more inclined to trust them. Fairness, transparency, accountability, and other ethical practices directly affect the perception of customers. By acting responsibly, Tesco will be able to enhance its brand image.</w:t>
      </w:r>
    </w:p>
    <w:p w:rsidR="00930D1D" w:rsidRPr="00B279CC" w:rsidRDefault="00930D1D" w:rsidP="00930D1D">
      <w:r w:rsidRPr="00B279CC">
        <w:lastRenderedPageBreak/>
        <w:t xml:space="preserve">Another way through which AI influences trust is in customer service. The use of </w:t>
      </w:r>
      <w:proofErr w:type="spellStart"/>
      <w:r w:rsidRPr="00B279CC">
        <w:t>chatbots</w:t>
      </w:r>
      <w:proofErr w:type="spellEnd"/>
      <w:r w:rsidRPr="00B279CC">
        <w:t xml:space="preserve"> and automated systems has become very popular in many companies. Though these systems enhance efficiency, they may diminish trust when they fail to give the correct or useful responses. Customers do not lose their human touch, particularly on complicated matters. Tesco needs to be able to strike a balance between automation and human assistance</w:t>
      </w:r>
      <w:r w:rsidR="004F73C5">
        <w:t xml:space="preserve"> (</w:t>
      </w:r>
      <w:r w:rsidR="004F73C5">
        <w:rPr>
          <w:rFonts w:eastAsia="Times New Roman" w:cs="Times New Roman"/>
          <w:szCs w:val="24"/>
          <w:lang w:val="en-US"/>
        </w:rPr>
        <w:t xml:space="preserve">Zhang, </w:t>
      </w:r>
      <w:r w:rsidR="004F73C5" w:rsidRPr="004F73C5">
        <w:rPr>
          <w:rFonts w:eastAsia="Times New Roman" w:cs="Times New Roman"/>
          <w:szCs w:val="24"/>
          <w:lang w:val="en-US"/>
        </w:rPr>
        <w:t>2021)</w:t>
      </w:r>
      <w:r w:rsidRPr="00B279CC">
        <w:t>.</w:t>
      </w:r>
      <w:r w:rsidR="004F73C5">
        <w:t xml:space="preserve"> </w:t>
      </w:r>
      <w:r w:rsidRPr="00B279CC">
        <w:t xml:space="preserve">The trust is also influenced by social perception and </w:t>
      </w:r>
      <w:r w:rsidR="00315922">
        <w:t xml:space="preserve">the </w:t>
      </w:r>
      <w:r w:rsidRPr="00B279CC">
        <w:t>media. Bad news concerning data abuse or AI malfunctions can easily be disseminated and influence the opinion of the population. Companies should be ready to react to such cases and be transparent.</w:t>
      </w:r>
      <w:r w:rsidR="004F73C5">
        <w:t xml:space="preserve"> </w:t>
      </w:r>
      <w:r w:rsidRPr="00B279CC">
        <w:t>In the case of Tesco, retaining customer trust is a key to success in the long run. The company is in a very competitive retail environment, wit</w:t>
      </w:r>
      <w:r w:rsidR="00DB77C3">
        <w:t xml:space="preserve">h several options </w:t>
      </w:r>
      <w:r w:rsidR="00315922">
        <w:t>for</w:t>
      </w:r>
      <w:r w:rsidR="00DB77C3">
        <w:t xml:space="preserve"> customers. Trust has </w:t>
      </w:r>
      <w:r w:rsidR="00315922">
        <w:t xml:space="preserve">a </w:t>
      </w:r>
      <w:r w:rsidR="00DB77C3">
        <w:t>direct impact on customer loyalty, engagement and brand image</w:t>
      </w:r>
      <w:r w:rsidR="004F73C5">
        <w:t xml:space="preserve"> (</w:t>
      </w:r>
      <w:r w:rsidR="004F73C5">
        <w:rPr>
          <w:rFonts w:eastAsia="Times New Roman" w:cs="Times New Roman"/>
          <w:szCs w:val="24"/>
          <w:lang w:val="en-US"/>
        </w:rPr>
        <w:t xml:space="preserve">Chow, </w:t>
      </w:r>
      <w:r w:rsidR="004F73C5" w:rsidRPr="004F73C5">
        <w:rPr>
          <w:rFonts w:eastAsia="Times New Roman" w:cs="Times New Roman"/>
          <w:szCs w:val="24"/>
          <w:lang w:val="en-US"/>
        </w:rPr>
        <w:t>2022)</w:t>
      </w:r>
      <w:r w:rsidR="00DB77C3">
        <w:t>.</w:t>
      </w:r>
      <w:r w:rsidR="004F73C5">
        <w:t xml:space="preserve"> </w:t>
      </w:r>
      <w:r w:rsidRPr="00B279CC">
        <w:t xml:space="preserve">Finally, customer trust is one of the issues of AI usage. It is affected by </w:t>
      </w:r>
      <w:r w:rsidR="00315922">
        <w:t xml:space="preserve">the </w:t>
      </w:r>
      <w:r w:rsidRPr="00B279CC">
        <w:t>transparency</w:t>
      </w:r>
      <w:r w:rsidR="00DB77C3">
        <w:t xml:space="preserve"> of using </w:t>
      </w:r>
      <w:r w:rsidR="00315922">
        <w:t xml:space="preserve">AI, data security, transparency, </w:t>
      </w:r>
      <w:r w:rsidR="00DB77C3">
        <w:t>fairness</w:t>
      </w:r>
      <w:r w:rsidRPr="00B279CC">
        <w:t xml:space="preserve">, and </w:t>
      </w:r>
      <w:r w:rsidR="00315922">
        <w:t xml:space="preserve">the </w:t>
      </w:r>
      <w:r w:rsidR="00DB77C3">
        <w:t>level of control by the customers</w:t>
      </w:r>
      <w:r w:rsidR="00315922">
        <w:t>. The UK has a systematis</w:t>
      </w:r>
      <w:r w:rsidRPr="00B279CC">
        <w:t>ed legal framework, whereas the USA depends more on the practice of the company and state legislation. The latest statistics indicate that consumers are becoming more worried about the use of their data and privacy. In the case of Tesco, trust can only be established by being consistent, transparent and accountable in all its operations.</w:t>
      </w:r>
    </w:p>
    <w:p w:rsidR="002A4E60" w:rsidRDefault="002A4E60">
      <w:pPr>
        <w:spacing w:line="276" w:lineRule="auto"/>
        <w:jc w:val="left"/>
        <w:rPr>
          <w:rFonts w:eastAsiaTheme="majorEastAsia" w:cstheme="majorBidi"/>
          <w:b/>
          <w:bCs/>
          <w:color w:val="365F91" w:themeColor="accent1" w:themeShade="BF"/>
          <w:sz w:val="32"/>
          <w:szCs w:val="28"/>
        </w:rPr>
      </w:pPr>
      <w:r>
        <w:br w:type="page"/>
      </w:r>
    </w:p>
    <w:p w:rsidR="00930D1D" w:rsidRPr="00B279CC" w:rsidRDefault="004F73C5" w:rsidP="004F73C5">
      <w:pPr>
        <w:pStyle w:val="Heading1"/>
      </w:pPr>
      <w:bookmarkStart w:id="8" w:name="_Toc228179323"/>
      <w:r>
        <w:lastRenderedPageBreak/>
        <w:t>4. Conclusion</w:t>
      </w:r>
      <w:bookmarkEnd w:id="8"/>
    </w:p>
    <w:p w:rsidR="00930D1D" w:rsidRDefault="00930D1D" w:rsidP="00930D1D">
      <w:r w:rsidRPr="00B279CC">
        <w:t xml:space="preserve">This report has discussed the threats of the proliferation of </w:t>
      </w:r>
      <w:r w:rsidR="004F73C5">
        <w:t>AI</w:t>
      </w:r>
      <w:r w:rsidRPr="00B279CC">
        <w:t xml:space="preserve"> in Tesco, with re</w:t>
      </w:r>
      <w:r w:rsidR="004F73C5">
        <w:t>ference to its business in the UK and the USA</w:t>
      </w:r>
      <w:r w:rsidRPr="00B279CC">
        <w:t xml:space="preserve">. The analysis has </w:t>
      </w:r>
      <w:r w:rsidR="00315922">
        <w:t>been framed in four major areas:</w:t>
      </w:r>
      <w:r w:rsidRPr="00B279CC">
        <w:t xml:space="preserve"> regulation, data governance, ethical AI, and customer trust. These domains are tightly related to each other and jointly reflect the primary issues which become relevant due to the rising popularity of the use of AI in business.</w:t>
      </w:r>
      <w:r w:rsidR="0010704D">
        <w:t xml:space="preserve"> </w:t>
      </w:r>
      <w:r w:rsidRPr="00B279CC">
        <w:t>The UK has a more structured approach in t</w:t>
      </w:r>
      <w:r w:rsidR="00315922">
        <w:t xml:space="preserve">he form of data protection laws, </w:t>
      </w:r>
      <w:r w:rsidRPr="00B279CC">
        <w:t>including UK GDPR, which is backed up by regulatory guidance. Howe</w:t>
      </w:r>
      <w:r w:rsidR="00315922">
        <w:t>ver, the USA is more decentralis</w:t>
      </w:r>
      <w:r w:rsidRPr="00B279CC">
        <w:t xml:space="preserve">ed and sectoral, and varies in state laws. This disparity poses a challenge to Tesco, which needs to act within different regulatory frameworks. It has been shown that not only </w:t>
      </w:r>
      <w:r w:rsidR="00315922" w:rsidRPr="00315922">
        <w:t xml:space="preserve">is </w:t>
      </w:r>
      <w:r w:rsidRPr="00B279CC">
        <w:t>compliance a legal requirement, but also a strategic challenge because non-compliance may result in fi</w:t>
      </w:r>
      <w:r w:rsidR="0010704D">
        <w:t xml:space="preserve">nes and a tarnished reputation. </w:t>
      </w:r>
      <w:r w:rsidRPr="00B279CC">
        <w:t>AI systems are rel</w:t>
      </w:r>
      <w:r w:rsidR="00315922">
        <w:t xml:space="preserve">iant on massive amounts of data, </w:t>
      </w:r>
      <w:r w:rsidRPr="00B279CC">
        <w:t>and the quality, security, and control of this information directly influence the results. The challenge is even greater because of data management in various regions. This helps to argue that robust data governance is critical when it comes to complianc</w:t>
      </w:r>
      <w:r w:rsidR="0010704D">
        <w:t xml:space="preserve">e and effective AI performance. </w:t>
      </w:r>
      <w:r w:rsidRPr="00B279CC">
        <w:t>Bias, lack of transparency and weak accountability are among the ethical issues of AI that have been discussed. Such problems may result in an unjust situation and decrease the trust in AI systems. The UK and USA comparison reveals that both territo</w:t>
      </w:r>
      <w:r w:rsidR="00315922">
        <w:t>ries promote ethical AI, yet primarily</w:t>
      </w:r>
      <w:r w:rsidRPr="00B279CC">
        <w:t xml:space="preserve"> </w:t>
      </w:r>
      <w:r w:rsidR="00315922">
        <w:t>based on</w:t>
      </w:r>
      <w:r w:rsidRPr="00B279CC">
        <w:t xml:space="preserve"> principles, not legal regulations. Tesco should be accountable in making sure that its AI systems are fair and transparent</w:t>
      </w:r>
      <w:r w:rsidR="004F73C5">
        <w:t xml:space="preserve"> (</w:t>
      </w:r>
      <w:r w:rsidR="004F73C5" w:rsidRPr="00211116">
        <w:rPr>
          <w:rFonts w:eastAsia="Times New Roman" w:cs="Times New Roman"/>
          <w:szCs w:val="24"/>
          <w:lang w:val="en-US"/>
        </w:rPr>
        <w:t>Johns</w:t>
      </w:r>
      <w:r w:rsidR="004F73C5">
        <w:rPr>
          <w:rFonts w:eastAsia="Times New Roman" w:cs="Times New Roman"/>
          <w:szCs w:val="24"/>
          <w:lang w:val="en-US"/>
        </w:rPr>
        <w:t xml:space="preserve">on et al., </w:t>
      </w:r>
      <w:r w:rsidR="004F73C5" w:rsidRPr="00211116">
        <w:rPr>
          <w:rFonts w:eastAsia="Times New Roman" w:cs="Times New Roman"/>
          <w:szCs w:val="24"/>
          <w:lang w:val="en-US"/>
        </w:rPr>
        <w:t>2020)</w:t>
      </w:r>
      <w:r w:rsidR="0010704D">
        <w:t xml:space="preserve">. </w:t>
      </w:r>
      <w:r w:rsidR="0010704D" w:rsidRPr="00B279CC">
        <w:t>Trusts rely</w:t>
      </w:r>
      <w:r w:rsidR="004F73C5" w:rsidRPr="00B279CC">
        <w:t xml:space="preserve"> on the ability of businesses to process data and communicate</w:t>
      </w:r>
      <w:r w:rsidRPr="00B279CC">
        <w:t xml:space="preserve"> with clients, as well as on their systems being fair. It has been discussed that customers are becoming more conscious about the use of their data and demand more openness and control. The differences between the UK and </w:t>
      </w:r>
      <w:r w:rsidR="00315922">
        <w:t xml:space="preserve">the </w:t>
      </w:r>
      <w:r w:rsidRPr="00B279CC">
        <w:t>USA also play a role in the way the building and maintenance of trust occurs. The discussion endorses the thesis that to achieve business success over the long term, one must hold on to trust</w:t>
      </w:r>
      <w:r w:rsidR="0010704D">
        <w:t xml:space="preserve"> (</w:t>
      </w:r>
      <w:r w:rsidR="0010704D">
        <w:rPr>
          <w:rFonts w:eastAsia="Times New Roman" w:cs="Times New Roman"/>
          <w:szCs w:val="24"/>
          <w:lang w:val="en-US"/>
        </w:rPr>
        <w:t xml:space="preserve">Caruso et al., </w:t>
      </w:r>
      <w:r w:rsidR="0010704D" w:rsidRPr="0010704D">
        <w:rPr>
          <w:rFonts w:eastAsia="Times New Roman" w:cs="Times New Roman"/>
          <w:szCs w:val="24"/>
          <w:lang w:val="en-US"/>
        </w:rPr>
        <w:t>2023)</w:t>
      </w:r>
      <w:r w:rsidR="0010704D">
        <w:t xml:space="preserve">. </w:t>
      </w:r>
      <w:r w:rsidRPr="00B279CC">
        <w:t>All in all, the report shows that AI is a valuable asset but poses some critical risks that need to be effectively controlled. The four discussed areas are interconnected such that having weaknesses in one area may influence others. To illustrate, ineffective data governance may cause ethical concerns, which subsequently may harm customer confidence and cause regulatory repercussion</w:t>
      </w:r>
      <w:r w:rsidR="0010704D">
        <w:t xml:space="preserve">s. </w:t>
      </w:r>
      <w:r w:rsidRPr="00B279CC">
        <w:t xml:space="preserve">To sum up, Tesco should implement a comprehensive and active strategy to address AI risks. The company can be responsible when it comes to AI by making sure that it is in compliance with regulations, enhancing data governance, tackling ethical issues and ensuring </w:t>
      </w:r>
      <w:r w:rsidRPr="00B279CC">
        <w:lastRenderedPageBreak/>
        <w:t>that it does not compromise customer trust. Thi</w:t>
      </w:r>
      <w:r w:rsidR="0010704D">
        <w:t>s strategy will not only minimis</w:t>
      </w:r>
      <w:r w:rsidRPr="00B279CC">
        <w:t xml:space="preserve">e risks but will also facilitate sustainable growth and </w:t>
      </w:r>
      <w:r w:rsidR="00315922">
        <w:t xml:space="preserve">a </w:t>
      </w:r>
      <w:r w:rsidRPr="00B279CC">
        <w:t>competitive edge in a business world that is becoming more digital.</w:t>
      </w:r>
    </w:p>
    <w:p w:rsidR="002A4E60" w:rsidRDefault="002A4E60">
      <w:pPr>
        <w:spacing w:line="276" w:lineRule="auto"/>
        <w:jc w:val="left"/>
        <w:rPr>
          <w:rFonts w:eastAsiaTheme="majorEastAsia" w:cstheme="majorBidi"/>
          <w:b/>
          <w:bCs/>
          <w:color w:val="365F91" w:themeColor="accent1" w:themeShade="BF"/>
          <w:sz w:val="32"/>
          <w:szCs w:val="28"/>
          <w:lang w:val="en-US"/>
        </w:rPr>
      </w:pPr>
      <w:r>
        <w:rPr>
          <w:lang w:val="en-US"/>
        </w:rPr>
        <w:br w:type="page"/>
      </w:r>
    </w:p>
    <w:p w:rsidR="00446027" w:rsidRDefault="0010704D" w:rsidP="00211116">
      <w:pPr>
        <w:pStyle w:val="Heading1"/>
        <w:rPr>
          <w:lang w:val="en-US"/>
        </w:rPr>
      </w:pPr>
      <w:bookmarkStart w:id="9" w:name="_Toc228179324"/>
      <w:r>
        <w:rPr>
          <w:lang w:val="en-US"/>
        </w:rPr>
        <w:lastRenderedPageBreak/>
        <w:t xml:space="preserve">5. </w:t>
      </w:r>
      <w:r w:rsidR="00211116">
        <w:rPr>
          <w:lang w:val="en-US"/>
        </w:rPr>
        <w:t>References</w:t>
      </w:r>
      <w:bookmarkEnd w:id="9"/>
    </w:p>
    <w:p w:rsidR="0010704D" w:rsidRDefault="0010704D" w:rsidP="0010704D">
      <w:pPr>
        <w:ind w:left="720" w:hanging="720"/>
        <w:rPr>
          <w:lang w:val="en-US"/>
        </w:rPr>
      </w:pPr>
      <w:proofErr w:type="spellStart"/>
      <w:r w:rsidRPr="001F182C">
        <w:rPr>
          <w:lang w:val="en-US"/>
        </w:rPr>
        <w:t>Albaheth</w:t>
      </w:r>
      <w:proofErr w:type="spellEnd"/>
      <w:r w:rsidRPr="001F182C">
        <w:rPr>
          <w:lang w:val="en-US"/>
        </w:rPr>
        <w:t xml:space="preserve">, H.E. (2025) “Artificial Intelligence and Intellectual Property Law: A Study of Globally Shared Legal Information Retrieval Ecosystem of Multinational Corporations,” </w:t>
      </w:r>
      <w:r w:rsidRPr="001F182C">
        <w:rPr>
          <w:i/>
          <w:iCs/>
          <w:lang w:val="en-US"/>
        </w:rPr>
        <w:t>African journal of library, archives &amp; information science</w:t>
      </w:r>
      <w:r w:rsidRPr="001F182C">
        <w:rPr>
          <w:lang w:val="en-US"/>
        </w:rPr>
        <w:t xml:space="preserve">, 35(1), pp. 1–9. Available at: </w:t>
      </w:r>
      <w:hyperlink r:id="rId11" w:history="1">
        <w:r w:rsidRPr="003F6646">
          <w:rPr>
            <w:rStyle w:val="Hyperlink"/>
            <w:rFonts w:eastAsia="Times New Roman" w:cs="Times New Roman"/>
            <w:szCs w:val="24"/>
            <w:lang w:val="en-US"/>
          </w:rPr>
          <w:t>https://doi.org/10.4314/ajlais.e35116</w:t>
        </w:r>
      </w:hyperlink>
      <w:r w:rsidRPr="001F182C">
        <w:rPr>
          <w:lang w:val="en-US"/>
        </w:rPr>
        <w:t>.</w:t>
      </w:r>
    </w:p>
    <w:p w:rsidR="0010704D" w:rsidRDefault="0010704D" w:rsidP="0010704D">
      <w:pPr>
        <w:ind w:left="720" w:hanging="720"/>
        <w:rPr>
          <w:lang w:val="en-US"/>
        </w:rPr>
      </w:pPr>
      <w:proofErr w:type="spellStart"/>
      <w:proofErr w:type="gramStart"/>
      <w:r w:rsidRPr="00BD18AC">
        <w:rPr>
          <w:lang w:val="en-US"/>
        </w:rPr>
        <w:t>Bofill</w:t>
      </w:r>
      <w:proofErr w:type="spellEnd"/>
      <w:r w:rsidRPr="00BD18AC">
        <w:rPr>
          <w:lang w:val="en-US"/>
        </w:rPr>
        <w:t xml:space="preserve">, M., </w:t>
      </w:r>
      <w:proofErr w:type="spellStart"/>
      <w:r w:rsidRPr="00BD18AC">
        <w:rPr>
          <w:lang w:val="en-US"/>
        </w:rPr>
        <w:t>Coll</w:t>
      </w:r>
      <w:proofErr w:type="spellEnd"/>
      <w:r w:rsidRPr="00BD18AC">
        <w:rPr>
          <w:lang w:val="en-US"/>
        </w:rPr>
        <w:t xml:space="preserve">, J., Garcia, M., </w:t>
      </w:r>
      <w:proofErr w:type="spellStart"/>
      <w:r w:rsidRPr="00BD18AC">
        <w:rPr>
          <w:lang w:val="en-US"/>
        </w:rPr>
        <w:t>Giráldez</w:t>
      </w:r>
      <w:proofErr w:type="spellEnd"/>
      <w:r w:rsidRPr="00BD18AC">
        <w:rPr>
          <w:lang w:val="en-US"/>
        </w:rPr>
        <w:t xml:space="preserve">-Cru, J., </w:t>
      </w:r>
      <w:proofErr w:type="spellStart"/>
      <w:r w:rsidRPr="00BD18AC">
        <w:rPr>
          <w:lang w:val="en-US"/>
        </w:rPr>
        <w:t>Pesant</w:t>
      </w:r>
      <w:proofErr w:type="spellEnd"/>
      <w:r w:rsidRPr="00BD18AC">
        <w:rPr>
          <w:lang w:val="en-US"/>
        </w:rPr>
        <w:t xml:space="preserve">, G., </w:t>
      </w:r>
      <w:proofErr w:type="spellStart"/>
      <w:r w:rsidRPr="00BD18AC">
        <w:rPr>
          <w:lang w:val="en-US"/>
        </w:rPr>
        <w:t>Suy</w:t>
      </w:r>
      <w:proofErr w:type="spellEnd"/>
      <w:r w:rsidRPr="00BD18AC">
        <w:rPr>
          <w:lang w:val="en-US"/>
        </w:rPr>
        <w:t xml:space="preserve">, J., &amp; </w:t>
      </w:r>
      <w:proofErr w:type="spellStart"/>
      <w:r w:rsidRPr="00BD18AC">
        <w:rPr>
          <w:lang w:val="en-US"/>
        </w:rPr>
        <w:t>Villaret</w:t>
      </w:r>
      <w:proofErr w:type="spellEnd"/>
      <w:r w:rsidRPr="00BD18AC">
        <w:rPr>
          <w:lang w:val="en-US"/>
        </w:rPr>
        <w:t>, M. (2022).</w:t>
      </w:r>
      <w:proofErr w:type="gramEnd"/>
      <w:r w:rsidRPr="00BD18AC">
        <w:rPr>
          <w:lang w:val="en-US"/>
        </w:rPr>
        <w:t xml:space="preserve"> </w:t>
      </w:r>
      <w:proofErr w:type="gramStart"/>
      <w:r w:rsidRPr="00BD18AC">
        <w:rPr>
          <w:lang w:val="en-US"/>
        </w:rPr>
        <w:t>Constraint Solving Approaches to the Business-to-Business Meeting Scheduling Problem.</w:t>
      </w:r>
      <w:proofErr w:type="gramEnd"/>
      <w:r w:rsidRPr="00BD18AC">
        <w:rPr>
          <w:lang w:val="en-US"/>
        </w:rPr>
        <w:t xml:space="preserve"> </w:t>
      </w:r>
      <w:r w:rsidRPr="00BD18AC">
        <w:rPr>
          <w:i/>
          <w:iCs/>
          <w:lang w:val="en-US"/>
        </w:rPr>
        <w:t>The Journal of Artificial Intelligence Research</w:t>
      </w:r>
      <w:r w:rsidRPr="00BD18AC">
        <w:rPr>
          <w:lang w:val="en-US"/>
        </w:rPr>
        <w:t xml:space="preserve">, </w:t>
      </w:r>
      <w:r w:rsidRPr="00BD18AC">
        <w:rPr>
          <w:i/>
          <w:iCs/>
          <w:lang w:val="en-US"/>
        </w:rPr>
        <w:t>74</w:t>
      </w:r>
      <w:r w:rsidRPr="00BD18AC">
        <w:rPr>
          <w:lang w:val="en-US"/>
        </w:rPr>
        <w:t xml:space="preserve">, 263–301. </w:t>
      </w:r>
      <w:hyperlink r:id="rId12" w:history="1">
        <w:r w:rsidRPr="003F6646">
          <w:rPr>
            <w:rStyle w:val="Hyperlink"/>
            <w:rFonts w:eastAsia="Times New Roman" w:cs="Times New Roman"/>
            <w:szCs w:val="24"/>
            <w:lang w:val="en-US"/>
          </w:rPr>
          <w:t>https://doi.org/10.1613/jair.1.12670</w:t>
        </w:r>
      </w:hyperlink>
    </w:p>
    <w:p w:rsidR="0010704D" w:rsidRDefault="0010704D" w:rsidP="0010704D">
      <w:pPr>
        <w:ind w:left="720" w:hanging="720"/>
        <w:rPr>
          <w:lang w:val="en-US"/>
        </w:rPr>
      </w:pPr>
      <w:proofErr w:type="spellStart"/>
      <w:r w:rsidRPr="00457164">
        <w:rPr>
          <w:lang w:val="en-US"/>
        </w:rPr>
        <w:t>Broeders</w:t>
      </w:r>
      <w:proofErr w:type="spellEnd"/>
      <w:r w:rsidRPr="00457164">
        <w:rPr>
          <w:lang w:val="en-US"/>
        </w:rPr>
        <w:t>, D. (2021) “Private active cyber defense and (international) cyber security—pushing the line</w:t>
      </w:r>
      <w:proofErr w:type="gramStart"/>
      <w:r w:rsidRPr="00457164">
        <w:rPr>
          <w:lang w:val="en-US"/>
        </w:rPr>
        <w:t>?,</w:t>
      </w:r>
      <w:proofErr w:type="gramEnd"/>
      <w:r w:rsidRPr="00457164">
        <w:rPr>
          <w:lang w:val="en-US"/>
        </w:rPr>
        <w:t xml:space="preserve">” </w:t>
      </w:r>
      <w:r w:rsidRPr="00457164">
        <w:rPr>
          <w:i/>
          <w:iCs/>
          <w:lang w:val="en-US"/>
        </w:rPr>
        <w:t>Journal of cybersecurity (Oxford)</w:t>
      </w:r>
      <w:r w:rsidRPr="00457164">
        <w:rPr>
          <w:lang w:val="en-US"/>
        </w:rPr>
        <w:t xml:space="preserve">, 7(1). Available at: </w:t>
      </w:r>
      <w:hyperlink r:id="rId13" w:history="1">
        <w:r w:rsidRPr="003F6646">
          <w:rPr>
            <w:rStyle w:val="Hyperlink"/>
            <w:rFonts w:eastAsia="Times New Roman" w:cs="Times New Roman"/>
            <w:szCs w:val="24"/>
            <w:lang w:val="en-US"/>
          </w:rPr>
          <w:t>https://doi.org/10.1093/cybsec/tyab010</w:t>
        </w:r>
      </w:hyperlink>
      <w:r w:rsidRPr="00457164">
        <w:rPr>
          <w:lang w:val="en-US"/>
        </w:rPr>
        <w:t>.</w:t>
      </w:r>
    </w:p>
    <w:p w:rsidR="0010704D" w:rsidRDefault="0010704D" w:rsidP="0010704D">
      <w:pPr>
        <w:ind w:left="720" w:hanging="720"/>
        <w:rPr>
          <w:lang w:val="en-US"/>
        </w:rPr>
      </w:pPr>
      <w:r w:rsidRPr="00A73658">
        <w:rPr>
          <w:lang w:val="en-US"/>
        </w:rPr>
        <w:t xml:space="preserve">Cartwright, A., Cartwright, E. and </w:t>
      </w:r>
      <w:proofErr w:type="spellStart"/>
      <w:r w:rsidRPr="00A73658">
        <w:rPr>
          <w:lang w:val="en-US"/>
        </w:rPr>
        <w:t>Edun</w:t>
      </w:r>
      <w:proofErr w:type="spellEnd"/>
      <w:r w:rsidRPr="00A73658">
        <w:rPr>
          <w:lang w:val="en-US"/>
        </w:rPr>
        <w:t xml:space="preserve">, E.S. (2023) “Cascading information on best practice: Cyber security risk management in UK micro and small businesses and the role of IT companies,” </w:t>
      </w:r>
      <w:r w:rsidRPr="00A73658">
        <w:rPr>
          <w:i/>
          <w:iCs/>
          <w:lang w:val="en-US"/>
        </w:rPr>
        <w:t>Computers &amp; security</w:t>
      </w:r>
      <w:r w:rsidRPr="00A73658">
        <w:rPr>
          <w:lang w:val="en-US"/>
        </w:rPr>
        <w:t xml:space="preserve">, 131. Available at: </w:t>
      </w:r>
      <w:hyperlink r:id="rId14" w:history="1">
        <w:r w:rsidRPr="003F6646">
          <w:rPr>
            <w:rStyle w:val="Hyperlink"/>
            <w:rFonts w:eastAsia="Times New Roman" w:cs="Times New Roman"/>
            <w:szCs w:val="24"/>
            <w:lang w:val="en-US"/>
          </w:rPr>
          <w:t>https://doi.org/10.1016/j.cose.2023.103288</w:t>
        </w:r>
      </w:hyperlink>
      <w:r w:rsidRPr="00A73658">
        <w:rPr>
          <w:lang w:val="en-US"/>
        </w:rPr>
        <w:t>.</w:t>
      </w:r>
    </w:p>
    <w:p w:rsidR="0010704D" w:rsidRPr="0010704D" w:rsidRDefault="0010704D" w:rsidP="0010704D">
      <w:pPr>
        <w:ind w:left="720" w:hanging="720"/>
        <w:rPr>
          <w:lang w:val="en-US"/>
        </w:rPr>
      </w:pPr>
      <w:proofErr w:type="gramStart"/>
      <w:r w:rsidRPr="0010704D">
        <w:rPr>
          <w:lang w:val="en-US"/>
        </w:rPr>
        <w:t xml:space="preserve">Caruso, S. </w:t>
      </w:r>
      <w:proofErr w:type="spellStart"/>
      <w:r w:rsidRPr="0010704D">
        <w:t>Bruccoleri</w:t>
      </w:r>
      <w:proofErr w:type="spellEnd"/>
      <w:r w:rsidRPr="0010704D">
        <w:t xml:space="preserve">, M., </w:t>
      </w:r>
      <w:proofErr w:type="spellStart"/>
      <w:r w:rsidRPr="0010704D">
        <w:t>Pietrosi</w:t>
      </w:r>
      <w:proofErr w:type="spellEnd"/>
      <w:r w:rsidRPr="0010704D">
        <w:t xml:space="preserve">, A., and </w:t>
      </w:r>
      <w:proofErr w:type="spellStart"/>
      <w:r w:rsidRPr="0010704D">
        <w:t>Scaccianoce</w:t>
      </w:r>
      <w:proofErr w:type="spellEnd"/>
      <w:r w:rsidRPr="0010704D">
        <w:t>, A.</w:t>
      </w:r>
      <w:proofErr w:type="gramEnd"/>
      <w:r>
        <w:rPr>
          <w:rFonts w:ascii="Helvetica" w:hAnsi="Helvetica"/>
          <w:color w:val="3A3A3A"/>
          <w:sz w:val="23"/>
          <w:szCs w:val="23"/>
          <w:shd w:val="clear" w:color="auto" w:fill="FFFFFF"/>
        </w:rPr>
        <w:t> </w:t>
      </w:r>
      <w:r w:rsidRPr="0010704D">
        <w:rPr>
          <w:lang w:val="en-US"/>
        </w:rPr>
        <w:t xml:space="preserve"> (2023) “Artificial intelligence to counteract ‘KPI overload’ in business process monitoring: the case of anti-corruption in public organizations,” </w:t>
      </w:r>
      <w:r w:rsidRPr="0010704D">
        <w:rPr>
          <w:i/>
          <w:iCs/>
          <w:lang w:val="en-US"/>
        </w:rPr>
        <w:t>Business process management journal</w:t>
      </w:r>
      <w:r w:rsidRPr="0010704D">
        <w:rPr>
          <w:lang w:val="en-US"/>
        </w:rPr>
        <w:t xml:space="preserve">, 29(4), pp. 1227–1248. Available at: </w:t>
      </w:r>
      <w:hyperlink r:id="rId15" w:history="1">
        <w:r w:rsidRPr="003F6646">
          <w:rPr>
            <w:rStyle w:val="Hyperlink"/>
            <w:rFonts w:eastAsia="Times New Roman" w:cs="Times New Roman"/>
            <w:szCs w:val="24"/>
            <w:lang w:val="en-US"/>
          </w:rPr>
          <w:t>https://doi.org/10.1108/BPMJ-11-2022-0578</w:t>
        </w:r>
      </w:hyperlink>
      <w:r w:rsidRPr="0010704D">
        <w:rPr>
          <w:lang w:val="en-US"/>
        </w:rPr>
        <w:t>.</w:t>
      </w:r>
    </w:p>
    <w:p w:rsidR="0010704D" w:rsidRPr="0010704D" w:rsidRDefault="0010704D" w:rsidP="0010704D">
      <w:pPr>
        <w:ind w:left="720" w:hanging="720"/>
        <w:rPr>
          <w:lang w:val="en-US"/>
        </w:rPr>
      </w:pPr>
      <w:r w:rsidRPr="004F73C5">
        <w:rPr>
          <w:lang w:val="en-US"/>
        </w:rPr>
        <w:t xml:space="preserve">Chow, V. (2022) “In the News: US Companies Cybersecurity; Private Pension Launch; and Landmark Futures Law,” </w:t>
      </w:r>
      <w:r w:rsidRPr="004F73C5">
        <w:rPr>
          <w:i/>
          <w:iCs/>
          <w:lang w:val="en-US"/>
        </w:rPr>
        <w:t>China Law &amp; Practice</w:t>
      </w:r>
      <w:r w:rsidRPr="004F73C5">
        <w:rPr>
          <w:lang w:val="en-US"/>
        </w:rPr>
        <w:t xml:space="preserve"> [Preprint].</w:t>
      </w:r>
    </w:p>
    <w:p w:rsidR="0010704D" w:rsidRDefault="0010704D" w:rsidP="0010704D">
      <w:pPr>
        <w:ind w:left="720" w:hanging="720"/>
        <w:rPr>
          <w:lang w:val="en-US"/>
        </w:rPr>
      </w:pPr>
      <w:r w:rsidRPr="00457164">
        <w:rPr>
          <w:lang w:val="en-US"/>
        </w:rPr>
        <w:t xml:space="preserve">Cremer, F. </w:t>
      </w:r>
      <w:r w:rsidRPr="0010704D">
        <w:t xml:space="preserve">Sheehan, B., </w:t>
      </w:r>
      <w:proofErr w:type="spellStart"/>
      <w:r w:rsidRPr="0010704D">
        <w:t>Fortmann</w:t>
      </w:r>
      <w:proofErr w:type="spellEnd"/>
      <w:r w:rsidRPr="0010704D">
        <w:t xml:space="preserve">, M., Kia, A. N., Mullins, M., Murphy, F., and </w:t>
      </w:r>
      <w:proofErr w:type="spellStart"/>
      <w:r w:rsidRPr="0010704D">
        <w:t>Materne</w:t>
      </w:r>
      <w:proofErr w:type="spellEnd"/>
      <w:r w:rsidRPr="0010704D">
        <w:t>, S.</w:t>
      </w:r>
      <w:r w:rsidRPr="00457164">
        <w:rPr>
          <w:lang w:val="en-US"/>
        </w:rPr>
        <w:t xml:space="preserve"> (2022) “Cyber risk and cybersecurity: a systematic review of data availability,” </w:t>
      </w:r>
      <w:r w:rsidRPr="00457164">
        <w:rPr>
          <w:i/>
          <w:iCs/>
          <w:lang w:val="en-US"/>
        </w:rPr>
        <w:t xml:space="preserve">Geneva papers on risk and insurance. </w:t>
      </w:r>
      <w:proofErr w:type="gramStart"/>
      <w:r w:rsidRPr="00457164">
        <w:rPr>
          <w:i/>
          <w:iCs/>
          <w:lang w:val="en-US"/>
        </w:rPr>
        <w:t>Issues and practice</w:t>
      </w:r>
      <w:r w:rsidRPr="00457164">
        <w:rPr>
          <w:lang w:val="en-US"/>
        </w:rPr>
        <w:t>, 47(3), pp. 698–735.</w:t>
      </w:r>
      <w:proofErr w:type="gramEnd"/>
      <w:r w:rsidRPr="00457164">
        <w:rPr>
          <w:lang w:val="en-US"/>
        </w:rPr>
        <w:t xml:space="preserve"> Available at: </w:t>
      </w:r>
      <w:hyperlink r:id="rId16" w:history="1">
        <w:r w:rsidRPr="003F6646">
          <w:rPr>
            <w:rStyle w:val="Hyperlink"/>
            <w:rFonts w:eastAsia="Times New Roman" w:cs="Times New Roman"/>
            <w:szCs w:val="24"/>
            <w:lang w:val="en-US"/>
          </w:rPr>
          <w:t>https://doi.org/10.1057/s41288-022-00266-6</w:t>
        </w:r>
      </w:hyperlink>
      <w:r w:rsidRPr="00457164">
        <w:rPr>
          <w:lang w:val="en-US"/>
        </w:rPr>
        <w:t>.</w:t>
      </w:r>
    </w:p>
    <w:p w:rsidR="0010704D" w:rsidRDefault="0010704D" w:rsidP="0010704D">
      <w:pPr>
        <w:ind w:left="720" w:hanging="720"/>
        <w:rPr>
          <w:lang w:val="en-US"/>
        </w:rPr>
      </w:pPr>
      <w:proofErr w:type="spellStart"/>
      <w:r w:rsidRPr="00A73658">
        <w:rPr>
          <w:lang w:val="en-US"/>
        </w:rPr>
        <w:lastRenderedPageBreak/>
        <w:t>Eijkelenboom</w:t>
      </w:r>
      <w:proofErr w:type="spellEnd"/>
      <w:r w:rsidRPr="00A73658">
        <w:rPr>
          <w:lang w:val="en-US"/>
        </w:rPr>
        <w:t xml:space="preserve">, E.V.A. and </w:t>
      </w:r>
      <w:proofErr w:type="spellStart"/>
      <w:r w:rsidRPr="00A73658">
        <w:rPr>
          <w:lang w:val="en-US"/>
        </w:rPr>
        <w:t>Nieuwesteeg</w:t>
      </w:r>
      <w:proofErr w:type="spellEnd"/>
      <w:r w:rsidRPr="00A73658">
        <w:rPr>
          <w:lang w:val="en-US"/>
        </w:rPr>
        <w:t xml:space="preserve">, B.F.H. (2021) “An analysis of cybersecurity in Dutch annual reports of listed companies,” </w:t>
      </w:r>
      <w:r w:rsidRPr="00A73658">
        <w:rPr>
          <w:i/>
          <w:iCs/>
          <w:lang w:val="en-US"/>
        </w:rPr>
        <w:t>Computer law &amp; security review</w:t>
      </w:r>
      <w:r w:rsidRPr="00A73658">
        <w:rPr>
          <w:lang w:val="en-US"/>
        </w:rPr>
        <w:t xml:space="preserve">, 40. Available at: </w:t>
      </w:r>
      <w:hyperlink r:id="rId17" w:history="1">
        <w:r w:rsidRPr="003F6646">
          <w:rPr>
            <w:rStyle w:val="Hyperlink"/>
            <w:rFonts w:eastAsia="Times New Roman" w:cs="Times New Roman"/>
            <w:szCs w:val="24"/>
            <w:lang w:val="en-US"/>
          </w:rPr>
          <w:t>https://doi.org/10.1016/j.clsr.2020.105513</w:t>
        </w:r>
      </w:hyperlink>
      <w:r w:rsidRPr="00A73658">
        <w:rPr>
          <w:lang w:val="en-US"/>
        </w:rPr>
        <w:t>.</w:t>
      </w:r>
    </w:p>
    <w:p w:rsidR="0010704D" w:rsidRDefault="0010704D" w:rsidP="0010704D">
      <w:pPr>
        <w:ind w:left="720" w:hanging="720"/>
        <w:rPr>
          <w:lang w:val="en-US"/>
        </w:rPr>
      </w:pPr>
      <w:r w:rsidRPr="004F73C5">
        <w:rPr>
          <w:lang w:val="en-US"/>
        </w:rPr>
        <w:t xml:space="preserve">Engineering, M.P. in (2023) “Retracted: Development of Internet Supply Chain Finance Based on Artificial Intelligence under the Enterprise Green Business Model,” </w:t>
      </w:r>
      <w:r w:rsidRPr="004F73C5">
        <w:rPr>
          <w:i/>
          <w:iCs/>
          <w:lang w:val="en-US"/>
        </w:rPr>
        <w:t>Mathematical problems in engineering</w:t>
      </w:r>
      <w:r w:rsidRPr="004F73C5">
        <w:rPr>
          <w:lang w:val="en-US"/>
        </w:rPr>
        <w:t xml:space="preserve">, 2023(1). Available at: </w:t>
      </w:r>
      <w:hyperlink r:id="rId18" w:history="1">
        <w:r w:rsidRPr="003F6646">
          <w:rPr>
            <w:rStyle w:val="Hyperlink"/>
            <w:rFonts w:eastAsia="Times New Roman" w:cs="Times New Roman"/>
            <w:szCs w:val="24"/>
            <w:lang w:val="en-US"/>
          </w:rPr>
          <w:t>https://doi.org/10.1155/2023/9856063</w:t>
        </w:r>
      </w:hyperlink>
      <w:r>
        <w:rPr>
          <w:lang w:val="en-US"/>
        </w:rPr>
        <w:t>.</w:t>
      </w:r>
    </w:p>
    <w:p w:rsidR="0010704D" w:rsidRDefault="0010704D" w:rsidP="0010704D">
      <w:pPr>
        <w:ind w:left="720" w:hanging="720"/>
        <w:rPr>
          <w:lang w:val="en-US"/>
        </w:rPr>
      </w:pPr>
      <w:proofErr w:type="spellStart"/>
      <w:r w:rsidRPr="00BD18AC">
        <w:rPr>
          <w:lang w:val="en-US"/>
        </w:rPr>
        <w:t>Hennighausen</w:t>
      </w:r>
      <w:proofErr w:type="spellEnd"/>
      <w:r w:rsidRPr="00BD18AC">
        <w:rPr>
          <w:lang w:val="en-US"/>
        </w:rPr>
        <w:t xml:space="preserve">, C., </w:t>
      </w:r>
      <w:proofErr w:type="spellStart"/>
      <w:r w:rsidRPr="00BD18AC">
        <w:rPr>
          <w:lang w:val="en-US"/>
        </w:rPr>
        <w:t>Yarza</w:t>
      </w:r>
      <w:proofErr w:type="spellEnd"/>
      <w:r w:rsidRPr="00BD18AC">
        <w:rPr>
          <w:lang w:val="en-US"/>
        </w:rPr>
        <w:t xml:space="preserve"> Navarro‐</w:t>
      </w:r>
      <w:proofErr w:type="spellStart"/>
      <w:r w:rsidRPr="00BD18AC">
        <w:rPr>
          <w:lang w:val="en-US"/>
        </w:rPr>
        <w:t>Schär</w:t>
      </w:r>
      <w:proofErr w:type="spellEnd"/>
      <w:r w:rsidRPr="00BD18AC">
        <w:rPr>
          <w:lang w:val="en-US"/>
        </w:rPr>
        <w:t xml:space="preserve">, V.G. and Eller, E. (2025) “AI‐Mediated Communication in E‐Commerce: Implications for Customer Trust,” </w:t>
      </w:r>
      <w:r w:rsidRPr="00BD18AC">
        <w:rPr>
          <w:i/>
          <w:iCs/>
          <w:lang w:val="en-US"/>
        </w:rPr>
        <w:t>International journal of consumer studies</w:t>
      </w:r>
      <w:r w:rsidRPr="00BD18AC">
        <w:rPr>
          <w:lang w:val="en-US"/>
        </w:rPr>
        <w:t xml:space="preserve">, 49(5). Available at: </w:t>
      </w:r>
      <w:hyperlink r:id="rId19" w:history="1">
        <w:r w:rsidRPr="003F6646">
          <w:rPr>
            <w:rStyle w:val="Hyperlink"/>
            <w:rFonts w:eastAsia="Times New Roman" w:cs="Times New Roman"/>
            <w:szCs w:val="24"/>
            <w:lang w:val="en-US"/>
          </w:rPr>
          <w:t>https://doi.org/10.1111/ijcs.70111</w:t>
        </w:r>
      </w:hyperlink>
      <w:r w:rsidRPr="00BD18AC">
        <w:rPr>
          <w:lang w:val="en-US"/>
        </w:rPr>
        <w:t>.</w:t>
      </w:r>
    </w:p>
    <w:p w:rsidR="0010704D" w:rsidRPr="00885C77" w:rsidRDefault="0010704D" w:rsidP="0010704D">
      <w:pPr>
        <w:ind w:left="720" w:hanging="720"/>
      </w:pPr>
      <w:r w:rsidRPr="00885C77">
        <w:t xml:space="preserve">Hunt, W., Sarkar, S. and </w:t>
      </w:r>
      <w:proofErr w:type="spellStart"/>
      <w:r w:rsidRPr="00885C77">
        <w:t>Warhurst</w:t>
      </w:r>
      <w:proofErr w:type="spellEnd"/>
      <w:r w:rsidRPr="00885C77">
        <w:t xml:space="preserve">, C. (2022) “Measuring the impact of AI on jobs at the organization level: Lessons from a survey of UK business leaders,” </w:t>
      </w:r>
      <w:r w:rsidRPr="00644DC0">
        <w:rPr>
          <w:i/>
          <w:iCs/>
        </w:rPr>
        <w:t>Research policy</w:t>
      </w:r>
      <w:r w:rsidRPr="00885C77">
        <w:t xml:space="preserve">, 51(2). Available at: </w:t>
      </w:r>
      <w:hyperlink r:id="rId20" w:history="1">
        <w:r w:rsidRPr="00644DC0">
          <w:rPr>
            <w:rStyle w:val="Hyperlink"/>
            <w:rFonts w:eastAsia="Times New Roman" w:cs="Times New Roman"/>
            <w:szCs w:val="24"/>
          </w:rPr>
          <w:t>https://doi.org/10.1016/j.respol.2021.104425</w:t>
        </w:r>
      </w:hyperlink>
      <w:r w:rsidRPr="00885C77">
        <w:t>.</w:t>
      </w:r>
    </w:p>
    <w:p w:rsidR="0010704D" w:rsidRDefault="0010704D" w:rsidP="0010704D">
      <w:pPr>
        <w:ind w:left="720" w:hanging="720"/>
        <w:rPr>
          <w:lang w:val="en-US"/>
        </w:rPr>
      </w:pPr>
      <w:proofErr w:type="spellStart"/>
      <w:r w:rsidRPr="00211116">
        <w:rPr>
          <w:lang w:val="en-US"/>
        </w:rPr>
        <w:t>Iaia</w:t>
      </w:r>
      <w:proofErr w:type="spellEnd"/>
      <w:r w:rsidRPr="00211116">
        <w:rPr>
          <w:lang w:val="en-US"/>
        </w:rPr>
        <w:t xml:space="preserve">, L. </w:t>
      </w:r>
      <w:proofErr w:type="spellStart"/>
      <w:r w:rsidRPr="0010704D">
        <w:t>espoli</w:t>
      </w:r>
      <w:proofErr w:type="spellEnd"/>
      <w:r w:rsidRPr="0010704D">
        <w:t xml:space="preserve">, C., </w:t>
      </w:r>
      <w:proofErr w:type="spellStart"/>
      <w:r w:rsidRPr="0010704D">
        <w:t>Vicentini</w:t>
      </w:r>
      <w:proofErr w:type="spellEnd"/>
      <w:r w:rsidRPr="0010704D">
        <w:t xml:space="preserve">, F., </w:t>
      </w:r>
      <w:proofErr w:type="spellStart"/>
      <w:r w:rsidRPr="0010704D">
        <w:t>Pironti</w:t>
      </w:r>
      <w:proofErr w:type="spellEnd"/>
      <w:r w:rsidRPr="0010704D">
        <w:t xml:space="preserve">, M., and </w:t>
      </w:r>
      <w:proofErr w:type="spellStart"/>
      <w:r w:rsidRPr="0010704D">
        <w:t>Genovino</w:t>
      </w:r>
      <w:proofErr w:type="spellEnd"/>
      <w:r w:rsidRPr="0010704D">
        <w:t>, C.</w:t>
      </w:r>
      <w:r w:rsidRPr="00211116">
        <w:rPr>
          <w:lang w:val="en-US"/>
        </w:rPr>
        <w:t xml:space="preserve"> (2024) “Supporting the implementation of AI in business communication: the role of knowledge management,” </w:t>
      </w:r>
      <w:r w:rsidRPr="00211116">
        <w:rPr>
          <w:i/>
          <w:iCs/>
          <w:lang w:val="en-US"/>
        </w:rPr>
        <w:t>Journal of knowledge management</w:t>
      </w:r>
      <w:r w:rsidRPr="00211116">
        <w:rPr>
          <w:lang w:val="en-US"/>
        </w:rPr>
        <w:t xml:space="preserve">, 28(1), pp. 85–95. Available at: </w:t>
      </w:r>
      <w:hyperlink r:id="rId21" w:history="1">
        <w:r w:rsidRPr="003F6646">
          <w:rPr>
            <w:rStyle w:val="Hyperlink"/>
            <w:rFonts w:eastAsia="Times New Roman" w:cs="Times New Roman"/>
            <w:szCs w:val="24"/>
            <w:lang w:val="en-US"/>
          </w:rPr>
          <w:t>https://doi.org/10.1108/JKM-12-2022-0944</w:t>
        </w:r>
      </w:hyperlink>
      <w:r w:rsidRPr="00211116">
        <w:rPr>
          <w:lang w:val="en-US"/>
        </w:rPr>
        <w:t>.</w:t>
      </w:r>
    </w:p>
    <w:p w:rsidR="0010704D" w:rsidRDefault="0010704D" w:rsidP="0010704D">
      <w:pPr>
        <w:ind w:left="720" w:hanging="720"/>
        <w:rPr>
          <w:lang w:val="en-US"/>
        </w:rPr>
      </w:pPr>
      <w:proofErr w:type="spellStart"/>
      <w:r w:rsidRPr="001F182C">
        <w:rPr>
          <w:lang w:val="en-US"/>
        </w:rPr>
        <w:t>Jham</w:t>
      </w:r>
      <w:proofErr w:type="spellEnd"/>
      <w:r w:rsidRPr="001F182C">
        <w:rPr>
          <w:lang w:val="en-US"/>
        </w:rPr>
        <w:t xml:space="preserve">, V., Malhotra, G. and Sehgal, N. (2023) “Consumer-brand Relationships with AI Anthropomorphic Assistant: Role of Product Usage Barrier, Psychological Distance and Trust,” </w:t>
      </w:r>
      <w:r w:rsidRPr="001F182C">
        <w:rPr>
          <w:i/>
          <w:iCs/>
          <w:lang w:val="en-US"/>
        </w:rPr>
        <w:t>The International review of retail, distribution and consumer research</w:t>
      </w:r>
      <w:r w:rsidRPr="001F182C">
        <w:rPr>
          <w:lang w:val="en-US"/>
        </w:rPr>
        <w:t xml:space="preserve">, 33(2), pp. 117–133. Available at: </w:t>
      </w:r>
      <w:hyperlink r:id="rId22" w:history="1">
        <w:r w:rsidRPr="003F6646">
          <w:rPr>
            <w:rStyle w:val="Hyperlink"/>
            <w:rFonts w:eastAsia="Times New Roman" w:cs="Times New Roman"/>
            <w:szCs w:val="24"/>
            <w:lang w:val="en-US"/>
          </w:rPr>
          <w:t>https://doi.org/10.1080/09593969.2023.2178023</w:t>
        </w:r>
      </w:hyperlink>
      <w:r w:rsidRPr="001F182C">
        <w:rPr>
          <w:lang w:val="en-US"/>
        </w:rPr>
        <w:t>.</w:t>
      </w:r>
    </w:p>
    <w:p w:rsidR="0010704D" w:rsidRDefault="0010704D" w:rsidP="0010704D">
      <w:pPr>
        <w:ind w:left="720" w:hanging="720"/>
        <w:rPr>
          <w:lang w:val="en-US"/>
        </w:rPr>
      </w:pPr>
      <w:proofErr w:type="spellStart"/>
      <w:r w:rsidRPr="00570C90">
        <w:rPr>
          <w:lang w:val="en-US"/>
        </w:rPr>
        <w:t>Jingyi</w:t>
      </w:r>
      <w:proofErr w:type="spellEnd"/>
      <w:r w:rsidRPr="00570C90">
        <w:rPr>
          <w:lang w:val="en-US"/>
        </w:rPr>
        <w:t xml:space="preserve"> Zhang (2025) “Intellectual Property Rights Protection in International Investment: Legal Risks and Strategic Responses for Multinational Companies,” </w:t>
      </w:r>
      <w:r w:rsidRPr="00570C90">
        <w:rPr>
          <w:i/>
          <w:iCs/>
          <w:lang w:val="en-US"/>
        </w:rPr>
        <w:t>SCRIPT-</w:t>
      </w:r>
      <w:proofErr w:type="spellStart"/>
      <w:r w:rsidRPr="00570C90">
        <w:rPr>
          <w:i/>
          <w:iCs/>
          <w:lang w:val="en-US"/>
        </w:rPr>
        <w:t>ed</w:t>
      </w:r>
      <w:proofErr w:type="spellEnd"/>
      <w:r w:rsidRPr="00570C90">
        <w:rPr>
          <w:lang w:val="en-US"/>
        </w:rPr>
        <w:t xml:space="preserve">, 22(2), pp. 130–149. Available at: </w:t>
      </w:r>
      <w:hyperlink r:id="rId23" w:history="1">
        <w:r w:rsidRPr="003F6646">
          <w:rPr>
            <w:rStyle w:val="Hyperlink"/>
            <w:rFonts w:eastAsia="Times New Roman" w:cs="Times New Roman"/>
            <w:szCs w:val="24"/>
            <w:lang w:val="en-US"/>
          </w:rPr>
          <w:t>https://doi.org/10.2218/scrip.22.2.2025.12002</w:t>
        </w:r>
      </w:hyperlink>
      <w:r w:rsidRPr="00570C90">
        <w:rPr>
          <w:lang w:val="en-US"/>
        </w:rPr>
        <w:t>.</w:t>
      </w:r>
    </w:p>
    <w:p w:rsidR="0010704D" w:rsidRDefault="0010704D" w:rsidP="0010704D">
      <w:pPr>
        <w:ind w:left="720" w:hanging="720"/>
        <w:rPr>
          <w:lang w:val="en-US"/>
        </w:rPr>
      </w:pPr>
      <w:r w:rsidRPr="00211116">
        <w:rPr>
          <w:lang w:val="en-US"/>
        </w:rPr>
        <w:t xml:space="preserve">Johnson, G., Whittington, R., </w:t>
      </w:r>
      <w:proofErr w:type="spellStart"/>
      <w:r w:rsidRPr="00211116">
        <w:rPr>
          <w:lang w:val="en-US"/>
        </w:rPr>
        <w:t>Regner</w:t>
      </w:r>
      <w:proofErr w:type="spellEnd"/>
      <w:r w:rsidRPr="00211116">
        <w:rPr>
          <w:lang w:val="en-US"/>
        </w:rPr>
        <w:t xml:space="preserve">. P., Scholes, K and </w:t>
      </w:r>
      <w:proofErr w:type="spellStart"/>
      <w:r w:rsidRPr="00211116">
        <w:rPr>
          <w:lang w:val="en-US"/>
        </w:rPr>
        <w:t>Angwin</w:t>
      </w:r>
      <w:proofErr w:type="spellEnd"/>
      <w:r w:rsidRPr="00211116">
        <w:rPr>
          <w:lang w:val="en-US"/>
        </w:rPr>
        <w:t>, D. (2020) Exploring Strategy: Text &amp; Cases, 12th edition, Pearson</w:t>
      </w:r>
    </w:p>
    <w:p w:rsidR="0010704D" w:rsidRDefault="0010704D" w:rsidP="0010704D">
      <w:pPr>
        <w:ind w:left="720" w:hanging="720"/>
        <w:rPr>
          <w:lang w:val="en-US"/>
        </w:rPr>
      </w:pPr>
      <w:proofErr w:type="spellStart"/>
      <w:proofErr w:type="gramStart"/>
      <w:r w:rsidRPr="00CF0EE1">
        <w:rPr>
          <w:lang w:val="en-US"/>
        </w:rPr>
        <w:lastRenderedPageBreak/>
        <w:t>Kharisma</w:t>
      </w:r>
      <w:proofErr w:type="spellEnd"/>
      <w:r w:rsidRPr="00CF0EE1">
        <w:rPr>
          <w:lang w:val="en-US"/>
        </w:rPr>
        <w:t xml:space="preserve">, D.B. and </w:t>
      </w:r>
      <w:proofErr w:type="spellStart"/>
      <w:r w:rsidRPr="00CF0EE1">
        <w:rPr>
          <w:lang w:val="en-US"/>
        </w:rPr>
        <w:t>Hunaifa</w:t>
      </w:r>
      <w:proofErr w:type="spellEnd"/>
      <w:r w:rsidRPr="00CF0EE1">
        <w:rPr>
          <w:lang w:val="en-US"/>
        </w:rPr>
        <w:t xml:space="preserve">, A. (2023) “Comparative study of disgorgement and disgorgement fund regulations in Indonesia, the USA and the UK,” </w:t>
      </w:r>
      <w:r w:rsidRPr="00CF0EE1">
        <w:rPr>
          <w:i/>
          <w:iCs/>
          <w:lang w:val="en-US"/>
        </w:rPr>
        <w:t>Journal of financial crime</w:t>
      </w:r>
      <w:r w:rsidRPr="00CF0EE1">
        <w:rPr>
          <w:lang w:val="en-US"/>
        </w:rPr>
        <w:t>, 30(3), pp. 635–649.</w:t>
      </w:r>
      <w:proofErr w:type="gramEnd"/>
      <w:r w:rsidRPr="00CF0EE1">
        <w:rPr>
          <w:lang w:val="en-US"/>
        </w:rPr>
        <w:t xml:space="preserve"> Available at: </w:t>
      </w:r>
      <w:hyperlink r:id="rId24" w:history="1">
        <w:r w:rsidRPr="003F6646">
          <w:rPr>
            <w:rStyle w:val="Hyperlink"/>
            <w:rFonts w:eastAsia="Times New Roman" w:cs="Times New Roman"/>
            <w:szCs w:val="24"/>
            <w:lang w:val="en-US"/>
          </w:rPr>
          <w:t>https://doi.org/10.1108/JFC-01-2022-0022</w:t>
        </w:r>
      </w:hyperlink>
      <w:r w:rsidRPr="00CF0EE1">
        <w:rPr>
          <w:lang w:val="en-US"/>
        </w:rPr>
        <w:t>.</w:t>
      </w:r>
    </w:p>
    <w:p w:rsidR="0010704D" w:rsidRPr="00644DC0" w:rsidRDefault="0010704D" w:rsidP="0010704D">
      <w:pPr>
        <w:ind w:left="720" w:hanging="720"/>
        <w:rPr>
          <w:lang w:val="en-US"/>
        </w:rPr>
      </w:pPr>
      <w:r w:rsidRPr="00644DC0">
        <w:rPr>
          <w:lang w:val="en-US"/>
        </w:rPr>
        <w:t xml:space="preserve">Kim, N. and Lee, S. (2021) “Cybersecurity Breach and Crisis Response: An Analysis of Organizations’ Official Statements in the United States and South Korea,” </w:t>
      </w:r>
      <w:r w:rsidRPr="00644DC0">
        <w:rPr>
          <w:i/>
          <w:iCs/>
          <w:lang w:val="en-US"/>
        </w:rPr>
        <w:t>International journal of business communication (Thousand Oaks, Calif.)</w:t>
      </w:r>
      <w:r w:rsidRPr="00644DC0">
        <w:rPr>
          <w:lang w:val="en-US"/>
        </w:rPr>
        <w:t xml:space="preserve">, 58(4), pp. 560–581. Available at: </w:t>
      </w:r>
      <w:hyperlink r:id="rId25" w:history="1">
        <w:r w:rsidRPr="00644DC0">
          <w:rPr>
            <w:rStyle w:val="Hyperlink"/>
            <w:rFonts w:eastAsia="Times New Roman" w:cs="Times New Roman"/>
            <w:szCs w:val="24"/>
            <w:lang w:val="en-US"/>
          </w:rPr>
          <w:t>https://doi.org/10.1177/2329488418777037</w:t>
        </w:r>
      </w:hyperlink>
      <w:r w:rsidRPr="00644DC0">
        <w:rPr>
          <w:lang w:val="en-US"/>
        </w:rPr>
        <w:t>.</w:t>
      </w:r>
    </w:p>
    <w:p w:rsidR="0010704D" w:rsidRDefault="0010704D" w:rsidP="0010704D">
      <w:pPr>
        <w:ind w:left="720" w:hanging="720"/>
        <w:rPr>
          <w:lang w:val="en-US"/>
        </w:rPr>
      </w:pPr>
      <w:r w:rsidRPr="00570C90">
        <w:rPr>
          <w:lang w:val="en-US"/>
        </w:rPr>
        <w:t xml:space="preserve">Knudsen, J.S., </w:t>
      </w:r>
      <w:proofErr w:type="spellStart"/>
      <w:r w:rsidRPr="00570C90">
        <w:rPr>
          <w:lang w:val="en-US"/>
        </w:rPr>
        <w:t>Leitheiser</w:t>
      </w:r>
      <w:proofErr w:type="spellEnd"/>
      <w:r w:rsidRPr="00570C90">
        <w:rPr>
          <w:lang w:val="en-US"/>
        </w:rPr>
        <w:t xml:space="preserve">, E. and Moon, J. (2025) “Media portrayals of post-Rana Plaza CSR initiatives for worker safety: perspectives on legitimacy from Bangladesh, the UK and the USA,” </w:t>
      </w:r>
      <w:r w:rsidRPr="00570C90">
        <w:rPr>
          <w:i/>
          <w:iCs/>
          <w:lang w:val="en-US"/>
        </w:rPr>
        <w:t>Asian business &amp; management</w:t>
      </w:r>
      <w:r w:rsidRPr="00570C90">
        <w:rPr>
          <w:lang w:val="en-US"/>
        </w:rPr>
        <w:t xml:space="preserve">, 24(5), pp. 704–741. Available at: </w:t>
      </w:r>
      <w:hyperlink r:id="rId26" w:history="1">
        <w:r w:rsidRPr="003F6646">
          <w:rPr>
            <w:rStyle w:val="Hyperlink"/>
            <w:rFonts w:eastAsia="Times New Roman" w:cs="Times New Roman"/>
            <w:szCs w:val="24"/>
            <w:lang w:val="en-US"/>
          </w:rPr>
          <w:t>https://doi.org/10.1057/s41291-025-00312-w</w:t>
        </w:r>
      </w:hyperlink>
      <w:r w:rsidRPr="00570C90">
        <w:rPr>
          <w:lang w:val="en-US"/>
        </w:rPr>
        <w:t>.</w:t>
      </w:r>
    </w:p>
    <w:p w:rsidR="0010704D" w:rsidRDefault="0010704D" w:rsidP="0010704D">
      <w:pPr>
        <w:ind w:left="720" w:hanging="720"/>
        <w:rPr>
          <w:lang w:val="en-US"/>
        </w:rPr>
      </w:pPr>
      <w:proofErr w:type="gramStart"/>
      <w:r w:rsidRPr="00211116">
        <w:rPr>
          <w:lang w:val="en-US"/>
        </w:rPr>
        <w:t>Krugman, P. and Wells.</w:t>
      </w:r>
      <w:proofErr w:type="gramEnd"/>
      <w:r w:rsidRPr="00211116">
        <w:rPr>
          <w:lang w:val="en-US"/>
        </w:rPr>
        <w:t xml:space="preserve"> R. (2018): Economics. 4/E, Worth Publishers, United States of America.</w:t>
      </w:r>
    </w:p>
    <w:p w:rsidR="0010704D" w:rsidRDefault="0010704D" w:rsidP="0010704D">
      <w:pPr>
        <w:ind w:left="720" w:hanging="720"/>
        <w:rPr>
          <w:lang w:val="en-US"/>
        </w:rPr>
      </w:pPr>
      <w:proofErr w:type="spellStart"/>
      <w:proofErr w:type="gramStart"/>
      <w:r w:rsidRPr="001F182C">
        <w:rPr>
          <w:lang w:val="en-US"/>
        </w:rPr>
        <w:t>Loske</w:t>
      </w:r>
      <w:proofErr w:type="spellEnd"/>
      <w:r w:rsidRPr="001F182C">
        <w:rPr>
          <w:lang w:val="en-US"/>
        </w:rPr>
        <w:t xml:space="preserve">, D. and </w:t>
      </w:r>
      <w:proofErr w:type="spellStart"/>
      <w:r w:rsidRPr="001F182C">
        <w:rPr>
          <w:lang w:val="en-US"/>
        </w:rPr>
        <w:t>Klumpp</w:t>
      </w:r>
      <w:proofErr w:type="spellEnd"/>
      <w:r w:rsidRPr="001F182C">
        <w:rPr>
          <w:lang w:val="en-US"/>
        </w:rPr>
        <w:t>, M. (2021) “Intelligent and efficient?</w:t>
      </w:r>
      <w:proofErr w:type="gramEnd"/>
      <w:r w:rsidRPr="001F182C">
        <w:rPr>
          <w:lang w:val="en-US"/>
        </w:rPr>
        <w:t xml:space="preserve"> </w:t>
      </w:r>
      <w:proofErr w:type="gramStart"/>
      <w:r w:rsidRPr="001F182C">
        <w:rPr>
          <w:lang w:val="en-US"/>
        </w:rPr>
        <w:t xml:space="preserve">An empirical analysis of human–AI collaboration for truck drivers in retail logistics,” </w:t>
      </w:r>
      <w:r w:rsidRPr="001F182C">
        <w:rPr>
          <w:i/>
          <w:iCs/>
          <w:lang w:val="en-US"/>
        </w:rPr>
        <w:t>The international journal of logistics management</w:t>
      </w:r>
      <w:r w:rsidRPr="001F182C">
        <w:rPr>
          <w:lang w:val="en-US"/>
        </w:rPr>
        <w:t>, 32(4), pp. 1356–1383.</w:t>
      </w:r>
      <w:proofErr w:type="gramEnd"/>
      <w:r w:rsidRPr="001F182C">
        <w:rPr>
          <w:lang w:val="en-US"/>
        </w:rPr>
        <w:t xml:space="preserve"> Available at: </w:t>
      </w:r>
      <w:hyperlink r:id="rId27" w:history="1">
        <w:r w:rsidRPr="003F6646">
          <w:rPr>
            <w:rStyle w:val="Hyperlink"/>
            <w:rFonts w:eastAsia="Times New Roman" w:cs="Times New Roman"/>
            <w:szCs w:val="24"/>
            <w:lang w:val="en-US"/>
          </w:rPr>
          <w:t>https://doi.org/10.1108/IJLM-03-2020-0149</w:t>
        </w:r>
      </w:hyperlink>
      <w:r w:rsidRPr="001F182C">
        <w:rPr>
          <w:lang w:val="en-US"/>
        </w:rPr>
        <w:t>.</w:t>
      </w:r>
    </w:p>
    <w:p w:rsidR="0010704D" w:rsidRDefault="0010704D" w:rsidP="0010704D">
      <w:pPr>
        <w:ind w:left="720" w:hanging="720"/>
        <w:rPr>
          <w:lang w:val="en-US"/>
        </w:rPr>
      </w:pPr>
      <w:proofErr w:type="gramStart"/>
      <w:r w:rsidRPr="004F73C5">
        <w:rPr>
          <w:lang w:val="en-US"/>
        </w:rPr>
        <w:t xml:space="preserve">Lu, B. (2022) “Analysis on Innovation Path of Business Administration Based on Artificial Intelligence,” </w:t>
      </w:r>
      <w:r w:rsidRPr="004F73C5">
        <w:rPr>
          <w:i/>
          <w:iCs/>
          <w:lang w:val="en-US"/>
        </w:rPr>
        <w:t>Mathematical problems in engineering</w:t>
      </w:r>
      <w:r w:rsidRPr="004F73C5">
        <w:rPr>
          <w:lang w:val="en-US"/>
        </w:rPr>
        <w:t>.</w:t>
      </w:r>
      <w:proofErr w:type="gramEnd"/>
      <w:r w:rsidRPr="004F73C5">
        <w:rPr>
          <w:lang w:val="en-US"/>
        </w:rPr>
        <w:t xml:space="preserve"> </w:t>
      </w:r>
      <w:proofErr w:type="gramStart"/>
      <w:r w:rsidRPr="004F73C5">
        <w:rPr>
          <w:lang w:val="en-US"/>
        </w:rPr>
        <w:t>Edited by H. Jing, 2022, pp. 1–7.</w:t>
      </w:r>
      <w:proofErr w:type="gramEnd"/>
      <w:r w:rsidRPr="004F73C5">
        <w:rPr>
          <w:lang w:val="en-US"/>
        </w:rPr>
        <w:t xml:space="preserve"> Available at: </w:t>
      </w:r>
      <w:hyperlink r:id="rId28" w:history="1">
        <w:r w:rsidRPr="003F6646">
          <w:rPr>
            <w:rStyle w:val="Hyperlink"/>
            <w:rFonts w:eastAsia="Times New Roman" w:cs="Times New Roman"/>
            <w:szCs w:val="24"/>
            <w:lang w:val="en-US"/>
          </w:rPr>
          <w:t>https://doi.org/10.1155/2022/6790836</w:t>
        </w:r>
      </w:hyperlink>
      <w:r w:rsidRPr="004F73C5">
        <w:rPr>
          <w:lang w:val="en-US"/>
        </w:rPr>
        <w:t>.</w:t>
      </w:r>
    </w:p>
    <w:p w:rsidR="0010704D" w:rsidRDefault="0010704D" w:rsidP="0010704D">
      <w:pPr>
        <w:ind w:left="720" w:hanging="720"/>
        <w:rPr>
          <w:lang w:val="en-US"/>
        </w:rPr>
      </w:pPr>
      <w:proofErr w:type="spellStart"/>
      <w:proofErr w:type="gramStart"/>
      <w:r w:rsidRPr="00570C90">
        <w:rPr>
          <w:lang w:val="en-US"/>
        </w:rPr>
        <w:t>Manikyamba</w:t>
      </w:r>
      <w:proofErr w:type="spellEnd"/>
      <w:r w:rsidRPr="00570C90">
        <w:rPr>
          <w:lang w:val="en-US"/>
        </w:rPr>
        <w:t xml:space="preserve">, K., Yadav, R.P. and </w:t>
      </w:r>
      <w:proofErr w:type="spellStart"/>
      <w:r w:rsidRPr="00570C90">
        <w:rPr>
          <w:lang w:val="en-US"/>
        </w:rPr>
        <w:t>Tyagi</w:t>
      </w:r>
      <w:proofErr w:type="spellEnd"/>
      <w:r w:rsidRPr="00570C90">
        <w:rPr>
          <w:lang w:val="en-US"/>
        </w:rPr>
        <w:t xml:space="preserve">, A. (2022) “Analysis of insolvency laws of India, Australia, Canada USA, and UK,” </w:t>
      </w:r>
      <w:r w:rsidRPr="00570C90">
        <w:rPr>
          <w:i/>
          <w:iCs/>
          <w:lang w:val="en-US"/>
        </w:rPr>
        <w:t>SN Business &amp; Economics</w:t>
      </w:r>
      <w:r w:rsidRPr="00570C90">
        <w:rPr>
          <w:lang w:val="en-US"/>
        </w:rPr>
        <w:t>, 2(10).</w:t>
      </w:r>
      <w:proofErr w:type="gramEnd"/>
      <w:r w:rsidRPr="00570C90">
        <w:rPr>
          <w:lang w:val="en-US"/>
        </w:rPr>
        <w:t xml:space="preserve"> Available at: </w:t>
      </w:r>
      <w:hyperlink r:id="rId29" w:history="1">
        <w:r w:rsidRPr="003F6646">
          <w:rPr>
            <w:rStyle w:val="Hyperlink"/>
            <w:rFonts w:eastAsia="Times New Roman" w:cs="Times New Roman"/>
            <w:szCs w:val="24"/>
            <w:lang w:val="en-US"/>
          </w:rPr>
          <w:t>https://doi.org/10.1007/s43546-022-00323-1</w:t>
        </w:r>
      </w:hyperlink>
      <w:r w:rsidRPr="00570C90">
        <w:rPr>
          <w:lang w:val="en-US"/>
        </w:rPr>
        <w:t>.</w:t>
      </w:r>
    </w:p>
    <w:p w:rsidR="0010704D" w:rsidRDefault="0010704D" w:rsidP="0010704D">
      <w:pPr>
        <w:ind w:left="720" w:hanging="720"/>
        <w:rPr>
          <w:lang w:val="en-US"/>
        </w:rPr>
      </w:pPr>
      <w:proofErr w:type="spellStart"/>
      <w:r w:rsidRPr="00CF0EE1">
        <w:rPr>
          <w:lang w:val="en-US"/>
        </w:rPr>
        <w:t>Mojtaba</w:t>
      </w:r>
      <w:proofErr w:type="spellEnd"/>
      <w:r w:rsidRPr="00CF0EE1">
        <w:rPr>
          <w:lang w:val="en-US"/>
        </w:rPr>
        <w:t xml:space="preserve"> </w:t>
      </w:r>
      <w:proofErr w:type="spellStart"/>
      <w:r w:rsidRPr="00CF0EE1">
        <w:rPr>
          <w:lang w:val="en-US"/>
        </w:rPr>
        <w:t>Norozi</w:t>
      </w:r>
      <w:proofErr w:type="spellEnd"/>
      <w:r w:rsidRPr="00CF0EE1">
        <w:rPr>
          <w:lang w:val="en-US"/>
        </w:rPr>
        <w:t xml:space="preserve">, </w:t>
      </w:r>
      <w:proofErr w:type="spellStart"/>
      <w:r w:rsidRPr="00CF0EE1">
        <w:rPr>
          <w:lang w:val="en-US"/>
        </w:rPr>
        <w:t>Morteza</w:t>
      </w:r>
      <w:proofErr w:type="spellEnd"/>
      <w:r w:rsidRPr="00CF0EE1">
        <w:rPr>
          <w:lang w:val="en-US"/>
        </w:rPr>
        <w:t xml:space="preserve"> </w:t>
      </w:r>
      <w:proofErr w:type="spellStart"/>
      <w:r w:rsidRPr="00CF0EE1">
        <w:rPr>
          <w:lang w:val="en-US"/>
        </w:rPr>
        <w:t>Piri</w:t>
      </w:r>
      <w:proofErr w:type="spellEnd"/>
      <w:r w:rsidRPr="00CF0EE1">
        <w:rPr>
          <w:lang w:val="en-US"/>
        </w:rPr>
        <w:t xml:space="preserve"> and </w:t>
      </w:r>
      <w:proofErr w:type="spellStart"/>
      <w:r w:rsidRPr="00CF0EE1">
        <w:rPr>
          <w:lang w:val="en-US"/>
        </w:rPr>
        <w:t>Mohamadreza</w:t>
      </w:r>
      <w:proofErr w:type="spellEnd"/>
      <w:r w:rsidRPr="00CF0EE1">
        <w:rPr>
          <w:lang w:val="en-US"/>
        </w:rPr>
        <w:t xml:space="preserve"> Zahedi (2026) “Evaluating Cybersecurity Risks in </w:t>
      </w:r>
      <w:proofErr w:type="spellStart"/>
      <w:r w:rsidRPr="00CF0EE1">
        <w:rPr>
          <w:lang w:val="en-US"/>
        </w:rPr>
        <w:t>IoT</w:t>
      </w:r>
      <w:proofErr w:type="spellEnd"/>
      <w:r w:rsidRPr="00CF0EE1">
        <w:rPr>
          <w:lang w:val="en-US"/>
        </w:rPr>
        <w:t xml:space="preserve">-Enabled Retail: A Hybrid Pythagorean Fuzzy-SWARA–ARTASI Approach,” </w:t>
      </w:r>
      <w:r w:rsidRPr="00CF0EE1">
        <w:rPr>
          <w:i/>
          <w:iCs/>
          <w:lang w:val="en-US"/>
        </w:rPr>
        <w:t>Industrial Management Journal</w:t>
      </w:r>
      <w:r w:rsidRPr="00CF0EE1">
        <w:rPr>
          <w:lang w:val="en-US"/>
        </w:rPr>
        <w:t xml:space="preserve">, 18(1), pp. 22–54. Available at: </w:t>
      </w:r>
      <w:hyperlink r:id="rId30" w:history="1">
        <w:r w:rsidRPr="003F6646">
          <w:rPr>
            <w:rStyle w:val="Hyperlink"/>
            <w:rFonts w:eastAsia="Times New Roman" w:cs="Times New Roman"/>
            <w:szCs w:val="24"/>
            <w:lang w:val="en-US"/>
          </w:rPr>
          <w:t>https://doi.org/10.22059/imj.2025.400267.1008259</w:t>
        </w:r>
      </w:hyperlink>
      <w:r w:rsidRPr="00CF0EE1">
        <w:rPr>
          <w:lang w:val="en-US"/>
        </w:rPr>
        <w:t>.</w:t>
      </w:r>
    </w:p>
    <w:p w:rsidR="0010704D" w:rsidRPr="00644DC0" w:rsidRDefault="0010704D" w:rsidP="0010704D">
      <w:pPr>
        <w:ind w:left="720" w:hanging="720"/>
        <w:rPr>
          <w:lang w:val="en-US"/>
        </w:rPr>
      </w:pPr>
      <w:proofErr w:type="spellStart"/>
      <w:r w:rsidRPr="00644DC0">
        <w:rPr>
          <w:lang w:val="en-US"/>
        </w:rPr>
        <w:lastRenderedPageBreak/>
        <w:t>Molitor</w:t>
      </w:r>
      <w:proofErr w:type="spellEnd"/>
      <w:r w:rsidRPr="00644DC0">
        <w:rPr>
          <w:lang w:val="en-US"/>
        </w:rPr>
        <w:t xml:space="preserve">, D. </w:t>
      </w:r>
      <w:proofErr w:type="spellStart"/>
      <w:r w:rsidRPr="000962A5">
        <w:t>Raghupathi</w:t>
      </w:r>
      <w:proofErr w:type="spellEnd"/>
      <w:r w:rsidRPr="000962A5">
        <w:t xml:space="preserve">, W., </w:t>
      </w:r>
      <w:proofErr w:type="spellStart"/>
      <w:r w:rsidRPr="000962A5">
        <w:t>Saharia</w:t>
      </w:r>
      <w:proofErr w:type="spellEnd"/>
      <w:r w:rsidRPr="000962A5">
        <w:t xml:space="preserve">, A., and </w:t>
      </w:r>
      <w:proofErr w:type="spellStart"/>
      <w:r w:rsidRPr="000962A5">
        <w:t>Raghupathi</w:t>
      </w:r>
      <w:proofErr w:type="spellEnd"/>
      <w:r w:rsidRPr="000962A5">
        <w:t>, V</w:t>
      </w:r>
      <w:r w:rsidRPr="00644DC0">
        <w:rPr>
          <w:rFonts w:ascii="Helvetica" w:hAnsi="Helvetica" w:cs="Helvetica"/>
          <w:color w:val="3A3A3A"/>
          <w:sz w:val="23"/>
          <w:szCs w:val="23"/>
          <w:shd w:val="clear" w:color="auto" w:fill="FFFFFF"/>
        </w:rPr>
        <w:t>. </w:t>
      </w:r>
      <w:r w:rsidRPr="00644DC0">
        <w:rPr>
          <w:lang w:val="en-US"/>
        </w:rPr>
        <w:t xml:space="preserve"> (2023) “Exploring Key Issues in Cybersecurity Data Breaches: Analyzing Data Breach Litigation with ML-Based Text Analytics,” </w:t>
      </w:r>
      <w:r w:rsidRPr="00644DC0">
        <w:rPr>
          <w:i/>
          <w:iCs/>
          <w:lang w:val="en-US"/>
        </w:rPr>
        <w:t>Information (Basel)</w:t>
      </w:r>
      <w:r w:rsidRPr="00644DC0">
        <w:rPr>
          <w:lang w:val="en-US"/>
        </w:rPr>
        <w:t xml:space="preserve">, 14(11), p. 600. Available at: </w:t>
      </w:r>
      <w:hyperlink r:id="rId31" w:history="1">
        <w:r w:rsidRPr="00644DC0">
          <w:rPr>
            <w:rStyle w:val="Hyperlink"/>
            <w:rFonts w:eastAsia="Times New Roman" w:cs="Times New Roman"/>
            <w:szCs w:val="24"/>
            <w:lang w:val="en-US"/>
          </w:rPr>
          <w:t>https://doi.org/10.3390/info14110600</w:t>
        </w:r>
      </w:hyperlink>
      <w:r w:rsidRPr="00644DC0">
        <w:rPr>
          <w:lang w:val="en-US"/>
        </w:rPr>
        <w:t>.</w:t>
      </w:r>
    </w:p>
    <w:p w:rsidR="0010704D" w:rsidRDefault="0010704D" w:rsidP="0010704D">
      <w:pPr>
        <w:ind w:left="720" w:hanging="720"/>
        <w:rPr>
          <w:lang w:val="en-US"/>
        </w:rPr>
      </w:pPr>
      <w:proofErr w:type="spellStart"/>
      <w:r w:rsidRPr="001F182C">
        <w:rPr>
          <w:lang w:val="en-US"/>
        </w:rPr>
        <w:t>Mouloudj</w:t>
      </w:r>
      <w:proofErr w:type="spellEnd"/>
      <w:r w:rsidRPr="001F182C">
        <w:rPr>
          <w:lang w:val="en-US"/>
        </w:rPr>
        <w:t xml:space="preserve">, K. </w:t>
      </w:r>
      <w:proofErr w:type="spellStart"/>
      <w:r w:rsidRPr="0010704D">
        <w:t>Amoriello</w:t>
      </w:r>
      <w:proofErr w:type="spellEnd"/>
      <w:r w:rsidRPr="0010704D">
        <w:t xml:space="preserve">, T., </w:t>
      </w:r>
      <w:proofErr w:type="spellStart"/>
      <w:r w:rsidRPr="0010704D">
        <w:t>Almokdad</w:t>
      </w:r>
      <w:proofErr w:type="spellEnd"/>
      <w:r w:rsidRPr="0010704D">
        <w:t xml:space="preserve">, E., </w:t>
      </w:r>
      <w:proofErr w:type="spellStart"/>
      <w:r w:rsidRPr="0010704D">
        <w:t>Abduljalil</w:t>
      </w:r>
      <w:proofErr w:type="spellEnd"/>
      <w:r w:rsidRPr="0010704D">
        <w:t xml:space="preserve"> </w:t>
      </w:r>
      <w:proofErr w:type="spellStart"/>
      <w:r w:rsidRPr="0010704D">
        <w:t>Majeed</w:t>
      </w:r>
      <w:proofErr w:type="spellEnd"/>
      <w:r w:rsidRPr="0010704D">
        <w:t xml:space="preserve"> Al-Hassan, R., </w:t>
      </w:r>
      <w:proofErr w:type="spellStart"/>
      <w:r w:rsidRPr="0010704D">
        <w:t>Bouarar</w:t>
      </w:r>
      <w:proofErr w:type="spellEnd"/>
      <w:r w:rsidRPr="0010704D">
        <w:t xml:space="preserve">, A. C., and </w:t>
      </w:r>
      <w:proofErr w:type="spellStart"/>
      <w:r w:rsidRPr="0010704D">
        <w:t>Mouloudj</w:t>
      </w:r>
      <w:proofErr w:type="spellEnd"/>
      <w:r w:rsidRPr="0010704D">
        <w:t>, S.</w:t>
      </w:r>
      <w:r w:rsidRPr="001F182C">
        <w:rPr>
          <w:lang w:val="en-US"/>
        </w:rPr>
        <w:t xml:space="preserve"> (2026) “Understanding Retailers’ Intentions to Use AI for Product Waste Reduction in Grocery Supply Chains: Extending the Technology Acceptance Model,” </w:t>
      </w:r>
      <w:r w:rsidRPr="001F182C">
        <w:rPr>
          <w:i/>
          <w:iCs/>
          <w:lang w:val="en-US"/>
        </w:rPr>
        <w:t>Sustainability</w:t>
      </w:r>
      <w:r w:rsidRPr="001F182C">
        <w:rPr>
          <w:lang w:val="en-US"/>
        </w:rPr>
        <w:t xml:space="preserve">, 18(6), p. 2768. Available at: </w:t>
      </w:r>
      <w:hyperlink r:id="rId32" w:history="1">
        <w:r w:rsidRPr="003F6646">
          <w:rPr>
            <w:rStyle w:val="Hyperlink"/>
            <w:rFonts w:eastAsia="Times New Roman" w:cs="Times New Roman"/>
            <w:szCs w:val="24"/>
            <w:lang w:val="en-US"/>
          </w:rPr>
          <w:t>https://doi.org/10.3390/su18062768</w:t>
        </w:r>
      </w:hyperlink>
      <w:r w:rsidRPr="001F182C">
        <w:rPr>
          <w:lang w:val="en-US"/>
        </w:rPr>
        <w:t>.</w:t>
      </w:r>
    </w:p>
    <w:p w:rsidR="0010704D" w:rsidRDefault="0010704D" w:rsidP="0010704D">
      <w:pPr>
        <w:ind w:left="720" w:hanging="720"/>
        <w:rPr>
          <w:lang w:val="en-US"/>
        </w:rPr>
      </w:pPr>
      <w:proofErr w:type="spellStart"/>
      <w:r w:rsidRPr="00AA1730">
        <w:rPr>
          <w:lang w:val="en-US"/>
        </w:rPr>
        <w:t>Nong</w:t>
      </w:r>
      <w:proofErr w:type="spellEnd"/>
      <w:r w:rsidRPr="00AA1730">
        <w:rPr>
          <w:lang w:val="en-US"/>
        </w:rPr>
        <w:t xml:space="preserve">, H., Lin, Y. and Zhang, Q. (2025) “Cybersecurity policy and corporate R&amp;D investment,” </w:t>
      </w:r>
      <w:r w:rsidRPr="00AA1730">
        <w:rPr>
          <w:i/>
          <w:iCs/>
          <w:lang w:val="en-US"/>
        </w:rPr>
        <w:t>Finance research letters</w:t>
      </w:r>
      <w:r w:rsidRPr="00AA1730">
        <w:rPr>
          <w:lang w:val="en-US"/>
        </w:rPr>
        <w:t xml:space="preserve">, 75. Available at: </w:t>
      </w:r>
      <w:hyperlink r:id="rId33" w:history="1">
        <w:r w:rsidRPr="003F6646">
          <w:rPr>
            <w:rStyle w:val="Hyperlink"/>
            <w:rFonts w:eastAsia="Times New Roman" w:cs="Times New Roman"/>
            <w:szCs w:val="24"/>
            <w:lang w:val="en-US"/>
          </w:rPr>
          <w:t>https://doi.org/10.1016/j.frl.2025.106939</w:t>
        </w:r>
      </w:hyperlink>
      <w:r w:rsidRPr="00AA1730">
        <w:rPr>
          <w:lang w:val="en-US"/>
        </w:rPr>
        <w:t>.</w:t>
      </w:r>
    </w:p>
    <w:p w:rsidR="0010704D" w:rsidRPr="00644DC0" w:rsidRDefault="0010704D" w:rsidP="0010704D">
      <w:pPr>
        <w:ind w:left="720" w:hanging="720"/>
        <w:rPr>
          <w:lang w:val="en-US"/>
        </w:rPr>
      </w:pPr>
      <w:r w:rsidRPr="00644DC0">
        <w:rPr>
          <w:lang w:val="en-US"/>
        </w:rPr>
        <w:t xml:space="preserve">Ryan, M. </w:t>
      </w:r>
      <w:r w:rsidRPr="000962A5">
        <w:t xml:space="preserve">Christodoulou, E., Antoniou, J., and </w:t>
      </w:r>
      <w:proofErr w:type="spellStart"/>
      <w:r w:rsidRPr="000962A5">
        <w:t>Iordanou</w:t>
      </w:r>
      <w:proofErr w:type="spellEnd"/>
      <w:r w:rsidRPr="000962A5">
        <w:t>,</w:t>
      </w:r>
      <w:r w:rsidRPr="00644DC0">
        <w:rPr>
          <w:rFonts w:ascii="Helvetica" w:hAnsi="Helvetica" w:cs="Helvetica"/>
          <w:color w:val="3A3A3A"/>
          <w:sz w:val="23"/>
          <w:szCs w:val="23"/>
          <w:shd w:val="clear" w:color="auto" w:fill="FFFFFF"/>
        </w:rPr>
        <w:t xml:space="preserve"> K.</w:t>
      </w:r>
      <w:r w:rsidRPr="00644DC0">
        <w:rPr>
          <w:lang w:val="en-US"/>
        </w:rPr>
        <w:t xml:space="preserve"> (2024) “An AI ethics ‘David and Goliath’: value conflicts between large tech companies and their employees,” </w:t>
      </w:r>
      <w:r w:rsidRPr="00644DC0">
        <w:rPr>
          <w:i/>
          <w:iCs/>
          <w:lang w:val="en-US"/>
        </w:rPr>
        <w:t>AI &amp; society</w:t>
      </w:r>
      <w:r w:rsidRPr="00644DC0">
        <w:rPr>
          <w:lang w:val="en-US"/>
        </w:rPr>
        <w:t xml:space="preserve">, 39(2), pp. 557–572. Available at: </w:t>
      </w:r>
      <w:hyperlink r:id="rId34" w:history="1">
        <w:r w:rsidRPr="00644DC0">
          <w:rPr>
            <w:rStyle w:val="Hyperlink"/>
            <w:rFonts w:eastAsia="Times New Roman" w:cs="Times New Roman"/>
            <w:szCs w:val="24"/>
            <w:lang w:val="en-US"/>
          </w:rPr>
          <w:t>https://doi.org/10.1007/s00146-022-01430-1</w:t>
        </w:r>
      </w:hyperlink>
      <w:r w:rsidRPr="00644DC0">
        <w:rPr>
          <w:lang w:val="en-US"/>
        </w:rPr>
        <w:t>.</w:t>
      </w:r>
    </w:p>
    <w:p w:rsidR="0010704D" w:rsidRDefault="0010704D" w:rsidP="0010704D">
      <w:pPr>
        <w:ind w:left="720" w:hanging="720"/>
        <w:rPr>
          <w:lang w:val="en-US"/>
        </w:rPr>
      </w:pPr>
      <w:proofErr w:type="spellStart"/>
      <w:r w:rsidRPr="00CF0EE1">
        <w:rPr>
          <w:lang w:val="en-US"/>
        </w:rPr>
        <w:t>Sanseverino</w:t>
      </w:r>
      <w:proofErr w:type="spellEnd"/>
      <w:r w:rsidRPr="00CF0EE1">
        <w:rPr>
          <w:lang w:val="en-US"/>
        </w:rPr>
        <w:t xml:space="preserve">, A. (2024) “The impact of foreign laws on U.S. firms: evidence from the U.K. Bribery Act,” </w:t>
      </w:r>
      <w:r w:rsidRPr="00CF0EE1">
        <w:rPr>
          <w:i/>
          <w:iCs/>
          <w:lang w:val="en-US"/>
        </w:rPr>
        <w:t>Review of accounting studies</w:t>
      </w:r>
      <w:r w:rsidRPr="00CF0EE1">
        <w:rPr>
          <w:lang w:val="en-US"/>
        </w:rPr>
        <w:t xml:space="preserve">, 29(4), pp. 3369–3412. Available at: </w:t>
      </w:r>
      <w:hyperlink r:id="rId35" w:history="1">
        <w:r w:rsidRPr="003F6646">
          <w:rPr>
            <w:rStyle w:val="Hyperlink"/>
            <w:rFonts w:eastAsia="Times New Roman" w:cs="Times New Roman"/>
            <w:szCs w:val="24"/>
            <w:lang w:val="en-US"/>
          </w:rPr>
          <w:t>https://doi.org/10.1007/s11142-023-09783-8</w:t>
        </w:r>
      </w:hyperlink>
      <w:r w:rsidRPr="00CF0EE1">
        <w:rPr>
          <w:lang w:val="en-US"/>
        </w:rPr>
        <w:t>.</w:t>
      </w:r>
    </w:p>
    <w:p w:rsidR="0010704D" w:rsidRPr="00644DC0" w:rsidRDefault="0010704D" w:rsidP="0010704D">
      <w:pPr>
        <w:ind w:left="720" w:hanging="720"/>
        <w:rPr>
          <w:lang w:val="en-US"/>
        </w:rPr>
      </w:pPr>
      <w:proofErr w:type="spellStart"/>
      <w:proofErr w:type="gramStart"/>
      <w:r w:rsidRPr="00644DC0">
        <w:rPr>
          <w:lang w:val="en-US"/>
        </w:rPr>
        <w:t>Sattari</w:t>
      </w:r>
      <w:proofErr w:type="spellEnd"/>
      <w:r w:rsidRPr="00644DC0">
        <w:rPr>
          <w:lang w:val="en-US"/>
        </w:rPr>
        <w:t xml:space="preserve">, F. </w:t>
      </w:r>
      <w:proofErr w:type="spellStart"/>
      <w:r w:rsidRPr="00B54037">
        <w:t>efsrud</w:t>
      </w:r>
      <w:proofErr w:type="spellEnd"/>
      <w:r w:rsidRPr="00B54037">
        <w:t xml:space="preserve">, L., Kurian, D., and </w:t>
      </w:r>
      <w:proofErr w:type="spellStart"/>
      <w:r w:rsidRPr="00B54037">
        <w:t>Macciotta</w:t>
      </w:r>
      <w:proofErr w:type="spellEnd"/>
      <w:r w:rsidRPr="00B54037">
        <w:t>, R. (2022)</w:t>
      </w:r>
      <w:r w:rsidRPr="00644DC0">
        <w:rPr>
          <w:lang w:val="en-US"/>
        </w:rPr>
        <w:t xml:space="preserve"> “A theoretical framework for data-driven artificial intelligence decision making for enhancing the asset integrity management system in the oil &amp; gas sector,” </w:t>
      </w:r>
      <w:r w:rsidRPr="00644DC0">
        <w:rPr>
          <w:i/>
          <w:iCs/>
          <w:lang w:val="en-US"/>
        </w:rPr>
        <w:t>Journal of loss prevention in the process industries</w:t>
      </w:r>
      <w:r w:rsidRPr="00644DC0">
        <w:rPr>
          <w:lang w:val="en-US"/>
        </w:rPr>
        <w:t>, 74.</w:t>
      </w:r>
      <w:proofErr w:type="gramEnd"/>
      <w:r w:rsidRPr="00644DC0">
        <w:rPr>
          <w:lang w:val="en-US"/>
        </w:rPr>
        <w:t xml:space="preserve"> Available at: </w:t>
      </w:r>
      <w:hyperlink r:id="rId36" w:history="1">
        <w:r w:rsidRPr="00644DC0">
          <w:rPr>
            <w:rStyle w:val="Hyperlink"/>
            <w:rFonts w:eastAsia="Times New Roman" w:cs="Times New Roman"/>
            <w:szCs w:val="24"/>
            <w:lang w:val="en-US"/>
          </w:rPr>
          <w:t>https://doi.org/10.1016/j.jlp.2021.104648</w:t>
        </w:r>
      </w:hyperlink>
      <w:r w:rsidRPr="00644DC0">
        <w:rPr>
          <w:lang w:val="en-US"/>
        </w:rPr>
        <w:t>.</w:t>
      </w:r>
    </w:p>
    <w:p w:rsidR="0010704D" w:rsidRDefault="0010704D" w:rsidP="0010704D">
      <w:pPr>
        <w:ind w:left="720" w:hanging="720"/>
        <w:rPr>
          <w:lang w:val="en-US"/>
        </w:rPr>
      </w:pPr>
      <w:r w:rsidRPr="00457164">
        <w:rPr>
          <w:lang w:val="en-US"/>
        </w:rPr>
        <w:t xml:space="preserve">Sebastian, G. (2022) “Could incorporating cybersecurity reporting into SOX have prevented most data breaches at U.S. publicly traded companies? </w:t>
      </w:r>
      <w:proofErr w:type="gramStart"/>
      <w:r w:rsidRPr="00457164">
        <w:rPr>
          <w:lang w:val="en-US"/>
        </w:rPr>
        <w:t xml:space="preserve">An exploratory study,” </w:t>
      </w:r>
      <w:r w:rsidRPr="00457164">
        <w:rPr>
          <w:i/>
          <w:iCs/>
          <w:lang w:val="en-US"/>
        </w:rPr>
        <w:t>International cybersecurity law review</w:t>
      </w:r>
      <w:r w:rsidRPr="00457164">
        <w:rPr>
          <w:lang w:val="en-US"/>
        </w:rPr>
        <w:t>, 3(2), pp. 367–383.</w:t>
      </w:r>
      <w:proofErr w:type="gramEnd"/>
      <w:r w:rsidRPr="00457164">
        <w:rPr>
          <w:lang w:val="en-US"/>
        </w:rPr>
        <w:t xml:space="preserve"> Available at: </w:t>
      </w:r>
      <w:hyperlink r:id="rId37" w:history="1">
        <w:r w:rsidRPr="003F6646">
          <w:rPr>
            <w:rStyle w:val="Hyperlink"/>
            <w:rFonts w:eastAsia="Times New Roman" w:cs="Times New Roman"/>
            <w:szCs w:val="24"/>
            <w:lang w:val="en-US"/>
          </w:rPr>
          <w:t>https://doi.org/10.1365/s43439-022-00062-x</w:t>
        </w:r>
      </w:hyperlink>
      <w:r w:rsidRPr="00457164">
        <w:rPr>
          <w:lang w:val="en-US"/>
        </w:rPr>
        <w:t>.</w:t>
      </w:r>
    </w:p>
    <w:p w:rsidR="0010704D" w:rsidRDefault="0010704D" w:rsidP="0010704D">
      <w:pPr>
        <w:ind w:left="720" w:hanging="720"/>
        <w:rPr>
          <w:lang w:val="en-US"/>
        </w:rPr>
      </w:pPr>
      <w:r w:rsidRPr="00CF0EE1">
        <w:rPr>
          <w:lang w:val="en-US"/>
        </w:rPr>
        <w:t xml:space="preserve">Singh, T. </w:t>
      </w:r>
      <w:r w:rsidRPr="0010704D">
        <w:t xml:space="preserve">Johnston, A. C., </w:t>
      </w:r>
      <w:proofErr w:type="spellStart"/>
      <w:r w:rsidRPr="0010704D">
        <w:t>Hudnall</w:t>
      </w:r>
      <w:proofErr w:type="spellEnd"/>
      <w:r w:rsidRPr="0010704D">
        <w:t xml:space="preserve">, M., and </w:t>
      </w:r>
      <w:proofErr w:type="spellStart"/>
      <w:r w:rsidRPr="0010704D">
        <w:t>Bott</w:t>
      </w:r>
      <w:proofErr w:type="spellEnd"/>
      <w:r w:rsidRPr="0010704D">
        <w:t xml:space="preserve">, G. J. </w:t>
      </w:r>
      <w:r w:rsidRPr="00CF0EE1">
        <w:rPr>
          <w:lang w:val="en-US"/>
        </w:rPr>
        <w:t xml:space="preserve">(2026) “Understanding surveillance stress in cybersecurity professionals: A stage model perspective,” </w:t>
      </w:r>
      <w:r w:rsidRPr="00CF0EE1">
        <w:rPr>
          <w:i/>
          <w:iCs/>
          <w:lang w:val="en-US"/>
        </w:rPr>
        <w:t>Computers &amp; security</w:t>
      </w:r>
      <w:r w:rsidRPr="00CF0EE1">
        <w:rPr>
          <w:lang w:val="en-US"/>
        </w:rPr>
        <w:t xml:space="preserve">, 164. Available at: </w:t>
      </w:r>
      <w:hyperlink r:id="rId38" w:history="1">
        <w:r w:rsidRPr="003F6646">
          <w:rPr>
            <w:rStyle w:val="Hyperlink"/>
            <w:rFonts w:eastAsia="Times New Roman" w:cs="Times New Roman"/>
            <w:szCs w:val="24"/>
            <w:lang w:val="en-US"/>
          </w:rPr>
          <w:t>https://doi.org/10.1016/j.cose.2026.104859</w:t>
        </w:r>
      </w:hyperlink>
      <w:r w:rsidRPr="00CF0EE1">
        <w:rPr>
          <w:lang w:val="en-US"/>
        </w:rPr>
        <w:t>.</w:t>
      </w:r>
    </w:p>
    <w:p w:rsidR="0010704D" w:rsidRDefault="0010704D" w:rsidP="0010704D">
      <w:pPr>
        <w:ind w:left="720" w:hanging="720"/>
        <w:rPr>
          <w:lang w:val="en-US"/>
        </w:rPr>
      </w:pPr>
      <w:proofErr w:type="spellStart"/>
      <w:r w:rsidRPr="00211116">
        <w:rPr>
          <w:lang w:val="en-US"/>
        </w:rPr>
        <w:lastRenderedPageBreak/>
        <w:t>Sloman</w:t>
      </w:r>
      <w:proofErr w:type="spellEnd"/>
      <w:r w:rsidRPr="00211116">
        <w:rPr>
          <w:lang w:val="en-US"/>
        </w:rPr>
        <w:t>, J. and Jones, E. (2020): Essential Economics for Business, 6/E, Pearson, London.</w:t>
      </w:r>
    </w:p>
    <w:p w:rsidR="0010704D" w:rsidRDefault="0010704D" w:rsidP="0010704D">
      <w:pPr>
        <w:ind w:left="720" w:hanging="720"/>
        <w:rPr>
          <w:lang w:val="en-US"/>
        </w:rPr>
      </w:pPr>
      <w:proofErr w:type="spellStart"/>
      <w:r w:rsidRPr="00CF0EE1">
        <w:rPr>
          <w:lang w:val="en-US"/>
        </w:rPr>
        <w:t>Suorsa</w:t>
      </w:r>
      <w:proofErr w:type="spellEnd"/>
      <w:r w:rsidRPr="00CF0EE1">
        <w:rPr>
          <w:lang w:val="en-US"/>
        </w:rPr>
        <w:t xml:space="preserve">, M. and </w:t>
      </w:r>
      <w:proofErr w:type="spellStart"/>
      <w:r w:rsidRPr="00CF0EE1">
        <w:rPr>
          <w:lang w:val="en-US"/>
        </w:rPr>
        <w:t>Helo</w:t>
      </w:r>
      <w:proofErr w:type="spellEnd"/>
      <w:r w:rsidRPr="00CF0EE1">
        <w:rPr>
          <w:lang w:val="en-US"/>
        </w:rPr>
        <w:t xml:space="preserve">, P. (2026) “Cybersecurity Risks and Defense for a European Energy Retail Business: A Case Study Using FMEA and Bowtie Incident Analysis,” </w:t>
      </w:r>
      <w:r w:rsidRPr="00CF0EE1">
        <w:rPr>
          <w:i/>
          <w:iCs/>
          <w:lang w:val="en-US"/>
        </w:rPr>
        <w:t xml:space="preserve">Information security </w:t>
      </w:r>
      <w:proofErr w:type="gramStart"/>
      <w:r w:rsidRPr="00CF0EE1">
        <w:rPr>
          <w:i/>
          <w:iCs/>
          <w:lang w:val="en-US"/>
        </w:rPr>
        <w:t>journal.</w:t>
      </w:r>
      <w:r w:rsidRPr="00CF0EE1">
        <w:rPr>
          <w:lang w:val="en-US"/>
        </w:rPr>
        <w:t>,</w:t>
      </w:r>
      <w:proofErr w:type="gramEnd"/>
      <w:r w:rsidRPr="00CF0EE1">
        <w:rPr>
          <w:lang w:val="en-US"/>
        </w:rPr>
        <w:t xml:space="preserve"> 35(2), pp. 261–289. Available at: </w:t>
      </w:r>
      <w:hyperlink r:id="rId39" w:history="1">
        <w:r w:rsidRPr="003F6646">
          <w:rPr>
            <w:rStyle w:val="Hyperlink"/>
            <w:rFonts w:eastAsia="Times New Roman" w:cs="Times New Roman"/>
            <w:szCs w:val="24"/>
            <w:lang w:val="en-US"/>
          </w:rPr>
          <w:t>https://doi.org/10.1080/19393555.2025.2489421</w:t>
        </w:r>
      </w:hyperlink>
      <w:r w:rsidRPr="00CF0EE1">
        <w:rPr>
          <w:lang w:val="en-US"/>
        </w:rPr>
        <w:t>.</w:t>
      </w:r>
    </w:p>
    <w:p w:rsidR="0010704D" w:rsidRDefault="0010704D" w:rsidP="0010704D">
      <w:pPr>
        <w:ind w:left="720" w:hanging="720"/>
        <w:rPr>
          <w:lang w:val="en-US"/>
        </w:rPr>
      </w:pPr>
      <w:r w:rsidRPr="004F73C5">
        <w:rPr>
          <w:lang w:val="en-US"/>
        </w:rPr>
        <w:t xml:space="preserve">Tang, R. and Li, M. (2026) “Cybersecurity and corporate resilience –a study based on listed companies in China,” </w:t>
      </w:r>
      <w:r w:rsidRPr="004F73C5">
        <w:rPr>
          <w:i/>
          <w:iCs/>
          <w:lang w:val="en-US"/>
        </w:rPr>
        <w:t>Technology in society</w:t>
      </w:r>
      <w:r w:rsidRPr="004F73C5">
        <w:rPr>
          <w:lang w:val="en-US"/>
        </w:rPr>
        <w:t xml:space="preserve">, 84. Available at: </w:t>
      </w:r>
      <w:hyperlink r:id="rId40" w:history="1">
        <w:r w:rsidRPr="003F6646">
          <w:rPr>
            <w:rStyle w:val="Hyperlink"/>
            <w:rFonts w:eastAsia="Times New Roman" w:cs="Times New Roman"/>
            <w:szCs w:val="24"/>
            <w:lang w:val="en-US"/>
          </w:rPr>
          <w:t>https://doi.org/10.1016/j.techsoc.2025.103105</w:t>
        </w:r>
      </w:hyperlink>
      <w:r w:rsidRPr="004F73C5">
        <w:rPr>
          <w:lang w:val="en-US"/>
        </w:rPr>
        <w:t>.</w:t>
      </w:r>
    </w:p>
    <w:p w:rsidR="0010704D" w:rsidRDefault="0010704D" w:rsidP="0010704D">
      <w:pPr>
        <w:ind w:left="720" w:hanging="720"/>
        <w:rPr>
          <w:lang w:val="en-US"/>
        </w:rPr>
      </w:pPr>
      <w:proofErr w:type="spellStart"/>
      <w:r w:rsidRPr="00CF0EE1">
        <w:rPr>
          <w:lang w:val="en-US"/>
        </w:rPr>
        <w:t>Verma</w:t>
      </w:r>
      <w:proofErr w:type="spellEnd"/>
      <w:r w:rsidRPr="00CF0EE1">
        <w:rPr>
          <w:lang w:val="en-US"/>
        </w:rPr>
        <w:t xml:space="preserve">, R., Gupta, N. and Kumar, A. (2025) “A comprehensive </w:t>
      </w:r>
      <w:proofErr w:type="spellStart"/>
      <w:r w:rsidRPr="00CF0EE1">
        <w:rPr>
          <w:lang w:val="en-US"/>
        </w:rPr>
        <w:t>scientometric</w:t>
      </w:r>
      <w:proofErr w:type="spellEnd"/>
      <w:r w:rsidRPr="00CF0EE1">
        <w:rPr>
          <w:lang w:val="en-US"/>
        </w:rPr>
        <w:t xml:space="preserve"> study of research trends in cybersecurity from 2000 to 2024 using </w:t>
      </w:r>
      <w:proofErr w:type="spellStart"/>
      <w:r w:rsidRPr="00CF0EE1">
        <w:rPr>
          <w:lang w:val="en-US"/>
        </w:rPr>
        <w:t>Biblioshiny</w:t>
      </w:r>
      <w:proofErr w:type="spellEnd"/>
      <w:r w:rsidRPr="00CF0EE1">
        <w:rPr>
          <w:lang w:val="en-US"/>
        </w:rPr>
        <w:t xml:space="preserve"> and </w:t>
      </w:r>
      <w:proofErr w:type="spellStart"/>
      <w:r w:rsidRPr="00CF0EE1">
        <w:rPr>
          <w:lang w:val="en-US"/>
        </w:rPr>
        <w:t>VOSviewer</w:t>
      </w:r>
      <w:proofErr w:type="spellEnd"/>
      <w:r w:rsidRPr="00CF0EE1">
        <w:rPr>
          <w:lang w:val="en-US"/>
        </w:rPr>
        <w:t xml:space="preserve">,” </w:t>
      </w:r>
      <w:r w:rsidRPr="00CF0EE1">
        <w:rPr>
          <w:i/>
          <w:iCs/>
          <w:lang w:val="en-US"/>
        </w:rPr>
        <w:t>Discover Networks</w:t>
      </w:r>
      <w:r w:rsidRPr="00CF0EE1">
        <w:rPr>
          <w:lang w:val="en-US"/>
        </w:rPr>
        <w:t xml:space="preserve">, 1(1). Available at: </w:t>
      </w:r>
      <w:hyperlink r:id="rId41" w:history="1">
        <w:r w:rsidRPr="003F6646">
          <w:rPr>
            <w:rStyle w:val="Hyperlink"/>
            <w:rFonts w:eastAsia="Times New Roman" w:cs="Times New Roman"/>
            <w:szCs w:val="24"/>
            <w:lang w:val="en-US"/>
          </w:rPr>
          <w:t>https://doi.org/10.1007/s44354-025-00011-0</w:t>
        </w:r>
      </w:hyperlink>
      <w:r w:rsidRPr="00CF0EE1">
        <w:rPr>
          <w:lang w:val="en-US"/>
        </w:rPr>
        <w:t>.</w:t>
      </w:r>
    </w:p>
    <w:p w:rsidR="0010704D" w:rsidRDefault="0010704D" w:rsidP="0010704D">
      <w:pPr>
        <w:ind w:left="720" w:hanging="720"/>
        <w:rPr>
          <w:lang w:val="en-US"/>
        </w:rPr>
      </w:pPr>
      <w:proofErr w:type="spellStart"/>
      <w:r w:rsidRPr="001F182C">
        <w:rPr>
          <w:lang w:val="en-US"/>
        </w:rPr>
        <w:t>Yunxia</w:t>
      </w:r>
      <w:proofErr w:type="spellEnd"/>
      <w:r w:rsidRPr="001F182C">
        <w:rPr>
          <w:lang w:val="en-US"/>
        </w:rPr>
        <w:t xml:space="preserve">, S. </w:t>
      </w:r>
      <w:proofErr w:type="spellStart"/>
      <w:r w:rsidRPr="0010704D">
        <w:t>Zhenpeng</w:t>
      </w:r>
      <w:proofErr w:type="spellEnd"/>
      <w:r w:rsidRPr="0010704D">
        <w:t xml:space="preserve">, G., Hui, A., Bu, Z., and </w:t>
      </w:r>
      <w:proofErr w:type="spellStart"/>
      <w:r w:rsidRPr="0010704D">
        <w:t>Lingling</w:t>
      </w:r>
      <w:proofErr w:type="spellEnd"/>
      <w:r w:rsidRPr="0010704D">
        <w:t>, Y.</w:t>
      </w:r>
      <w:r>
        <w:rPr>
          <w:rFonts w:ascii="Helvetica" w:hAnsi="Helvetica"/>
          <w:color w:val="3A3A3A"/>
          <w:sz w:val="23"/>
          <w:szCs w:val="23"/>
          <w:shd w:val="clear" w:color="auto" w:fill="FFFFFF"/>
        </w:rPr>
        <w:t> </w:t>
      </w:r>
      <w:r w:rsidRPr="001F182C">
        <w:rPr>
          <w:lang w:val="en-US"/>
        </w:rPr>
        <w:t xml:space="preserve"> </w:t>
      </w:r>
      <w:proofErr w:type="gramStart"/>
      <w:r w:rsidRPr="001F182C">
        <w:rPr>
          <w:lang w:val="en-US"/>
        </w:rPr>
        <w:t>(2026) “More flexible or more rigid?</w:t>
      </w:r>
      <w:proofErr w:type="gramEnd"/>
      <w:r w:rsidRPr="001F182C">
        <w:rPr>
          <w:lang w:val="en-US"/>
        </w:rPr>
        <w:t xml:space="preserve"> </w:t>
      </w:r>
      <w:proofErr w:type="gramStart"/>
      <w:r w:rsidRPr="001F182C">
        <w:rPr>
          <w:lang w:val="en-US"/>
        </w:rPr>
        <w:t xml:space="preserve">A study on the double-edged sword effect of Gen AI usage dependence on employees’ emotional labor,” </w:t>
      </w:r>
      <w:r w:rsidRPr="001F182C">
        <w:rPr>
          <w:i/>
          <w:iCs/>
          <w:lang w:val="en-US"/>
        </w:rPr>
        <w:t>Journal of retailing and consumer services</w:t>
      </w:r>
      <w:r w:rsidRPr="001F182C">
        <w:rPr>
          <w:lang w:val="en-US"/>
        </w:rPr>
        <w:t>, 92.</w:t>
      </w:r>
      <w:proofErr w:type="gramEnd"/>
      <w:r w:rsidRPr="001F182C">
        <w:rPr>
          <w:lang w:val="en-US"/>
        </w:rPr>
        <w:t xml:space="preserve"> Available at: </w:t>
      </w:r>
      <w:hyperlink r:id="rId42" w:history="1">
        <w:r w:rsidRPr="003F6646">
          <w:rPr>
            <w:rStyle w:val="Hyperlink"/>
            <w:rFonts w:eastAsia="Times New Roman" w:cs="Times New Roman"/>
            <w:szCs w:val="24"/>
            <w:lang w:val="en-US"/>
          </w:rPr>
          <w:t>https://doi.org/10.1016/j.jretconser.2026.104813</w:t>
        </w:r>
      </w:hyperlink>
      <w:r w:rsidRPr="001F182C">
        <w:rPr>
          <w:lang w:val="en-US"/>
        </w:rPr>
        <w:t>.</w:t>
      </w:r>
    </w:p>
    <w:p w:rsidR="0010704D" w:rsidRDefault="0010704D" w:rsidP="0010704D">
      <w:pPr>
        <w:ind w:left="720" w:hanging="720"/>
        <w:rPr>
          <w:lang w:val="en-US"/>
        </w:rPr>
      </w:pPr>
      <w:proofErr w:type="gramStart"/>
      <w:r w:rsidRPr="004F73C5">
        <w:rPr>
          <w:lang w:val="en-US"/>
        </w:rPr>
        <w:t xml:space="preserve">Zhang, J. (2021) “Development of Internet Supply Chain Finance Based on Artificial Intelligence under the Enterprise Green Business Model,” </w:t>
      </w:r>
      <w:r w:rsidRPr="004F73C5">
        <w:rPr>
          <w:i/>
          <w:iCs/>
          <w:lang w:val="en-US"/>
        </w:rPr>
        <w:t>Mathematical problems in engineering</w:t>
      </w:r>
      <w:r w:rsidRPr="004F73C5">
        <w:rPr>
          <w:lang w:val="en-US"/>
        </w:rPr>
        <w:t>.</w:t>
      </w:r>
      <w:proofErr w:type="gramEnd"/>
      <w:r w:rsidRPr="004F73C5">
        <w:rPr>
          <w:lang w:val="en-US"/>
        </w:rPr>
        <w:t xml:space="preserve"> </w:t>
      </w:r>
      <w:proofErr w:type="gramStart"/>
      <w:r w:rsidRPr="004F73C5">
        <w:rPr>
          <w:lang w:val="en-US"/>
        </w:rPr>
        <w:t>Edited by S.-B.</w:t>
      </w:r>
      <w:proofErr w:type="gramEnd"/>
      <w:r w:rsidRPr="004F73C5">
        <w:rPr>
          <w:lang w:val="en-US"/>
        </w:rPr>
        <w:t xml:space="preserve"> Tsai, 2021, pp. 1–10. Available at: </w:t>
      </w:r>
      <w:hyperlink r:id="rId43" w:history="1">
        <w:r w:rsidRPr="003F6646">
          <w:rPr>
            <w:rStyle w:val="Hyperlink"/>
            <w:rFonts w:eastAsia="Times New Roman" w:cs="Times New Roman"/>
            <w:szCs w:val="24"/>
            <w:lang w:val="en-US"/>
          </w:rPr>
          <w:t>https://doi.org/10.1155/2021/9947811</w:t>
        </w:r>
      </w:hyperlink>
      <w:r w:rsidRPr="004F73C5">
        <w:rPr>
          <w:lang w:val="en-US"/>
        </w:rPr>
        <w:t>.</w:t>
      </w:r>
    </w:p>
    <w:sectPr w:rsidR="0010704D" w:rsidSect="00E3646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4FEE" w:rsidRDefault="00A94FEE" w:rsidP="0010704D">
      <w:pPr>
        <w:spacing w:after="0" w:line="240" w:lineRule="auto"/>
      </w:pPr>
      <w:r>
        <w:separator/>
      </w:r>
    </w:p>
  </w:endnote>
  <w:endnote w:type="continuationSeparator" w:id="0">
    <w:p w:rsidR="00A94FEE" w:rsidRDefault="00A94FEE" w:rsidP="00107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5260361"/>
      <w:docPartObj>
        <w:docPartGallery w:val="Page Numbers (Bottom of Page)"/>
        <w:docPartUnique/>
      </w:docPartObj>
    </w:sdtPr>
    <w:sdtEndPr>
      <w:rPr>
        <w:noProof/>
      </w:rPr>
    </w:sdtEndPr>
    <w:sdtContent>
      <w:p w:rsidR="0010704D" w:rsidRDefault="0010704D">
        <w:pPr>
          <w:pStyle w:val="Footer"/>
        </w:pPr>
        <w:r>
          <w:fldChar w:fldCharType="begin"/>
        </w:r>
        <w:r>
          <w:instrText xml:space="preserve"> PAGE   \* MERGEFORMAT </w:instrText>
        </w:r>
        <w:r>
          <w:fldChar w:fldCharType="separate"/>
        </w:r>
        <w:r w:rsidR="002A4E60">
          <w:rPr>
            <w:noProof/>
          </w:rPr>
          <w:t>i</w:t>
        </w:r>
        <w:r>
          <w:rPr>
            <w:noProof/>
          </w:rPr>
          <w:fldChar w:fldCharType="end"/>
        </w:r>
      </w:p>
    </w:sdtContent>
  </w:sdt>
  <w:p w:rsidR="0010704D" w:rsidRDefault="001070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4FEE" w:rsidRDefault="00A94FEE" w:rsidP="0010704D">
      <w:pPr>
        <w:spacing w:after="0" w:line="240" w:lineRule="auto"/>
      </w:pPr>
      <w:r>
        <w:separator/>
      </w:r>
    </w:p>
  </w:footnote>
  <w:footnote w:type="continuationSeparator" w:id="0">
    <w:p w:rsidR="00A94FEE" w:rsidRDefault="00A94FEE" w:rsidP="001070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014824"/>
    <w:multiLevelType w:val="hybridMultilevel"/>
    <w:tmpl w:val="A642D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MjQ3MLMwtzQ1MDMyMjJT0lEKTi0uzszPAykwrAUAayJFVCwAAAA="/>
  </w:docVars>
  <w:rsids>
    <w:rsidRoot w:val="00235C3E"/>
    <w:rsid w:val="0001697B"/>
    <w:rsid w:val="0010704D"/>
    <w:rsid w:val="001F182C"/>
    <w:rsid w:val="00211116"/>
    <w:rsid w:val="00235C3E"/>
    <w:rsid w:val="002A4E60"/>
    <w:rsid w:val="002D7811"/>
    <w:rsid w:val="00315922"/>
    <w:rsid w:val="00411202"/>
    <w:rsid w:val="00446027"/>
    <w:rsid w:val="00457164"/>
    <w:rsid w:val="004B1573"/>
    <w:rsid w:val="004F73C5"/>
    <w:rsid w:val="00545BA7"/>
    <w:rsid w:val="00570C90"/>
    <w:rsid w:val="005E3BA0"/>
    <w:rsid w:val="00644DC0"/>
    <w:rsid w:val="00664F27"/>
    <w:rsid w:val="006D0E2D"/>
    <w:rsid w:val="00703E66"/>
    <w:rsid w:val="007142F5"/>
    <w:rsid w:val="00930D1D"/>
    <w:rsid w:val="009874AE"/>
    <w:rsid w:val="00A1509A"/>
    <w:rsid w:val="00A73658"/>
    <w:rsid w:val="00A94FEE"/>
    <w:rsid w:val="00AA1730"/>
    <w:rsid w:val="00B229A9"/>
    <w:rsid w:val="00B279CC"/>
    <w:rsid w:val="00B435A9"/>
    <w:rsid w:val="00BD18AC"/>
    <w:rsid w:val="00C20815"/>
    <w:rsid w:val="00CB6EA1"/>
    <w:rsid w:val="00CF0EE1"/>
    <w:rsid w:val="00DB77C3"/>
    <w:rsid w:val="00E2430F"/>
    <w:rsid w:val="00E36464"/>
    <w:rsid w:val="00E45640"/>
    <w:rsid w:val="00EE32B2"/>
    <w:rsid w:val="00F55F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5C3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35C3E"/>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35C3E"/>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5C3E"/>
    <w:rPr>
      <w:rFonts w:ascii="Times New Roman" w:eastAsiaTheme="majorEastAsia" w:hAnsi="Times New Roman" w:cstheme="majorBidi"/>
      <w:b/>
      <w:bCs/>
      <w:color w:val="4F81BD" w:themeColor="accent1"/>
      <w:sz w:val="28"/>
      <w:szCs w:val="26"/>
      <w:lang w:val="en-GB"/>
    </w:rPr>
  </w:style>
  <w:style w:type="character" w:customStyle="1" w:styleId="Heading1Char">
    <w:name w:val="Heading 1 Char"/>
    <w:basedOn w:val="DefaultParagraphFont"/>
    <w:link w:val="Heading1"/>
    <w:uiPriority w:val="9"/>
    <w:rsid w:val="00235C3E"/>
    <w:rPr>
      <w:rFonts w:ascii="Times New Roman" w:eastAsiaTheme="majorEastAsia" w:hAnsi="Times New Roman" w:cstheme="majorBidi"/>
      <w:b/>
      <w:bCs/>
      <w:color w:val="365F91" w:themeColor="accent1" w:themeShade="BF"/>
      <w:sz w:val="32"/>
      <w:szCs w:val="28"/>
      <w:lang w:val="en-GB"/>
    </w:rPr>
  </w:style>
  <w:style w:type="paragraph" w:styleId="ListParagraph">
    <w:name w:val="List Paragraph"/>
    <w:basedOn w:val="Normal"/>
    <w:uiPriority w:val="34"/>
    <w:qFormat/>
    <w:rsid w:val="00211116"/>
    <w:pPr>
      <w:ind w:left="720"/>
      <w:contextualSpacing/>
    </w:pPr>
  </w:style>
  <w:style w:type="character" w:styleId="Hyperlink">
    <w:name w:val="Hyperlink"/>
    <w:basedOn w:val="DefaultParagraphFont"/>
    <w:uiPriority w:val="99"/>
    <w:unhideWhenUsed/>
    <w:rsid w:val="00211116"/>
    <w:rPr>
      <w:color w:val="0000FF" w:themeColor="hyperlink"/>
      <w:u w:val="single"/>
    </w:rPr>
  </w:style>
  <w:style w:type="paragraph" w:styleId="Header">
    <w:name w:val="header"/>
    <w:basedOn w:val="Normal"/>
    <w:link w:val="HeaderChar"/>
    <w:uiPriority w:val="99"/>
    <w:unhideWhenUsed/>
    <w:rsid w:val="001070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04D"/>
    <w:rPr>
      <w:rFonts w:ascii="Times New Roman" w:hAnsi="Times New Roman"/>
      <w:sz w:val="24"/>
      <w:lang w:val="en-GB"/>
    </w:rPr>
  </w:style>
  <w:style w:type="paragraph" w:styleId="Footer">
    <w:name w:val="footer"/>
    <w:basedOn w:val="Normal"/>
    <w:link w:val="FooterChar"/>
    <w:uiPriority w:val="99"/>
    <w:unhideWhenUsed/>
    <w:rsid w:val="001070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04D"/>
    <w:rPr>
      <w:rFonts w:ascii="Times New Roman" w:hAnsi="Times New Roman"/>
      <w:sz w:val="24"/>
      <w:lang w:val="en-GB"/>
    </w:rPr>
  </w:style>
  <w:style w:type="character" w:customStyle="1" w:styleId="NoSpacingChar">
    <w:name w:val="No Spacing Char"/>
    <w:basedOn w:val="DefaultParagraphFont"/>
    <w:link w:val="NoSpacing"/>
    <w:uiPriority w:val="1"/>
    <w:locked/>
    <w:rsid w:val="00E36464"/>
    <w:rPr>
      <w:rFonts w:ascii="Times New Roman" w:eastAsiaTheme="minorEastAsia" w:hAnsi="Times New Roman" w:cs="Times New Roman"/>
      <w:lang w:eastAsia="ja-JP"/>
    </w:rPr>
  </w:style>
  <w:style w:type="paragraph" w:styleId="NoSpacing">
    <w:name w:val="No Spacing"/>
    <w:link w:val="NoSpacingChar"/>
    <w:uiPriority w:val="1"/>
    <w:qFormat/>
    <w:rsid w:val="00E36464"/>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E364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464"/>
    <w:rPr>
      <w:rFonts w:ascii="Tahoma" w:hAnsi="Tahoma" w:cs="Tahoma"/>
      <w:sz w:val="16"/>
      <w:szCs w:val="16"/>
      <w:lang w:val="en-GB"/>
    </w:rPr>
  </w:style>
  <w:style w:type="paragraph" w:styleId="TOCHeading">
    <w:name w:val="TOC Heading"/>
    <w:basedOn w:val="Heading1"/>
    <w:next w:val="Normal"/>
    <w:uiPriority w:val="39"/>
    <w:semiHidden/>
    <w:unhideWhenUsed/>
    <w:qFormat/>
    <w:rsid w:val="00E36464"/>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E36464"/>
    <w:pPr>
      <w:spacing w:after="100"/>
    </w:pPr>
  </w:style>
  <w:style w:type="paragraph" w:styleId="TOC2">
    <w:name w:val="toc 2"/>
    <w:basedOn w:val="Normal"/>
    <w:next w:val="Normal"/>
    <w:autoRedefine/>
    <w:uiPriority w:val="39"/>
    <w:unhideWhenUsed/>
    <w:rsid w:val="00E36464"/>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5C3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35C3E"/>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35C3E"/>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5C3E"/>
    <w:rPr>
      <w:rFonts w:ascii="Times New Roman" w:eastAsiaTheme="majorEastAsia" w:hAnsi="Times New Roman" w:cstheme="majorBidi"/>
      <w:b/>
      <w:bCs/>
      <w:color w:val="4F81BD" w:themeColor="accent1"/>
      <w:sz w:val="28"/>
      <w:szCs w:val="26"/>
      <w:lang w:val="en-GB"/>
    </w:rPr>
  </w:style>
  <w:style w:type="character" w:customStyle="1" w:styleId="Heading1Char">
    <w:name w:val="Heading 1 Char"/>
    <w:basedOn w:val="DefaultParagraphFont"/>
    <w:link w:val="Heading1"/>
    <w:uiPriority w:val="9"/>
    <w:rsid w:val="00235C3E"/>
    <w:rPr>
      <w:rFonts w:ascii="Times New Roman" w:eastAsiaTheme="majorEastAsia" w:hAnsi="Times New Roman" w:cstheme="majorBidi"/>
      <w:b/>
      <w:bCs/>
      <w:color w:val="365F91" w:themeColor="accent1" w:themeShade="BF"/>
      <w:sz w:val="32"/>
      <w:szCs w:val="28"/>
      <w:lang w:val="en-GB"/>
    </w:rPr>
  </w:style>
  <w:style w:type="paragraph" w:styleId="ListParagraph">
    <w:name w:val="List Paragraph"/>
    <w:basedOn w:val="Normal"/>
    <w:uiPriority w:val="34"/>
    <w:qFormat/>
    <w:rsid w:val="00211116"/>
    <w:pPr>
      <w:ind w:left="720"/>
      <w:contextualSpacing/>
    </w:pPr>
  </w:style>
  <w:style w:type="character" w:styleId="Hyperlink">
    <w:name w:val="Hyperlink"/>
    <w:basedOn w:val="DefaultParagraphFont"/>
    <w:uiPriority w:val="99"/>
    <w:unhideWhenUsed/>
    <w:rsid w:val="00211116"/>
    <w:rPr>
      <w:color w:val="0000FF" w:themeColor="hyperlink"/>
      <w:u w:val="single"/>
    </w:rPr>
  </w:style>
  <w:style w:type="paragraph" w:styleId="Header">
    <w:name w:val="header"/>
    <w:basedOn w:val="Normal"/>
    <w:link w:val="HeaderChar"/>
    <w:uiPriority w:val="99"/>
    <w:unhideWhenUsed/>
    <w:rsid w:val="001070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04D"/>
    <w:rPr>
      <w:rFonts w:ascii="Times New Roman" w:hAnsi="Times New Roman"/>
      <w:sz w:val="24"/>
      <w:lang w:val="en-GB"/>
    </w:rPr>
  </w:style>
  <w:style w:type="paragraph" w:styleId="Footer">
    <w:name w:val="footer"/>
    <w:basedOn w:val="Normal"/>
    <w:link w:val="FooterChar"/>
    <w:uiPriority w:val="99"/>
    <w:unhideWhenUsed/>
    <w:rsid w:val="001070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04D"/>
    <w:rPr>
      <w:rFonts w:ascii="Times New Roman" w:hAnsi="Times New Roman"/>
      <w:sz w:val="24"/>
      <w:lang w:val="en-GB"/>
    </w:rPr>
  </w:style>
  <w:style w:type="character" w:customStyle="1" w:styleId="NoSpacingChar">
    <w:name w:val="No Spacing Char"/>
    <w:basedOn w:val="DefaultParagraphFont"/>
    <w:link w:val="NoSpacing"/>
    <w:uiPriority w:val="1"/>
    <w:locked/>
    <w:rsid w:val="00E36464"/>
    <w:rPr>
      <w:rFonts w:ascii="Times New Roman" w:eastAsiaTheme="minorEastAsia" w:hAnsi="Times New Roman" w:cs="Times New Roman"/>
      <w:lang w:eastAsia="ja-JP"/>
    </w:rPr>
  </w:style>
  <w:style w:type="paragraph" w:styleId="NoSpacing">
    <w:name w:val="No Spacing"/>
    <w:link w:val="NoSpacingChar"/>
    <w:uiPriority w:val="1"/>
    <w:qFormat/>
    <w:rsid w:val="00E36464"/>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E364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464"/>
    <w:rPr>
      <w:rFonts w:ascii="Tahoma" w:hAnsi="Tahoma" w:cs="Tahoma"/>
      <w:sz w:val="16"/>
      <w:szCs w:val="16"/>
      <w:lang w:val="en-GB"/>
    </w:rPr>
  </w:style>
  <w:style w:type="paragraph" w:styleId="TOCHeading">
    <w:name w:val="TOC Heading"/>
    <w:basedOn w:val="Heading1"/>
    <w:next w:val="Normal"/>
    <w:uiPriority w:val="39"/>
    <w:semiHidden/>
    <w:unhideWhenUsed/>
    <w:qFormat/>
    <w:rsid w:val="00E36464"/>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E36464"/>
    <w:pPr>
      <w:spacing w:after="100"/>
    </w:pPr>
  </w:style>
  <w:style w:type="paragraph" w:styleId="TOC2">
    <w:name w:val="toc 2"/>
    <w:basedOn w:val="Normal"/>
    <w:next w:val="Normal"/>
    <w:autoRedefine/>
    <w:uiPriority w:val="39"/>
    <w:unhideWhenUsed/>
    <w:rsid w:val="00E364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776226">
      <w:bodyDiv w:val="1"/>
      <w:marLeft w:val="0"/>
      <w:marRight w:val="0"/>
      <w:marTop w:val="0"/>
      <w:marBottom w:val="0"/>
      <w:divBdr>
        <w:top w:val="none" w:sz="0" w:space="0" w:color="auto"/>
        <w:left w:val="none" w:sz="0" w:space="0" w:color="auto"/>
        <w:bottom w:val="none" w:sz="0" w:space="0" w:color="auto"/>
        <w:right w:val="none" w:sz="0" w:space="0" w:color="auto"/>
      </w:divBdr>
      <w:divsChild>
        <w:div w:id="506018230">
          <w:marLeft w:val="0"/>
          <w:marRight w:val="0"/>
          <w:marTop w:val="0"/>
          <w:marBottom w:val="0"/>
          <w:divBdr>
            <w:top w:val="none" w:sz="0" w:space="0" w:color="auto"/>
            <w:left w:val="none" w:sz="0" w:space="0" w:color="auto"/>
            <w:bottom w:val="none" w:sz="0" w:space="0" w:color="auto"/>
            <w:right w:val="none" w:sz="0" w:space="0" w:color="auto"/>
          </w:divBdr>
          <w:divsChild>
            <w:div w:id="18139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20230">
      <w:bodyDiv w:val="1"/>
      <w:marLeft w:val="0"/>
      <w:marRight w:val="0"/>
      <w:marTop w:val="0"/>
      <w:marBottom w:val="0"/>
      <w:divBdr>
        <w:top w:val="none" w:sz="0" w:space="0" w:color="auto"/>
        <w:left w:val="none" w:sz="0" w:space="0" w:color="auto"/>
        <w:bottom w:val="none" w:sz="0" w:space="0" w:color="auto"/>
        <w:right w:val="none" w:sz="0" w:space="0" w:color="auto"/>
      </w:divBdr>
      <w:divsChild>
        <w:div w:id="1454060431">
          <w:marLeft w:val="0"/>
          <w:marRight w:val="0"/>
          <w:marTop w:val="0"/>
          <w:marBottom w:val="0"/>
          <w:divBdr>
            <w:top w:val="none" w:sz="0" w:space="0" w:color="auto"/>
            <w:left w:val="none" w:sz="0" w:space="0" w:color="auto"/>
            <w:bottom w:val="none" w:sz="0" w:space="0" w:color="auto"/>
            <w:right w:val="none" w:sz="0" w:space="0" w:color="auto"/>
          </w:divBdr>
          <w:divsChild>
            <w:div w:id="152335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07846">
      <w:bodyDiv w:val="1"/>
      <w:marLeft w:val="0"/>
      <w:marRight w:val="0"/>
      <w:marTop w:val="0"/>
      <w:marBottom w:val="0"/>
      <w:divBdr>
        <w:top w:val="none" w:sz="0" w:space="0" w:color="auto"/>
        <w:left w:val="none" w:sz="0" w:space="0" w:color="auto"/>
        <w:bottom w:val="none" w:sz="0" w:space="0" w:color="auto"/>
        <w:right w:val="none" w:sz="0" w:space="0" w:color="auto"/>
      </w:divBdr>
      <w:divsChild>
        <w:div w:id="428427519">
          <w:marLeft w:val="0"/>
          <w:marRight w:val="0"/>
          <w:marTop w:val="0"/>
          <w:marBottom w:val="0"/>
          <w:divBdr>
            <w:top w:val="none" w:sz="0" w:space="0" w:color="auto"/>
            <w:left w:val="none" w:sz="0" w:space="0" w:color="auto"/>
            <w:bottom w:val="none" w:sz="0" w:space="0" w:color="auto"/>
            <w:right w:val="none" w:sz="0" w:space="0" w:color="auto"/>
          </w:divBdr>
          <w:divsChild>
            <w:div w:id="2807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14935">
      <w:bodyDiv w:val="1"/>
      <w:marLeft w:val="0"/>
      <w:marRight w:val="0"/>
      <w:marTop w:val="0"/>
      <w:marBottom w:val="0"/>
      <w:divBdr>
        <w:top w:val="none" w:sz="0" w:space="0" w:color="auto"/>
        <w:left w:val="none" w:sz="0" w:space="0" w:color="auto"/>
        <w:bottom w:val="none" w:sz="0" w:space="0" w:color="auto"/>
        <w:right w:val="none" w:sz="0" w:space="0" w:color="auto"/>
      </w:divBdr>
      <w:divsChild>
        <w:div w:id="917635940">
          <w:marLeft w:val="0"/>
          <w:marRight w:val="0"/>
          <w:marTop w:val="0"/>
          <w:marBottom w:val="0"/>
          <w:divBdr>
            <w:top w:val="none" w:sz="0" w:space="0" w:color="auto"/>
            <w:left w:val="none" w:sz="0" w:space="0" w:color="auto"/>
            <w:bottom w:val="none" w:sz="0" w:space="0" w:color="auto"/>
            <w:right w:val="none" w:sz="0" w:space="0" w:color="auto"/>
          </w:divBdr>
          <w:divsChild>
            <w:div w:id="31761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83629">
      <w:bodyDiv w:val="1"/>
      <w:marLeft w:val="0"/>
      <w:marRight w:val="0"/>
      <w:marTop w:val="0"/>
      <w:marBottom w:val="0"/>
      <w:divBdr>
        <w:top w:val="none" w:sz="0" w:space="0" w:color="auto"/>
        <w:left w:val="none" w:sz="0" w:space="0" w:color="auto"/>
        <w:bottom w:val="none" w:sz="0" w:space="0" w:color="auto"/>
        <w:right w:val="none" w:sz="0" w:space="0" w:color="auto"/>
      </w:divBdr>
      <w:divsChild>
        <w:div w:id="1475297328">
          <w:marLeft w:val="0"/>
          <w:marRight w:val="0"/>
          <w:marTop w:val="0"/>
          <w:marBottom w:val="0"/>
          <w:divBdr>
            <w:top w:val="none" w:sz="0" w:space="0" w:color="auto"/>
            <w:left w:val="none" w:sz="0" w:space="0" w:color="auto"/>
            <w:bottom w:val="none" w:sz="0" w:space="0" w:color="auto"/>
            <w:right w:val="none" w:sz="0" w:space="0" w:color="auto"/>
          </w:divBdr>
          <w:divsChild>
            <w:div w:id="75301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5445">
      <w:bodyDiv w:val="1"/>
      <w:marLeft w:val="0"/>
      <w:marRight w:val="0"/>
      <w:marTop w:val="0"/>
      <w:marBottom w:val="0"/>
      <w:divBdr>
        <w:top w:val="none" w:sz="0" w:space="0" w:color="auto"/>
        <w:left w:val="none" w:sz="0" w:space="0" w:color="auto"/>
        <w:bottom w:val="none" w:sz="0" w:space="0" w:color="auto"/>
        <w:right w:val="none" w:sz="0" w:space="0" w:color="auto"/>
      </w:divBdr>
      <w:divsChild>
        <w:div w:id="1771317361">
          <w:marLeft w:val="0"/>
          <w:marRight w:val="0"/>
          <w:marTop w:val="0"/>
          <w:marBottom w:val="0"/>
          <w:divBdr>
            <w:top w:val="none" w:sz="0" w:space="0" w:color="auto"/>
            <w:left w:val="none" w:sz="0" w:space="0" w:color="auto"/>
            <w:bottom w:val="none" w:sz="0" w:space="0" w:color="auto"/>
            <w:right w:val="none" w:sz="0" w:space="0" w:color="auto"/>
          </w:divBdr>
          <w:divsChild>
            <w:div w:id="201241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67783">
      <w:bodyDiv w:val="1"/>
      <w:marLeft w:val="0"/>
      <w:marRight w:val="0"/>
      <w:marTop w:val="0"/>
      <w:marBottom w:val="0"/>
      <w:divBdr>
        <w:top w:val="none" w:sz="0" w:space="0" w:color="auto"/>
        <w:left w:val="none" w:sz="0" w:space="0" w:color="auto"/>
        <w:bottom w:val="none" w:sz="0" w:space="0" w:color="auto"/>
        <w:right w:val="none" w:sz="0" w:space="0" w:color="auto"/>
      </w:divBdr>
      <w:divsChild>
        <w:div w:id="710155279">
          <w:marLeft w:val="0"/>
          <w:marRight w:val="0"/>
          <w:marTop w:val="0"/>
          <w:marBottom w:val="0"/>
          <w:divBdr>
            <w:top w:val="none" w:sz="0" w:space="0" w:color="auto"/>
            <w:left w:val="none" w:sz="0" w:space="0" w:color="auto"/>
            <w:bottom w:val="none" w:sz="0" w:space="0" w:color="auto"/>
            <w:right w:val="none" w:sz="0" w:space="0" w:color="auto"/>
          </w:divBdr>
          <w:divsChild>
            <w:div w:id="10565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310040">
      <w:bodyDiv w:val="1"/>
      <w:marLeft w:val="0"/>
      <w:marRight w:val="0"/>
      <w:marTop w:val="0"/>
      <w:marBottom w:val="0"/>
      <w:divBdr>
        <w:top w:val="none" w:sz="0" w:space="0" w:color="auto"/>
        <w:left w:val="none" w:sz="0" w:space="0" w:color="auto"/>
        <w:bottom w:val="none" w:sz="0" w:space="0" w:color="auto"/>
        <w:right w:val="none" w:sz="0" w:space="0" w:color="auto"/>
      </w:divBdr>
      <w:divsChild>
        <w:div w:id="1236665812">
          <w:marLeft w:val="0"/>
          <w:marRight w:val="0"/>
          <w:marTop w:val="0"/>
          <w:marBottom w:val="0"/>
          <w:divBdr>
            <w:top w:val="none" w:sz="0" w:space="0" w:color="auto"/>
            <w:left w:val="none" w:sz="0" w:space="0" w:color="auto"/>
            <w:bottom w:val="none" w:sz="0" w:space="0" w:color="auto"/>
            <w:right w:val="none" w:sz="0" w:space="0" w:color="auto"/>
          </w:divBdr>
          <w:divsChild>
            <w:div w:id="22958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2117">
      <w:bodyDiv w:val="1"/>
      <w:marLeft w:val="0"/>
      <w:marRight w:val="0"/>
      <w:marTop w:val="0"/>
      <w:marBottom w:val="0"/>
      <w:divBdr>
        <w:top w:val="none" w:sz="0" w:space="0" w:color="auto"/>
        <w:left w:val="none" w:sz="0" w:space="0" w:color="auto"/>
        <w:bottom w:val="none" w:sz="0" w:space="0" w:color="auto"/>
        <w:right w:val="none" w:sz="0" w:space="0" w:color="auto"/>
      </w:divBdr>
      <w:divsChild>
        <w:div w:id="125783103">
          <w:marLeft w:val="0"/>
          <w:marRight w:val="0"/>
          <w:marTop w:val="0"/>
          <w:marBottom w:val="0"/>
          <w:divBdr>
            <w:top w:val="none" w:sz="0" w:space="0" w:color="auto"/>
            <w:left w:val="none" w:sz="0" w:space="0" w:color="auto"/>
            <w:bottom w:val="none" w:sz="0" w:space="0" w:color="auto"/>
            <w:right w:val="none" w:sz="0" w:space="0" w:color="auto"/>
          </w:divBdr>
          <w:divsChild>
            <w:div w:id="169865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009492">
      <w:bodyDiv w:val="1"/>
      <w:marLeft w:val="0"/>
      <w:marRight w:val="0"/>
      <w:marTop w:val="0"/>
      <w:marBottom w:val="0"/>
      <w:divBdr>
        <w:top w:val="none" w:sz="0" w:space="0" w:color="auto"/>
        <w:left w:val="none" w:sz="0" w:space="0" w:color="auto"/>
        <w:bottom w:val="none" w:sz="0" w:space="0" w:color="auto"/>
        <w:right w:val="none" w:sz="0" w:space="0" w:color="auto"/>
      </w:divBdr>
      <w:divsChild>
        <w:div w:id="190193674">
          <w:marLeft w:val="0"/>
          <w:marRight w:val="0"/>
          <w:marTop w:val="0"/>
          <w:marBottom w:val="0"/>
          <w:divBdr>
            <w:top w:val="none" w:sz="0" w:space="0" w:color="auto"/>
            <w:left w:val="none" w:sz="0" w:space="0" w:color="auto"/>
            <w:bottom w:val="none" w:sz="0" w:space="0" w:color="auto"/>
            <w:right w:val="none" w:sz="0" w:space="0" w:color="auto"/>
          </w:divBdr>
          <w:divsChild>
            <w:div w:id="10715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574629">
      <w:bodyDiv w:val="1"/>
      <w:marLeft w:val="0"/>
      <w:marRight w:val="0"/>
      <w:marTop w:val="0"/>
      <w:marBottom w:val="0"/>
      <w:divBdr>
        <w:top w:val="none" w:sz="0" w:space="0" w:color="auto"/>
        <w:left w:val="none" w:sz="0" w:space="0" w:color="auto"/>
        <w:bottom w:val="none" w:sz="0" w:space="0" w:color="auto"/>
        <w:right w:val="none" w:sz="0" w:space="0" w:color="auto"/>
      </w:divBdr>
      <w:divsChild>
        <w:div w:id="1200315646">
          <w:marLeft w:val="0"/>
          <w:marRight w:val="0"/>
          <w:marTop w:val="0"/>
          <w:marBottom w:val="0"/>
          <w:divBdr>
            <w:top w:val="none" w:sz="0" w:space="0" w:color="auto"/>
            <w:left w:val="none" w:sz="0" w:space="0" w:color="auto"/>
            <w:bottom w:val="none" w:sz="0" w:space="0" w:color="auto"/>
            <w:right w:val="none" w:sz="0" w:space="0" w:color="auto"/>
          </w:divBdr>
          <w:divsChild>
            <w:div w:id="55065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345481">
      <w:bodyDiv w:val="1"/>
      <w:marLeft w:val="0"/>
      <w:marRight w:val="0"/>
      <w:marTop w:val="0"/>
      <w:marBottom w:val="0"/>
      <w:divBdr>
        <w:top w:val="none" w:sz="0" w:space="0" w:color="auto"/>
        <w:left w:val="none" w:sz="0" w:space="0" w:color="auto"/>
        <w:bottom w:val="none" w:sz="0" w:space="0" w:color="auto"/>
        <w:right w:val="none" w:sz="0" w:space="0" w:color="auto"/>
      </w:divBdr>
      <w:divsChild>
        <w:div w:id="232355606">
          <w:marLeft w:val="0"/>
          <w:marRight w:val="0"/>
          <w:marTop w:val="0"/>
          <w:marBottom w:val="0"/>
          <w:divBdr>
            <w:top w:val="none" w:sz="0" w:space="0" w:color="auto"/>
            <w:left w:val="none" w:sz="0" w:space="0" w:color="auto"/>
            <w:bottom w:val="none" w:sz="0" w:space="0" w:color="auto"/>
            <w:right w:val="none" w:sz="0" w:space="0" w:color="auto"/>
          </w:divBdr>
          <w:divsChild>
            <w:div w:id="192113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609209">
      <w:bodyDiv w:val="1"/>
      <w:marLeft w:val="0"/>
      <w:marRight w:val="0"/>
      <w:marTop w:val="0"/>
      <w:marBottom w:val="0"/>
      <w:divBdr>
        <w:top w:val="none" w:sz="0" w:space="0" w:color="auto"/>
        <w:left w:val="none" w:sz="0" w:space="0" w:color="auto"/>
        <w:bottom w:val="none" w:sz="0" w:space="0" w:color="auto"/>
        <w:right w:val="none" w:sz="0" w:space="0" w:color="auto"/>
      </w:divBdr>
      <w:divsChild>
        <w:div w:id="1418357518">
          <w:marLeft w:val="0"/>
          <w:marRight w:val="0"/>
          <w:marTop w:val="0"/>
          <w:marBottom w:val="0"/>
          <w:divBdr>
            <w:top w:val="none" w:sz="0" w:space="0" w:color="auto"/>
            <w:left w:val="none" w:sz="0" w:space="0" w:color="auto"/>
            <w:bottom w:val="none" w:sz="0" w:space="0" w:color="auto"/>
            <w:right w:val="none" w:sz="0" w:space="0" w:color="auto"/>
          </w:divBdr>
          <w:divsChild>
            <w:div w:id="5474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07007">
      <w:bodyDiv w:val="1"/>
      <w:marLeft w:val="0"/>
      <w:marRight w:val="0"/>
      <w:marTop w:val="0"/>
      <w:marBottom w:val="0"/>
      <w:divBdr>
        <w:top w:val="none" w:sz="0" w:space="0" w:color="auto"/>
        <w:left w:val="none" w:sz="0" w:space="0" w:color="auto"/>
        <w:bottom w:val="none" w:sz="0" w:space="0" w:color="auto"/>
        <w:right w:val="none" w:sz="0" w:space="0" w:color="auto"/>
      </w:divBdr>
      <w:divsChild>
        <w:div w:id="1273325356">
          <w:marLeft w:val="0"/>
          <w:marRight w:val="0"/>
          <w:marTop w:val="0"/>
          <w:marBottom w:val="0"/>
          <w:divBdr>
            <w:top w:val="none" w:sz="0" w:space="0" w:color="auto"/>
            <w:left w:val="none" w:sz="0" w:space="0" w:color="auto"/>
            <w:bottom w:val="none" w:sz="0" w:space="0" w:color="auto"/>
            <w:right w:val="none" w:sz="0" w:space="0" w:color="auto"/>
          </w:divBdr>
          <w:divsChild>
            <w:div w:id="98188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926569">
      <w:bodyDiv w:val="1"/>
      <w:marLeft w:val="0"/>
      <w:marRight w:val="0"/>
      <w:marTop w:val="0"/>
      <w:marBottom w:val="0"/>
      <w:divBdr>
        <w:top w:val="none" w:sz="0" w:space="0" w:color="auto"/>
        <w:left w:val="none" w:sz="0" w:space="0" w:color="auto"/>
        <w:bottom w:val="none" w:sz="0" w:space="0" w:color="auto"/>
        <w:right w:val="none" w:sz="0" w:space="0" w:color="auto"/>
      </w:divBdr>
      <w:divsChild>
        <w:div w:id="1845900413">
          <w:marLeft w:val="0"/>
          <w:marRight w:val="0"/>
          <w:marTop w:val="0"/>
          <w:marBottom w:val="0"/>
          <w:divBdr>
            <w:top w:val="none" w:sz="0" w:space="0" w:color="auto"/>
            <w:left w:val="none" w:sz="0" w:space="0" w:color="auto"/>
            <w:bottom w:val="none" w:sz="0" w:space="0" w:color="auto"/>
            <w:right w:val="none" w:sz="0" w:space="0" w:color="auto"/>
          </w:divBdr>
          <w:divsChild>
            <w:div w:id="103469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87670">
      <w:bodyDiv w:val="1"/>
      <w:marLeft w:val="0"/>
      <w:marRight w:val="0"/>
      <w:marTop w:val="0"/>
      <w:marBottom w:val="0"/>
      <w:divBdr>
        <w:top w:val="none" w:sz="0" w:space="0" w:color="auto"/>
        <w:left w:val="none" w:sz="0" w:space="0" w:color="auto"/>
        <w:bottom w:val="none" w:sz="0" w:space="0" w:color="auto"/>
        <w:right w:val="none" w:sz="0" w:space="0" w:color="auto"/>
      </w:divBdr>
      <w:divsChild>
        <w:div w:id="1502772364">
          <w:marLeft w:val="0"/>
          <w:marRight w:val="0"/>
          <w:marTop w:val="0"/>
          <w:marBottom w:val="0"/>
          <w:divBdr>
            <w:top w:val="none" w:sz="0" w:space="0" w:color="auto"/>
            <w:left w:val="none" w:sz="0" w:space="0" w:color="auto"/>
            <w:bottom w:val="none" w:sz="0" w:space="0" w:color="auto"/>
            <w:right w:val="none" w:sz="0" w:space="0" w:color="auto"/>
          </w:divBdr>
          <w:divsChild>
            <w:div w:id="204709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458388">
      <w:bodyDiv w:val="1"/>
      <w:marLeft w:val="0"/>
      <w:marRight w:val="0"/>
      <w:marTop w:val="0"/>
      <w:marBottom w:val="0"/>
      <w:divBdr>
        <w:top w:val="none" w:sz="0" w:space="0" w:color="auto"/>
        <w:left w:val="none" w:sz="0" w:space="0" w:color="auto"/>
        <w:bottom w:val="none" w:sz="0" w:space="0" w:color="auto"/>
        <w:right w:val="none" w:sz="0" w:space="0" w:color="auto"/>
      </w:divBdr>
      <w:divsChild>
        <w:div w:id="1092975673">
          <w:marLeft w:val="0"/>
          <w:marRight w:val="0"/>
          <w:marTop w:val="0"/>
          <w:marBottom w:val="0"/>
          <w:divBdr>
            <w:top w:val="none" w:sz="0" w:space="0" w:color="auto"/>
            <w:left w:val="none" w:sz="0" w:space="0" w:color="auto"/>
            <w:bottom w:val="none" w:sz="0" w:space="0" w:color="auto"/>
            <w:right w:val="none" w:sz="0" w:space="0" w:color="auto"/>
          </w:divBdr>
          <w:divsChild>
            <w:div w:id="94195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90031">
      <w:bodyDiv w:val="1"/>
      <w:marLeft w:val="0"/>
      <w:marRight w:val="0"/>
      <w:marTop w:val="0"/>
      <w:marBottom w:val="0"/>
      <w:divBdr>
        <w:top w:val="none" w:sz="0" w:space="0" w:color="auto"/>
        <w:left w:val="none" w:sz="0" w:space="0" w:color="auto"/>
        <w:bottom w:val="none" w:sz="0" w:space="0" w:color="auto"/>
        <w:right w:val="none" w:sz="0" w:space="0" w:color="auto"/>
      </w:divBdr>
      <w:divsChild>
        <w:div w:id="1314137916">
          <w:marLeft w:val="0"/>
          <w:marRight w:val="0"/>
          <w:marTop w:val="0"/>
          <w:marBottom w:val="0"/>
          <w:divBdr>
            <w:top w:val="none" w:sz="0" w:space="0" w:color="auto"/>
            <w:left w:val="none" w:sz="0" w:space="0" w:color="auto"/>
            <w:bottom w:val="none" w:sz="0" w:space="0" w:color="auto"/>
            <w:right w:val="none" w:sz="0" w:space="0" w:color="auto"/>
          </w:divBdr>
          <w:divsChild>
            <w:div w:id="128230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273759">
      <w:bodyDiv w:val="1"/>
      <w:marLeft w:val="0"/>
      <w:marRight w:val="0"/>
      <w:marTop w:val="0"/>
      <w:marBottom w:val="0"/>
      <w:divBdr>
        <w:top w:val="none" w:sz="0" w:space="0" w:color="auto"/>
        <w:left w:val="none" w:sz="0" w:space="0" w:color="auto"/>
        <w:bottom w:val="none" w:sz="0" w:space="0" w:color="auto"/>
        <w:right w:val="none" w:sz="0" w:space="0" w:color="auto"/>
      </w:divBdr>
      <w:divsChild>
        <w:div w:id="1238707701">
          <w:marLeft w:val="0"/>
          <w:marRight w:val="0"/>
          <w:marTop w:val="0"/>
          <w:marBottom w:val="0"/>
          <w:divBdr>
            <w:top w:val="none" w:sz="0" w:space="0" w:color="auto"/>
            <w:left w:val="none" w:sz="0" w:space="0" w:color="auto"/>
            <w:bottom w:val="none" w:sz="0" w:space="0" w:color="auto"/>
            <w:right w:val="none" w:sz="0" w:space="0" w:color="auto"/>
          </w:divBdr>
          <w:divsChild>
            <w:div w:id="70506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435720">
      <w:bodyDiv w:val="1"/>
      <w:marLeft w:val="0"/>
      <w:marRight w:val="0"/>
      <w:marTop w:val="0"/>
      <w:marBottom w:val="0"/>
      <w:divBdr>
        <w:top w:val="none" w:sz="0" w:space="0" w:color="auto"/>
        <w:left w:val="none" w:sz="0" w:space="0" w:color="auto"/>
        <w:bottom w:val="none" w:sz="0" w:space="0" w:color="auto"/>
        <w:right w:val="none" w:sz="0" w:space="0" w:color="auto"/>
      </w:divBdr>
      <w:divsChild>
        <w:div w:id="895045482">
          <w:marLeft w:val="0"/>
          <w:marRight w:val="0"/>
          <w:marTop w:val="0"/>
          <w:marBottom w:val="0"/>
          <w:divBdr>
            <w:top w:val="none" w:sz="0" w:space="0" w:color="auto"/>
            <w:left w:val="none" w:sz="0" w:space="0" w:color="auto"/>
            <w:bottom w:val="none" w:sz="0" w:space="0" w:color="auto"/>
            <w:right w:val="none" w:sz="0" w:space="0" w:color="auto"/>
          </w:divBdr>
          <w:divsChild>
            <w:div w:id="4581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871976">
      <w:bodyDiv w:val="1"/>
      <w:marLeft w:val="0"/>
      <w:marRight w:val="0"/>
      <w:marTop w:val="0"/>
      <w:marBottom w:val="0"/>
      <w:divBdr>
        <w:top w:val="none" w:sz="0" w:space="0" w:color="auto"/>
        <w:left w:val="none" w:sz="0" w:space="0" w:color="auto"/>
        <w:bottom w:val="none" w:sz="0" w:space="0" w:color="auto"/>
        <w:right w:val="none" w:sz="0" w:space="0" w:color="auto"/>
      </w:divBdr>
      <w:divsChild>
        <w:div w:id="667247017">
          <w:marLeft w:val="0"/>
          <w:marRight w:val="0"/>
          <w:marTop w:val="0"/>
          <w:marBottom w:val="0"/>
          <w:divBdr>
            <w:top w:val="none" w:sz="0" w:space="0" w:color="auto"/>
            <w:left w:val="none" w:sz="0" w:space="0" w:color="auto"/>
            <w:bottom w:val="none" w:sz="0" w:space="0" w:color="auto"/>
            <w:right w:val="none" w:sz="0" w:space="0" w:color="auto"/>
          </w:divBdr>
          <w:divsChild>
            <w:div w:id="21693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68366">
      <w:bodyDiv w:val="1"/>
      <w:marLeft w:val="0"/>
      <w:marRight w:val="0"/>
      <w:marTop w:val="0"/>
      <w:marBottom w:val="0"/>
      <w:divBdr>
        <w:top w:val="none" w:sz="0" w:space="0" w:color="auto"/>
        <w:left w:val="none" w:sz="0" w:space="0" w:color="auto"/>
        <w:bottom w:val="none" w:sz="0" w:space="0" w:color="auto"/>
        <w:right w:val="none" w:sz="0" w:space="0" w:color="auto"/>
      </w:divBdr>
      <w:divsChild>
        <w:div w:id="275450589">
          <w:marLeft w:val="0"/>
          <w:marRight w:val="0"/>
          <w:marTop w:val="0"/>
          <w:marBottom w:val="0"/>
          <w:divBdr>
            <w:top w:val="none" w:sz="0" w:space="0" w:color="auto"/>
            <w:left w:val="none" w:sz="0" w:space="0" w:color="auto"/>
            <w:bottom w:val="none" w:sz="0" w:space="0" w:color="auto"/>
            <w:right w:val="none" w:sz="0" w:space="0" w:color="auto"/>
          </w:divBdr>
          <w:divsChild>
            <w:div w:id="15636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956455">
      <w:bodyDiv w:val="1"/>
      <w:marLeft w:val="0"/>
      <w:marRight w:val="0"/>
      <w:marTop w:val="0"/>
      <w:marBottom w:val="0"/>
      <w:divBdr>
        <w:top w:val="none" w:sz="0" w:space="0" w:color="auto"/>
        <w:left w:val="none" w:sz="0" w:space="0" w:color="auto"/>
        <w:bottom w:val="none" w:sz="0" w:space="0" w:color="auto"/>
        <w:right w:val="none" w:sz="0" w:space="0" w:color="auto"/>
      </w:divBdr>
      <w:divsChild>
        <w:div w:id="852836975">
          <w:marLeft w:val="0"/>
          <w:marRight w:val="0"/>
          <w:marTop w:val="0"/>
          <w:marBottom w:val="0"/>
          <w:divBdr>
            <w:top w:val="none" w:sz="0" w:space="0" w:color="auto"/>
            <w:left w:val="none" w:sz="0" w:space="0" w:color="auto"/>
            <w:bottom w:val="none" w:sz="0" w:space="0" w:color="auto"/>
            <w:right w:val="none" w:sz="0" w:space="0" w:color="auto"/>
          </w:divBdr>
          <w:divsChild>
            <w:div w:id="153099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493239">
      <w:bodyDiv w:val="1"/>
      <w:marLeft w:val="0"/>
      <w:marRight w:val="0"/>
      <w:marTop w:val="0"/>
      <w:marBottom w:val="0"/>
      <w:divBdr>
        <w:top w:val="none" w:sz="0" w:space="0" w:color="auto"/>
        <w:left w:val="none" w:sz="0" w:space="0" w:color="auto"/>
        <w:bottom w:val="none" w:sz="0" w:space="0" w:color="auto"/>
        <w:right w:val="none" w:sz="0" w:space="0" w:color="auto"/>
      </w:divBdr>
      <w:divsChild>
        <w:div w:id="136462572">
          <w:marLeft w:val="0"/>
          <w:marRight w:val="0"/>
          <w:marTop w:val="0"/>
          <w:marBottom w:val="0"/>
          <w:divBdr>
            <w:top w:val="none" w:sz="0" w:space="0" w:color="auto"/>
            <w:left w:val="none" w:sz="0" w:space="0" w:color="auto"/>
            <w:bottom w:val="none" w:sz="0" w:space="0" w:color="auto"/>
            <w:right w:val="none" w:sz="0" w:space="0" w:color="auto"/>
          </w:divBdr>
          <w:divsChild>
            <w:div w:id="156764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249752">
      <w:bodyDiv w:val="1"/>
      <w:marLeft w:val="0"/>
      <w:marRight w:val="0"/>
      <w:marTop w:val="0"/>
      <w:marBottom w:val="0"/>
      <w:divBdr>
        <w:top w:val="none" w:sz="0" w:space="0" w:color="auto"/>
        <w:left w:val="none" w:sz="0" w:space="0" w:color="auto"/>
        <w:bottom w:val="none" w:sz="0" w:space="0" w:color="auto"/>
        <w:right w:val="none" w:sz="0" w:space="0" w:color="auto"/>
      </w:divBdr>
      <w:divsChild>
        <w:div w:id="600991416">
          <w:marLeft w:val="0"/>
          <w:marRight w:val="0"/>
          <w:marTop w:val="0"/>
          <w:marBottom w:val="0"/>
          <w:divBdr>
            <w:top w:val="none" w:sz="0" w:space="0" w:color="auto"/>
            <w:left w:val="none" w:sz="0" w:space="0" w:color="auto"/>
            <w:bottom w:val="none" w:sz="0" w:space="0" w:color="auto"/>
            <w:right w:val="none" w:sz="0" w:space="0" w:color="auto"/>
          </w:divBdr>
          <w:divsChild>
            <w:div w:id="36530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742172">
      <w:bodyDiv w:val="1"/>
      <w:marLeft w:val="0"/>
      <w:marRight w:val="0"/>
      <w:marTop w:val="0"/>
      <w:marBottom w:val="0"/>
      <w:divBdr>
        <w:top w:val="none" w:sz="0" w:space="0" w:color="auto"/>
        <w:left w:val="none" w:sz="0" w:space="0" w:color="auto"/>
        <w:bottom w:val="none" w:sz="0" w:space="0" w:color="auto"/>
        <w:right w:val="none" w:sz="0" w:space="0" w:color="auto"/>
      </w:divBdr>
      <w:divsChild>
        <w:div w:id="1124078148">
          <w:marLeft w:val="0"/>
          <w:marRight w:val="0"/>
          <w:marTop w:val="0"/>
          <w:marBottom w:val="0"/>
          <w:divBdr>
            <w:top w:val="none" w:sz="0" w:space="0" w:color="auto"/>
            <w:left w:val="none" w:sz="0" w:space="0" w:color="auto"/>
            <w:bottom w:val="none" w:sz="0" w:space="0" w:color="auto"/>
            <w:right w:val="none" w:sz="0" w:space="0" w:color="auto"/>
          </w:divBdr>
          <w:divsChild>
            <w:div w:id="41578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364143">
      <w:bodyDiv w:val="1"/>
      <w:marLeft w:val="0"/>
      <w:marRight w:val="0"/>
      <w:marTop w:val="0"/>
      <w:marBottom w:val="0"/>
      <w:divBdr>
        <w:top w:val="none" w:sz="0" w:space="0" w:color="auto"/>
        <w:left w:val="none" w:sz="0" w:space="0" w:color="auto"/>
        <w:bottom w:val="none" w:sz="0" w:space="0" w:color="auto"/>
        <w:right w:val="none" w:sz="0" w:space="0" w:color="auto"/>
      </w:divBdr>
      <w:divsChild>
        <w:div w:id="951594346">
          <w:marLeft w:val="0"/>
          <w:marRight w:val="0"/>
          <w:marTop w:val="0"/>
          <w:marBottom w:val="0"/>
          <w:divBdr>
            <w:top w:val="none" w:sz="0" w:space="0" w:color="auto"/>
            <w:left w:val="none" w:sz="0" w:space="0" w:color="auto"/>
            <w:bottom w:val="none" w:sz="0" w:space="0" w:color="auto"/>
            <w:right w:val="none" w:sz="0" w:space="0" w:color="auto"/>
          </w:divBdr>
          <w:divsChild>
            <w:div w:id="44199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17956">
      <w:bodyDiv w:val="1"/>
      <w:marLeft w:val="0"/>
      <w:marRight w:val="0"/>
      <w:marTop w:val="0"/>
      <w:marBottom w:val="0"/>
      <w:divBdr>
        <w:top w:val="none" w:sz="0" w:space="0" w:color="auto"/>
        <w:left w:val="none" w:sz="0" w:space="0" w:color="auto"/>
        <w:bottom w:val="none" w:sz="0" w:space="0" w:color="auto"/>
        <w:right w:val="none" w:sz="0" w:space="0" w:color="auto"/>
      </w:divBdr>
      <w:divsChild>
        <w:div w:id="671685369">
          <w:marLeft w:val="0"/>
          <w:marRight w:val="0"/>
          <w:marTop w:val="0"/>
          <w:marBottom w:val="0"/>
          <w:divBdr>
            <w:top w:val="none" w:sz="0" w:space="0" w:color="auto"/>
            <w:left w:val="none" w:sz="0" w:space="0" w:color="auto"/>
            <w:bottom w:val="none" w:sz="0" w:space="0" w:color="auto"/>
            <w:right w:val="none" w:sz="0" w:space="0" w:color="auto"/>
          </w:divBdr>
          <w:divsChild>
            <w:div w:id="95821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903574">
      <w:bodyDiv w:val="1"/>
      <w:marLeft w:val="0"/>
      <w:marRight w:val="0"/>
      <w:marTop w:val="0"/>
      <w:marBottom w:val="0"/>
      <w:divBdr>
        <w:top w:val="none" w:sz="0" w:space="0" w:color="auto"/>
        <w:left w:val="none" w:sz="0" w:space="0" w:color="auto"/>
        <w:bottom w:val="none" w:sz="0" w:space="0" w:color="auto"/>
        <w:right w:val="none" w:sz="0" w:space="0" w:color="auto"/>
      </w:divBdr>
      <w:divsChild>
        <w:div w:id="224951050">
          <w:marLeft w:val="0"/>
          <w:marRight w:val="0"/>
          <w:marTop w:val="0"/>
          <w:marBottom w:val="0"/>
          <w:divBdr>
            <w:top w:val="none" w:sz="0" w:space="0" w:color="auto"/>
            <w:left w:val="none" w:sz="0" w:space="0" w:color="auto"/>
            <w:bottom w:val="none" w:sz="0" w:space="0" w:color="auto"/>
            <w:right w:val="none" w:sz="0" w:space="0" w:color="auto"/>
          </w:divBdr>
          <w:divsChild>
            <w:div w:id="38753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755880">
      <w:bodyDiv w:val="1"/>
      <w:marLeft w:val="0"/>
      <w:marRight w:val="0"/>
      <w:marTop w:val="0"/>
      <w:marBottom w:val="0"/>
      <w:divBdr>
        <w:top w:val="none" w:sz="0" w:space="0" w:color="auto"/>
        <w:left w:val="none" w:sz="0" w:space="0" w:color="auto"/>
        <w:bottom w:val="none" w:sz="0" w:space="0" w:color="auto"/>
        <w:right w:val="none" w:sz="0" w:space="0" w:color="auto"/>
      </w:divBdr>
      <w:divsChild>
        <w:div w:id="807866735">
          <w:marLeft w:val="0"/>
          <w:marRight w:val="0"/>
          <w:marTop w:val="0"/>
          <w:marBottom w:val="0"/>
          <w:divBdr>
            <w:top w:val="none" w:sz="0" w:space="0" w:color="auto"/>
            <w:left w:val="none" w:sz="0" w:space="0" w:color="auto"/>
            <w:bottom w:val="none" w:sz="0" w:space="0" w:color="auto"/>
            <w:right w:val="none" w:sz="0" w:space="0" w:color="auto"/>
          </w:divBdr>
          <w:divsChild>
            <w:div w:id="134658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679640">
      <w:bodyDiv w:val="1"/>
      <w:marLeft w:val="0"/>
      <w:marRight w:val="0"/>
      <w:marTop w:val="0"/>
      <w:marBottom w:val="0"/>
      <w:divBdr>
        <w:top w:val="none" w:sz="0" w:space="0" w:color="auto"/>
        <w:left w:val="none" w:sz="0" w:space="0" w:color="auto"/>
        <w:bottom w:val="none" w:sz="0" w:space="0" w:color="auto"/>
        <w:right w:val="none" w:sz="0" w:space="0" w:color="auto"/>
      </w:divBdr>
      <w:divsChild>
        <w:div w:id="199828965">
          <w:marLeft w:val="0"/>
          <w:marRight w:val="0"/>
          <w:marTop w:val="0"/>
          <w:marBottom w:val="0"/>
          <w:divBdr>
            <w:top w:val="none" w:sz="0" w:space="0" w:color="auto"/>
            <w:left w:val="none" w:sz="0" w:space="0" w:color="auto"/>
            <w:bottom w:val="none" w:sz="0" w:space="0" w:color="auto"/>
            <w:right w:val="none" w:sz="0" w:space="0" w:color="auto"/>
          </w:divBdr>
          <w:divsChild>
            <w:div w:id="63965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07304">
      <w:bodyDiv w:val="1"/>
      <w:marLeft w:val="0"/>
      <w:marRight w:val="0"/>
      <w:marTop w:val="0"/>
      <w:marBottom w:val="0"/>
      <w:divBdr>
        <w:top w:val="none" w:sz="0" w:space="0" w:color="auto"/>
        <w:left w:val="none" w:sz="0" w:space="0" w:color="auto"/>
        <w:bottom w:val="none" w:sz="0" w:space="0" w:color="auto"/>
        <w:right w:val="none" w:sz="0" w:space="0" w:color="auto"/>
      </w:divBdr>
      <w:divsChild>
        <w:div w:id="1242449668">
          <w:marLeft w:val="0"/>
          <w:marRight w:val="0"/>
          <w:marTop w:val="0"/>
          <w:marBottom w:val="0"/>
          <w:divBdr>
            <w:top w:val="none" w:sz="0" w:space="0" w:color="auto"/>
            <w:left w:val="none" w:sz="0" w:space="0" w:color="auto"/>
            <w:bottom w:val="none" w:sz="0" w:space="0" w:color="auto"/>
            <w:right w:val="none" w:sz="0" w:space="0" w:color="auto"/>
          </w:divBdr>
          <w:divsChild>
            <w:div w:id="159504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151390">
      <w:bodyDiv w:val="1"/>
      <w:marLeft w:val="0"/>
      <w:marRight w:val="0"/>
      <w:marTop w:val="0"/>
      <w:marBottom w:val="0"/>
      <w:divBdr>
        <w:top w:val="none" w:sz="0" w:space="0" w:color="auto"/>
        <w:left w:val="none" w:sz="0" w:space="0" w:color="auto"/>
        <w:bottom w:val="none" w:sz="0" w:space="0" w:color="auto"/>
        <w:right w:val="none" w:sz="0" w:space="0" w:color="auto"/>
      </w:divBdr>
      <w:divsChild>
        <w:div w:id="93130896">
          <w:marLeft w:val="0"/>
          <w:marRight w:val="0"/>
          <w:marTop w:val="0"/>
          <w:marBottom w:val="0"/>
          <w:divBdr>
            <w:top w:val="none" w:sz="0" w:space="0" w:color="auto"/>
            <w:left w:val="none" w:sz="0" w:space="0" w:color="auto"/>
            <w:bottom w:val="none" w:sz="0" w:space="0" w:color="auto"/>
            <w:right w:val="none" w:sz="0" w:space="0" w:color="auto"/>
          </w:divBdr>
          <w:divsChild>
            <w:div w:id="25093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435712">
      <w:bodyDiv w:val="1"/>
      <w:marLeft w:val="0"/>
      <w:marRight w:val="0"/>
      <w:marTop w:val="0"/>
      <w:marBottom w:val="0"/>
      <w:divBdr>
        <w:top w:val="none" w:sz="0" w:space="0" w:color="auto"/>
        <w:left w:val="none" w:sz="0" w:space="0" w:color="auto"/>
        <w:bottom w:val="none" w:sz="0" w:space="0" w:color="auto"/>
        <w:right w:val="none" w:sz="0" w:space="0" w:color="auto"/>
      </w:divBdr>
      <w:divsChild>
        <w:div w:id="1037120882">
          <w:marLeft w:val="0"/>
          <w:marRight w:val="0"/>
          <w:marTop w:val="0"/>
          <w:marBottom w:val="0"/>
          <w:divBdr>
            <w:top w:val="none" w:sz="0" w:space="0" w:color="auto"/>
            <w:left w:val="none" w:sz="0" w:space="0" w:color="auto"/>
            <w:bottom w:val="none" w:sz="0" w:space="0" w:color="auto"/>
            <w:right w:val="none" w:sz="0" w:space="0" w:color="auto"/>
          </w:divBdr>
          <w:divsChild>
            <w:div w:id="166566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cybsec/tyab010" TargetMode="External"/><Relationship Id="rId18" Type="http://schemas.openxmlformats.org/officeDocument/2006/relationships/hyperlink" Target="https://doi.org/10.1155/2023/9856063" TargetMode="External"/><Relationship Id="rId26" Type="http://schemas.openxmlformats.org/officeDocument/2006/relationships/hyperlink" Target="https://doi.org/10.1057/s41291-025-00312-w" TargetMode="External"/><Relationship Id="rId39" Type="http://schemas.openxmlformats.org/officeDocument/2006/relationships/hyperlink" Target="https://doi.org/10.1080/19393555.2025.2489421" TargetMode="External"/><Relationship Id="rId21" Type="http://schemas.openxmlformats.org/officeDocument/2006/relationships/hyperlink" Target="https://doi.org/10.1108/JKM-12-2022-0944" TargetMode="External"/><Relationship Id="rId34" Type="http://schemas.openxmlformats.org/officeDocument/2006/relationships/hyperlink" Target="https://doi.org/10.1007/s00146-022-01430-1" TargetMode="External"/><Relationship Id="rId42" Type="http://schemas.openxmlformats.org/officeDocument/2006/relationships/hyperlink" Target="https://doi.org/10.1016/j.jretconser.2026.104813" TargetMode="Externa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doi.org/10.1057/s41288-022-00266-6" TargetMode="External"/><Relationship Id="rId29" Type="http://schemas.openxmlformats.org/officeDocument/2006/relationships/hyperlink" Target="https://doi.org/10.1007/s43546-022-0032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14/ajlais.e35116" TargetMode="External"/><Relationship Id="rId24" Type="http://schemas.openxmlformats.org/officeDocument/2006/relationships/hyperlink" Target="https://doi.org/10.1108/JFC-01-2022-0022" TargetMode="External"/><Relationship Id="rId32" Type="http://schemas.openxmlformats.org/officeDocument/2006/relationships/hyperlink" Target="https://doi.org/10.3390/su18062768" TargetMode="External"/><Relationship Id="rId37" Type="http://schemas.openxmlformats.org/officeDocument/2006/relationships/hyperlink" Target="https://doi.org/10.1365/s43439-022-00062-x" TargetMode="External"/><Relationship Id="rId40" Type="http://schemas.openxmlformats.org/officeDocument/2006/relationships/hyperlink" Target="https://doi.org/10.1016/j.techsoc.2025.103105"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08/BPMJ-11-2022-0578" TargetMode="External"/><Relationship Id="rId23" Type="http://schemas.openxmlformats.org/officeDocument/2006/relationships/hyperlink" Target="https://doi.org/10.2218/scrip.22.2.2025.12002" TargetMode="External"/><Relationship Id="rId28" Type="http://schemas.openxmlformats.org/officeDocument/2006/relationships/hyperlink" Target="https://doi.org/10.1155/2022/6790836" TargetMode="External"/><Relationship Id="rId36" Type="http://schemas.openxmlformats.org/officeDocument/2006/relationships/hyperlink" Target="https://doi.org/10.1016/j.jlp.2021.104648" TargetMode="External"/><Relationship Id="rId10" Type="http://schemas.openxmlformats.org/officeDocument/2006/relationships/footer" Target="footer1.xml"/><Relationship Id="rId19" Type="http://schemas.openxmlformats.org/officeDocument/2006/relationships/hyperlink" Target="https://doi.org/10.1111/ijcs.70111" TargetMode="External"/><Relationship Id="rId31" Type="http://schemas.openxmlformats.org/officeDocument/2006/relationships/hyperlink" Target="https://doi.org/10.3390/info14110600" TargetMode="External"/><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016/j.cose.2023.103288" TargetMode="External"/><Relationship Id="rId22" Type="http://schemas.openxmlformats.org/officeDocument/2006/relationships/hyperlink" Target="https://doi.org/10.1080/09593969.2023.2178023" TargetMode="External"/><Relationship Id="rId27" Type="http://schemas.openxmlformats.org/officeDocument/2006/relationships/hyperlink" Target="https://doi.org/10.1108/IJLM-03-2020-0149" TargetMode="External"/><Relationship Id="rId30" Type="http://schemas.openxmlformats.org/officeDocument/2006/relationships/hyperlink" Target="https://doi.org/10.22059/imj.2025.400267.1008259" TargetMode="External"/><Relationship Id="rId35" Type="http://schemas.openxmlformats.org/officeDocument/2006/relationships/hyperlink" Target="https://doi.org/10.1007/s11142-023-09783-8" TargetMode="External"/><Relationship Id="rId43" Type="http://schemas.openxmlformats.org/officeDocument/2006/relationships/hyperlink" Target="https://doi.org/10.1155/2021/9947811"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s://doi.org/10.1613/jair.1.12670" TargetMode="External"/><Relationship Id="rId17" Type="http://schemas.openxmlformats.org/officeDocument/2006/relationships/hyperlink" Target="https://doi.org/10.1016/j.clsr.2020.105513" TargetMode="External"/><Relationship Id="rId25" Type="http://schemas.openxmlformats.org/officeDocument/2006/relationships/hyperlink" Target="https://doi.org/10.1177/2329488418777037" TargetMode="External"/><Relationship Id="rId33" Type="http://schemas.openxmlformats.org/officeDocument/2006/relationships/hyperlink" Target="https://doi.org/10.1016/j.frl.2025.106939" TargetMode="External"/><Relationship Id="rId38" Type="http://schemas.openxmlformats.org/officeDocument/2006/relationships/hyperlink" Target="https://doi.org/10.1016/j.cose.2026.104859" TargetMode="External"/><Relationship Id="rId20" Type="http://schemas.openxmlformats.org/officeDocument/2006/relationships/hyperlink" Target="https://doi.org/10.1016/j.respol.2021.104425" TargetMode="External"/><Relationship Id="rId41" Type="http://schemas.openxmlformats.org/officeDocument/2006/relationships/hyperlink" Target="https://doi.org/10.1007/s44354-025-000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DE680E-A314-41B5-A4CA-DEEB74251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24</Pages>
  <Words>7279</Words>
  <Characters>41494</Characters>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2026-04-26T20:21:00Z</dcterms:created>
  <dcterms:modified xsi:type="dcterms:W3CDTF">2026-04-27T04:48:00Z</dcterms:modified>
</cp:coreProperties>
</file>