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73022" w14:textId="4712E79B" w:rsidR="007E0B2E" w:rsidRPr="00A773A0" w:rsidRDefault="007E0B2E" w:rsidP="00A773A0">
      <w:pPr>
        <w:spacing w:line="360" w:lineRule="auto"/>
        <w:jc w:val="center"/>
        <w:rPr>
          <w:rFonts w:ascii="Times New Roman" w:hAnsi="Times New Roman" w:cs="Times New Roman"/>
          <w:b/>
          <w:bCs/>
          <w:sz w:val="28"/>
          <w:szCs w:val="28"/>
        </w:rPr>
      </w:pPr>
      <w:r w:rsidRPr="00A773A0">
        <w:rPr>
          <w:rFonts w:ascii="Times New Roman" w:hAnsi="Times New Roman" w:cs="Times New Roman"/>
          <w:b/>
          <w:bCs/>
          <w:sz w:val="28"/>
          <w:szCs w:val="28"/>
        </w:rPr>
        <w:t>"They Prefer White People and American English”: Racialized English Language Teaching, African English Teachers and Identity Insecurity in China</w:t>
      </w:r>
    </w:p>
    <w:p w14:paraId="4382E9AA" w14:textId="77777777" w:rsidR="00A773A0" w:rsidRDefault="00A773A0" w:rsidP="00A773A0">
      <w:pPr>
        <w:spacing w:line="360" w:lineRule="auto"/>
        <w:ind w:firstLineChars="200" w:firstLine="480"/>
        <w:rPr>
          <w:rFonts w:ascii="Times New Roman" w:hAnsi="Times New Roman" w:cs="Times New Roman"/>
          <w:b/>
          <w:bCs/>
        </w:rPr>
      </w:pPr>
    </w:p>
    <w:p w14:paraId="05DBFE06" w14:textId="77777777" w:rsidR="00A773A0" w:rsidRDefault="00A773A0" w:rsidP="00A773A0">
      <w:pPr>
        <w:spacing w:line="360" w:lineRule="auto"/>
        <w:ind w:firstLineChars="200" w:firstLine="480"/>
        <w:rPr>
          <w:rFonts w:ascii="Times New Roman" w:hAnsi="Times New Roman" w:cs="Times New Roman"/>
          <w:b/>
          <w:bCs/>
        </w:rPr>
      </w:pPr>
    </w:p>
    <w:p w14:paraId="7AD638A6" w14:textId="77777777" w:rsidR="00A773A0" w:rsidRDefault="00A773A0" w:rsidP="00A773A0">
      <w:pPr>
        <w:spacing w:line="360" w:lineRule="auto"/>
        <w:ind w:firstLineChars="200" w:firstLine="480"/>
        <w:rPr>
          <w:rFonts w:ascii="Times New Roman" w:hAnsi="Times New Roman" w:cs="Times New Roman"/>
          <w:b/>
          <w:bCs/>
        </w:rPr>
      </w:pPr>
    </w:p>
    <w:p w14:paraId="6143EFAF" w14:textId="77777777" w:rsidR="004C7387" w:rsidRDefault="004C7387" w:rsidP="00A773A0">
      <w:pPr>
        <w:spacing w:line="360" w:lineRule="auto"/>
        <w:ind w:firstLineChars="200" w:firstLine="480"/>
        <w:rPr>
          <w:rFonts w:ascii="Times New Roman" w:hAnsi="Times New Roman" w:cs="Times New Roman"/>
          <w:b/>
          <w:bCs/>
        </w:rPr>
      </w:pPr>
    </w:p>
    <w:p w14:paraId="2F6E5933" w14:textId="24A75C0B" w:rsidR="007E0B2E" w:rsidRPr="00A773A0" w:rsidRDefault="007E0B2E" w:rsidP="00A773A0">
      <w:pPr>
        <w:spacing w:line="360" w:lineRule="auto"/>
        <w:ind w:firstLineChars="200" w:firstLine="480"/>
        <w:rPr>
          <w:rFonts w:ascii="Times New Roman" w:hAnsi="Times New Roman" w:cs="Times New Roman"/>
          <w:b/>
          <w:bCs/>
        </w:rPr>
      </w:pPr>
      <w:r w:rsidRPr="00A773A0">
        <w:rPr>
          <w:rFonts w:ascii="Times New Roman" w:hAnsi="Times New Roman" w:cs="Times New Roman"/>
          <w:b/>
          <w:bCs/>
        </w:rPr>
        <w:t xml:space="preserve">1. Introduction </w:t>
      </w:r>
    </w:p>
    <w:p w14:paraId="188B2F78" w14:textId="6203BD49"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Wen Xu’s (2025) peer-reviewed article, published in </w:t>
      </w:r>
      <w:r w:rsidRPr="00A773A0">
        <w:rPr>
          <w:rFonts w:ascii="Times New Roman" w:hAnsi="Times New Roman" w:cs="Times New Roman"/>
          <w:i/>
          <w:iCs/>
        </w:rPr>
        <w:t>TESOL Quarterly</w:t>
      </w:r>
      <w:r w:rsidRPr="00A773A0">
        <w:rPr>
          <w:rFonts w:ascii="Times New Roman" w:hAnsi="Times New Roman" w:cs="Times New Roman"/>
        </w:rPr>
        <w:t xml:space="preserve">, </w:t>
      </w:r>
      <w:r w:rsidR="006A1943" w:rsidRPr="00A773A0">
        <w:rPr>
          <w:rFonts w:ascii="Times New Roman" w:hAnsi="Times New Roman" w:cs="Times New Roman"/>
        </w:rPr>
        <w:t>fills a significant knowledge gap about the racialized dynamics of English Language Teaching (ELT) in China</w:t>
      </w:r>
      <w:r w:rsidRPr="00A773A0">
        <w:rPr>
          <w:rFonts w:ascii="Times New Roman" w:hAnsi="Times New Roman" w:cs="Times New Roman"/>
        </w:rPr>
        <w:t>. While prior research on race and ELT has predominantly focused on Anglophone contexts, China’s unique position as the world’s largest ELT market—boasting 50,000 training institutions and a $72 billion value by 2018—</w:t>
      </w:r>
      <w:r w:rsidR="006A1943" w:rsidRPr="00A773A0">
        <w:rPr>
          <w:rFonts w:ascii="Times New Roman" w:hAnsi="Times New Roman" w:cs="Times New Roman"/>
        </w:rPr>
        <w:t>as well as its estimated 500,000 African residents</w:t>
      </w:r>
      <w:r w:rsidRPr="00A773A0">
        <w:rPr>
          <w:rFonts w:ascii="Times New Roman" w:hAnsi="Times New Roman" w:cs="Times New Roman"/>
        </w:rPr>
        <w:t xml:space="preserve">, </w:t>
      </w:r>
      <w:r w:rsidR="006A1943" w:rsidRPr="00A773A0">
        <w:rPr>
          <w:rFonts w:ascii="Times New Roman" w:hAnsi="Times New Roman" w:cs="Times New Roman"/>
        </w:rPr>
        <w:t>including an increasing number of African Black EFL teachers, call for immediate scholarly investigation</w:t>
      </w:r>
      <w:r w:rsidRPr="00A773A0">
        <w:rPr>
          <w:rFonts w:ascii="Times New Roman" w:hAnsi="Times New Roman" w:cs="Times New Roman"/>
        </w:rPr>
        <w:t xml:space="preserve">. </w:t>
      </w:r>
    </w:p>
    <w:p w14:paraId="1E2F3B6D" w14:textId="0FA5F58C" w:rsidR="007E0B2E" w:rsidRPr="00A773A0" w:rsidRDefault="003C31F1" w:rsidP="00A773A0">
      <w:pPr>
        <w:spacing w:line="360" w:lineRule="auto"/>
        <w:ind w:firstLineChars="200" w:firstLine="480"/>
        <w:rPr>
          <w:rFonts w:ascii="Times New Roman" w:hAnsi="Times New Roman" w:cs="Times New Roman"/>
        </w:rPr>
      </w:pPr>
      <w:bookmarkStart w:id="0" w:name="OLE_LINK1"/>
      <w:r w:rsidRPr="00A773A0">
        <w:rPr>
          <w:rFonts w:ascii="Times New Roman" w:hAnsi="Times New Roman" w:cs="Times New Roman"/>
        </w:rPr>
        <w:t xml:space="preserve">The ELT sector was transformed by China's 2021 "Double Reduction" policy, which shifted its emphasis to adult education and premium overseas programs. </w:t>
      </w:r>
      <w:r w:rsidR="007E0B2E" w:rsidRPr="00A773A0">
        <w:rPr>
          <w:rFonts w:ascii="Times New Roman" w:hAnsi="Times New Roman" w:cs="Times New Roman"/>
        </w:rPr>
        <w:t xml:space="preserve">This restructuring intensified competition for “desirable” foreign teachers, amplifying racial biases in hiring, salary structures, and marketing practices (Lan, 2022)—the sociopolitical context that frames Xu’s study. </w:t>
      </w:r>
      <w:r w:rsidRPr="00A773A0">
        <w:rPr>
          <w:rFonts w:ascii="Times New Roman" w:hAnsi="Times New Roman" w:cs="Times New Roman"/>
        </w:rPr>
        <w:t>Whiteness is still commodified in the ELT industry despite the growing number of non-white English teachers in China. This is because middle-class parents are willing to pay premium fees for white Western instructors in order to increase their children's global capital</w:t>
      </w:r>
      <w:r w:rsidR="007E0B2E" w:rsidRPr="00A773A0">
        <w:rPr>
          <w:rFonts w:ascii="Times New Roman" w:hAnsi="Times New Roman" w:cs="Times New Roman"/>
        </w:rPr>
        <w:t xml:space="preserve">. </w:t>
      </w:r>
      <w:r w:rsidR="008269C8" w:rsidRPr="00A773A0">
        <w:rPr>
          <w:rFonts w:ascii="Times New Roman" w:hAnsi="Times New Roman" w:cs="Times New Roman"/>
        </w:rPr>
        <w:t>However, there is still a lack of research on African EFL teachers' experiences of racialization in China; what is known is either focused on Western contexts or more general Asian ELT dynamics</w:t>
      </w:r>
      <w:r w:rsidR="007E0B2E" w:rsidRPr="00A773A0">
        <w:rPr>
          <w:rFonts w:ascii="Times New Roman" w:hAnsi="Times New Roman" w:cs="Times New Roman"/>
        </w:rPr>
        <w:t>.</w:t>
      </w:r>
    </w:p>
    <w:bookmarkEnd w:id="0"/>
    <w:p w14:paraId="15077B99" w14:textId="48997B8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This critique evaluates Xu’s work through a structured analysis of its theoretical grounding, hypotheses, methodology, results, and their interconnections. Drawing on module materials—including Kubota &amp; Lin’s (2006) race framework and Braun &amp; Clarke’s (2006) thematic analysis guidelines—this paper assesses how the study </w:t>
      </w:r>
      <w:r w:rsidRPr="00A773A0">
        <w:rPr>
          <w:rFonts w:ascii="Times New Roman" w:hAnsi="Times New Roman" w:cs="Times New Roman"/>
        </w:rPr>
        <w:lastRenderedPageBreak/>
        <w:t>addresses research challenges, navigates limitations, and maintains a balanced analytical tone. By examining the racialized experiences of African EFL teachers in China, Xu’s research not only fills a geographic and thematic gap in TESOL scholarship but also contributes to critical debates on linguistic racism, native speakerism, and identity formation in non-Anglophone ELT contexts.</w:t>
      </w:r>
    </w:p>
    <w:p w14:paraId="5B1D5C7F" w14:textId="77777777" w:rsidR="007E0B2E" w:rsidRDefault="007E0B2E" w:rsidP="00A773A0">
      <w:pPr>
        <w:spacing w:line="360" w:lineRule="auto"/>
        <w:rPr>
          <w:rFonts w:ascii="Times New Roman" w:hAnsi="Times New Roman" w:cs="Times New Roman"/>
        </w:rPr>
      </w:pPr>
    </w:p>
    <w:p w14:paraId="246CB712" w14:textId="77777777" w:rsidR="00A773A0" w:rsidRDefault="00A773A0" w:rsidP="00A773A0">
      <w:pPr>
        <w:spacing w:line="360" w:lineRule="auto"/>
        <w:rPr>
          <w:rFonts w:ascii="Times New Roman" w:hAnsi="Times New Roman" w:cs="Times New Roman"/>
        </w:rPr>
      </w:pPr>
    </w:p>
    <w:p w14:paraId="20A18CB6" w14:textId="77777777" w:rsidR="00A773A0" w:rsidRDefault="00A773A0" w:rsidP="00A773A0">
      <w:pPr>
        <w:spacing w:line="360" w:lineRule="auto"/>
        <w:rPr>
          <w:rFonts w:ascii="Times New Roman" w:hAnsi="Times New Roman" w:cs="Times New Roman"/>
        </w:rPr>
      </w:pPr>
    </w:p>
    <w:p w14:paraId="4013EB68" w14:textId="77777777" w:rsidR="00A773A0" w:rsidRPr="00A773A0" w:rsidRDefault="00A773A0" w:rsidP="00A773A0">
      <w:pPr>
        <w:spacing w:line="360" w:lineRule="auto"/>
        <w:rPr>
          <w:rFonts w:ascii="Times New Roman" w:hAnsi="Times New Roman" w:cs="Times New Roman"/>
        </w:rPr>
      </w:pPr>
    </w:p>
    <w:p w14:paraId="10724BA8" w14:textId="20EC16CB" w:rsidR="007E0B2E" w:rsidRPr="00A773A0" w:rsidRDefault="007E0B2E" w:rsidP="00A773A0">
      <w:pPr>
        <w:spacing w:line="360" w:lineRule="auto"/>
        <w:ind w:firstLineChars="200" w:firstLine="480"/>
        <w:rPr>
          <w:rFonts w:ascii="Times New Roman" w:hAnsi="Times New Roman" w:cs="Times New Roman"/>
          <w:b/>
          <w:bCs/>
        </w:rPr>
      </w:pPr>
      <w:r w:rsidRPr="00A773A0">
        <w:rPr>
          <w:rFonts w:ascii="Times New Roman" w:hAnsi="Times New Roman" w:cs="Times New Roman"/>
          <w:b/>
          <w:bCs/>
        </w:rPr>
        <w:t>2. Analysis</w:t>
      </w:r>
    </w:p>
    <w:p w14:paraId="0BCD2581" w14:textId="0FADD0C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2.1 Theoretical Orientation</w:t>
      </w:r>
    </w:p>
    <w:p w14:paraId="5824858D" w14:textId="66060711"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study is anchored in Applied Linguistics, with a core focus on Critical Applied Linguistics (CAL) and interdisciplinary insights from Raciolinguistics—three interconnected frameworks that inform its analysis of race, language, and power in China’s ELT industry.</w:t>
      </w:r>
    </w:p>
    <w:p w14:paraId="0C245B33" w14:textId="77777777" w:rsidR="007E0B2E" w:rsidRPr="00A773A0" w:rsidRDefault="007E0B2E" w:rsidP="00A773A0">
      <w:pPr>
        <w:spacing w:line="360" w:lineRule="auto"/>
        <w:rPr>
          <w:rFonts w:ascii="Times New Roman" w:hAnsi="Times New Roman" w:cs="Times New Roman"/>
        </w:rPr>
      </w:pPr>
    </w:p>
    <w:p w14:paraId="69CB795C" w14:textId="18CAF61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2.1.1 Broad Field: Applied Linguistics</w:t>
      </w:r>
    </w:p>
    <w:p w14:paraId="3DFBA35A" w14:textId="0A85014C" w:rsidR="007E0B2E" w:rsidRPr="00A773A0" w:rsidRDefault="008B3A0F"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By putting context-specific concerns ahead of abstract linguistic research, applied linguistics connects linguistic theory with practical application.</w:t>
      </w:r>
      <w:r w:rsidR="007E0B2E" w:rsidRPr="00A773A0">
        <w:rPr>
          <w:rFonts w:ascii="Times New Roman" w:hAnsi="Times New Roman" w:cs="Times New Roman"/>
        </w:rPr>
        <w:t xml:space="preserve"> Xu’s exploration of racial and linguistic hierarchies in China’s ELT sector exemplifies the field’s commitment to addressing practical inequalities, as it examines how language teaching reproduces social power dynamics in a globalized market.</w:t>
      </w:r>
    </w:p>
    <w:p w14:paraId="79B680DE" w14:textId="77777777" w:rsidR="007E0B2E" w:rsidRPr="00A773A0" w:rsidRDefault="007E0B2E" w:rsidP="00A773A0">
      <w:pPr>
        <w:spacing w:line="360" w:lineRule="auto"/>
        <w:rPr>
          <w:rFonts w:ascii="Times New Roman" w:hAnsi="Times New Roman" w:cs="Times New Roman"/>
        </w:rPr>
      </w:pPr>
    </w:p>
    <w:p w14:paraId="697AC84C" w14:textId="54A91ACA"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2.1.2 Core Subfield: Critical Applied Linguistics (CAL)</w:t>
      </w:r>
    </w:p>
    <w:p w14:paraId="2662EAFF" w14:textId="04917E89"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CAL rejects the notion of language as a “neutral tool,” instead analyzing how language constructs and reinforces hierarchies based on race, class, and gender. Xu’s study draws on three foundational CAL theories:</w:t>
      </w:r>
    </w:p>
    <w:p w14:paraId="3BDDF4E1" w14:textId="5CAFF5E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Racialized ELT Theory: Positions ELT as a sociopolitical site where racial hierarchies are reproduced through institutional policies and curricular norms (Kubota &amp; Lin, 2006).</w:t>
      </w:r>
    </w:p>
    <w:p w14:paraId="4D083713" w14:textId="657A931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lastRenderedPageBreak/>
        <w:t>- Linguistic Racism Theory: Critiques ideologies that link racial identity to linguistic legitimacy, exposing how non-dominant language varieties are devalued (</w:t>
      </w:r>
      <w:proofErr w:type="spellStart"/>
      <w:r w:rsidRPr="00A773A0">
        <w:rPr>
          <w:rFonts w:ascii="Times New Roman" w:hAnsi="Times New Roman" w:cs="Times New Roman"/>
        </w:rPr>
        <w:t>Dovchin</w:t>
      </w:r>
      <w:proofErr w:type="spellEnd"/>
      <w:r w:rsidRPr="00A773A0">
        <w:rPr>
          <w:rFonts w:ascii="Times New Roman" w:hAnsi="Times New Roman" w:cs="Times New Roman"/>
        </w:rPr>
        <w:t>, 2020a).</w:t>
      </w:r>
    </w:p>
    <w:p w14:paraId="4F35BDDA" w14:textId="04443CF4"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Native Speakerism: Challenges the hegemonic idea that whiteness and Western nationality equate to “authentic English,” deconstructing the privileging of “inner circle” (U.S., UK) teachers over “outer circle” (South</w:t>
      </w:r>
      <w:r w:rsidR="00955D76" w:rsidRPr="00A773A0">
        <w:rPr>
          <w:rFonts w:ascii="Times New Roman" w:hAnsi="Times New Roman" w:cs="Times New Roman"/>
        </w:rPr>
        <w:t xml:space="preserve">, </w:t>
      </w:r>
      <w:r w:rsidRPr="00A773A0">
        <w:rPr>
          <w:rFonts w:ascii="Times New Roman" w:hAnsi="Times New Roman" w:cs="Times New Roman"/>
        </w:rPr>
        <w:t>Africa) or “expanding circle” (China) counterparts.</w:t>
      </w:r>
    </w:p>
    <w:p w14:paraId="1C242B8C" w14:textId="04815D7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These theories align with CAL’s core mission: to “reflect on and challenge social inequality through language”.</w:t>
      </w:r>
    </w:p>
    <w:p w14:paraId="32A76BE8" w14:textId="77777777" w:rsidR="007E0B2E" w:rsidRPr="00A773A0" w:rsidRDefault="007E0B2E" w:rsidP="00A773A0">
      <w:pPr>
        <w:spacing w:line="360" w:lineRule="auto"/>
        <w:rPr>
          <w:rFonts w:ascii="Times New Roman" w:hAnsi="Times New Roman" w:cs="Times New Roman"/>
        </w:rPr>
      </w:pPr>
    </w:p>
    <w:p w14:paraId="5BE37926" w14:textId="15B7E6DA"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2.1.3 Key Interdisciplinary Perspective: </w:t>
      </w:r>
      <w:r w:rsidR="00955D76" w:rsidRPr="00A773A0">
        <w:rPr>
          <w:rFonts w:ascii="Times New Roman" w:hAnsi="Times New Roman" w:cs="Times New Roman"/>
        </w:rPr>
        <w:t>Raciolinguistics</w:t>
      </w:r>
    </w:p>
    <w:p w14:paraId="40AB86CA" w14:textId="191F01C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Raciolinguistics argues that language and race mutually shape social power—an idea central to Xu’s analysis. The framework’s focus on “</w:t>
      </w:r>
      <w:proofErr w:type="spellStart"/>
      <w:r w:rsidRPr="00A773A0">
        <w:rPr>
          <w:rFonts w:ascii="Times New Roman" w:hAnsi="Times New Roman" w:cs="Times New Roman"/>
        </w:rPr>
        <w:t>raciolinguistic</w:t>
      </w:r>
      <w:proofErr w:type="spellEnd"/>
      <w:r w:rsidRPr="00A773A0">
        <w:rPr>
          <w:rFonts w:ascii="Times New Roman" w:hAnsi="Times New Roman" w:cs="Times New Roman"/>
        </w:rPr>
        <w:t xml:space="preserve"> essentialism”—the belief that racial identity determines linguistic legitimacy—directly informs the study’s examination of African teachers’ denied linguistic authority in China. By integrating CAL with Raciolinguistics, Xu highlights how language and race intersect to marginalize teachers of color, even when they are native English speakers.</w:t>
      </w:r>
    </w:p>
    <w:p w14:paraId="0F5EC103" w14:textId="77777777" w:rsidR="007E0B2E" w:rsidRPr="00A773A0" w:rsidRDefault="007E0B2E" w:rsidP="00A773A0">
      <w:pPr>
        <w:spacing w:line="360" w:lineRule="auto"/>
        <w:rPr>
          <w:rFonts w:ascii="Times New Roman" w:hAnsi="Times New Roman" w:cs="Times New Roman"/>
        </w:rPr>
      </w:pPr>
    </w:p>
    <w:p w14:paraId="411F4A76" w14:textId="2105AACA"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2.2 Theory Being Tested</w:t>
      </w:r>
    </w:p>
    <w:p w14:paraId="68785773" w14:textId="7EC8C27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 adapts and extends three CAL frameworks to China’s non-Anglophone context, addressing gaps in prior research that focused primarily on Anglophone settings</w:t>
      </w:r>
      <w:r w:rsidR="00955D76" w:rsidRPr="00A773A0">
        <w:rPr>
          <w:rFonts w:ascii="Times New Roman" w:hAnsi="Times New Roman" w:cs="Times New Roman"/>
        </w:rPr>
        <w:t>.</w:t>
      </w:r>
    </w:p>
    <w:p w14:paraId="6BBFB4A9" w14:textId="77777777" w:rsidR="007E0B2E" w:rsidRPr="00A773A0" w:rsidRDefault="007E0B2E" w:rsidP="00A773A0">
      <w:pPr>
        <w:spacing w:line="360" w:lineRule="auto"/>
        <w:rPr>
          <w:rFonts w:ascii="Times New Roman" w:hAnsi="Times New Roman" w:cs="Times New Roman"/>
        </w:rPr>
      </w:pPr>
    </w:p>
    <w:p w14:paraId="3482A816" w14:textId="3EE5306A"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2.2.1 Racialized ELT Theory (Kubota &amp; Lin, 2006)</w:t>
      </w:r>
    </w:p>
    <w:p w14:paraId="13773507" w14:textId="736C0A0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This theory identifies two forms of racism in ELT:</w:t>
      </w:r>
    </w:p>
    <w:p w14:paraId="5F3A09A2" w14:textId="7D055E9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Institutional/structural racism: Organizational practices (hiring, salaries) that prioritize white Western teachers over qualified non-white counterparts.</w:t>
      </w:r>
    </w:p>
    <w:p w14:paraId="527C9C3A" w14:textId="2358A65C"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Epistemological racism: Curricula and pedagogy centered on Euro-American norms, marginalizing non-Western linguistic and cultural practices.</w:t>
      </w:r>
    </w:p>
    <w:p w14:paraId="11823005" w14:textId="692AB5E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Xu extends Kubota &amp; Lin’s (2006) Anglophone-focused work by demonstrating how racial ideologies in China are embedded in cultural norms and neoliberal market </w:t>
      </w:r>
      <w:r w:rsidRPr="00A773A0">
        <w:rPr>
          <w:rFonts w:ascii="Times New Roman" w:hAnsi="Times New Roman" w:cs="Times New Roman"/>
        </w:rPr>
        <w:lastRenderedPageBreak/>
        <w:t>logic, rather than explicit racial discourse.</w:t>
      </w:r>
    </w:p>
    <w:p w14:paraId="4A78E637" w14:textId="77777777" w:rsidR="007E0B2E" w:rsidRPr="00A773A0" w:rsidRDefault="007E0B2E" w:rsidP="00A773A0">
      <w:pPr>
        <w:spacing w:line="360" w:lineRule="auto"/>
        <w:rPr>
          <w:rFonts w:ascii="Times New Roman" w:hAnsi="Times New Roman" w:cs="Times New Roman"/>
        </w:rPr>
      </w:pPr>
    </w:p>
    <w:p w14:paraId="1B24A0E0" w14:textId="5DAFC3E4"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2.2.2 Linguistic Racism Theory (</w:t>
      </w:r>
      <w:proofErr w:type="spellStart"/>
      <w:r w:rsidRPr="00A773A0">
        <w:rPr>
          <w:rFonts w:ascii="Times New Roman" w:hAnsi="Times New Roman" w:cs="Times New Roman"/>
        </w:rPr>
        <w:t>Dovchin</w:t>
      </w:r>
      <w:proofErr w:type="spellEnd"/>
      <w:r w:rsidRPr="00A773A0">
        <w:rPr>
          <w:rFonts w:ascii="Times New Roman" w:hAnsi="Times New Roman" w:cs="Times New Roman"/>
        </w:rPr>
        <w:t>, 2020a)</w:t>
      </w:r>
    </w:p>
    <w:p w14:paraId="673C837F" w14:textId="16D2C60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Defined as ideologies that normalize unequal linguistic power, this theory’s core tenet—</w:t>
      </w:r>
      <w:proofErr w:type="spellStart"/>
      <w:r w:rsidRPr="00A773A0">
        <w:rPr>
          <w:rFonts w:ascii="Times New Roman" w:hAnsi="Times New Roman" w:cs="Times New Roman"/>
        </w:rPr>
        <w:t>raciolinguistic</w:t>
      </w:r>
      <w:proofErr w:type="spellEnd"/>
      <w:r w:rsidRPr="00A773A0">
        <w:rPr>
          <w:rFonts w:ascii="Times New Roman" w:hAnsi="Times New Roman" w:cs="Times New Roman"/>
        </w:rPr>
        <w:t xml:space="preserve"> essentialism—links racial identity to perceptions of linguistic “authenticity.” </w:t>
      </w:r>
      <w:r w:rsidR="00E93595" w:rsidRPr="00A773A0">
        <w:rPr>
          <w:rFonts w:ascii="Times New Roman" w:hAnsi="Times New Roman" w:cs="Times New Roman"/>
        </w:rPr>
        <w:t xml:space="preserve">Another article written by </w:t>
      </w:r>
      <w:r w:rsidRPr="00A773A0">
        <w:rPr>
          <w:rFonts w:ascii="Times New Roman" w:hAnsi="Times New Roman" w:cs="Times New Roman"/>
        </w:rPr>
        <w:t>Flores &amp; Rosa demonstrated how U.S. Black speakers of African American Vernacular English (AAVE) face labels of “deviance”; Xu extends this to China, showing how African native English speakers have their British or African English varieties devalued in an EFL context dominated by American English norms.</w:t>
      </w:r>
    </w:p>
    <w:p w14:paraId="178D7BFA" w14:textId="77777777" w:rsidR="007E0B2E" w:rsidRPr="00A773A0" w:rsidRDefault="007E0B2E" w:rsidP="00A773A0">
      <w:pPr>
        <w:spacing w:line="360" w:lineRule="auto"/>
        <w:rPr>
          <w:rFonts w:ascii="Times New Roman" w:hAnsi="Times New Roman" w:cs="Times New Roman"/>
        </w:rPr>
      </w:pPr>
    </w:p>
    <w:p w14:paraId="29D9DB52" w14:textId="576C6E0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2.2.3 Native Speakerism (Lan, 2022)</w:t>
      </w:r>
    </w:p>
    <w:p w14:paraId="25BFA6CB" w14:textId="75C53A7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This hegemonic ideology equates “authentic” English with white Western nationality. Lan (2022) notes parents pay 30–50% more for white teachers as status symbols. Xu’s novel contribution is testing whether Chinese native speakerism prioritizes “Americanness”, reflecting U.S. cultural and geopolitical influence—a focus absent from prior Asian ELT research.</w:t>
      </w:r>
    </w:p>
    <w:p w14:paraId="446E7098" w14:textId="77777777" w:rsidR="007E0B2E" w:rsidRPr="00A773A0" w:rsidRDefault="007E0B2E" w:rsidP="00A773A0">
      <w:pPr>
        <w:spacing w:line="360" w:lineRule="auto"/>
        <w:rPr>
          <w:rFonts w:ascii="Times New Roman" w:hAnsi="Times New Roman" w:cs="Times New Roman"/>
        </w:rPr>
      </w:pPr>
    </w:p>
    <w:p w14:paraId="5BE24F8F" w14:textId="0DFF303B"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2.3 Hypotheses</w:t>
      </w:r>
    </w:p>
    <w:p w14:paraId="141300B6" w14:textId="2661734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research implies two hypotheses derived from the above theories</w:t>
      </w:r>
      <w:r w:rsidR="00404063" w:rsidRPr="00A773A0">
        <w:rPr>
          <w:rFonts w:ascii="Times New Roman" w:hAnsi="Times New Roman" w:cs="Times New Roman"/>
        </w:rPr>
        <w:t>:</w:t>
      </w:r>
    </w:p>
    <w:p w14:paraId="380EFED7" w14:textId="77777777" w:rsidR="007E0B2E" w:rsidRPr="00A773A0" w:rsidRDefault="007E0B2E" w:rsidP="00A773A0">
      <w:pPr>
        <w:spacing w:line="360" w:lineRule="auto"/>
        <w:rPr>
          <w:rFonts w:ascii="Times New Roman" w:hAnsi="Times New Roman" w:cs="Times New Roman"/>
        </w:rPr>
      </w:pPr>
    </w:p>
    <w:p w14:paraId="325344D7" w14:textId="6765B47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2.3.1 Hypothesis 1 (H1): Institutional and Linguistic Racism in ELT Practices</w:t>
      </w:r>
    </w:p>
    <w:p w14:paraId="3F84B190" w14:textId="0F69748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China’s ELT industry reproduces racial hierarchies through: (a) recruitment processes that prioritize white candidates over qualified Africans; (b) salary disparities rewarding “Americanness” over qualifications; (c) marketing strategies that exclude Black teachers; and (d) classroom pressure on African teachers to adopt American accents. This aligns with Racialized ELT Theory (structural inequality) and Linguistic Racism Theory (devaluing non-dominant language varieties).</w:t>
      </w:r>
    </w:p>
    <w:p w14:paraId="609CC9C3" w14:textId="77777777" w:rsidR="007E0B2E" w:rsidRPr="00A773A0" w:rsidRDefault="007E0B2E" w:rsidP="00A773A0">
      <w:pPr>
        <w:spacing w:line="360" w:lineRule="auto"/>
        <w:rPr>
          <w:rFonts w:ascii="Times New Roman" w:hAnsi="Times New Roman" w:cs="Times New Roman"/>
        </w:rPr>
      </w:pPr>
    </w:p>
    <w:p w14:paraId="79F51F9E" w14:textId="52ACDC3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2.3.2 Hypothesis 2 (H2): Identity Insecurity from Racial Marginalization</w:t>
      </w:r>
    </w:p>
    <w:p w14:paraId="4BCAF22D" w14:textId="4FFE058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lastRenderedPageBreak/>
        <w:t>Racial marginalization and linguistic devaluation will cause African teachers to experience: (a) alienation from Chinese society; (b) lack of belonging in the ELT sector; and (c) reduced willingness to stay long-term. This reflects Linguistic Racism Theory’s “cumulative linguistic disadvantage” Norton’s (1995) framework of identity and investment—where marginalized users disengage if their identity is devalued.</w:t>
      </w:r>
    </w:p>
    <w:p w14:paraId="43B972E7" w14:textId="77777777" w:rsidR="007E0B2E" w:rsidRPr="00A773A0" w:rsidRDefault="007E0B2E" w:rsidP="00A773A0">
      <w:pPr>
        <w:spacing w:line="360" w:lineRule="auto"/>
        <w:rPr>
          <w:rFonts w:ascii="Times New Roman" w:hAnsi="Times New Roman" w:cs="Times New Roman"/>
        </w:rPr>
      </w:pPr>
    </w:p>
    <w:p w14:paraId="3C79D77E" w14:textId="72E67850"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2.4 Methodology</w:t>
      </w:r>
    </w:p>
    <w:p w14:paraId="294CD2DE" w14:textId="72E801B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 employs a qualitative case study design, prioritizing depth over breadth to capture the nuanced experiences of racialization among African EFL teachers.</w:t>
      </w:r>
    </w:p>
    <w:p w14:paraId="03425D2D" w14:textId="77777777" w:rsidR="007E0B2E" w:rsidRPr="00A773A0" w:rsidRDefault="007E0B2E" w:rsidP="00A773A0">
      <w:pPr>
        <w:spacing w:line="360" w:lineRule="auto"/>
        <w:ind w:firstLineChars="200" w:firstLine="480"/>
        <w:rPr>
          <w:rFonts w:ascii="Times New Roman" w:hAnsi="Times New Roman" w:cs="Times New Roman"/>
        </w:rPr>
      </w:pPr>
    </w:p>
    <w:p w14:paraId="23FD489D" w14:textId="62746909"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2.4.1 Participant Recruitment</w:t>
      </w:r>
    </w:p>
    <w:p w14:paraId="46D76A88" w14:textId="6136156A"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In January–February 2024, Xu interviewed 16 Africans in Beijing via a Ghanaian doctoral student’s social network (snowball sampling), ensuring trust with potentially hesitant participants. She focused on 6 EFL teachers (5–6 years in China, native English speakers with TESOL-related degrees) due to their vivid narratives, diverse ELT settings (international schools, universities, kindergartens), and her own ELT experience in China—enhancing empathetic interpretation (Xu, 2025, p. 1846).</w:t>
      </w:r>
    </w:p>
    <w:p w14:paraId="511EB66D" w14:textId="77777777" w:rsidR="007E0B2E" w:rsidRPr="00A773A0" w:rsidRDefault="007E0B2E" w:rsidP="00A773A0">
      <w:pPr>
        <w:spacing w:line="360" w:lineRule="auto"/>
        <w:rPr>
          <w:rFonts w:ascii="Times New Roman" w:hAnsi="Times New Roman" w:cs="Times New Roman"/>
        </w:rPr>
      </w:pPr>
    </w:p>
    <w:p w14:paraId="22495754" w14:textId="33081D20"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2.4.2 Data Collection: Semi-Structured Interviews</w:t>
      </w:r>
    </w:p>
    <w:p w14:paraId="72A80249" w14:textId="417CB50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One-hour audio-recorded interviews used open-ended prompts (e.g., “How did your racial background affect your teaching?”) to avoid leading “race” questions. </w:t>
      </w:r>
      <w:r w:rsidR="00B93329" w:rsidRPr="00A773A0">
        <w:rPr>
          <w:rFonts w:ascii="Times New Roman" w:hAnsi="Times New Roman" w:cs="Times New Roman"/>
        </w:rPr>
        <w:t>In order to lessen power disparities and promote candid reporting of racialized experiences, participants selected locations and times.</w:t>
      </w:r>
    </w:p>
    <w:p w14:paraId="326CA361" w14:textId="77777777" w:rsidR="007E0B2E" w:rsidRPr="00A773A0" w:rsidRDefault="007E0B2E" w:rsidP="00A773A0">
      <w:pPr>
        <w:spacing w:line="360" w:lineRule="auto"/>
        <w:rPr>
          <w:rFonts w:ascii="Times New Roman" w:hAnsi="Times New Roman" w:cs="Times New Roman"/>
        </w:rPr>
      </w:pPr>
    </w:p>
    <w:p w14:paraId="0CC499A2" w14:textId="13B4966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2.4.3 Data Analysis: Hybrid Thematic Analysis</w:t>
      </w:r>
    </w:p>
    <w:p w14:paraId="6D4683B6" w14:textId="3B6300A0"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Using Braun &amp; Clarke’s (2006) approach, Xu combined:</w:t>
      </w:r>
    </w:p>
    <w:p w14:paraId="4537CF3C" w14:textId="70F1286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Deductive coding: Guided by pre-defined constructs (e.g., “institutional racism”) to link narratives to theory.</w:t>
      </w:r>
    </w:p>
    <w:p w14:paraId="0915FCDA" w14:textId="6FCD8A47"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 Inductive coding: Capturing emergent themes (e.g., “Americanness as linguistic legitimacy”) via </w:t>
      </w:r>
      <w:r w:rsidR="00B93329" w:rsidRPr="00A773A0">
        <w:rPr>
          <w:rFonts w:ascii="Times New Roman" w:hAnsi="Times New Roman" w:cs="Times New Roman"/>
        </w:rPr>
        <w:t>observation</w:t>
      </w:r>
      <w:r w:rsidRPr="00A773A0">
        <w:rPr>
          <w:rFonts w:ascii="Times New Roman" w:hAnsi="Times New Roman" w:cs="Times New Roman"/>
        </w:rPr>
        <w:t xml:space="preserve"> and descriptive coding.</w:t>
      </w:r>
    </w:p>
    <w:p w14:paraId="19FE21FA" w14:textId="64A82441"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lastRenderedPageBreak/>
        <w:t>Xu’s researcher positionality—having experienced linguistic racism in Australia—allowed her to recognize subtle forms of discrimination that outsiders might miss (Norton, 1995).</w:t>
      </w:r>
    </w:p>
    <w:p w14:paraId="456A237A" w14:textId="77777777" w:rsidR="007E0B2E" w:rsidRPr="00A773A0" w:rsidRDefault="007E0B2E" w:rsidP="00A773A0">
      <w:pPr>
        <w:spacing w:line="360" w:lineRule="auto"/>
        <w:rPr>
          <w:rFonts w:ascii="Times New Roman" w:hAnsi="Times New Roman" w:cs="Times New Roman"/>
        </w:rPr>
      </w:pPr>
    </w:p>
    <w:p w14:paraId="13DFC6E1" w14:textId="6816B96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2.4.4 Methodological </w:t>
      </w:r>
      <w:r w:rsidR="00524A82" w:rsidRPr="00A773A0">
        <w:rPr>
          <w:rFonts w:ascii="Times New Roman" w:hAnsi="Times New Roman" w:cs="Times New Roman"/>
        </w:rPr>
        <w:t>C</w:t>
      </w:r>
      <w:r w:rsidR="00524A82" w:rsidRPr="00A773A0">
        <w:rPr>
          <w:rFonts w:ascii="Times New Roman" w:hAnsi="Times New Roman" w:cs="Times New Roman"/>
        </w:rPr>
        <w:t>ompatibility</w:t>
      </w:r>
    </w:p>
    <w:p w14:paraId="0ADD6B20" w14:textId="40DD6C21"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The qualitative design aligns closely with the study’s objectives:</w:t>
      </w:r>
    </w:p>
    <w:p w14:paraId="6B6365BE" w14:textId="282C9D7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1. Experiential focus: Semi-structured interviews capture complex emotions and implicit discrimination, avoiding quantitative superficiality.</w:t>
      </w:r>
    </w:p>
    <w:p w14:paraId="5F430FED" w14:textId="49DC0704"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 Theoretical verification: Deductive coding connects narratives to theories, while inductive coding adds context-specific details, validating “theory-empiricism” links.</w:t>
      </w:r>
    </w:p>
    <w:p w14:paraId="2AC6D223" w14:textId="177A8397"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 Minority group depth: In-depth interviews with 6 teachers provide contextualized cases that large-sample surveys cannot, filling gaps in research on African ELT teachers in China.</w:t>
      </w:r>
    </w:p>
    <w:p w14:paraId="287856CB" w14:textId="77777777" w:rsidR="007E0B2E" w:rsidRPr="00A773A0" w:rsidRDefault="007E0B2E" w:rsidP="00A773A0">
      <w:pPr>
        <w:spacing w:line="360" w:lineRule="auto"/>
        <w:rPr>
          <w:rFonts w:ascii="Times New Roman" w:hAnsi="Times New Roman" w:cs="Times New Roman"/>
        </w:rPr>
      </w:pPr>
    </w:p>
    <w:p w14:paraId="2BA66790" w14:textId="2C7A3A3C"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2.4.5 Alternative Methodologies</w:t>
      </w:r>
    </w:p>
    <w:p w14:paraId="29DFD389" w14:textId="1B8EE901"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study could be extended by two alternative approaches:</w:t>
      </w:r>
    </w:p>
    <w:p w14:paraId="0AC2E88B" w14:textId="3AA7382C"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1. Mixed-Methods Research: A quantitative survey in African teacher-concentrated cities (Beijing, Guangzhou, Yiwu) followed by in-depth interviews with “high-anxiety groups” would balance depth and generalizability.</w:t>
      </w:r>
    </w:p>
    <w:p w14:paraId="725FD1B1" w14:textId="57FC3997"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 Multiple-Case Comparative Research: 8–10 cases across regions and school types (public universities, private schools) would reveal regional/contextual differences in racialized practices.</w:t>
      </w:r>
    </w:p>
    <w:p w14:paraId="60FC7227" w14:textId="77777777" w:rsidR="007E0B2E" w:rsidRPr="00A773A0" w:rsidRDefault="007E0B2E" w:rsidP="00A773A0">
      <w:pPr>
        <w:spacing w:line="360" w:lineRule="auto"/>
        <w:rPr>
          <w:rFonts w:ascii="Times New Roman" w:hAnsi="Times New Roman" w:cs="Times New Roman"/>
        </w:rPr>
      </w:pPr>
    </w:p>
    <w:p w14:paraId="4FB42FF0" w14:textId="0D24F2C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2.5 Results and Relevance to Theory</w:t>
      </w:r>
    </w:p>
    <w:p w14:paraId="4E9FE7FF" w14:textId="5A01DED7"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findings strongly support both hypotheses, organized into three interconnected themes—each reinforcing and extending the study’s theoretical frameworks.</w:t>
      </w:r>
    </w:p>
    <w:p w14:paraId="67940B5C" w14:textId="77777777" w:rsidR="007E0B2E" w:rsidRPr="00A773A0" w:rsidRDefault="007E0B2E" w:rsidP="00A773A0">
      <w:pPr>
        <w:spacing w:line="360" w:lineRule="auto"/>
        <w:rPr>
          <w:rFonts w:ascii="Times New Roman" w:hAnsi="Times New Roman" w:cs="Times New Roman"/>
        </w:rPr>
      </w:pPr>
    </w:p>
    <w:p w14:paraId="3584AD93" w14:textId="629B07BD"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2.5.1 Core Results</w:t>
      </w:r>
    </w:p>
    <w:p w14:paraId="3E03C27C" w14:textId="40E7A5F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1. Institutional Racial Hierarchies:</w:t>
      </w:r>
    </w:p>
    <w:p w14:paraId="3148DFF8" w14:textId="29F897D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lastRenderedPageBreak/>
        <w:t>-Recruitment discrimination: All 6 teachers reported employers prioritizing white candidates; Rafi (South African, TESOL master’s) noted, “Schools prefer white people even without degrees”. Rex (Ghanaian) faced a 1-week teaching observation vs. 20 minutes for white peers.</w:t>
      </w:r>
    </w:p>
    <w:p w14:paraId="53C50D87" w14:textId="40E5C77B"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-Salary disparities: Sebastien (South Africa) earned 2,000 RMB less monthly than white teachers with bachelor’s degrees, with schools citing “accent” (code for race) as the rationale.</w:t>
      </w:r>
    </w:p>
    <w:p w14:paraId="49A4C51D" w14:textId="4A229240"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-Marketing exclusion: Luna (South Africa) stated Black teachers were excluded from ads: “They think people want to see white people—never use our photos”.</w:t>
      </w:r>
    </w:p>
    <w:p w14:paraId="512AD7E7" w14:textId="77777777" w:rsidR="007E0B2E" w:rsidRPr="00A773A0" w:rsidRDefault="007E0B2E" w:rsidP="00A773A0">
      <w:pPr>
        <w:spacing w:line="360" w:lineRule="auto"/>
        <w:rPr>
          <w:rFonts w:ascii="Times New Roman" w:hAnsi="Times New Roman" w:cs="Times New Roman"/>
        </w:rPr>
      </w:pPr>
    </w:p>
    <w:p w14:paraId="73A9A81C" w14:textId="7CD40A88"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 Linguistic Racism and American English Hegemony:</w:t>
      </w:r>
    </w:p>
    <w:p w14:paraId="4EA3294A" w14:textId="1C4D53C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-Accent pressure: Rafi was told to “develop an American accent” by an American-curriculum school, dismissing her standard British English.</w:t>
      </w:r>
    </w:p>
    <w:p w14:paraId="6473E41B" w14:textId="5D94C2D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Pronunciation correction: Chinese colleagues used apps to “prove” Kate’s (South Africa) British English was “wrong”.</w:t>
      </w:r>
    </w:p>
    <w:p w14:paraId="4D02D30C" w14:textId="2F031350"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Curriculum Americanization: All schools used U.S.-centered curricula; SM (Ghana) noted, “Language is seen as American property”, with his attempts to include Ghanaian proverbs dismissed as “irrelevant.</w:t>
      </w:r>
    </w:p>
    <w:p w14:paraId="00675B24" w14:textId="77777777" w:rsidR="007E0B2E" w:rsidRPr="00A773A0" w:rsidRDefault="007E0B2E" w:rsidP="00A773A0">
      <w:pPr>
        <w:spacing w:line="360" w:lineRule="auto"/>
        <w:rPr>
          <w:rFonts w:ascii="Times New Roman" w:hAnsi="Times New Roman" w:cs="Times New Roman"/>
        </w:rPr>
      </w:pPr>
    </w:p>
    <w:p w14:paraId="18201726" w14:textId="3635723D"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 Identity Insecurity and Limited Belonging:</w:t>
      </w:r>
    </w:p>
    <w:p w14:paraId="2224C095" w14:textId="48F8788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-Alienation: SM (5 years in China) said, “I think I’ve integrated, but Chinese people don’t”, facing constant questions about his origins.</w:t>
      </w:r>
    </w:p>
    <w:p w14:paraId="76FCE9AD" w14:textId="063A156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-Plans to leave: No teacher intended to stay long-term; Kate noted, “I’ll always be a foreigner—never part of this society”.</w:t>
      </w:r>
    </w:p>
    <w:p w14:paraId="5F9D8430" w14:textId="77777777" w:rsidR="007E0B2E" w:rsidRPr="00A773A0" w:rsidRDefault="007E0B2E" w:rsidP="00A773A0">
      <w:pPr>
        <w:spacing w:line="360" w:lineRule="auto"/>
        <w:rPr>
          <w:rFonts w:ascii="Times New Roman" w:hAnsi="Times New Roman" w:cs="Times New Roman"/>
        </w:rPr>
      </w:pPr>
    </w:p>
    <w:p w14:paraId="38E50678" w14:textId="3AF654C6"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2.5.2 Logical Link Between Data, Hypotheses, and Theory</w:t>
      </w:r>
    </w:p>
    <w:p w14:paraId="45360C0D" w14:textId="2F1E43F4"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findings follow empirical cycle, validating hypotheses and extending theories:</w:t>
      </w:r>
    </w:p>
    <w:p w14:paraId="45791C20" w14:textId="65E57699"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-Data → H1: Institutional racism evidence (preferring unqualified white teachers) reinforces Racialized ELT Theory, while Xu’s focus on “Americanness” extends it to </w:t>
      </w:r>
      <w:r w:rsidRPr="00A773A0">
        <w:rPr>
          <w:rFonts w:ascii="Times New Roman" w:hAnsi="Times New Roman" w:cs="Times New Roman"/>
        </w:rPr>
        <w:lastRenderedPageBreak/>
        <w:t xml:space="preserve">non-Anglophone contexts. Linguistic racism (accent pressure) supports </w:t>
      </w:r>
      <w:proofErr w:type="spellStart"/>
      <w:r w:rsidRPr="00A773A0">
        <w:rPr>
          <w:rFonts w:ascii="Times New Roman" w:hAnsi="Times New Roman" w:cs="Times New Roman"/>
        </w:rPr>
        <w:t>Dovchin’s</w:t>
      </w:r>
      <w:proofErr w:type="spellEnd"/>
      <w:r w:rsidRPr="00A773A0">
        <w:rPr>
          <w:rFonts w:ascii="Times New Roman" w:hAnsi="Times New Roman" w:cs="Times New Roman"/>
        </w:rPr>
        <w:t xml:space="preserve"> (2020a) framework, showing racism targets even native English speakers of color.</w:t>
      </w:r>
    </w:p>
    <w:p w14:paraId="66AF0C16" w14:textId="3A722BF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-Data → H2: Teachers’ alienation and plans to leave reflect “cumulative linguistic devaluation” and Norton’s (1995) “disinvestment” thesis, as marginalized teachers disengage from a sector that devalues their identity.</w:t>
      </w:r>
    </w:p>
    <w:p w14:paraId="646F84C0" w14:textId="15CDF69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xml:space="preserve">A minor gap: Xu does not explicitly link specific linguistic experiences (e.g., accent pressure) to identity insecurity, but </w:t>
      </w:r>
      <w:r w:rsidR="002C4904" w:rsidRPr="00A773A0">
        <w:rPr>
          <w:rFonts w:ascii="Times New Roman" w:hAnsi="Times New Roman" w:cs="Times New Roman"/>
        </w:rPr>
        <w:t>relevant</w:t>
      </w:r>
      <w:r w:rsidR="002C4904" w:rsidRPr="00A773A0">
        <w:rPr>
          <w:rFonts w:ascii="Times New Roman" w:hAnsi="Times New Roman" w:cs="Times New Roman"/>
        </w:rPr>
        <w:t xml:space="preserve"> </w:t>
      </w:r>
      <w:r w:rsidRPr="00A773A0">
        <w:rPr>
          <w:rFonts w:ascii="Times New Roman" w:hAnsi="Times New Roman" w:cs="Times New Roman"/>
        </w:rPr>
        <w:t>evidence strongly supports H2.</w:t>
      </w:r>
    </w:p>
    <w:p w14:paraId="2544B502" w14:textId="77777777" w:rsidR="007E0B2E" w:rsidRDefault="007E0B2E" w:rsidP="00A773A0">
      <w:pPr>
        <w:spacing w:line="360" w:lineRule="auto"/>
        <w:rPr>
          <w:rFonts w:ascii="Times New Roman" w:hAnsi="Times New Roman" w:cs="Times New Roman"/>
        </w:rPr>
      </w:pPr>
    </w:p>
    <w:p w14:paraId="0A394274" w14:textId="77777777" w:rsidR="00A773A0" w:rsidRDefault="00A773A0" w:rsidP="00A773A0">
      <w:pPr>
        <w:spacing w:line="360" w:lineRule="auto"/>
        <w:rPr>
          <w:rFonts w:ascii="Times New Roman" w:hAnsi="Times New Roman" w:cs="Times New Roman"/>
        </w:rPr>
      </w:pPr>
    </w:p>
    <w:p w14:paraId="7524DDF5" w14:textId="77777777" w:rsidR="00812664" w:rsidRDefault="00812664" w:rsidP="00A773A0">
      <w:pPr>
        <w:spacing w:line="360" w:lineRule="auto"/>
        <w:rPr>
          <w:rFonts w:ascii="Times New Roman" w:hAnsi="Times New Roman" w:cs="Times New Roman"/>
        </w:rPr>
      </w:pPr>
    </w:p>
    <w:p w14:paraId="6D9A4EC4" w14:textId="77777777" w:rsidR="00812664" w:rsidRPr="00A773A0" w:rsidRDefault="00812664" w:rsidP="00A773A0">
      <w:pPr>
        <w:spacing w:line="360" w:lineRule="auto"/>
        <w:rPr>
          <w:rFonts w:ascii="Times New Roman" w:hAnsi="Times New Roman" w:cs="Times New Roman"/>
        </w:rPr>
      </w:pPr>
    </w:p>
    <w:p w14:paraId="57E0DFD9" w14:textId="590700D0" w:rsidR="007E0B2E" w:rsidRPr="00A773A0" w:rsidRDefault="007E0B2E" w:rsidP="00A773A0">
      <w:pPr>
        <w:spacing w:line="360" w:lineRule="auto"/>
        <w:ind w:firstLineChars="200" w:firstLine="480"/>
        <w:rPr>
          <w:rFonts w:ascii="Times New Roman" w:hAnsi="Times New Roman" w:cs="Times New Roman"/>
          <w:b/>
          <w:bCs/>
        </w:rPr>
      </w:pPr>
      <w:r w:rsidRPr="00A773A0">
        <w:rPr>
          <w:rFonts w:ascii="Times New Roman" w:hAnsi="Times New Roman" w:cs="Times New Roman"/>
          <w:b/>
          <w:bCs/>
        </w:rPr>
        <w:t>3. Conclusion</w:t>
      </w:r>
    </w:p>
    <w:p w14:paraId="68F864AA" w14:textId="5CC5F2C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article makes three pivotal contributions to Applied Linguistics and ELT scholarship, addressing critical gaps in research on race and language teaching in non-Anglophone contexts.</w:t>
      </w:r>
    </w:p>
    <w:p w14:paraId="1C3ACFFC" w14:textId="77777777" w:rsidR="007E0B2E" w:rsidRPr="00A773A0" w:rsidRDefault="007E0B2E" w:rsidP="00A773A0">
      <w:pPr>
        <w:spacing w:line="360" w:lineRule="auto"/>
        <w:rPr>
          <w:rFonts w:ascii="Times New Roman" w:hAnsi="Times New Roman" w:cs="Times New Roman"/>
        </w:rPr>
      </w:pPr>
    </w:p>
    <w:p w14:paraId="1749C48D" w14:textId="08F9D048"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3.1 Theoretical Contributions</w:t>
      </w:r>
    </w:p>
    <w:p w14:paraId="04060C13" w14:textId="718F55AB"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most significant achievement is extending three foundational CAL frameworks—Racialized ELT Theory, Linguistic Racism Theory, and Native Speakerism—to China’s unique sociopolitical context. By demonstrating that racialization in ELT is not a “Western problem” but a global phenomenon shaped by local cultural norms and global geopolitics, she challenges Western-centric scholarship. Her novel focus on “Americanness” as a driver of linguistic racism</w:t>
      </w:r>
      <w:r w:rsidR="00DA3ECF" w:rsidRPr="00A773A0">
        <w:rPr>
          <w:rFonts w:ascii="Times New Roman" w:hAnsi="Times New Roman" w:cs="Times New Roman"/>
        </w:rPr>
        <w:t xml:space="preserve"> </w:t>
      </w:r>
      <w:r w:rsidRPr="00A773A0">
        <w:rPr>
          <w:rFonts w:ascii="Times New Roman" w:hAnsi="Times New Roman" w:cs="Times New Roman"/>
        </w:rPr>
        <w:t>adds nuance to native speakerism debates, showing how geopolitical power shapes perceptions of linguistic legitimacy in ELT.</w:t>
      </w:r>
    </w:p>
    <w:p w14:paraId="7709E6E0" w14:textId="77777777" w:rsidR="007E0B2E" w:rsidRPr="00A773A0" w:rsidRDefault="007E0B2E" w:rsidP="00A773A0">
      <w:pPr>
        <w:spacing w:line="360" w:lineRule="auto"/>
        <w:rPr>
          <w:rFonts w:ascii="Times New Roman" w:hAnsi="Times New Roman" w:cs="Times New Roman"/>
        </w:rPr>
      </w:pPr>
    </w:p>
    <w:p w14:paraId="51EB257F" w14:textId="6A7204C2"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3.2 Methodological Contributions</w:t>
      </w:r>
    </w:p>
    <w:p w14:paraId="450A585F" w14:textId="05ED8A7E"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use of semi-structured interviews and hybrid thematic analysis provides a rigorous model for exploring sensitive topics like racialization. Her attention to researcher positionality</w:t>
      </w:r>
      <w:r w:rsidR="002F0F57" w:rsidRPr="00A773A0">
        <w:rPr>
          <w:rFonts w:ascii="Times New Roman" w:hAnsi="Times New Roman" w:cs="Times New Roman"/>
        </w:rPr>
        <w:t xml:space="preserve"> </w:t>
      </w:r>
      <w:r w:rsidRPr="00A773A0">
        <w:rPr>
          <w:rFonts w:ascii="Times New Roman" w:hAnsi="Times New Roman" w:cs="Times New Roman"/>
        </w:rPr>
        <w:t xml:space="preserve">enhances the credibility of her findings, as she is attuned to </w:t>
      </w:r>
      <w:r w:rsidRPr="00A773A0">
        <w:rPr>
          <w:rFonts w:ascii="Times New Roman" w:hAnsi="Times New Roman" w:cs="Times New Roman"/>
        </w:rPr>
        <w:lastRenderedPageBreak/>
        <w:t>subtle forms of discrimination that might escape external observers (Norton, 1995). By prioritizing depth over breadth, her case study design offers a template for future research on marginalized groups in ELT, proving that qualitative methods can uncover complex power dynamics invisible to quantitative surveys.</w:t>
      </w:r>
    </w:p>
    <w:p w14:paraId="38ED092E" w14:textId="77777777" w:rsidR="007E0B2E" w:rsidRPr="00A773A0" w:rsidRDefault="007E0B2E" w:rsidP="00A773A0">
      <w:pPr>
        <w:spacing w:line="360" w:lineRule="auto"/>
        <w:ind w:firstLineChars="200" w:firstLine="480"/>
        <w:rPr>
          <w:rFonts w:ascii="Times New Roman" w:hAnsi="Times New Roman" w:cs="Times New Roman"/>
        </w:rPr>
      </w:pPr>
    </w:p>
    <w:p w14:paraId="78860D4A" w14:textId="23FC6DCF"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3.3 Practical Relevance</w:t>
      </w:r>
    </w:p>
    <w:p w14:paraId="49B8B915" w14:textId="6881702B"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The study’s findings have urgent implications for ELT policy and practice in China and beyond. Xu calls for inclusive policies that evaluate teachers on competence and diversify curricula to include non-American English varieties. For ELT institutions, this means reforming hiring practices to prioritize qualifications over racialized “authenticity” and ending the commodification of whiteness in marketing. For educators and policymakers, the study highlights the need to challenge linguistic racism in classrooms.</w:t>
      </w:r>
    </w:p>
    <w:p w14:paraId="4EA1355E" w14:textId="77777777" w:rsidR="007E0B2E" w:rsidRPr="00A773A0" w:rsidRDefault="007E0B2E" w:rsidP="00A773A0">
      <w:pPr>
        <w:spacing w:line="360" w:lineRule="auto"/>
        <w:rPr>
          <w:rFonts w:ascii="Times New Roman" w:hAnsi="Times New Roman" w:cs="Times New Roman"/>
        </w:rPr>
      </w:pPr>
    </w:p>
    <w:p w14:paraId="19892FB7" w14:textId="2A172B95"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3.4 Limitations and Future Research</w:t>
      </w:r>
    </w:p>
    <w:p w14:paraId="3EF84DC8" w14:textId="1E4F261D"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Despite its strengths, Xu’s study has limitations that offer opportunities for future inquiry:</w:t>
      </w:r>
    </w:p>
    <w:p w14:paraId="56CCC460" w14:textId="6BC235D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Geographic scope: The Beijing-only sample limits generalizability; cross-regional research could reveal how ELT racialization varies by city size and demographic composition.</w:t>
      </w:r>
    </w:p>
    <w:p w14:paraId="08968519" w14:textId="10FC6B71"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Single-perspective bias: The study focuses solely on African teachers’ experiences; including perspectives from parents, administrators, and Chinese colleagues would provide a more holistic understanding of racial dynamics in ELT.</w:t>
      </w:r>
    </w:p>
    <w:p w14:paraId="117CCAFB" w14:textId="0E9C54C4"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 Causal clarity: While Xu links racialization to identity insecurity, longitudinal studies tracking teachers’ experiences over time could strengthen causal claims.</w:t>
      </w:r>
    </w:p>
    <w:p w14:paraId="7B83A9D1" w14:textId="77777777" w:rsidR="007E0B2E" w:rsidRPr="00A773A0" w:rsidRDefault="007E0B2E" w:rsidP="00A773A0">
      <w:pPr>
        <w:spacing w:line="360" w:lineRule="auto"/>
        <w:ind w:firstLineChars="200" w:firstLine="480"/>
        <w:rPr>
          <w:rFonts w:ascii="Times New Roman" w:hAnsi="Times New Roman" w:cs="Times New Roman"/>
        </w:rPr>
      </w:pPr>
    </w:p>
    <w:p w14:paraId="05169E55" w14:textId="3611E2AC"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Future research could also explore intersectionality (e.g., how race intersects with gender or class to shape African teachers’ experiences) and cross-national comparisons to identify commonalities and differences in ELT racialization across Asia.</w:t>
      </w:r>
    </w:p>
    <w:p w14:paraId="4FC4C977" w14:textId="77777777" w:rsidR="007E0B2E" w:rsidRPr="00A773A0" w:rsidRDefault="007E0B2E" w:rsidP="00A773A0">
      <w:pPr>
        <w:spacing w:line="360" w:lineRule="auto"/>
        <w:rPr>
          <w:rFonts w:ascii="Times New Roman" w:hAnsi="Times New Roman" w:cs="Times New Roman"/>
        </w:rPr>
      </w:pPr>
    </w:p>
    <w:p w14:paraId="4B71C8F9" w14:textId="1DDEAF7D"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lastRenderedPageBreak/>
        <w:t>3.5 Summary</w:t>
      </w:r>
    </w:p>
    <w:p w14:paraId="6737E420" w14:textId="6549F833" w:rsidR="007E0B2E" w:rsidRPr="00A773A0" w:rsidRDefault="007E0B2E" w:rsidP="00A773A0">
      <w:pPr>
        <w:spacing w:line="360" w:lineRule="auto"/>
        <w:ind w:firstLineChars="200" w:firstLine="480"/>
        <w:rPr>
          <w:rFonts w:ascii="Times New Roman" w:hAnsi="Times New Roman" w:cs="Times New Roman"/>
        </w:rPr>
      </w:pPr>
      <w:r w:rsidRPr="00A773A0">
        <w:rPr>
          <w:rFonts w:ascii="Times New Roman" w:hAnsi="Times New Roman" w:cs="Times New Roman"/>
        </w:rPr>
        <w:t>Xu’s rigorous study challenges the myth of ELT as a neutral, inclusive field, framing it instead as a site of power, inequality, and resistance. By centering the voices of African EFL teachers—whose experiences have been marginalized in both Chinese and international scholarship—she urges a rethinking of “legitimacy” in ELT, arguing that English proficiency and teaching competence should transcend race, nationality, and accent. In an era of globalized ELT, Xu’s work is a critical call for equity, reminding scholars and practitioners that language teaching cannot be divorced from the social and political dynamics that shape it. As ELT continues to expand in non-Anglophone contexts, her research provides a blueprint for addressing racial and linguistic inequality, ensuring that the field lives up to its promise of fostering cross-cultural communication and understanding.</w:t>
      </w:r>
    </w:p>
    <w:p w14:paraId="6637A080" w14:textId="77777777" w:rsidR="007E0B2E" w:rsidRDefault="007E0B2E" w:rsidP="00A773A0">
      <w:pPr>
        <w:spacing w:line="360" w:lineRule="auto"/>
        <w:rPr>
          <w:rFonts w:ascii="Times New Roman" w:hAnsi="Times New Roman" w:cs="Times New Roman"/>
        </w:rPr>
      </w:pPr>
    </w:p>
    <w:p w14:paraId="1445575D" w14:textId="77777777" w:rsidR="00E85773" w:rsidRDefault="00E85773" w:rsidP="00A773A0">
      <w:pPr>
        <w:spacing w:line="360" w:lineRule="auto"/>
        <w:rPr>
          <w:rFonts w:ascii="Times New Roman" w:hAnsi="Times New Roman" w:cs="Times New Roman"/>
        </w:rPr>
      </w:pPr>
    </w:p>
    <w:p w14:paraId="6FA79F38" w14:textId="77777777" w:rsidR="00E85773" w:rsidRDefault="00E85773" w:rsidP="00A773A0">
      <w:pPr>
        <w:spacing w:line="360" w:lineRule="auto"/>
        <w:rPr>
          <w:rFonts w:ascii="Times New Roman" w:hAnsi="Times New Roman" w:cs="Times New Roman"/>
        </w:rPr>
      </w:pPr>
    </w:p>
    <w:p w14:paraId="73EAEEA5" w14:textId="77777777" w:rsidR="00E85773" w:rsidRPr="00A773A0" w:rsidRDefault="00E85773" w:rsidP="00A773A0">
      <w:pPr>
        <w:spacing w:line="360" w:lineRule="auto"/>
        <w:rPr>
          <w:rFonts w:ascii="Times New Roman" w:hAnsi="Times New Roman" w:cs="Times New Roman"/>
        </w:rPr>
      </w:pPr>
    </w:p>
    <w:p w14:paraId="7F153885" w14:textId="41CE5A1D" w:rsidR="007E0B2E" w:rsidRPr="00A773A0" w:rsidRDefault="007E0B2E" w:rsidP="00A773A0">
      <w:pPr>
        <w:spacing w:line="360" w:lineRule="auto"/>
        <w:ind w:firstLineChars="200" w:firstLine="480"/>
        <w:rPr>
          <w:rFonts w:ascii="Times New Roman" w:hAnsi="Times New Roman" w:cs="Times New Roman"/>
          <w:b/>
          <w:bCs/>
        </w:rPr>
      </w:pPr>
      <w:r w:rsidRPr="00A773A0">
        <w:rPr>
          <w:rFonts w:ascii="Times New Roman" w:hAnsi="Times New Roman" w:cs="Times New Roman"/>
          <w:b/>
          <w:bCs/>
        </w:rPr>
        <w:t>4. References</w:t>
      </w:r>
    </w:p>
    <w:p w14:paraId="4472ED12" w14:textId="70F119DC" w:rsidR="007E0B2E" w:rsidRPr="00A773A0" w:rsidRDefault="007E0B2E" w:rsidP="00A773A0">
      <w:pPr>
        <w:spacing w:line="360" w:lineRule="auto"/>
        <w:jc w:val="left"/>
        <w:rPr>
          <w:rFonts w:ascii="Times New Roman" w:hAnsi="Times New Roman" w:cs="Times New Roman"/>
        </w:rPr>
      </w:pPr>
      <w:r w:rsidRPr="00A773A0">
        <w:rPr>
          <w:rFonts w:ascii="Times New Roman" w:hAnsi="Times New Roman" w:cs="Times New Roman"/>
        </w:rPr>
        <w:t xml:space="preserve">Braun, V. &amp; Clarke, V. (2006) Using thematic analysis in psychology. </w:t>
      </w:r>
      <w:r w:rsidRPr="00A773A0">
        <w:rPr>
          <w:rFonts w:ascii="Times New Roman" w:hAnsi="Times New Roman" w:cs="Times New Roman"/>
          <w:i/>
          <w:iCs/>
        </w:rPr>
        <w:t>Qualitative Research in Psychology</w:t>
      </w:r>
      <w:r w:rsidRPr="00A773A0">
        <w:rPr>
          <w:rFonts w:ascii="Times New Roman" w:hAnsi="Times New Roman" w:cs="Times New Roman"/>
        </w:rPr>
        <w:t>, 3(2), pp. 77–101.</w:t>
      </w:r>
      <w:hyperlink r:id="rId4" w:history="1">
        <w:r w:rsidRPr="00A773A0">
          <w:rPr>
            <w:rStyle w:val="ae"/>
            <w:rFonts w:ascii="Times New Roman" w:hAnsi="Times New Roman" w:cs="Times New Roman"/>
          </w:rPr>
          <w:t>https://doi.org/10.1191/1478088706qp063oa</w:t>
        </w:r>
      </w:hyperlink>
    </w:p>
    <w:p w14:paraId="07FD98B8" w14:textId="1BA75E12" w:rsidR="007E0B2E" w:rsidRPr="00A773A0" w:rsidRDefault="0062630F" w:rsidP="00A773A0">
      <w:pPr>
        <w:spacing w:line="360" w:lineRule="auto"/>
        <w:jc w:val="left"/>
        <w:rPr>
          <w:rFonts w:ascii="Times New Roman" w:hAnsi="Times New Roman" w:cs="Times New Roman"/>
        </w:rPr>
      </w:pPr>
      <w:proofErr w:type="spellStart"/>
      <w:r w:rsidRPr="00A773A0">
        <w:rPr>
          <w:rFonts w:ascii="Times New Roman" w:hAnsi="Times New Roman" w:cs="Times New Roman"/>
        </w:rPr>
        <w:t>Dovchin</w:t>
      </w:r>
      <w:proofErr w:type="spellEnd"/>
      <w:r w:rsidRPr="00A773A0">
        <w:rPr>
          <w:rFonts w:ascii="Times New Roman" w:hAnsi="Times New Roman" w:cs="Times New Roman"/>
        </w:rPr>
        <w:t xml:space="preserve">, S. (2020a) Introduction to special issue: Linguistic racism. </w:t>
      </w:r>
      <w:r w:rsidRPr="00A773A0">
        <w:rPr>
          <w:rFonts w:ascii="Times New Roman" w:hAnsi="Times New Roman" w:cs="Times New Roman"/>
          <w:i/>
          <w:iCs/>
        </w:rPr>
        <w:t>International Journal of Bilingual Education and Bilingualism</w:t>
      </w:r>
      <w:r w:rsidRPr="00A773A0">
        <w:rPr>
          <w:rFonts w:ascii="Times New Roman" w:hAnsi="Times New Roman" w:cs="Times New Roman"/>
        </w:rPr>
        <w:t>, 23(7), pp. 773–777.</w:t>
      </w:r>
      <w:r w:rsidR="007E398C" w:rsidRPr="00A773A0">
        <w:rPr>
          <w:rFonts w:ascii="Times New Roman" w:hAnsi="Times New Roman" w:cs="Times New Roman"/>
        </w:rPr>
        <w:t xml:space="preserve"> </w:t>
      </w:r>
      <w:hyperlink r:id="rId5" w:history="1">
        <w:r w:rsidR="007E398C" w:rsidRPr="00A773A0">
          <w:rPr>
            <w:rStyle w:val="ae"/>
            <w:rFonts w:ascii="Times New Roman" w:hAnsi="Times New Roman" w:cs="Times New Roman"/>
          </w:rPr>
          <w:t>https://doi.org/10.1080/13670050.2020.1778630</w:t>
        </w:r>
      </w:hyperlink>
      <w:r w:rsidR="007E0B2E" w:rsidRPr="00A773A0">
        <w:rPr>
          <w:rFonts w:ascii="Times New Roman" w:hAnsi="Times New Roman" w:cs="Times New Roman"/>
        </w:rPr>
        <w:t xml:space="preserve"> </w:t>
      </w:r>
    </w:p>
    <w:p w14:paraId="11141CAC" w14:textId="0FEDC680" w:rsidR="007E0B2E" w:rsidRPr="00A773A0" w:rsidRDefault="0022280F" w:rsidP="00A773A0">
      <w:pPr>
        <w:spacing w:line="360" w:lineRule="auto"/>
        <w:jc w:val="left"/>
        <w:rPr>
          <w:rFonts w:ascii="Times New Roman" w:hAnsi="Times New Roman" w:cs="Times New Roman"/>
        </w:rPr>
      </w:pPr>
      <w:r w:rsidRPr="00A773A0">
        <w:rPr>
          <w:rFonts w:ascii="Times New Roman" w:hAnsi="Times New Roman" w:cs="Times New Roman"/>
        </w:rPr>
        <w:t xml:space="preserve">Kubota, R. &amp; Lin, A. (2006) Race and TESOL: Introduction to concepts and theories. </w:t>
      </w:r>
      <w:r w:rsidRPr="00A773A0">
        <w:rPr>
          <w:rFonts w:ascii="Times New Roman" w:hAnsi="Times New Roman" w:cs="Times New Roman"/>
          <w:i/>
          <w:iCs/>
        </w:rPr>
        <w:t>TESOL Quarterly</w:t>
      </w:r>
      <w:r w:rsidRPr="00A773A0">
        <w:rPr>
          <w:rFonts w:ascii="Times New Roman" w:hAnsi="Times New Roman" w:cs="Times New Roman"/>
        </w:rPr>
        <w:t>, 40, pp. 471–493.</w:t>
      </w:r>
      <w:r w:rsidR="007E0B2E" w:rsidRPr="00A773A0">
        <w:rPr>
          <w:rFonts w:ascii="Times New Roman" w:hAnsi="Times New Roman" w:cs="Times New Roman"/>
        </w:rPr>
        <w:t xml:space="preserve"> </w:t>
      </w:r>
    </w:p>
    <w:p w14:paraId="52FC6706" w14:textId="7915B5DF" w:rsidR="007E0B2E" w:rsidRPr="00A773A0" w:rsidRDefault="0022280F" w:rsidP="00A773A0">
      <w:pPr>
        <w:spacing w:line="360" w:lineRule="auto"/>
        <w:jc w:val="left"/>
        <w:rPr>
          <w:rFonts w:ascii="Times New Roman" w:hAnsi="Times New Roman" w:cs="Times New Roman"/>
        </w:rPr>
      </w:pPr>
      <w:r w:rsidRPr="00A773A0">
        <w:rPr>
          <w:rFonts w:ascii="Times New Roman" w:hAnsi="Times New Roman" w:cs="Times New Roman"/>
        </w:rPr>
        <w:t xml:space="preserve">Lan, S. (2022) Between privileges and precariousness: Remaking whiteness in China’s teaching English as a second language industry. </w:t>
      </w:r>
      <w:r w:rsidRPr="00A773A0">
        <w:rPr>
          <w:rFonts w:ascii="Times New Roman" w:hAnsi="Times New Roman" w:cs="Times New Roman"/>
          <w:i/>
          <w:iCs/>
        </w:rPr>
        <w:t>American Anthropologist</w:t>
      </w:r>
      <w:r w:rsidRPr="00A773A0">
        <w:rPr>
          <w:rFonts w:ascii="Times New Roman" w:hAnsi="Times New Roman" w:cs="Times New Roman"/>
        </w:rPr>
        <w:t>, 124(1), pp. 118–129.</w:t>
      </w:r>
      <w:r w:rsidR="007E0B2E" w:rsidRPr="00A773A0">
        <w:rPr>
          <w:rFonts w:ascii="Times New Roman" w:hAnsi="Times New Roman" w:cs="Times New Roman"/>
        </w:rPr>
        <w:t xml:space="preserve"> </w:t>
      </w:r>
    </w:p>
    <w:p w14:paraId="380922ED" w14:textId="178E49D4" w:rsidR="007E0B2E" w:rsidRPr="00A773A0" w:rsidRDefault="0022280F" w:rsidP="00A773A0">
      <w:pPr>
        <w:spacing w:line="360" w:lineRule="auto"/>
        <w:jc w:val="left"/>
        <w:rPr>
          <w:rFonts w:ascii="Times New Roman" w:hAnsi="Times New Roman" w:cs="Times New Roman"/>
        </w:rPr>
      </w:pPr>
      <w:r w:rsidRPr="00A773A0">
        <w:rPr>
          <w:rFonts w:ascii="Times New Roman" w:hAnsi="Times New Roman" w:cs="Times New Roman"/>
        </w:rPr>
        <w:t xml:space="preserve">Norton, B. (1995) Social identity, investment, and language learning. </w:t>
      </w:r>
      <w:r w:rsidRPr="00A773A0">
        <w:rPr>
          <w:rFonts w:ascii="Times New Roman" w:hAnsi="Times New Roman" w:cs="Times New Roman"/>
          <w:i/>
          <w:iCs/>
        </w:rPr>
        <w:t>TESOL Quarterly</w:t>
      </w:r>
      <w:r w:rsidRPr="00A773A0">
        <w:rPr>
          <w:rFonts w:ascii="Times New Roman" w:hAnsi="Times New Roman" w:cs="Times New Roman"/>
        </w:rPr>
        <w:t>, 29, pp. 9–31.</w:t>
      </w:r>
      <w:r w:rsidR="007E0B2E" w:rsidRPr="00A773A0">
        <w:rPr>
          <w:rFonts w:ascii="Times New Roman" w:hAnsi="Times New Roman" w:cs="Times New Roman"/>
        </w:rPr>
        <w:t xml:space="preserve"> </w:t>
      </w:r>
    </w:p>
    <w:p w14:paraId="570FDDFB" w14:textId="0D843621" w:rsidR="00DA1EFE" w:rsidRPr="00A773A0" w:rsidRDefault="0022280F" w:rsidP="00A773A0">
      <w:pPr>
        <w:spacing w:line="360" w:lineRule="auto"/>
        <w:jc w:val="left"/>
        <w:rPr>
          <w:rFonts w:ascii="Times New Roman" w:hAnsi="Times New Roman" w:cs="Times New Roman"/>
        </w:rPr>
      </w:pPr>
      <w:r w:rsidRPr="00A773A0">
        <w:rPr>
          <w:rFonts w:ascii="Times New Roman" w:hAnsi="Times New Roman" w:cs="Times New Roman"/>
        </w:rPr>
        <w:lastRenderedPageBreak/>
        <w:t xml:space="preserve">Xu, W. (2025) “They Prefer White People and American English”: Racialized English Language Teaching, African English Teachers and Identity Insecurity in China. </w:t>
      </w:r>
      <w:r w:rsidRPr="00A773A0">
        <w:rPr>
          <w:rFonts w:ascii="Times New Roman" w:hAnsi="Times New Roman" w:cs="Times New Roman"/>
          <w:i/>
          <w:iCs/>
        </w:rPr>
        <w:t>TESOL Quarterly</w:t>
      </w:r>
      <w:r w:rsidRPr="00A773A0">
        <w:rPr>
          <w:rFonts w:ascii="Times New Roman" w:hAnsi="Times New Roman" w:cs="Times New Roman"/>
        </w:rPr>
        <w:t xml:space="preserve">, 59(4), pp. 1841–1863. </w:t>
      </w:r>
      <w:hyperlink r:id="rId6" w:tgtFrame="_blank" w:history="1">
        <w:r w:rsidRPr="00A773A0">
          <w:rPr>
            <w:rStyle w:val="ae"/>
            <w:rFonts w:ascii="Times New Roman" w:hAnsi="Times New Roman" w:cs="Times New Roman"/>
          </w:rPr>
          <w:t>https://doi.org/10.1002/tesq.3385</w:t>
        </w:r>
      </w:hyperlink>
    </w:p>
    <w:sectPr w:rsidR="00DA1EFE" w:rsidRPr="00A773A0"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D28"/>
    <w:rsid w:val="0019621A"/>
    <w:rsid w:val="0022280F"/>
    <w:rsid w:val="00282EAB"/>
    <w:rsid w:val="0028555C"/>
    <w:rsid w:val="002C4904"/>
    <w:rsid w:val="002F0F57"/>
    <w:rsid w:val="003C31F1"/>
    <w:rsid w:val="00404063"/>
    <w:rsid w:val="004C7387"/>
    <w:rsid w:val="00524A82"/>
    <w:rsid w:val="0054051E"/>
    <w:rsid w:val="005C3FA9"/>
    <w:rsid w:val="0062630F"/>
    <w:rsid w:val="006A10D2"/>
    <w:rsid w:val="006A1943"/>
    <w:rsid w:val="006F5C2B"/>
    <w:rsid w:val="00755621"/>
    <w:rsid w:val="007E0B2E"/>
    <w:rsid w:val="007E398C"/>
    <w:rsid w:val="00812664"/>
    <w:rsid w:val="008269C8"/>
    <w:rsid w:val="008B3A0F"/>
    <w:rsid w:val="00934F6D"/>
    <w:rsid w:val="00955D76"/>
    <w:rsid w:val="00A1498B"/>
    <w:rsid w:val="00A773A0"/>
    <w:rsid w:val="00A83948"/>
    <w:rsid w:val="00AC4113"/>
    <w:rsid w:val="00B43A37"/>
    <w:rsid w:val="00B93329"/>
    <w:rsid w:val="00B9678B"/>
    <w:rsid w:val="00C12437"/>
    <w:rsid w:val="00C32D28"/>
    <w:rsid w:val="00CA2829"/>
    <w:rsid w:val="00CB5652"/>
    <w:rsid w:val="00D0712D"/>
    <w:rsid w:val="00D4299A"/>
    <w:rsid w:val="00D74972"/>
    <w:rsid w:val="00DA1EFE"/>
    <w:rsid w:val="00DA3ECF"/>
    <w:rsid w:val="00DA6CD1"/>
    <w:rsid w:val="00E34E1E"/>
    <w:rsid w:val="00E85773"/>
    <w:rsid w:val="00E93595"/>
    <w:rsid w:val="00EA6578"/>
    <w:rsid w:val="00FB2A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032132"/>
  <w15:chartTrackingRefBased/>
  <w15:docId w15:val="{886F8611-58DD-5941-99CA-1F1F46BA3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C32D28"/>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C32D28"/>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C32D28"/>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C32D28"/>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C32D28"/>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C32D28"/>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C32D2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32D2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32D2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32D28"/>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C32D28"/>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C32D28"/>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C32D28"/>
    <w:rPr>
      <w:rFonts w:cstheme="majorBidi"/>
      <w:color w:val="2E74B5" w:themeColor="accent1" w:themeShade="BF"/>
      <w:sz w:val="28"/>
      <w:szCs w:val="28"/>
    </w:rPr>
  </w:style>
  <w:style w:type="character" w:customStyle="1" w:styleId="50">
    <w:name w:val="标题 5 字符"/>
    <w:basedOn w:val="a0"/>
    <w:link w:val="5"/>
    <w:uiPriority w:val="9"/>
    <w:semiHidden/>
    <w:rsid w:val="00C32D28"/>
    <w:rPr>
      <w:rFonts w:cstheme="majorBidi"/>
      <w:color w:val="2E74B5" w:themeColor="accent1" w:themeShade="BF"/>
    </w:rPr>
  </w:style>
  <w:style w:type="character" w:customStyle="1" w:styleId="60">
    <w:name w:val="标题 6 字符"/>
    <w:basedOn w:val="a0"/>
    <w:link w:val="6"/>
    <w:uiPriority w:val="9"/>
    <w:semiHidden/>
    <w:rsid w:val="00C32D28"/>
    <w:rPr>
      <w:rFonts w:cstheme="majorBidi"/>
      <w:b/>
      <w:bCs/>
      <w:color w:val="2E74B5" w:themeColor="accent1" w:themeShade="BF"/>
    </w:rPr>
  </w:style>
  <w:style w:type="character" w:customStyle="1" w:styleId="70">
    <w:name w:val="标题 7 字符"/>
    <w:basedOn w:val="a0"/>
    <w:link w:val="7"/>
    <w:uiPriority w:val="9"/>
    <w:semiHidden/>
    <w:rsid w:val="00C32D28"/>
    <w:rPr>
      <w:rFonts w:cstheme="majorBidi"/>
      <w:b/>
      <w:bCs/>
      <w:color w:val="595959" w:themeColor="text1" w:themeTint="A6"/>
    </w:rPr>
  </w:style>
  <w:style w:type="character" w:customStyle="1" w:styleId="80">
    <w:name w:val="标题 8 字符"/>
    <w:basedOn w:val="a0"/>
    <w:link w:val="8"/>
    <w:uiPriority w:val="9"/>
    <w:semiHidden/>
    <w:rsid w:val="00C32D28"/>
    <w:rPr>
      <w:rFonts w:cstheme="majorBidi"/>
      <w:color w:val="595959" w:themeColor="text1" w:themeTint="A6"/>
    </w:rPr>
  </w:style>
  <w:style w:type="character" w:customStyle="1" w:styleId="90">
    <w:name w:val="标题 9 字符"/>
    <w:basedOn w:val="a0"/>
    <w:link w:val="9"/>
    <w:uiPriority w:val="9"/>
    <w:semiHidden/>
    <w:rsid w:val="00C32D28"/>
    <w:rPr>
      <w:rFonts w:eastAsiaTheme="majorEastAsia" w:cstheme="majorBidi"/>
      <w:color w:val="595959" w:themeColor="text1" w:themeTint="A6"/>
    </w:rPr>
  </w:style>
  <w:style w:type="paragraph" w:styleId="a3">
    <w:name w:val="Title"/>
    <w:basedOn w:val="a"/>
    <w:next w:val="a"/>
    <w:link w:val="a4"/>
    <w:uiPriority w:val="10"/>
    <w:qFormat/>
    <w:rsid w:val="00C32D2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32D2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32D2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32D2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32D28"/>
    <w:pPr>
      <w:spacing w:before="160" w:after="160"/>
      <w:jc w:val="center"/>
    </w:pPr>
    <w:rPr>
      <w:i/>
      <w:iCs/>
      <w:color w:val="404040" w:themeColor="text1" w:themeTint="BF"/>
    </w:rPr>
  </w:style>
  <w:style w:type="character" w:customStyle="1" w:styleId="a8">
    <w:name w:val="引用 字符"/>
    <w:basedOn w:val="a0"/>
    <w:link w:val="a7"/>
    <w:uiPriority w:val="29"/>
    <w:rsid w:val="00C32D28"/>
    <w:rPr>
      <w:i/>
      <w:iCs/>
      <w:color w:val="404040" w:themeColor="text1" w:themeTint="BF"/>
    </w:rPr>
  </w:style>
  <w:style w:type="paragraph" w:styleId="a9">
    <w:name w:val="List Paragraph"/>
    <w:basedOn w:val="a"/>
    <w:uiPriority w:val="34"/>
    <w:qFormat/>
    <w:rsid w:val="00C32D28"/>
    <w:pPr>
      <w:ind w:left="720"/>
      <w:contextualSpacing/>
    </w:pPr>
  </w:style>
  <w:style w:type="character" w:styleId="aa">
    <w:name w:val="Intense Emphasis"/>
    <w:basedOn w:val="a0"/>
    <w:uiPriority w:val="21"/>
    <w:qFormat/>
    <w:rsid w:val="00C32D28"/>
    <w:rPr>
      <w:i/>
      <w:iCs/>
      <w:color w:val="2E74B5" w:themeColor="accent1" w:themeShade="BF"/>
    </w:rPr>
  </w:style>
  <w:style w:type="paragraph" w:styleId="ab">
    <w:name w:val="Intense Quote"/>
    <w:basedOn w:val="a"/>
    <w:next w:val="a"/>
    <w:link w:val="ac"/>
    <w:uiPriority w:val="30"/>
    <w:qFormat/>
    <w:rsid w:val="00C32D2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C32D28"/>
    <w:rPr>
      <w:i/>
      <w:iCs/>
      <w:color w:val="2E74B5" w:themeColor="accent1" w:themeShade="BF"/>
    </w:rPr>
  </w:style>
  <w:style w:type="character" w:styleId="ad">
    <w:name w:val="Intense Reference"/>
    <w:basedOn w:val="a0"/>
    <w:uiPriority w:val="32"/>
    <w:qFormat/>
    <w:rsid w:val="00C32D28"/>
    <w:rPr>
      <w:b/>
      <w:bCs/>
      <w:smallCaps/>
      <w:color w:val="2E74B5" w:themeColor="accent1" w:themeShade="BF"/>
      <w:spacing w:val="5"/>
    </w:rPr>
  </w:style>
  <w:style w:type="character" w:styleId="ae">
    <w:name w:val="Hyperlink"/>
    <w:basedOn w:val="a0"/>
    <w:uiPriority w:val="99"/>
    <w:unhideWhenUsed/>
    <w:rsid w:val="007E0B2E"/>
    <w:rPr>
      <w:color w:val="0563C1" w:themeColor="hyperlink"/>
      <w:u w:val="single"/>
    </w:rPr>
  </w:style>
  <w:style w:type="character" w:styleId="af">
    <w:name w:val="Unresolved Mention"/>
    <w:basedOn w:val="a0"/>
    <w:uiPriority w:val="99"/>
    <w:rsid w:val="007E0B2E"/>
    <w:rPr>
      <w:color w:val="605E5C"/>
      <w:shd w:val="clear" w:color="auto" w:fill="E1DFDD"/>
    </w:rPr>
  </w:style>
  <w:style w:type="character" w:styleId="af0">
    <w:name w:val="FollowedHyperlink"/>
    <w:basedOn w:val="a0"/>
    <w:uiPriority w:val="99"/>
    <w:semiHidden/>
    <w:unhideWhenUsed/>
    <w:rsid w:val="006263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2/tesq.3385" TargetMode="External"/><Relationship Id="rId5" Type="http://schemas.openxmlformats.org/officeDocument/2006/relationships/hyperlink" Target="https://doi.org/10.1080/13670050.2020.1778630" TargetMode="External"/><Relationship Id="rId4" Type="http://schemas.openxmlformats.org/officeDocument/2006/relationships/hyperlink" Target="https://doi.org/10.1191/1478088706qp063oa"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11</Pages>
  <Words>2634</Words>
  <Characters>15019</Characters>
  <Application>Microsoft Office Word</Application>
  <DocSecurity>0</DocSecurity>
  <Lines>125</Lines>
  <Paragraphs>35</Paragraphs>
  <ScaleCrop>false</ScaleCrop>
  <Company/>
  <LinksUpToDate>false</LinksUpToDate>
  <CharactersWithSpaces>17618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33</cp:revision>
  <dcterms:created xsi:type="dcterms:W3CDTF">2025-11-22T19:40:00Z</dcterms:created>
  <dcterms:modified xsi:type="dcterms:W3CDTF">2025-11-24T20:29:00Z</dcterms:modified>
</cp:coreProperties>
</file>