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eastAsiaTheme="minorEastAsia"/>
          <w:lang w:eastAsia="zh-CN"/>
        </w:rPr>
      </w:pPr>
      <w:r>
        <w:rPr>
          <w:sz w:val="21"/>
        </w:rPr>
        <mc:AlternateContent>
          <mc:Choice Requires="wps">
            <w:drawing>
              <wp:anchor distT="0" distB="0" distL="114300" distR="114300" simplePos="0" relativeHeight="251662336" behindDoc="0" locked="0" layoutInCell="1" allowOverlap="1">
                <wp:simplePos x="0" y="0"/>
                <wp:positionH relativeFrom="column">
                  <wp:posOffset>4261485</wp:posOffset>
                </wp:positionH>
                <wp:positionV relativeFrom="paragraph">
                  <wp:posOffset>323215</wp:posOffset>
                </wp:positionV>
                <wp:extent cx="2345690" cy="459105"/>
                <wp:effectExtent l="0" t="0" r="0" b="0"/>
                <wp:wrapNone/>
                <wp:docPr id="3" name="文本框 3"/>
                <wp:cNvGraphicFramePr/>
                <a:graphic xmlns:a="http://schemas.openxmlformats.org/drawingml/2006/main">
                  <a:graphicData uri="http://schemas.microsoft.com/office/word/2010/wordprocessingShape">
                    <wps:wsp>
                      <wps:cNvSpPr txBox="1"/>
                      <wps:spPr>
                        <a:xfrm>
                          <a:off x="0" y="0"/>
                          <a:ext cx="2345690" cy="459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eastAsia="宋体"/>
                                <w:b/>
                                <w:bCs w:val="0"/>
                                <w:szCs w:val="24"/>
                                <w:lang w:val="en-US" w:eastAsia="zh-CN"/>
                              </w:rPr>
                            </w:pPr>
                            <w:r>
                              <w:rPr>
                                <w:b/>
                                <w:bCs w:val="0"/>
                                <w:szCs w:val="24"/>
                              </w:rPr>
                              <w:t>[Date]</w:t>
                            </w:r>
                            <w:r>
                              <w:rPr>
                                <w:rFonts w:hint="eastAsia" w:eastAsia="宋体"/>
                                <w:b/>
                                <w:bCs w:val="0"/>
                                <w:szCs w:val="24"/>
                                <w:lang w:val="en-US" w:eastAsia="zh-CN"/>
                              </w:rPr>
                              <w:t xml:space="preserve"> 2023.11.30</w:t>
                            </w:r>
                          </w:p>
                          <w:p>
                            <w:pPr>
                              <w:rPr>
                                <w:rFonts w:hint="eastAsia"/>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5.55pt;margin-top:25.45pt;height:36.15pt;width:184.7pt;z-index:251662336;mso-width-relative:page;mso-height-relative:page;" filled="f" stroked="f" coordsize="21600,21600" o:gfxdata="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&#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PgYftDbAAAACwEAAA8AAAAAAAAAAQAgAAAAIgAAAGRy&#10;cy9kb3ducmV2LnhtbFBLAQIUABQAAAAIAIdO4kCFLf3mOwIAAGYEAAAOAAAAAAAAAAEAIAAAACoB&#10;AABkcnMvZTJvRG9jLnhtbFBLBQYAAAAABgAGAFkBAADXBQAAAAA=&#10;">
                <v:fill on="f" focussize="0,0"/>
                <v:stroke on="f" weight="0.5pt"/>
                <v:imagedata o:title=""/>
                <o:lock v:ext="edit" aspectratio="f"/>
                <v:textbox>
                  <w:txbxContent>
                    <w:p>
                      <w:pPr>
                        <w:jc w:val="center"/>
                        <w:rPr>
                          <w:rFonts w:hint="default" w:eastAsia="宋体"/>
                          <w:b/>
                          <w:bCs w:val="0"/>
                          <w:szCs w:val="24"/>
                          <w:lang w:val="en-US" w:eastAsia="zh-CN"/>
                        </w:rPr>
                      </w:pPr>
                      <w:r>
                        <w:rPr>
                          <w:b/>
                          <w:bCs w:val="0"/>
                          <w:szCs w:val="24"/>
                        </w:rPr>
                        <w:t>[Date]</w:t>
                      </w:r>
                      <w:r>
                        <w:rPr>
                          <w:rFonts w:hint="eastAsia" w:eastAsia="宋体"/>
                          <w:b/>
                          <w:bCs w:val="0"/>
                          <w:szCs w:val="24"/>
                          <w:lang w:val="en-US" w:eastAsia="zh-CN"/>
                        </w:rPr>
                        <w:t xml:space="preserve"> 2023.11.30</w:t>
                      </w:r>
                    </w:p>
                    <w:p>
                      <w:pPr>
                        <w:rPr>
                          <w:rFonts w:hint="eastAsia"/>
                          <w:lang w:val="en-US" w:eastAsia="zh-CN"/>
                        </w:rPr>
                      </w:pPr>
                    </w:p>
                  </w:txbxContent>
                </v:textbox>
              </v:shape>
            </w:pict>
          </mc:Fallback>
        </mc:AlternateContent>
      </w:r>
      <w:r>
        <w:rPr>
          <w:sz w:val="21"/>
        </w:rPr>
        <mc:AlternateContent>
          <mc:Choice Requires="wps">
            <w:drawing>
              <wp:anchor distT="0" distB="0" distL="114300" distR="114300" simplePos="0" relativeHeight="251660288" behindDoc="0" locked="0" layoutInCell="1" allowOverlap="1">
                <wp:simplePos x="0" y="0"/>
                <wp:positionH relativeFrom="column">
                  <wp:posOffset>-829310</wp:posOffset>
                </wp:positionH>
                <wp:positionV relativeFrom="paragraph">
                  <wp:posOffset>3439795</wp:posOffset>
                </wp:positionV>
                <wp:extent cx="5024120" cy="2238375"/>
                <wp:effectExtent l="0" t="0" r="0" b="0"/>
                <wp:wrapNone/>
                <wp:docPr id="7" name="文本框 7"/>
                <wp:cNvGraphicFramePr/>
                <a:graphic xmlns:a="http://schemas.openxmlformats.org/drawingml/2006/main">
                  <a:graphicData uri="http://schemas.microsoft.com/office/word/2010/wordprocessingShape">
                    <wps:wsp>
                      <wps:cNvSpPr txBox="1"/>
                      <wps:spPr>
                        <a:xfrm>
                          <a:off x="0" y="0"/>
                          <a:ext cx="5024120" cy="22383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b/>
                                <w:bCs/>
                                <w:szCs w:val="24"/>
                              </w:rPr>
                            </w:pPr>
                            <w:r>
                              <w:rPr>
                                <w:rFonts w:hint="eastAsia" w:ascii="微软雅黑" w:hAnsi="微软雅黑" w:eastAsia="微软雅黑" w:cs="微软雅黑"/>
                                <w:b w:val="0"/>
                                <w:bCs w:val="0"/>
                                <w:color w:val="FFFFFF" w:themeColor="background1"/>
                                <w:sz w:val="72"/>
                                <w:szCs w:val="72"/>
                                <w:lang w:val="en-US" w:eastAsia="zh-CN"/>
                                <w14:textFill>
                                  <w14:solidFill>
                                    <w14:schemeClr w14:val="bg1"/>
                                  </w14:solidFill>
                                </w14:textFill>
                              </w:rPr>
                              <w:t>[</w:t>
                            </w:r>
                            <w:r>
                              <w:rPr>
                                <w:b/>
                                <w:bCs/>
                                <w:szCs w:val="24"/>
                              </w:rPr>
                              <w:t>Navigating Intercultural Business Communication: A Guide for Expanding to Asian Markets</w:t>
                            </w:r>
                          </w:p>
                          <w:p>
                            <w:pPr>
                              <w:jc w:val="right"/>
                              <w:rPr>
                                <w:rFonts w:hint="eastAsia" w:ascii="微软雅黑" w:hAnsi="微软雅黑" w:eastAsia="微软雅黑" w:cs="微软雅黑"/>
                                <w:b w:val="0"/>
                                <w:bCs w:val="0"/>
                                <w:color w:val="FFFFFF" w:themeColor="background1"/>
                                <w:sz w:val="72"/>
                                <w:szCs w:val="72"/>
                                <w:lang w:val="en-US" w:eastAsia="zh-CN"/>
                                <w14:textFill>
                                  <w14:solidFill>
                                    <w14:schemeClr w14:val="bg1"/>
                                  </w14:solidFill>
                                </w14:textFill>
                              </w:rPr>
                            </w:pPr>
                            <w:r>
                              <w:rPr>
                                <w:rFonts w:hint="eastAsia" w:ascii="微软雅黑" w:hAnsi="微软雅黑" w:eastAsia="微软雅黑" w:cs="微软雅黑"/>
                                <w:b w:val="0"/>
                                <w:bCs w:val="0"/>
                                <w:color w:val="FFFFFF" w:themeColor="background1"/>
                                <w:sz w:val="72"/>
                                <w:szCs w:val="72"/>
                                <w:lang w:val="en-US" w:eastAsia="zh-CN"/>
                                <w14:textFill>
                                  <w14:solidFill>
                                    <w14:schemeClr w14:val="bg1"/>
                                  </w14:solidFill>
                                </w14:textFill>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5.3pt;margin-top:270.85pt;height:176.25pt;width:395.6pt;z-index:251660288;mso-width-relative:page;mso-height-relative:page;" filled="f" stroked="f" coordsize="21600,21600" o:gfxdata="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R2Wgc9wAAAAMAQAADwAAAAAAAAABACAAAAAiAAAA&#10;ZHJzL2Rvd25yZXYueG1sUEsBAhQAFAAAAAgAh07iQIk8EG88AgAAZwQAAA4AAAAAAAAAAQAgAAAA&#10;KwEAAGRycy9lMm9Eb2MueG1sUEsFBgAAAAAGAAYAWQEAANkFAAAAAA==&#10;">
                <v:fill on="f" focussize="0,0"/>
                <v:stroke on="f" weight="0.5pt"/>
                <v:imagedata o:title=""/>
                <o:lock v:ext="edit" aspectratio="f"/>
                <v:textbox>
                  <w:txbxContent>
                    <w:p>
                      <w:pPr>
                        <w:jc w:val="center"/>
                        <w:rPr>
                          <w:b/>
                          <w:bCs/>
                          <w:szCs w:val="24"/>
                        </w:rPr>
                      </w:pPr>
                      <w:r>
                        <w:rPr>
                          <w:rFonts w:hint="eastAsia" w:ascii="微软雅黑" w:hAnsi="微软雅黑" w:eastAsia="微软雅黑" w:cs="微软雅黑"/>
                          <w:b w:val="0"/>
                          <w:bCs w:val="0"/>
                          <w:color w:val="FFFFFF" w:themeColor="background1"/>
                          <w:sz w:val="72"/>
                          <w:szCs w:val="72"/>
                          <w:lang w:val="en-US" w:eastAsia="zh-CN"/>
                          <w14:textFill>
                            <w14:solidFill>
                              <w14:schemeClr w14:val="bg1"/>
                            </w14:solidFill>
                          </w14:textFill>
                        </w:rPr>
                        <w:t>[</w:t>
                      </w:r>
                      <w:r>
                        <w:rPr>
                          <w:b/>
                          <w:bCs/>
                          <w:szCs w:val="24"/>
                        </w:rPr>
                        <w:t>Navigating Intercultural Business Communication: A Guide for Expanding to Asian Markets</w:t>
                      </w:r>
                    </w:p>
                    <w:p>
                      <w:pPr>
                        <w:jc w:val="right"/>
                        <w:rPr>
                          <w:rFonts w:hint="eastAsia" w:ascii="微软雅黑" w:hAnsi="微软雅黑" w:eastAsia="微软雅黑" w:cs="微软雅黑"/>
                          <w:b w:val="0"/>
                          <w:bCs w:val="0"/>
                          <w:color w:val="FFFFFF" w:themeColor="background1"/>
                          <w:sz w:val="72"/>
                          <w:szCs w:val="72"/>
                          <w:lang w:val="en-US" w:eastAsia="zh-CN"/>
                          <w14:textFill>
                            <w14:solidFill>
                              <w14:schemeClr w14:val="bg1"/>
                            </w14:solidFill>
                          </w14:textFill>
                        </w:rPr>
                      </w:pPr>
                      <w:r>
                        <w:rPr>
                          <w:rFonts w:hint="eastAsia" w:ascii="微软雅黑" w:hAnsi="微软雅黑" w:eastAsia="微软雅黑" w:cs="微软雅黑"/>
                          <w:b w:val="0"/>
                          <w:bCs w:val="0"/>
                          <w:color w:val="FFFFFF" w:themeColor="background1"/>
                          <w:sz w:val="72"/>
                          <w:szCs w:val="72"/>
                          <w:lang w:val="en-US" w:eastAsia="zh-CN"/>
                          <w14:textFill>
                            <w14:solidFill>
                              <w14:schemeClr w14:val="bg1"/>
                            </w14:solidFill>
                          </w14:textFill>
                        </w:rPr>
                        <w:t>]</w:t>
                      </w:r>
                    </w:p>
                  </w:txbxContent>
                </v:textbox>
              </v:shape>
            </w:pict>
          </mc:Fallback>
        </mc:AlternateContent>
      </w:r>
      <w:r>
        <w:rPr>
          <w:sz w:val="21"/>
        </w:rPr>
        <mc:AlternateContent>
          <mc:Choice Requires="wps">
            <w:drawing>
              <wp:anchor distT="0" distB="0" distL="114300" distR="114300" simplePos="0" relativeHeight="251659264" behindDoc="0" locked="0" layoutInCell="1" allowOverlap="1">
                <wp:simplePos x="0" y="0"/>
                <wp:positionH relativeFrom="column">
                  <wp:posOffset>-843280</wp:posOffset>
                </wp:positionH>
                <wp:positionV relativeFrom="paragraph">
                  <wp:posOffset>-631190</wp:posOffset>
                </wp:positionV>
                <wp:extent cx="5154295" cy="10114280"/>
                <wp:effectExtent l="0" t="0" r="1905" b="7620"/>
                <wp:wrapNone/>
                <wp:docPr id="2" name="矩形 2"/>
                <wp:cNvGraphicFramePr/>
                <a:graphic xmlns:a="http://schemas.openxmlformats.org/drawingml/2006/main">
                  <a:graphicData uri="http://schemas.microsoft.com/office/word/2010/wordprocessingShape">
                    <wps:wsp>
                      <wps:cNvSpPr/>
                      <wps:spPr>
                        <a:xfrm>
                          <a:off x="179705" y="283210"/>
                          <a:ext cx="5154295" cy="10114280"/>
                        </a:xfrm>
                        <a:prstGeom prst="rect">
                          <a:avLst/>
                        </a:prstGeom>
                        <a:solidFill>
                          <a:srgbClr val="90A9D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6.4pt;margin-top:-49.7pt;height:796.4pt;width:405.85pt;z-index:251659264;v-text-anchor:middle;mso-width-relative:page;mso-height-relative:page;" fillcolor="#90A9DC" filled="t" stroked="f" coordsize="21600,21600" o:gfxdata="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">
                <v:fill on="t" focussize="0,0"/>
                <v:stroke on="f" weight="1pt" miterlimit="8" joinstyle="miter"/>
                <v:imagedata o:title=""/>
                <o:lock v:ext="edit" aspectratio="f"/>
              </v:rect>
            </w:pict>
          </mc:Fallback>
        </mc:AlternateContent>
      </w:r>
    </w:p>
    <w:p>
      <w:pPr>
        <w:jc w:val="center"/>
        <w:rPr>
          <w:b/>
          <w:bCs/>
          <w:sz w:val="28"/>
          <w:szCs w:val="28"/>
        </w:rPr>
        <w:sectPr>
          <w:headerReference r:id="rId5" w:type="default"/>
          <w:pgSz w:w="12240" w:h="15840"/>
          <w:pgMar w:top="1440" w:right="1440" w:bottom="1440" w:left="1440" w:header="720" w:footer="720" w:gutter="0"/>
          <w:cols w:space="720" w:num="1"/>
          <w:docGrid w:linePitch="360" w:charSpace="0"/>
        </w:sectPr>
      </w:pPr>
      <w:r>
        <w:rPr>
          <w:sz w:val="21"/>
        </w:rPr>
        <mc:AlternateContent>
          <mc:Choice Requires="wps">
            <w:drawing>
              <wp:anchor distT="0" distB="0" distL="114300" distR="114300" simplePos="0" relativeHeight="251661312" behindDoc="0" locked="0" layoutInCell="1" allowOverlap="1">
                <wp:simplePos x="0" y="0"/>
                <wp:positionH relativeFrom="column">
                  <wp:posOffset>3337560</wp:posOffset>
                </wp:positionH>
                <wp:positionV relativeFrom="paragraph">
                  <wp:posOffset>7592695</wp:posOffset>
                </wp:positionV>
                <wp:extent cx="3297555" cy="459105"/>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3297555" cy="459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eastAsia="宋体"/>
                                <w:b/>
                                <w:bCs w:val="0"/>
                                <w:szCs w:val="24"/>
                                <w:lang w:val="en-US" w:eastAsia="zh-CN"/>
                              </w:rPr>
                            </w:pPr>
                            <w:r>
                              <w:rPr>
                                <w:b/>
                                <w:bCs w:val="0"/>
                                <w:szCs w:val="24"/>
                              </w:rPr>
                              <w:t>[Name]</w:t>
                            </w:r>
                            <w:r>
                              <w:rPr>
                                <w:rFonts w:hint="eastAsia" w:eastAsia="宋体"/>
                                <w:b/>
                                <w:bCs w:val="0"/>
                                <w:szCs w:val="24"/>
                                <w:lang w:val="en-US" w:eastAsia="zh-CN"/>
                              </w:rPr>
                              <w:t xml:space="preserve"> Yuxin Ren</w:t>
                            </w:r>
                          </w:p>
                          <w:p>
                            <w:pPr>
                              <w:jc w:val="center"/>
                              <w:rPr>
                                <w:rFonts w:hint="default" w:eastAsia="宋体"/>
                                <w:b/>
                                <w:bCs w:val="0"/>
                                <w:szCs w:val="24"/>
                                <w:lang w:val="en-US" w:eastAsia="zh-CN"/>
                              </w:rPr>
                            </w:pPr>
                          </w:p>
                          <w:p>
                            <w:pPr>
                              <w:rPr>
                                <w:rFonts w:hint="eastAsia"/>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2.8pt;margin-top:597.85pt;height:36.15pt;width:259.65pt;z-index:251661312;mso-width-relative:page;mso-height-relative:page;" filled="f" stroked="f" coordsize="21600,21600" o:gfxdata="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4A4lyN4AAAAOAQAADwAAAAAAAAABACAAAAAi&#10;AAAAZHJzL2Rvd25yZXYueG1sUEsBAhQAFAAAAAgAh07iQNMG6EA9AgAAaAQAAA4AAAAAAAAAAQAg&#10;AAAALQEAAGRycy9lMm9Eb2MueG1sUEsFBgAAAAAGAAYAWQEAANwFAAAAAA==&#10;">
                <v:fill on="f" focussize="0,0"/>
                <v:stroke on="f" weight="0.5pt"/>
                <v:imagedata o:title=""/>
                <o:lock v:ext="edit" aspectratio="f"/>
                <v:textbox>
                  <w:txbxContent>
                    <w:p>
                      <w:pPr>
                        <w:jc w:val="center"/>
                        <w:rPr>
                          <w:rFonts w:hint="eastAsia" w:eastAsia="宋体"/>
                          <w:b/>
                          <w:bCs w:val="0"/>
                          <w:szCs w:val="24"/>
                          <w:lang w:val="en-US" w:eastAsia="zh-CN"/>
                        </w:rPr>
                      </w:pPr>
                      <w:r>
                        <w:rPr>
                          <w:b/>
                          <w:bCs w:val="0"/>
                          <w:szCs w:val="24"/>
                        </w:rPr>
                        <w:t>[Name]</w:t>
                      </w:r>
                      <w:r>
                        <w:rPr>
                          <w:rFonts w:hint="eastAsia" w:eastAsia="宋体"/>
                          <w:b/>
                          <w:bCs w:val="0"/>
                          <w:szCs w:val="24"/>
                          <w:lang w:val="en-US" w:eastAsia="zh-CN"/>
                        </w:rPr>
                        <w:t xml:space="preserve"> Yuxin Ren</w:t>
                      </w:r>
                    </w:p>
                    <w:p>
                      <w:pPr>
                        <w:jc w:val="center"/>
                        <w:rPr>
                          <w:rFonts w:hint="default" w:eastAsia="宋体"/>
                          <w:b/>
                          <w:bCs w:val="0"/>
                          <w:szCs w:val="24"/>
                          <w:lang w:val="en-US" w:eastAsia="zh-CN"/>
                        </w:rPr>
                      </w:pPr>
                    </w:p>
                    <w:p>
                      <w:pPr>
                        <w:rPr>
                          <w:rFonts w:hint="eastAsia"/>
                          <w:lang w:val="en-US" w:eastAsia="zh-CN"/>
                        </w:rPr>
                      </w:pPr>
                    </w:p>
                  </w:txbxContent>
                </v:textbox>
              </v:shape>
            </w:pict>
          </mc:Fallback>
        </mc:AlternateContent>
      </w:r>
    </w:p>
    <w:p>
      <w:pPr>
        <w:jc w:val="center"/>
        <w:rPr>
          <w:b/>
          <w:bCs/>
          <w:sz w:val="28"/>
          <w:szCs w:val="28"/>
        </w:rPr>
      </w:pPr>
      <w:bookmarkStart w:id="26" w:name="_GoBack"/>
      <w:bookmarkEnd w:id="26"/>
      <w:r>
        <w:rPr>
          <w:b/>
          <w:bCs/>
          <w:sz w:val="28"/>
          <w:szCs w:val="28"/>
        </w:rPr>
        <w:t>Navigating Intercultural Business Communication: A Guide for Expanding to Asian Markets</w:t>
      </w:r>
    </w:p>
    <w:p>
      <w:pPr>
        <w:pStyle w:val="2"/>
        <w:rPr>
          <w:rFonts w:ascii="Times New Roman" w:hAnsi="Times New Roman" w:cs="Times New Roman"/>
          <w:b/>
          <w:sz w:val="24"/>
          <w:szCs w:val="24"/>
        </w:rPr>
      </w:pPr>
      <w:bookmarkStart w:id="0" w:name="_Toc152138598"/>
      <w:r>
        <w:rPr>
          <w:rFonts w:ascii="Times New Roman" w:hAnsi="Times New Roman" w:cs="Times New Roman"/>
          <w:b/>
          <w:color w:val="auto"/>
          <w:sz w:val="24"/>
          <w:szCs w:val="24"/>
        </w:rPr>
        <w:t>Executive Summary</w:t>
      </w:r>
      <w:bookmarkEnd w:id="0"/>
    </w:p>
    <w:p>
      <w:r>
        <w:t xml:space="preserve">This comprehensive report has provided a pathway for navigating the intricate landscape of international business communication, as even the British clothing retailer pursues expansion into the Asian market. Cognizant of the value of effective communication in international markets, the report has highlighted essential skills for success, including, building relationships, cross-cultural awareness, and adaptability. Moreover, possible challenges are highlighted, including, lack of cross-cultural training, language barriers, and cultural misunderstandings. These underscore the importance of adopting a strategic approach in overcoming the identified challenges. </w:t>
      </w:r>
    </w:p>
    <w:p>
      <w:r>
        <w:t xml:space="preserve">The findings of this report underscore the value of building trust, managing conflicts, and establishing credibility. Different components of culture have been explored through theoretical lenses such as Hofstede’s cultural dimensions, Hall’s high-low context, and Trompenaars’ cultural dimensions. These have offered a nuanced comprehension of the Asian markets. There are profound implications for business expansion into Asia that call for cultural intelligence. </w:t>
      </w:r>
    </w:p>
    <w:p>
      <w:r>
        <w:t>Actionable recommendations have been made in the report, advocating for in-depth training programs centered around cultural competence, establishing clear guidelines, and cross-cultural communication consultation services. The implementation of such initiatives will be useful in empowering the team towards navigating the nuances of Asian markets, thus ensuring cultural intelligence in line with the different preferences and values of partners and consumers.</w:t>
      </w:r>
    </w:p>
    <w:p>
      <w:r>
        <w:br w:type="page"/>
      </w:r>
    </w:p>
    <w:p>
      <w:pPr>
        <w:rPr>
          <w:b/>
        </w:rPr>
      </w:pPr>
      <w:r>
        <w:rPr>
          <w:b/>
        </w:rPr>
        <w:t>Table of Contents</w:t>
      </w:r>
    </w:p>
    <w:sdt>
      <w:sdtPr>
        <w:rPr>
          <w:rFonts w:ascii="Times New Roman" w:hAnsi="Times New Roman" w:eastAsiaTheme="minorHAnsi" w:cstheme="minorBidi"/>
          <w:color w:val="auto"/>
          <w:sz w:val="24"/>
          <w:szCs w:val="22"/>
        </w:rPr>
        <w:id w:val="-76979264"/>
        <w:docPartObj>
          <w:docPartGallery w:val="Table of Contents"/>
          <w:docPartUnique/>
        </w:docPartObj>
      </w:sdtPr>
      <w:sdtEndPr>
        <w:rPr>
          <w:rFonts w:ascii="Times New Roman" w:hAnsi="Times New Roman" w:eastAsiaTheme="minorHAnsi" w:cstheme="minorBidi"/>
          <w:bCs/>
          <w:color w:val="auto"/>
          <w:sz w:val="24"/>
          <w:szCs w:val="22"/>
        </w:rPr>
      </w:sdtEndPr>
      <w:sdtContent>
        <w:p>
          <w:pPr>
            <w:pStyle w:val="15"/>
            <w:spacing w:line="240" w:lineRule="auto"/>
          </w:pPr>
        </w:p>
        <w:p>
          <w:pPr>
            <w:pStyle w:val="6"/>
            <w:tabs>
              <w:tab w:val="right" w:leader="dot" w:pos="9350"/>
            </w:tabs>
            <w:spacing w:line="240" w:lineRule="auto"/>
            <w:rPr>
              <w:rFonts w:asciiTheme="minorHAnsi" w:hAnsiTheme="minorHAnsi" w:eastAsiaTheme="minorEastAsia"/>
              <w:sz w:val="22"/>
            </w:rPr>
          </w:pPr>
          <w:r>
            <w:fldChar w:fldCharType="begin"/>
          </w:r>
          <w:r>
            <w:instrText xml:space="preserve"> TOC \o "1-3" \h \z \u </w:instrText>
          </w:r>
          <w:r>
            <w:fldChar w:fldCharType="separate"/>
          </w:r>
          <w:r>
            <w:fldChar w:fldCharType="begin"/>
          </w:r>
          <w:r>
            <w:instrText xml:space="preserve"> HYPERLINK \l "_Toc152138598" </w:instrText>
          </w:r>
          <w:r>
            <w:fldChar w:fldCharType="separate"/>
          </w:r>
          <w:r>
            <w:rPr>
              <w:rStyle w:val="10"/>
              <w:rFonts w:cs="Times New Roman"/>
            </w:rPr>
            <w:t>Executive Summary</w:t>
          </w:r>
          <w:r>
            <w:tab/>
          </w:r>
          <w:r>
            <w:fldChar w:fldCharType="begin"/>
          </w:r>
          <w:r>
            <w:instrText xml:space="preserve"> PAGEREF _Toc152138598 \h </w:instrText>
          </w:r>
          <w:r>
            <w:fldChar w:fldCharType="separate"/>
          </w:r>
          <w:r>
            <w:t>1</w:t>
          </w:r>
          <w:r>
            <w:fldChar w:fldCharType="end"/>
          </w:r>
          <w:r>
            <w:fldChar w:fldCharType="end"/>
          </w:r>
        </w:p>
        <w:p>
          <w:pPr>
            <w:pStyle w:val="6"/>
            <w:tabs>
              <w:tab w:val="left" w:pos="660"/>
              <w:tab w:val="right" w:leader="dot" w:pos="9350"/>
            </w:tabs>
            <w:spacing w:line="240" w:lineRule="auto"/>
            <w:rPr>
              <w:rFonts w:asciiTheme="minorHAnsi" w:hAnsiTheme="minorHAnsi" w:eastAsiaTheme="minorEastAsia"/>
              <w:sz w:val="22"/>
            </w:rPr>
          </w:pPr>
          <w:r>
            <w:fldChar w:fldCharType="begin"/>
          </w:r>
          <w:r>
            <w:instrText xml:space="preserve"> HYPERLINK \l "_Toc152138599" </w:instrText>
          </w:r>
          <w:r>
            <w:fldChar w:fldCharType="separate"/>
          </w:r>
          <w:r>
            <w:rPr>
              <w:rStyle w:val="10"/>
            </w:rPr>
            <w:t>1.0</w:t>
          </w:r>
          <w:r>
            <w:rPr>
              <w:rFonts w:asciiTheme="minorHAnsi" w:hAnsiTheme="minorHAnsi" w:eastAsiaTheme="minorEastAsia"/>
              <w:sz w:val="22"/>
            </w:rPr>
            <w:tab/>
          </w:r>
          <w:r>
            <w:rPr>
              <w:rStyle w:val="10"/>
            </w:rPr>
            <w:t>Introduction</w:t>
          </w:r>
          <w:r>
            <w:tab/>
          </w:r>
          <w:r>
            <w:fldChar w:fldCharType="begin"/>
          </w:r>
          <w:r>
            <w:instrText xml:space="preserve"> PAGEREF _Toc152138599 \h </w:instrText>
          </w:r>
          <w:r>
            <w:fldChar w:fldCharType="separate"/>
          </w:r>
          <w:r>
            <w:t>3</w:t>
          </w:r>
          <w:r>
            <w:fldChar w:fldCharType="end"/>
          </w:r>
          <w:r>
            <w:fldChar w:fldCharType="end"/>
          </w:r>
        </w:p>
        <w:p>
          <w:pPr>
            <w:pStyle w:val="7"/>
            <w:tabs>
              <w:tab w:val="left" w:pos="880"/>
              <w:tab w:val="right" w:leader="dot" w:pos="9350"/>
            </w:tabs>
            <w:spacing w:line="240" w:lineRule="auto"/>
            <w:rPr>
              <w:rFonts w:asciiTheme="minorHAnsi" w:hAnsiTheme="minorHAnsi" w:eastAsiaTheme="minorEastAsia"/>
              <w:sz w:val="22"/>
            </w:rPr>
          </w:pPr>
          <w:r>
            <w:fldChar w:fldCharType="begin"/>
          </w:r>
          <w:r>
            <w:instrText xml:space="preserve"> HYPERLINK \l "_Toc152138600" </w:instrText>
          </w:r>
          <w:r>
            <w:fldChar w:fldCharType="separate"/>
          </w:r>
          <w:r>
            <w:rPr>
              <w:rStyle w:val="10"/>
            </w:rPr>
            <w:t>1.1</w:t>
          </w:r>
          <w:r>
            <w:rPr>
              <w:rFonts w:asciiTheme="minorHAnsi" w:hAnsiTheme="minorHAnsi" w:eastAsiaTheme="minorEastAsia"/>
              <w:sz w:val="22"/>
            </w:rPr>
            <w:tab/>
          </w:r>
          <w:r>
            <w:rPr>
              <w:rStyle w:val="10"/>
            </w:rPr>
            <w:t>Background</w:t>
          </w:r>
          <w:r>
            <w:tab/>
          </w:r>
          <w:r>
            <w:fldChar w:fldCharType="begin"/>
          </w:r>
          <w:r>
            <w:instrText xml:space="preserve"> PAGEREF _Toc152138600 \h </w:instrText>
          </w:r>
          <w:r>
            <w:fldChar w:fldCharType="separate"/>
          </w:r>
          <w:r>
            <w:t>3</w:t>
          </w:r>
          <w:r>
            <w:fldChar w:fldCharType="end"/>
          </w:r>
          <w:r>
            <w:fldChar w:fldCharType="end"/>
          </w:r>
        </w:p>
        <w:p>
          <w:pPr>
            <w:pStyle w:val="7"/>
            <w:tabs>
              <w:tab w:val="left" w:pos="880"/>
              <w:tab w:val="right" w:leader="dot" w:pos="9350"/>
            </w:tabs>
            <w:spacing w:line="240" w:lineRule="auto"/>
            <w:rPr>
              <w:rFonts w:asciiTheme="minorHAnsi" w:hAnsiTheme="minorHAnsi" w:eastAsiaTheme="minorEastAsia"/>
              <w:sz w:val="22"/>
            </w:rPr>
          </w:pPr>
          <w:r>
            <w:fldChar w:fldCharType="begin"/>
          </w:r>
          <w:r>
            <w:instrText xml:space="preserve"> HYPERLINK \l "_Toc152138601" </w:instrText>
          </w:r>
          <w:r>
            <w:fldChar w:fldCharType="separate"/>
          </w:r>
          <w:r>
            <w:rPr>
              <w:rStyle w:val="10"/>
            </w:rPr>
            <w:t>1.2</w:t>
          </w:r>
          <w:r>
            <w:rPr>
              <w:rFonts w:asciiTheme="minorHAnsi" w:hAnsiTheme="minorHAnsi" w:eastAsiaTheme="minorEastAsia"/>
              <w:sz w:val="22"/>
            </w:rPr>
            <w:tab/>
          </w:r>
          <w:r>
            <w:rPr>
              <w:rStyle w:val="10"/>
            </w:rPr>
            <w:t>Objectives</w:t>
          </w:r>
          <w:r>
            <w:tab/>
          </w:r>
          <w:r>
            <w:fldChar w:fldCharType="begin"/>
          </w:r>
          <w:r>
            <w:instrText xml:space="preserve"> PAGEREF _Toc152138601 \h </w:instrText>
          </w:r>
          <w:r>
            <w:fldChar w:fldCharType="separate"/>
          </w:r>
          <w:r>
            <w:t>3</w:t>
          </w:r>
          <w:r>
            <w:fldChar w:fldCharType="end"/>
          </w:r>
          <w:r>
            <w:fldChar w:fldCharType="end"/>
          </w:r>
        </w:p>
        <w:p>
          <w:pPr>
            <w:pStyle w:val="6"/>
            <w:tabs>
              <w:tab w:val="left" w:pos="660"/>
              <w:tab w:val="right" w:leader="dot" w:pos="9350"/>
            </w:tabs>
            <w:spacing w:line="240" w:lineRule="auto"/>
            <w:rPr>
              <w:rFonts w:asciiTheme="minorHAnsi" w:hAnsiTheme="minorHAnsi" w:eastAsiaTheme="minorEastAsia"/>
              <w:sz w:val="22"/>
            </w:rPr>
          </w:pPr>
          <w:r>
            <w:fldChar w:fldCharType="begin"/>
          </w:r>
          <w:r>
            <w:instrText xml:space="preserve"> HYPERLINK \l "_Toc152138602" </w:instrText>
          </w:r>
          <w:r>
            <w:fldChar w:fldCharType="separate"/>
          </w:r>
          <w:r>
            <w:rPr>
              <w:rStyle w:val="10"/>
            </w:rPr>
            <w:t>2.0</w:t>
          </w:r>
          <w:r>
            <w:rPr>
              <w:rFonts w:asciiTheme="minorHAnsi" w:hAnsiTheme="minorHAnsi" w:eastAsiaTheme="minorEastAsia"/>
              <w:sz w:val="22"/>
            </w:rPr>
            <w:tab/>
          </w:r>
          <w:r>
            <w:rPr>
              <w:rStyle w:val="10"/>
            </w:rPr>
            <w:t>International Business Communication</w:t>
          </w:r>
          <w:r>
            <w:tab/>
          </w:r>
          <w:r>
            <w:fldChar w:fldCharType="begin"/>
          </w:r>
          <w:r>
            <w:instrText xml:space="preserve"> PAGEREF _Toc152138602 \h </w:instrText>
          </w:r>
          <w:r>
            <w:fldChar w:fldCharType="separate"/>
          </w:r>
          <w:r>
            <w:t>4</w:t>
          </w:r>
          <w:r>
            <w:fldChar w:fldCharType="end"/>
          </w:r>
          <w:r>
            <w:fldChar w:fldCharType="end"/>
          </w:r>
        </w:p>
        <w:p>
          <w:pPr>
            <w:pStyle w:val="7"/>
            <w:tabs>
              <w:tab w:val="left" w:pos="880"/>
              <w:tab w:val="right" w:leader="dot" w:pos="9350"/>
            </w:tabs>
            <w:spacing w:line="240" w:lineRule="auto"/>
            <w:rPr>
              <w:rFonts w:asciiTheme="minorHAnsi" w:hAnsiTheme="minorHAnsi" w:eastAsiaTheme="minorEastAsia"/>
              <w:sz w:val="22"/>
            </w:rPr>
          </w:pPr>
          <w:r>
            <w:fldChar w:fldCharType="begin"/>
          </w:r>
          <w:r>
            <w:instrText xml:space="preserve"> HYPERLINK \l "_Toc152138603" </w:instrText>
          </w:r>
          <w:r>
            <w:fldChar w:fldCharType="separate"/>
          </w:r>
          <w:r>
            <w:rPr>
              <w:rStyle w:val="10"/>
            </w:rPr>
            <w:t>2.1</w:t>
          </w:r>
          <w:r>
            <w:rPr>
              <w:rFonts w:asciiTheme="minorHAnsi" w:hAnsiTheme="minorHAnsi" w:eastAsiaTheme="minorEastAsia"/>
              <w:sz w:val="22"/>
            </w:rPr>
            <w:tab/>
          </w:r>
          <w:r>
            <w:rPr>
              <w:rStyle w:val="10"/>
            </w:rPr>
            <w:t>Definition &amp; Scope</w:t>
          </w:r>
          <w:r>
            <w:tab/>
          </w:r>
          <w:r>
            <w:fldChar w:fldCharType="begin"/>
          </w:r>
          <w:r>
            <w:instrText xml:space="preserve"> PAGEREF _Toc152138603 \h </w:instrText>
          </w:r>
          <w:r>
            <w:fldChar w:fldCharType="separate"/>
          </w:r>
          <w:r>
            <w:t>4</w:t>
          </w:r>
          <w:r>
            <w:fldChar w:fldCharType="end"/>
          </w:r>
          <w:r>
            <w:fldChar w:fldCharType="end"/>
          </w:r>
        </w:p>
        <w:p>
          <w:pPr>
            <w:pStyle w:val="7"/>
            <w:tabs>
              <w:tab w:val="left" w:pos="880"/>
              <w:tab w:val="right" w:leader="dot" w:pos="9350"/>
            </w:tabs>
            <w:spacing w:line="240" w:lineRule="auto"/>
            <w:rPr>
              <w:rFonts w:asciiTheme="minorHAnsi" w:hAnsiTheme="minorHAnsi" w:eastAsiaTheme="minorEastAsia"/>
              <w:sz w:val="22"/>
            </w:rPr>
          </w:pPr>
          <w:r>
            <w:fldChar w:fldCharType="begin"/>
          </w:r>
          <w:r>
            <w:instrText xml:space="preserve"> HYPERLINK \l "_Toc152138604" </w:instrText>
          </w:r>
          <w:r>
            <w:fldChar w:fldCharType="separate"/>
          </w:r>
          <w:r>
            <w:rPr>
              <w:rStyle w:val="10"/>
            </w:rPr>
            <w:t>2.2</w:t>
          </w:r>
          <w:r>
            <w:rPr>
              <w:rFonts w:asciiTheme="minorHAnsi" w:hAnsiTheme="minorHAnsi" w:eastAsiaTheme="minorEastAsia"/>
              <w:sz w:val="22"/>
            </w:rPr>
            <w:tab/>
          </w:r>
          <w:r>
            <w:rPr>
              <w:rStyle w:val="10"/>
            </w:rPr>
            <w:t>Effective Communication &amp; Its Importance</w:t>
          </w:r>
          <w:r>
            <w:tab/>
          </w:r>
          <w:r>
            <w:fldChar w:fldCharType="begin"/>
          </w:r>
          <w:r>
            <w:instrText xml:space="preserve"> PAGEREF _Toc152138604 \h </w:instrText>
          </w:r>
          <w:r>
            <w:fldChar w:fldCharType="separate"/>
          </w:r>
          <w:r>
            <w:t>4</w:t>
          </w:r>
          <w:r>
            <w:fldChar w:fldCharType="end"/>
          </w:r>
          <w:r>
            <w:fldChar w:fldCharType="end"/>
          </w:r>
        </w:p>
        <w:p>
          <w:pPr>
            <w:pStyle w:val="7"/>
            <w:tabs>
              <w:tab w:val="left" w:pos="880"/>
              <w:tab w:val="right" w:leader="dot" w:pos="9350"/>
            </w:tabs>
            <w:spacing w:line="240" w:lineRule="auto"/>
            <w:rPr>
              <w:rFonts w:asciiTheme="minorHAnsi" w:hAnsiTheme="minorHAnsi" w:eastAsiaTheme="minorEastAsia"/>
              <w:sz w:val="22"/>
            </w:rPr>
          </w:pPr>
          <w:r>
            <w:fldChar w:fldCharType="begin"/>
          </w:r>
          <w:r>
            <w:instrText xml:space="preserve"> HYPERLINK \l "_Toc152138605" </w:instrText>
          </w:r>
          <w:r>
            <w:fldChar w:fldCharType="separate"/>
          </w:r>
          <w:r>
            <w:rPr>
              <w:rStyle w:val="10"/>
            </w:rPr>
            <w:t>2.3</w:t>
          </w:r>
          <w:r>
            <w:rPr>
              <w:rFonts w:asciiTheme="minorHAnsi" w:hAnsiTheme="minorHAnsi" w:eastAsiaTheme="minorEastAsia"/>
              <w:sz w:val="22"/>
            </w:rPr>
            <w:tab/>
          </w:r>
          <w:r>
            <w:rPr>
              <w:rStyle w:val="10"/>
            </w:rPr>
            <w:t>Methods of Communication &amp; Skills Required</w:t>
          </w:r>
          <w:r>
            <w:tab/>
          </w:r>
          <w:r>
            <w:fldChar w:fldCharType="begin"/>
          </w:r>
          <w:r>
            <w:instrText xml:space="preserve"> PAGEREF _Toc152138605 \h </w:instrText>
          </w:r>
          <w:r>
            <w:fldChar w:fldCharType="separate"/>
          </w:r>
          <w:r>
            <w:t>5</w:t>
          </w:r>
          <w:r>
            <w:fldChar w:fldCharType="end"/>
          </w:r>
          <w:r>
            <w:fldChar w:fldCharType="end"/>
          </w:r>
        </w:p>
        <w:p>
          <w:pPr>
            <w:pStyle w:val="6"/>
            <w:tabs>
              <w:tab w:val="left" w:pos="660"/>
              <w:tab w:val="right" w:leader="dot" w:pos="9350"/>
            </w:tabs>
            <w:spacing w:line="240" w:lineRule="auto"/>
            <w:rPr>
              <w:rFonts w:asciiTheme="minorHAnsi" w:hAnsiTheme="minorHAnsi" w:eastAsiaTheme="minorEastAsia"/>
              <w:sz w:val="22"/>
            </w:rPr>
          </w:pPr>
          <w:r>
            <w:fldChar w:fldCharType="begin"/>
          </w:r>
          <w:r>
            <w:instrText xml:space="preserve"> HYPERLINK \l "_Toc152138606" </w:instrText>
          </w:r>
          <w:r>
            <w:fldChar w:fldCharType="separate"/>
          </w:r>
          <w:r>
            <w:rPr>
              <w:rStyle w:val="10"/>
            </w:rPr>
            <w:t>3.0</w:t>
          </w:r>
          <w:r>
            <w:rPr>
              <w:rFonts w:asciiTheme="minorHAnsi" w:hAnsiTheme="minorHAnsi" w:eastAsiaTheme="minorEastAsia"/>
              <w:sz w:val="22"/>
            </w:rPr>
            <w:tab/>
          </w:r>
          <w:r>
            <w:rPr>
              <w:rStyle w:val="10"/>
            </w:rPr>
            <w:t>Importance of Relationship Building</w:t>
          </w:r>
          <w:r>
            <w:tab/>
          </w:r>
          <w:r>
            <w:fldChar w:fldCharType="begin"/>
          </w:r>
          <w:r>
            <w:instrText xml:space="preserve"> PAGEREF _Toc152138606 \h </w:instrText>
          </w:r>
          <w:r>
            <w:fldChar w:fldCharType="separate"/>
          </w:r>
          <w:r>
            <w:t>5</w:t>
          </w:r>
          <w:r>
            <w:fldChar w:fldCharType="end"/>
          </w:r>
          <w:r>
            <w:fldChar w:fldCharType="end"/>
          </w:r>
        </w:p>
        <w:p>
          <w:pPr>
            <w:pStyle w:val="7"/>
            <w:tabs>
              <w:tab w:val="left" w:pos="880"/>
              <w:tab w:val="right" w:leader="dot" w:pos="9350"/>
            </w:tabs>
            <w:spacing w:line="240" w:lineRule="auto"/>
            <w:rPr>
              <w:rFonts w:asciiTheme="minorHAnsi" w:hAnsiTheme="minorHAnsi" w:eastAsiaTheme="minorEastAsia"/>
              <w:sz w:val="22"/>
            </w:rPr>
          </w:pPr>
          <w:r>
            <w:fldChar w:fldCharType="begin"/>
          </w:r>
          <w:r>
            <w:instrText xml:space="preserve"> HYPERLINK \l "_Toc152138607" </w:instrText>
          </w:r>
          <w:r>
            <w:fldChar w:fldCharType="separate"/>
          </w:r>
          <w:r>
            <w:rPr>
              <w:rStyle w:val="10"/>
            </w:rPr>
            <w:t>3.1</w:t>
          </w:r>
          <w:r>
            <w:rPr>
              <w:rFonts w:asciiTheme="minorHAnsi" w:hAnsiTheme="minorHAnsi" w:eastAsiaTheme="minorEastAsia"/>
              <w:sz w:val="22"/>
            </w:rPr>
            <w:tab/>
          </w:r>
          <w:r>
            <w:rPr>
              <w:rStyle w:val="10"/>
            </w:rPr>
            <w:t>Building Trust</w:t>
          </w:r>
          <w:r>
            <w:tab/>
          </w:r>
          <w:r>
            <w:fldChar w:fldCharType="begin"/>
          </w:r>
          <w:r>
            <w:instrText xml:space="preserve"> PAGEREF _Toc152138607 \h </w:instrText>
          </w:r>
          <w:r>
            <w:fldChar w:fldCharType="separate"/>
          </w:r>
          <w:r>
            <w:t>5</w:t>
          </w:r>
          <w:r>
            <w:fldChar w:fldCharType="end"/>
          </w:r>
          <w:r>
            <w:fldChar w:fldCharType="end"/>
          </w:r>
        </w:p>
        <w:p>
          <w:pPr>
            <w:pStyle w:val="7"/>
            <w:tabs>
              <w:tab w:val="left" w:pos="880"/>
              <w:tab w:val="right" w:leader="dot" w:pos="9350"/>
            </w:tabs>
            <w:spacing w:line="240" w:lineRule="auto"/>
            <w:rPr>
              <w:rFonts w:asciiTheme="minorHAnsi" w:hAnsiTheme="minorHAnsi" w:eastAsiaTheme="minorEastAsia"/>
              <w:sz w:val="22"/>
            </w:rPr>
          </w:pPr>
          <w:r>
            <w:fldChar w:fldCharType="begin"/>
          </w:r>
          <w:r>
            <w:instrText xml:space="preserve"> HYPERLINK \l "_Toc152138608" </w:instrText>
          </w:r>
          <w:r>
            <w:fldChar w:fldCharType="separate"/>
          </w:r>
          <w:r>
            <w:rPr>
              <w:rStyle w:val="10"/>
            </w:rPr>
            <w:t>3.2</w:t>
          </w:r>
          <w:r>
            <w:rPr>
              <w:rFonts w:asciiTheme="minorHAnsi" w:hAnsiTheme="minorHAnsi" w:eastAsiaTheme="minorEastAsia"/>
              <w:sz w:val="22"/>
            </w:rPr>
            <w:tab/>
          </w:r>
          <w:r>
            <w:rPr>
              <w:rStyle w:val="10"/>
            </w:rPr>
            <w:t>Establishing Credibility</w:t>
          </w:r>
          <w:r>
            <w:tab/>
          </w:r>
          <w:r>
            <w:fldChar w:fldCharType="begin"/>
          </w:r>
          <w:r>
            <w:instrText xml:space="preserve"> PAGEREF _Toc152138608 \h </w:instrText>
          </w:r>
          <w:r>
            <w:fldChar w:fldCharType="separate"/>
          </w:r>
          <w:r>
            <w:t>6</w:t>
          </w:r>
          <w:r>
            <w:fldChar w:fldCharType="end"/>
          </w:r>
          <w:r>
            <w:fldChar w:fldCharType="end"/>
          </w:r>
        </w:p>
        <w:p>
          <w:pPr>
            <w:pStyle w:val="7"/>
            <w:tabs>
              <w:tab w:val="left" w:pos="880"/>
              <w:tab w:val="right" w:leader="dot" w:pos="9350"/>
            </w:tabs>
            <w:spacing w:line="240" w:lineRule="auto"/>
            <w:rPr>
              <w:rFonts w:asciiTheme="minorHAnsi" w:hAnsiTheme="minorHAnsi" w:eastAsiaTheme="minorEastAsia"/>
              <w:sz w:val="22"/>
            </w:rPr>
          </w:pPr>
          <w:r>
            <w:fldChar w:fldCharType="begin"/>
          </w:r>
          <w:r>
            <w:instrText xml:space="preserve"> HYPERLINK \l "_Toc152138609" </w:instrText>
          </w:r>
          <w:r>
            <w:fldChar w:fldCharType="separate"/>
          </w:r>
          <w:r>
            <w:rPr>
              <w:rStyle w:val="10"/>
            </w:rPr>
            <w:t>3.3</w:t>
          </w:r>
          <w:r>
            <w:rPr>
              <w:rFonts w:asciiTheme="minorHAnsi" w:hAnsiTheme="minorHAnsi" w:eastAsiaTheme="minorEastAsia"/>
              <w:sz w:val="22"/>
            </w:rPr>
            <w:tab/>
          </w:r>
          <w:r>
            <w:rPr>
              <w:rStyle w:val="10"/>
            </w:rPr>
            <w:t>Conflict Management</w:t>
          </w:r>
          <w:r>
            <w:tab/>
          </w:r>
          <w:r>
            <w:fldChar w:fldCharType="begin"/>
          </w:r>
          <w:r>
            <w:instrText xml:space="preserve"> PAGEREF _Toc152138609 \h </w:instrText>
          </w:r>
          <w:r>
            <w:fldChar w:fldCharType="separate"/>
          </w:r>
          <w:r>
            <w:t>6</w:t>
          </w:r>
          <w:r>
            <w:fldChar w:fldCharType="end"/>
          </w:r>
          <w:r>
            <w:fldChar w:fldCharType="end"/>
          </w:r>
        </w:p>
        <w:p>
          <w:pPr>
            <w:pStyle w:val="6"/>
            <w:tabs>
              <w:tab w:val="left" w:pos="660"/>
              <w:tab w:val="right" w:leader="dot" w:pos="9350"/>
            </w:tabs>
            <w:spacing w:line="240" w:lineRule="auto"/>
            <w:rPr>
              <w:rFonts w:asciiTheme="minorHAnsi" w:hAnsiTheme="minorHAnsi" w:eastAsiaTheme="minorEastAsia"/>
              <w:sz w:val="22"/>
            </w:rPr>
          </w:pPr>
          <w:r>
            <w:fldChar w:fldCharType="begin"/>
          </w:r>
          <w:r>
            <w:instrText xml:space="preserve"> HYPERLINK \l "_Toc152138610" </w:instrText>
          </w:r>
          <w:r>
            <w:fldChar w:fldCharType="separate"/>
          </w:r>
          <w:r>
            <w:rPr>
              <w:rStyle w:val="10"/>
            </w:rPr>
            <w:t>4.0</w:t>
          </w:r>
          <w:r>
            <w:rPr>
              <w:rFonts w:asciiTheme="minorHAnsi" w:hAnsiTheme="minorHAnsi" w:eastAsiaTheme="minorEastAsia"/>
              <w:sz w:val="22"/>
            </w:rPr>
            <w:tab/>
          </w:r>
          <w:r>
            <w:rPr>
              <w:rStyle w:val="10"/>
            </w:rPr>
            <w:t>Potential Reasons for Communication Failures</w:t>
          </w:r>
          <w:r>
            <w:tab/>
          </w:r>
          <w:r>
            <w:fldChar w:fldCharType="begin"/>
          </w:r>
          <w:r>
            <w:instrText xml:space="preserve"> PAGEREF _Toc152138610 \h </w:instrText>
          </w:r>
          <w:r>
            <w:fldChar w:fldCharType="separate"/>
          </w:r>
          <w:r>
            <w:t>7</w:t>
          </w:r>
          <w:r>
            <w:fldChar w:fldCharType="end"/>
          </w:r>
          <w:r>
            <w:fldChar w:fldCharType="end"/>
          </w:r>
        </w:p>
        <w:p>
          <w:pPr>
            <w:pStyle w:val="7"/>
            <w:tabs>
              <w:tab w:val="left" w:pos="880"/>
              <w:tab w:val="right" w:leader="dot" w:pos="9350"/>
            </w:tabs>
            <w:spacing w:line="240" w:lineRule="auto"/>
            <w:rPr>
              <w:rFonts w:asciiTheme="minorHAnsi" w:hAnsiTheme="minorHAnsi" w:eastAsiaTheme="minorEastAsia"/>
              <w:sz w:val="22"/>
            </w:rPr>
          </w:pPr>
          <w:r>
            <w:fldChar w:fldCharType="begin"/>
          </w:r>
          <w:r>
            <w:instrText xml:space="preserve"> HYPERLINK \l "_Toc152138611" </w:instrText>
          </w:r>
          <w:r>
            <w:fldChar w:fldCharType="separate"/>
          </w:r>
          <w:r>
            <w:rPr>
              <w:rStyle w:val="10"/>
            </w:rPr>
            <w:t>4.1</w:t>
          </w:r>
          <w:r>
            <w:rPr>
              <w:rFonts w:asciiTheme="minorHAnsi" w:hAnsiTheme="minorHAnsi" w:eastAsiaTheme="minorEastAsia"/>
              <w:sz w:val="22"/>
            </w:rPr>
            <w:tab/>
          </w:r>
          <w:r>
            <w:rPr>
              <w:rStyle w:val="10"/>
            </w:rPr>
            <w:t>Cultural Misunderstandings</w:t>
          </w:r>
          <w:r>
            <w:tab/>
          </w:r>
          <w:r>
            <w:fldChar w:fldCharType="begin"/>
          </w:r>
          <w:r>
            <w:instrText xml:space="preserve"> PAGEREF _Toc152138611 \h </w:instrText>
          </w:r>
          <w:r>
            <w:fldChar w:fldCharType="separate"/>
          </w:r>
          <w:r>
            <w:t>7</w:t>
          </w:r>
          <w:r>
            <w:fldChar w:fldCharType="end"/>
          </w:r>
          <w:r>
            <w:fldChar w:fldCharType="end"/>
          </w:r>
        </w:p>
        <w:p>
          <w:pPr>
            <w:pStyle w:val="7"/>
            <w:tabs>
              <w:tab w:val="left" w:pos="880"/>
              <w:tab w:val="right" w:leader="dot" w:pos="9350"/>
            </w:tabs>
            <w:spacing w:line="240" w:lineRule="auto"/>
            <w:rPr>
              <w:rFonts w:asciiTheme="minorHAnsi" w:hAnsiTheme="minorHAnsi" w:eastAsiaTheme="minorEastAsia"/>
              <w:sz w:val="22"/>
            </w:rPr>
          </w:pPr>
          <w:r>
            <w:fldChar w:fldCharType="begin"/>
          </w:r>
          <w:r>
            <w:instrText xml:space="preserve"> HYPERLINK \l "_Toc152138612" </w:instrText>
          </w:r>
          <w:r>
            <w:fldChar w:fldCharType="separate"/>
          </w:r>
          <w:r>
            <w:rPr>
              <w:rStyle w:val="10"/>
            </w:rPr>
            <w:t>4.2</w:t>
          </w:r>
          <w:r>
            <w:rPr>
              <w:rFonts w:asciiTheme="minorHAnsi" w:hAnsiTheme="minorHAnsi" w:eastAsiaTheme="minorEastAsia"/>
              <w:sz w:val="22"/>
            </w:rPr>
            <w:tab/>
          </w:r>
          <w:r>
            <w:rPr>
              <w:rStyle w:val="10"/>
            </w:rPr>
            <w:t>Language Barriers</w:t>
          </w:r>
          <w:r>
            <w:tab/>
          </w:r>
          <w:r>
            <w:fldChar w:fldCharType="begin"/>
          </w:r>
          <w:r>
            <w:instrText xml:space="preserve"> PAGEREF _Toc152138612 \h </w:instrText>
          </w:r>
          <w:r>
            <w:fldChar w:fldCharType="separate"/>
          </w:r>
          <w:r>
            <w:t>7</w:t>
          </w:r>
          <w:r>
            <w:fldChar w:fldCharType="end"/>
          </w:r>
          <w:r>
            <w:fldChar w:fldCharType="end"/>
          </w:r>
        </w:p>
        <w:p>
          <w:pPr>
            <w:pStyle w:val="7"/>
            <w:tabs>
              <w:tab w:val="left" w:pos="880"/>
              <w:tab w:val="right" w:leader="dot" w:pos="9350"/>
            </w:tabs>
            <w:spacing w:line="240" w:lineRule="auto"/>
            <w:rPr>
              <w:rFonts w:asciiTheme="minorHAnsi" w:hAnsiTheme="minorHAnsi" w:eastAsiaTheme="minorEastAsia"/>
              <w:sz w:val="22"/>
            </w:rPr>
          </w:pPr>
          <w:r>
            <w:fldChar w:fldCharType="begin"/>
          </w:r>
          <w:r>
            <w:instrText xml:space="preserve"> HYPERLINK \l "_Toc152138613" </w:instrText>
          </w:r>
          <w:r>
            <w:fldChar w:fldCharType="separate"/>
          </w:r>
          <w:r>
            <w:rPr>
              <w:rStyle w:val="10"/>
            </w:rPr>
            <w:t>4.3</w:t>
          </w:r>
          <w:r>
            <w:rPr>
              <w:rFonts w:asciiTheme="minorHAnsi" w:hAnsiTheme="minorHAnsi" w:eastAsiaTheme="minorEastAsia"/>
              <w:sz w:val="22"/>
            </w:rPr>
            <w:tab/>
          </w:r>
          <w:r>
            <w:rPr>
              <w:rStyle w:val="10"/>
            </w:rPr>
            <w:t>Lack of Cross-Cultural Training</w:t>
          </w:r>
          <w:r>
            <w:tab/>
          </w:r>
          <w:r>
            <w:fldChar w:fldCharType="begin"/>
          </w:r>
          <w:r>
            <w:instrText xml:space="preserve"> PAGEREF _Toc152138613 \h </w:instrText>
          </w:r>
          <w:r>
            <w:fldChar w:fldCharType="separate"/>
          </w:r>
          <w:r>
            <w:t>8</w:t>
          </w:r>
          <w:r>
            <w:fldChar w:fldCharType="end"/>
          </w:r>
          <w:r>
            <w:fldChar w:fldCharType="end"/>
          </w:r>
        </w:p>
        <w:p>
          <w:pPr>
            <w:pStyle w:val="6"/>
            <w:tabs>
              <w:tab w:val="left" w:pos="660"/>
              <w:tab w:val="right" w:leader="dot" w:pos="9350"/>
            </w:tabs>
            <w:spacing w:line="240" w:lineRule="auto"/>
            <w:rPr>
              <w:rFonts w:asciiTheme="minorHAnsi" w:hAnsiTheme="minorHAnsi" w:eastAsiaTheme="minorEastAsia"/>
              <w:sz w:val="22"/>
            </w:rPr>
          </w:pPr>
          <w:r>
            <w:fldChar w:fldCharType="begin"/>
          </w:r>
          <w:r>
            <w:instrText xml:space="preserve"> HYPERLINK \l "_Toc152138614" </w:instrText>
          </w:r>
          <w:r>
            <w:fldChar w:fldCharType="separate"/>
          </w:r>
          <w:r>
            <w:rPr>
              <w:rStyle w:val="10"/>
            </w:rPr>
            <w:t>5.0</w:t>
          </w:r>
          <w:r>
            <w:rPr>
              <w:rFonts w:asciiTheme="minorHAnsi" w:hAnsiTheme="minorHAnsi" w:eastAsiaTheme="minorEastAsia"/>
              <w:sz w:val="22"/>
            </w:rPr>
            <w:tab/>
          </w:r>
          <w:r>
            <w:rPr>
              <w:rStyle w:val="10"/>
            </w:rPr>
            <w:t>Understanding Culture</w:t>
          </w:r>
          <w:r>
            <w:tab/>
          </w:r>
          <w:r>
            <w:fldChar w:fldCharType="begin"/>
          </w:r>
          <w:r>
            <w:instrText xml:space="preserve"> PAGEREF _Toc152138614 \h </w:instrText>
          </w:r>
          <w:r>
            <w:fldChar w:fldCharType="separate"/>
          </w:r>
          <w:r>
            <w:t>8</w:t>
          </w:r>
          <w:r>
            <w:fldChar w:fldCharType="end"/>
          </w:r>
          <w:r>
            <w:fldChar w:fldCharType="end"/>
          </w:r>
        </w:p>
        <w:p>
          <w:pPr>
            <w:pStyle w:val="7"/>
            <w:tabs>
              <w:tab w:val="left" w:pos="880"/>
              <w:tab w:val="right" w:leader="dot" w:pos="9350"/>
            </w:tabs>
            <w:spacing w:line="240" w:lineRule="auto"/>
            <w:rPr>
              <w:rFonts w:asciiTheme="minorHAnsi" w:hAnsiTheme="minorHAnsi" w:eastAsiaTheme="minorEastAsia"/>
              <w:sz w:val="22"/>
            </w:rPr>
          </w:pPr>
          <w:r>
            <w:fldChar w:fldCharType="begin"/>
          </w:r>
          <w:r>
            <w:instrText xml:space="preserve"> HYPERLINK \l "_Toc152138615" </w:instrText>
          </w:r>
          <w:r>
            <w:fldChar w:fldCharType="separate"/>
          </w:r>
          <w:r>
            <w:rPr>
              <w:rStyle w:val="10"/>
            </w:rPr>
            <w:t>5.1</w:t>
          </w:r>
          <w:r>
            <w:rPr>
              <w:rFonts w:asciiTheme="minorHAnsi" w:hAnsiTheme="minorHAnsi" w:eastAsiaTheme="minorEastAsia"/>
              <w:sz w:val="22"/>
            </w:rPr>
            <w:tab/>
          </w:r>
          <w:r>
            <w:rPr>
              <w:rStyle w:val="10"/>
            </w:rPr>
            <w:t>Culture and the Components of Culture</w:t>
          </w:r>
          <w:r>
            <w:tab/>
          </w:r>
          <w:r>
            <w:fldChar w:fldCharType="begin"/>
          </w:r>
          <w:r>
            <w:instrText xml:space="preserve"> PAGEREF _Toc152138615 \h </w:instrText>
          </w:r>
          <w:r>
            <w:fldChar w:fldCharType="separate"/>
          </w:r>
          <w:r>
            <w:t>8</w:t>
          </w:r>
          <w:r>
            <w:fldChar w:fldCharType="end"/>
          </w:r>
          <w:r>
            <w:fldChar w:fldCharType="end"/>
          </w:r>
        </w:p>
        <w:p>
          <w:pPr>
            <w:pStyle w:val="7"/>
            <w:tabs>
              <w:tab w:val="left" w:pos="880"/>
              <w:tab w:val="right" w:leader="dot" w:pos="9350"/>
            </w:tabs>
            <w:spacing w:line="240" w:lineRule="auto"/>
            <w:rPr>
              <w:rFonts w:asciiTheme="minorHAnsi" w:hAnsiTheme="minorHAnsi" w:eastAsiaTheme="minorEastAsia"/>
              <w:sz w:val="22"/>
            </w:rPr>
          </w:pPr>
          <w:r>
            <w:fldChar w:fldCharType="begin"/>
          </w:r>
          <w:r>
            <w:instrText xml:space="preserve"> HYPERLINK \l "_Toc152138616" </w:instrText>
          </w:r>
          <w:r>
            <w:fldChar w:fldCharType="separate"/>
          </w:r>
          <w:r>
            <w:rPr>
              <w:rStyle w:val="10"/>
            </w:rPr>
            <w:t>5.2</w:t>
          </w:r>
          <w:r>
            <w:rPr>
              <w:rFonts w:asciiTheme="minorHAnsi" w:hAnsiTheme="minorHAnsi" w:eastAsiaTheme="minorEastAsia"/>
              <w:sz w:val="22"/>
            </w:rPr>
            <w:tab/>
          </w:r>
          <w:r>
            <w:rPr>
              <w:rStyle w:val="10"/>
            </w:rPr>
            <w:t>Hofstede’s Cultural Dimensions</w:t>
          </w:r>
          <w:r>
            <w:tab/>
          </w:r>
          <w:r>
            <w:fldChar w:fldCharType="begin"/>
          </w:r>
          <w:r>
            <w:instrText xml:space="preserve"> PAGEREF _Toc152138616 \h </w:instrText>
          </w:r>
          <w:r>
            <w:fldChar w:fldCharType="separate"/>
          </w:r>
          <w:r>
            <w:t>9</w:t>
          </w:r>
          <w:r>
            <w:fldChar w:fldCharType="end"/>
          </w:r>
          <w:r>
            <w:fldChar w:fldCharType="end"/>
          </w:r>
        </w:p>
        <w:p>
          <w:pPr>
            <w:pStyle w:val="7"/>
            <w:tabs>
              <w:tab w:val="left" w:pos="880"/>
              <w:tab w:val="right" w:leader="dot" w:pos="9350"/>
            </w:tabs>
            <w:spacing w:line="240" w:lineRule="auto"/>
            <w:rPr>
              <w:rFonts w:asciiTheme="minorHAnsi" w:hAnsiTheme="minorHAnsi" w:eastAsiaTheme="minorEastAsia"/>
              <w:sz w:val="22"/>
            </w:rPr>
          </w:pPr>
          <w:r>
            <w:fldChar w:fldCharType="begin"/>
          </w:r>
          <w:r>
            <w:instrText xml:space="preserve"> HYPERLINK \l "_Toc152138617" </w:instrText>
          </w:r>
          <w:r>
            <w:fldChar w:fldCharType="separate"/>
          </w:r>
          <w:r>
            <w:rPr>
              <w:rStyle w:val="10"/>
            </w:rPr>
            <w:t>5.3</w:t>
          </w:r>
          <w:r>
            <w:rPr>
              <w:rFonts w:asciiTheme="minorHAnsi" w:hAnsiTheme="minorHAnsi" w:eastAsiaTheme="minorEastAsia"/>
              <w:sz w:val="22"/>
            </w:rPr>
            <w:tab/>
          </w:r>
          <w:r>
            <w:rPr>
              <w:rStyle w:val="10"/>
            </w:rPr>
            <w:t>Halls High-Low Context</w:t>
          </w:r>
          <w:r>
            <w:tab/>
          </w:r>
          <w:r>
            <w:fldChar w:fldCharType="begin"/>
          </w:r>
          <w:r>
            <w:instrText xml:space="preserve"> PAGEREF _Toc152138617 \h </w:instrText>
          </w:r>
          <w:r>
            <w:fldChar w:fldCharType="separate"/>
          </w:r>
          <w:r>
            <w:t>10</w:t>
          </w:r>
          <w:r>
            <w:fldChar w:fldCharType="end"/>
          </w:r>
          <w:r>
            <w:fldChar w:fldCharType="end"/>
          </w:r>
        </w:p>
        <w:p>
          <w:pPr>
            <w:pStyle w:val="7"/>
            <w:tabs>
              <w:tab w:val="left" w:pos="880"/>
              <w:tab w:val="right" w:leader="dot" w:pos="9350"/>
            </w:tabs>
            <w:spacing w:line="240" w:lineRule="auto"/>
            <w:rPr>
              <w:rFonts w:asciiTheme="minorHAnsi" w:hAnsiTheme="minorHAnsi" w:eastAsiaTheme="minorEastAsia"/>
              <w:sz w:val="22"/>
            </w:rPr>
          </w:pPr>
          <w:r>
            <w:fldChar w:fldCharType="begin"/>
          </w:r>
          <w:r>
            <w:instrText xml:space="preserve"> HYPERLINK \l "_Toc152138618" </w:instrText>
          </w:r>
          <w:r>
            <w:fldChar w:fldCharType="separate"/>
          </w:r>
          <w:r>
            <w:rPr>
              <w:rStyle w:val="10"/>
            </w:rPr>
            <w:t>5.4</w:t>
          </w:r>
          <w:r>
            <w:rPr>
              <w:rFonts w:asciiTheme="minorHAnsi" w:hAnsiTheme="minorHAnsi" w:eastAsiaTheme="minorEastAsia"/>
              <w:sz w:val="22"/>
            </w:rPr>
            <w:tab/>
          </w:r>
          <w:r>
            <w:rPr>
              <w:rStyle w:val="10"/>
            </w:rPr>
            <w:t>Trompenaars’ 7 Dimensions to Culture</w:t>
          </w:r>
          <w:r>
            <w:tab/>
          </w:r>
          <w:r>
            <w:fldChar w:fldCharType="begin"/>
          </w:r>
          <w:r>
            <w:instrText xml:space="preserve"> PAGEREF _Toc152138618 \h </w:instrText>
          </w:r>
          <w:r>
            <w:fldChar w:fldCharType="separate"/>
          </w:r>
          <w:r>
            <w:t>10</w:t>
          </w:r>
          <w:r>
            <w:fldChar w:fldCharType="end"/>
          </w:r>
          <w:r>
            <w:fldChar w:fldCharType="end"/>
          </w:r>
        </w:p>
        <w:p>
          <w:pPr>
            <w:pStyle w:val="7"/>
            <w:tabs>
              <w:tab w:val="left" w:pos="880"/>
              <w:tab w:val="right" w:leader="dot" w:pos="9350"/>
            </w:tabs>
            <w:spacing w:line="240" w:lineRule="auto"/>
            <w:rPr>
              <w:rFonts w:asciiTheme="minorHAnsi" w:hAnsiTheme="minorHAnsi" w:eastAsiaTheme="minorEastAsia"/>
              <w:sz w:val="22"/>
            </w:rPr>
          </w:pPr>
          <w:r>
            <w:fldChar w:fldCharType="begin"/>
          </w:r>
          <w:r>
            <w:instrText xml:space="preserve"> HYPERLINK \l "_Toc152138619" </w:instrText>
          </w:r>
          <w:r>
            <w:fldChar w:fldCharType="separate"/>
          </w:r>
          <w:r>
            <w:rPr>
              <w:rStyle w:val="10"/>
            </w:rPr>
            <w:t>5.5</w:t>
          </w:r>
          <w:r>
            <w:rPr>
              <w:rFonts w:asciiTheme="minorHAnsi" w:hAnsiTheme="minorHAnsi" w:eastAsiaTheme="minorEastAsia"/>
              <w:sz w:val="22"/>
            </w:rPr>
            <w:tab/>
          </w:r>
          <w:r>
            <w:rPr>
              <w:rStyle w:val="10"/>
            </w:rPr>
            <w:t>Building Trust Across Cultures</w:t>
          </w:r>
          <w:r>
            <w:tab/>
          </w:r>
          <w:r>
            <w:fldChar w:fldCharType="begin"/>
          </w:r>
          <w:r>
            <w:instrText xml:space="preserve"> PAGEREF _Toc152138619 \h </w:instrText>
          </w:r>
          <w:r>
            <w:fldChar w:fldCharType="separate"/>
          </w:r>
          <w:r>
            <w:t>11</w:t>
          </w:r>
          <w:r>
            <w:fldChar w:fldCharType="end"/>
          </w:r>
          <w:r>
            <w:fldChar w:fldCharType="end"/>
          </w:r>
        </w:p>
        <w:p>
          <w:pPr>
            <w:pStyle w:val="3"/>
            <w:tabs>
              <w:tab w:val="left" w:pos="1320"/>
              <w:tab w:val="right" w:leader="dot" w:pos="9350"/>
            </w:tabs>
            <w:spacing w:line="240" w:lineRule="auto"/>
            <w:rPr>
              <w:rFonts w:asciiTheme="minorHAnsi" w:hAnsiTheme="minorHAnsi" w:eastAsiaTheme="minorEastAsia"/>
              <w:sz w:val="22"/>
            </w:rPr>
          </w:pPr>
          <w:r>
            <w:fldChar w:fldCharType="begin"/>
          </w:r>
          <w:r>
            <w:instrText xml:space="preserve"> HYPERLINK \l "_Toc152138620" </w:instrText>
          </w:r>
          <w:r>
            <w:fldChar w:fldCharType="separate"/>
          </w:r>
          <w:r>
            <w:rPr>
              <w:rStyle w:val="10"/>
            </w:rPr>
            <w:t>5.5.1</w:t>
          </w:r>
          <w:r>
            <w:rPr>
              <w:rFonts w:asciiTheme="minorHAnsi" w:hAnsiTheme="minorHAnsi" w:eastAsiaTheme="minorEastAsia"/>
              <w:sz w:val="22"/>
            </w:rPr>
            <w:tab/>
          </w:r>
          <w:r>
            <w:rPr>
              <w:rStyle w:val="10"/>
            </w:rPr>
            <w:t>Cultural Sensitivity</w:t>
          </w:r>
          <w:r>
            <w:tab/>
          </w:r>
          <w:r>
            <w:fldChar w:fldCharType="begin"/>
          </w:r>
          <w:r>
            <w:instrText xml:space="preserve"> PAGEREF _Toc152138620 \h </w:instrText>
          </w:r>
          <w:r>
            <w:fldChar w:fldCharType="separate"/>
          </w:r>
          <w:r>
            <w:t>11</w:t>
          </w:r>
          <w:r>
            <w:fldChar w:fldCharType="end"/>
          </w:r>
          <w:r>
            <w:fldChar w:fldCharType="end"/>
          </w:r>
        </w:p>
        <w:p>
          <w:pPr>
            <w:pStyle w:val="3"/>
            <w:tabs>
              <w:tab w:val="left" w:pos="1320"/>
              <w:tab w:val="right" w:leader="dot" w:pos="9350"/>
            </w:tabs>
            <w:spacing w:line="240" w:lineRule="auto"/>
            <w:rPr>
              <w:rFonts w:asciiTheme="minorHAnsi" w:hAnsiTheme="minorHAnsi" w:eastAsiaTheme="minorEastAsia"/>
              <w:sz w:val="22"/>
            </w:rPr>
          </w:pPr>
          <w:r>
            <w:fldChar w:fldCharType="begin"/>
          </w:r>
          <w:r>
            <w:instrText xml:space="preserve"> HYPERLINK \l "_Toc152138621" </w:instrText>
          </w:r>
          <w:r>
            <w:fldChar w:fldCharType="separate"/>
          </w:r>
          <w:r>
            <w:rPr>
              <w:rStyle w:val="10"/>
            </w:rPr>
            <w:t>5.5.2</w:t>
          </w:r>
          <w:r>
            <w:rPr>
              <w:rFonts w:asciiTheme="minorHAnsi" w:hAnsiTheme="minorHAnsi" w:eastAsiaTheme="minorEastAsia"/>
              <w:sz w:val="22"/>
            </w:rPr>
            <w:tab/>
          </w:r>
          <w:r>
            <w:rPr>
              <w:rStyle w:val="10"/>
            </w:rPr>
            <w:t>Cross-Cultural Communication Strategies</w:t>
          </w:r>
          <w:r>
            <w:tab/>
          </w:r>
          <w:r>
            <w:fldChar w:fldCharType="begin"/>
          </w:r>
          <w:r>
            <w:instrText xml:space="preserve"> PAGEREF _Toc152138621 \h </w:instrText>
          </w:r>
          <w:r>
            <w:fldChar w:fldCharType="separate"/>
          </w:r>
          <w:r>
            <w:t>11</w:t>
          </w:r>
          <w:r>
            <w:fldChar w:fldCharType="end"/>
          </w:r>
          <w:r>
            <w:fldChar w:fldCharType="end"/>
          </w:r>
        </w:p>
        <w:p>
          <w:pPr>
            <w:pStyle w:val="6"/>
            <w:tabs>
              <w:tab w:val="left" w:pos="660"/>
              <w:tab w:val="right" w:leader="dot" w:pos="9350"/>
            </w:tabs>
            <w:spacing w:line="240" w:lineRule="auto"/>
            <w:rPr>
              <w:rFonts w:asciiTheme="minorHAnsi" w:hAnsiTheme="minorHAnsi" w:eastAsiaTheme="minorEastAsia"/>
              <w:sz w:val="22"/>
            </w:rPr>
          </w:pPr>
          <w:r>
            <w:fldChar w:fldCharType="begin"/>
          </w:r>
          <w:r>
            <w:instrText xml:space="preserve"> HYPERLINK \l "_Toc152138622" </w:instrText>
          </w:r>
          <w:r>
            <w:fldChar w:fldCharType="separate"/>
          </w:r>
          <w:r>
            <w:rPr>
              <w:rStyle w:val="10"/>
            </w:rPr>
            <w:t>6.0</w:t>
          </w:r>
          <w:r>
            <w:rPr>
              <w:rFonts w:asciiTheme="minorHAnsi" w:hAnsiTheme="minorHAnsi" w:eastAsiaTheme="minorEastAsia"/>
              <w:sz w:val="22"/>
            </w:rPr>
            <w:tab/>
          </w:r>
          <w:r>
            <w:rPr>
              <w:rStyle w:val="10"/>
            </w:rPr>
            <w:t>Conclusion &amp; Recommendations</w:t>
          </w:r>
          <w:r>
            <w:tab/>
          </w:r>
          <w:r>
            <w:fldChar w:fldCharType="begin"/>
          </w:r>
          <w:r>
            <w:instrText xml:space="preserve"> PAGEREF _Toc152138622 \h </w:instrText>
          </w:r>
          <w:r>
            <w:fldChar w:fldCharType="separate"/>
          </w:r>
          <w:r>
            <w:t>11</w:t>
          </w:r>
          <w:r>
            <w:fldChar w:fldCharType="end"/>
          </w:r>
          <w:r>
            <w:fldChar w:fldCharType="end"/>
          </w:r>
        </w:p>
        <w:p>
          <w:pPr>
            <w:pStyle w:val="6"/>
            <w:tabs>
              <w:tab w:val="left" w:pos="660"/>
              <w:tab w:val="right" w:leader="dot" w:pos="9350"/>
            </w:tabs>
            <w:spacing w:line="240" w:lineRule="auto"/>
            <w:rPr>
              <w:rFonts w:asciiTheme="minorHAnsi" w:hAnsiTheme="minorHAnsi" w:eastAsiaTheme="minorEastAsia"/>
              <w:sz w:val="22"/>
            </w:rPr>
          </w:pPr>
          <w:r>
            <w:fldChar w:fldCharType="begin"/>
          </w:r>
          <w:r>
            <w:instrText xml:space="preserve"> HYPERLINK \l "_Toc152138623" </w:instrText>
          </w:r>
          <w:r>
            <w:fldChar w:fldCharType="separate"/>
          </w:r>
          <w:r>
            <w:rPr>
              <w:rStyle w:val="10"/>
            </w:rPr>
            <w:t>7.0</w:t>
          </w:r>
          <w:r>
            <w:rPr>
              <w:rFonts w:asciiTheme="minorHAnsi" w:hAnsiTheme="minorHAnsi" w:eastAsiaTheme="minorEastAsia"/>
              <w:sz w:val="22"/>
            </w:rPr>
            <w:tab/>
          </w:r>
          <w:r>
            <w:rPr>
              <w:rStyle w:val="10"/>
            </w:rPr>
            <w:t>References</w:t>
          </w:r>
          <w:r>
            <w:tab/>
          </w:r>
          <w:r>
            <w:fldChar w:fldCharType="begin"/>
          </w:r>
          <w:r>
            <w:instrText xml:space="preserve"> PAGEREF _Toc152138623 \h </w:instrText>
          </w:r>
          <w:r>
            <w:fldChar w:fldCharType="separate"/>
          </w:r>
          <w:r>
            <w:t>13</w:t>
          </w:r>
          <w:r>
            <w:fldChar w:fldCharType="end"/>
          </w:r>
          <w:r>
            <w:fldChar w:fldCharType="end"/>
          </w:r>
        </w:p>
        <w:p>
          <w:pPr>
            <w:spacing w:line="240" w:lineRule="auto"/>
          </w:pPr>
          <w:r>
            <w:rPr>
              <w:bCs/>
            </w:rPr>
            <w:fldChar w:fldCharType="end"/>
          </w:r>
        </w:p>
      </w:sdtContent>
    </w:sdt>
    <w:p>
      <w:pPr>
        <w:spacing w:line="240" w:lineRule="auto"/>
      </w:pPr>
    </w:p>
    <w:p>
      <w:r>
        <w:br w:type="page"/>
      </w:r>
    </w:p>
    <w:p>
      <w:pPr>
        <w:pStyle w:val="13"/>
        <w:numPr>
          <w:ilvl w:val="0"/>
          <w:numId w:val="1"/>
        </w:numPr>
        <w:outlineLvl w:val="0"/>
        <w:rPr>
          <w:b/>
        </w:rPr>
      </w:pPr>
      <w:bookmarkStart w:id="1" w:name="_Toc152138599"/>
      <w:r>
        <w:rPr>
          <w:b/>
        </w:rPr>
        <w:t>Introduction</w:t>
      </w:r>
      <w:bookmarkEnd w:id="1"/>
    </w:p>
    <w:p>
      <w:pPr>
        <w:pStyle w:val="13"/>
        <w:numPr>
          <w:ilvl w:val="1"/>
          <w:numId w:val="1"/>
        </w:numPr>
        <w:outlineLvl w:val="1"/>
        <w:rPr>
          <w:b/>
        </w:rPr>
      </w:pPr>
      <w:bookmarkStart w:id="2" w:name="_Toc152138600"/>
      <w:r>
        <w:rPr>
          <w:b/>
        </w:rPr>
        <w:t>Background</w:t>
      </w:r>
      <w:bookmarkEnd w:id="2"/>
    </w:p>
    <w:p>
      <w:r>
        <w:t xml:space="preserve">With continuous evolution of the international marketplace, many businesses today explore international opportunities by venturing beyond geographical boundaries. In the interest of profitability and growth in the clothing retail industry, one of the potentially viable markets that has been identified is Asia. Expansion into Asia is a strategic decision since the region enjoys a rich tapestry of cultural diversity, burgeoning consumer markets, and economic dynamism (Takino, 2020). </w:t>
      </w:r>
    </w:p>
    <w:p>
      <w:r>
        <w:t xml:space="preserve">Scholars of international business expansion have opined that it is a complex interplay of sociocultural and economic factors. This is in addition to the need for effective intercultural communication which is the foundation of successful relationship in foreign markets (Czinkota, Ronkainen, &amp; Gupta, 2021). The Asian cultural landscape demands a nuanced understanding going beyond just language proficiency. </w:t>
      </w:r>
    </w:p>
    <w:p>
      <w:r>
        <w:t>The report will therefore explore various crucial aspects in international business communication, specifically emphasizing on expansion into Asia from the UK. Further, the multifaceted nature of communication challenges is illuminated, extending beyond linguistic differences and encompassing cultural nuances that have a profound impact on business interactions. Notably, the success of this new venture is hinged on both product quality as well as navigation and leveraging cultural diversity in the Asian market.</w:t>
      </w:r>
    </w:p>
    <w:p>
      <w:pPr>
        <w:pStyle w:val="13"/>
        <w:numPr>
          <w:ilvl w:val="1"/>
          <w:numId w:val="1"/>
        </w:numPr>
        <w:outlineLvl w:val="1"/>
        <w:rPr>
          <w:b/>
        </w:rPr>
      </w:pPr>
      <w:bookmarkStart w:id="3" w:name="_Toc152138601"/>
      <w:r>
        <w:rPr>
          <w:b/>
        </w:rPr>
        <w:t>Objectives</w:t>
      </w:r>
      <w:bookmarkEnd w:id="3"/>
    </w:p>
    <w:p>
      <w:r>
        <w:t>The purpose of this report is to elucidate the fundamental skills needed for effective communication, exploring different methods of communication, underscoring the significance of building relationships, and analyzing potential reasons for communication failures. Moreover, the report will consider the intricate cultural layers, drawing on existing theories, thus providing a nuanced guide for successful expansion into the Asian market.</w:t>
      </w:r>
    </w:p>
    <w:p>
      <w:pPr>
        <w:pStyle w:val="13"/>
        <w:numPr>
          <w:ilvl w:val="0"/>
          <w:numId w:val="1"/>
        </w:numPr>
        <w:outlineLvl w:val="0"/>
        <w:rPr>
          <w:b/>
        </w:rPr>
      </w:pPr>
      <w:bookmarkStart w:id="4" w:name="_Toc152138602"/>
      <w:r>
        <w:rPr>
          <w:b/>
        </w:rPr>
        <w:t>International Business Communication</w:t>
      </w:r>
      <w:bookmarkEnd w:id="4"/>
    </w:p>
    <w:p>
      <w:pPr>
        <w:pStyle w:val="13"/>
        <w:numPr>
          <w:ilvl w:val="1"/>
          <w:numId w:val="1"/>
        </w:numPr>
        <w:outlineLvl w:val="1"/>
        <w:rPr>
          <w:b/>
        </w:rPr>
      </w:pPr>
      <w:bookmarkStart w:id="5" w:name="_Toc152138603"/>
      <w:r>
        <w:rPr>
          <w:b/>
        </w:rPr>
        <w:t>Definition &amp; Scope</w:t>
      </w:r>
      <w:bookmarkEnd w:id="5"/>
    </w:p>
    <w:p>
      <w:r>
        <w:t>Hichert &amp; Faisst (2022) term international business communication as revolving around the exchange of messages, ideas, and information across borders, beyond geographical, linguistic, or cultural boundaries. This is a dynamic process transcending just the transfer of words, and including an intricate navigation of diverse styles of communication, cultural contexts, and business protocols. Within the context of clothing retail business expansion into Asia from the UK, international business communication would involve engagement with customers, suppliers, distributors, and other stakeholders beyond linguistic differences, and while respecting and embracing cultural diversity inherent in Asia (Hichert &amp; Faisst, 2022).</w:t>
      </w:r>
    </w:p>
    <w:p>
      <w:pPr>
        <w:pStyle w:val="13"/>
        <w:numPr>
          <w:ilvl w:val="1"/>
          <w:numId w:val="1"/>
        </w:numPr>
        <w:outlineLvl w:val="1"/>
        <w:rPr>
          <w:b/>
        </w:rPr>
      </w:pPr>
      <w:bookmarkStart w:id="6" w:name="_Toc152138604"/>
      <w:r>
        <w:rPr>
          <w:b/>
        </w:rPr>
        <w:t>Effective Communication &amp; Its Importance</w:t>
      </w:r>
      <w:bookmarkEnd w:id="6"/>
    </w:p>
    <w:p>
      <w:r>
        <w:t>The success of international business endeavors is reliant on effective communication. In today’s global village, distances are bridged but cultures remain distinct, making it strategically imperative to have effective communication. Communicating clearly and precisely fosters the minimization of misunderstandings, establishing trust, and having productive collaborations Braslauskas, 2020). For the clothing retail business that seeks to venture into Asia, effective communication will be the linchpin through which cultural diversity can be turned into a competitive edge. It will be tunnel for transmitting ideas, forging relationships, and achieving business objectives.</w:t>
      </w:r>
    </w:p>
    <w:p>
      <w:pPr>
        <w:pStyle w:val="13"/>
        <w:numPr>
          <w:ilvl w:val="1"/>
          <w:numId w:val="1"/>
        </w:numPr>
        <w:outlineLvl w:val="1"/>
        <w:rPr>
          <w:b/>
        </w:rPr>
      </w:pPr>
      <w:bookmarkStart w:id="7" w:name="_Toc152138605"/>
      <w:r>
        <w:rPr>
          <w:b/>
        </w:rPr>
        <w:t>Methods of Communication &amp; Skills Required</w:t>
      </w:r>
      <w:bookmarkEnd w:id="7"/>
    </w:p>
    <w:p>
      <w:r>
        <w:t>The international business communication landscape can leverage three methods of communication, including, verbal, non-verbal, and written communication. Navigation across this landscape requires various specialized skills that transcend basic language proficiency. The skills are important in fostering meaningful relationships with diverse stakeholders. Some of these include cross-cultural awareness (to understand and appreciate the social norms, values, and customs of the target market) (Abugre &amp; Debrah, 2019). Moreover, the skills of adaptability and flexibility are also imperative as they allow for the styles of communication to be adjusted in line with the cultural nuances of the Asian business sphere. Skills like active listening, emotional intelligence, and empathy play crucial roles in understanding the viewpoints of business partners, and building rapport (Sahadevan &amp; Sumangala, 2021).</w:t>
      </w:r>
    </w:p>
    <w:p>
      <w:pPr>
        <w:pStyle w:val="13"/>
        <w:numPr>
          <w:ilvl w:val="0"/>
          <w:numId w:val="1"/>
        </w:numPr>
        <w:outlineLvl w:val="0"/>
        <w:rPr>
          <w:b/>
        </w:rPr>
      </w:pPr>
      <w:bookmarkStart w:id="8" w:name="_Toc152138606"/>
      <w:r>
        <w:rPr>
          <w:b/>
        </w:rPr>
        <w:t>Importance of Relationship Building</w:t>
      </w:r>
      <w:bookmarkEnd w:id="8"/>
    </w:p>
    <w:p>
      <w:pPr>
        <w:pStyle w:val="13"/>
        <w:numPr>
          <w:ilvl w:val="1"/>
          <w:numId w:val="1"/>
        </w:numPr>
        <w:outlineLvl w:val="1"/>
        <w:rPr>
          <w:b/>
        </w:rPr>
      </w:pPr>
      <w:bookmarkStart w:id="9" w:name="_Toc152138607"/>
      <w:r>
        <w:rPr>
          <w:b/>
        </w:rPr>
        <w:t>Building Trust</w:t>
      </w:r>
      <w:bookmarkEnd w:id="9"/>
    </w:p>
    <w:p>
      <w:r>
        <w:t>International business relationships are inherently built on trust. For the expansion of clothing retail business into Asia, trust will not only encompass delivery timelines and product quality, but also interpersonal and cultural aspects of business. To build trust, communication must be transparent and consistent, showcasing a genuine understanding of respect for norms and values of the counterparts in Asia. Studies have shown that the cultivation of trust requires being committed to building personal connections, acknowledgment of cultural sensitivities, and delivery on promises, thus laying the basis for mutual benefit and sustained collaboration (Gerbasi &amp; Latusek, 2015).</w:t>
      </w:r>
    </w:p>
    <w:p/>
    <w:p>
      <w:pPr>
        <w:pStyle w:val="13"/>
        <w:numPr>
          <w:ilvl w:val="1"/>
          <w:numId w:val="1"/>
        </w:numPr>
        <w:outlineLvl w:val="1"/>
        <w:rPr>
          <w:b/>
        </w:rPr>
      </w:pPr>
      <w:bookmarkStart w:id="10" w:name="_Toc152138608"/>
      <w:r>
        <w:rPr>
          <w:b/>
        </w:rPr>
        <w:t>Establishing Credibility</w:t>
      </w:r>
      <w:bookmarkEnd w:id="10"/>
    </w:p>
    <w:p>
      <w:r>
        <w:t>International business cannot successfully happen without credibility. Expansion of the retail business into Asia will require the establishment of credibility to gain legitimacy and acceptance. To earn credibility, expertise, demonstrable understanding of the dynamics of the local market, and reliability must be combined. It also involves demonstrating an in-depth awareness of market trends, consumer preferences, and cultures in Asia. Transparent communication, in addition to a good track record of delivering on commitments, can further bolster credibility. This will help the business to be viewed as a knowledgeable and reliable partner amongst Asian stakeholders (Hichert &amp; Faisst, 2022).</w:t>
      </w:r>
    </w:p>
    <w:p>
      <w:pPr>
        <w:pStyle w:val="13"/>
        <w:numPr>
          <w:ilvl w:val="1"/>
          <w:numId w:val="1"/>
        </w:numPr>
        <w:outlineLvl w:val="1"/>
        <w:rPr>
          <w:b/>
        </w:rPr>
      </w:pPr>
      <w:bookmarkStart w:id="11" w:name="_Toc152138609"/>
      <w:r>
        <w:rPr>
          <w:b/>
        </w:rPr>
        <w:t>Conflict Management</w:t>
      </w:r>
      <w:bookmarkEnd w:id="11"/>
    </w:p>
    <w:p>
      <w:r>
        <w:t>The international business landscape is highly interconnected, pointing to the inevitability of conflicts. However, managing these conflicts effectively is imperative for the maintenance of positive relationships. In Asia, conflict management for the clothing retail company will involve comprehending different means through which conflicts may emerge, and relying on cultural sensitivity to address them. A willingness to listen, open channels of communication, and the ability o find solutions that are mutually beneficial will help resolve conflicts effectively (Bhaduri, 2019). Managing conflicts effectively will preserve relationships and equally strengthen them through a demonstration of commitment and resilience to long-term collaboration. The navigation of possible challenges can be done with great finesse and cultural acumen through effective conflict management strategies.</w:t>
      </w:r>
    </w:p>
    <w:p/>
    <w:p/>
    <w:p>
      <w:pPr>
        <w:pStyle w:val="13"/>
        <w:numPr>
          <w:ilvl w:val="0"/>
          <w:numId w:val="1"/>
        </w:numPr>
        <w:outlineLvl w:val="0"/>
        <w:rPr>
          <w:b/>
        </w:rPr>
      </w:pPr>
      <w:bookmarkStart w:id="12" w:name="_Toc152138610"/>
      <w:r>
        <w:rPr>
          <w:b/>
        </w:rPr>
        <w:t>Potential Reasons for Communication Failures</w:t>
      </w:r>
      <w:bookmarkEnd w:id="12"/>
    </w:p>
    <w:p>
      <w:pPr>
        <w:pStyle w:val="13"/>
        <w:numPr>
          <w:ilvl w:val="1"/>
          <w:numId w:val="1"/>
        </w:numPr>
        <w:outlineLvl w:val="1"/>
        <w:rPr>
          <w:b/>
        </w:rPr>
      </w:pPr>
      <w:bookmarkStart w:id="13" w:name="_Toc152138611"/>
      <w:r>
        <w:rPr>
          <w:b/>
        </w:rPr>
        <w:t>Cultural Misunderstandings</w:t>
      </w:r>
      <w:bookmarkEnd w:id="13"/>
    </w:p>
    <w:p>
      <w:r>
        <w:t>The first potential reason for communication failure in international business communication is cultural misunderstandings. The Asian region has a rich tapestry of cultural diversity that brings with it, unique communication styles, values, and norms, calling for increased cultural sensitivity. Unintended consequences may be suffered in the event of gestures misinterpretation, misunderstanding indirect styles of communication, and misjudging the significance of silence (Trompenaars &amp; Hampden-Turner, 2020). These risks can however be mitigated through investment in cultural intelligence. The clothing retail business should consider learning the explicit cultural practices of the Asian region, well as implicit cultural nuances with the possibility of influencing business interactions. Being aware of cultural variations in the styles of communication, the processes of decision making, and hierarchical structures can help prevent misunderstandings, and foster effective cross-cultural communication (Hodgetts &amp; Luthans, 2020).</w:t>
      </w:r>
    </w:p>
    <w:p>
      <w:pPr>
        <w:pStyle w:val="13"/>
        <w:numPr>
          <w:ilvl w:val="1"/>
          <w:numId w:val="1"/>
        </w:numPr>
        <w:outlineLvl w:val="1"/>
        <w:rPr>
          <w:b/>
        </w:rPr>
      </w:pPr>
      <w:bookmarkStart w:id="14" w:name="_Toc152138612"/>
      <w:r>
        <w:rPr>
          <w:b/>
        </w:rPr>
        <w:t>Language Barriers</w:t>
      </w:r>
      <w:bookmarkEnd w:id="14"/>
    </w:p>
    <w:p>
      <w:r>
        <w:t>International business is bridged by language, although it can equally be a hindrance if not carefully navigated. The expansion of the clothing retail business into Asia will require attention to linguistic diversity. The seamless flow of information can be impeded by language barriers, hindering efforts to build relationships and creating misunderstandings. Investment in language training for the company’s team or using experts in the local language are possible solutions to alleviating the challenge (Aichhorn &amp; Puck, 2017). Moreover, technologies that can be leveraged include language-specific communication tools and translation services, thus enhancing clarity and facilitating seamless communication. It is also important to acknowledge the diversity of language, taking up strategies for overcoming language barriers, thus ensuring accurate conveyance of messages and their comprehension in the multicultural context of Asian markets (Sahadevan &amp; Sumangala, 2021).</w:t>
      </w:r>
    </w:p>
    <w:p>
      <w:pPr>
        <w:pStyle w:val="13"/>
        <w:numPr>
          <w:ilvl w:val="1"/>
          <w:numId w:val="1"/>
        </w:numPr>
        <w:outlineLvl w:val="1"/>
        <w:rPr>
          <w:b/>
        </w:rPr>
      </w:pPr>
      <w:bookmarkStart w:id="15" w:name="_Toc152138613"/>
      <w:r>
        <w:rPr>
          <w:b/>
        </w:rPr>
        <w:t>Lack of Cross-Cultural Training</w:t>
      </w:r>
      <w:bookmarkEnd w:id="15"/>
    </w:p>
    <w:p>
      <w:r>
        <w:t xml:space="preserve">Communication failures are also contributed to by lack of cross-cultural training in organizations. Expansion of the clothing retail business into Asia from the UK demands proactively approaching the realm of international business communication through the navigation of the intricacies of diverse cultural landscapes. The absence of sufficient cross-cultural training can result in misunderstandings, with some actions unintentionally violating cultural norms (Abugre &amp; Debrah, 2019). As such, the focus of the training should be on cultural awareness as well as practical skills for adapting styles of communication, approaches to negotiation, and strategies to build relationships in line with the expectations of the Asian culture. This can serve as the basis for the clothing retailer to develop cultural competence in Asia, fostering a working atmosphere that values and takes advantage of diversity. Investment in cross-cultural training can also help in addressing possible communication challenges and empowering the team to effectively navigate the nuances of international business interactions (Sahadevan &amp; Sumangala, 2021). </w:t>
      </w:r>
    </w:p>
    <w:p>
      <w:pPr>
        <w:pStyle w:val="13"/>
        <w:numPr>
          <w:ilvl w:val="0"/>
          <w:numId w:val="1"/>
        </w:numPr>
        <w:outlineLvl w:val="0"/>
        <w:rPr>
          <w:b/>
        </w:rPr>
      </w:pPr>
      <w:bookmarkStart w:id="16" w:name="_Toc152138614"/>
      <w:r>
        <w:rPr>
          <w:b/>
        </w:rPr>
        <w:t>Understanding Culture</w:t>
      </w:r>
      <w:bookmarkEnd w:id="16"/>
    </w:p>
    <w:p>
      <w:pPr>
        <w:pStyle w:val="13"/>
        <w:numPr>
          <w:ilvl w:val="1"/>
          <w:numId w:val="1"/>
        </w:numPr>
        <w:outlineLvl w:val="1"/>
        <w:rPr>
          <w:b/>
        </w:rPr>
      </w:pPr>
      <w:bookmarkStart w:id="17" w:name="_Toc152138615"/>
      <w:r>
        <w:rPr>
          <w:b/>
        </w:rPr>
        <w:t>Culture and the Components of Culture</w:t>
      </w:r>
      <w:bookmarkEnd w:id="17"/>
    </w:p>
    <w:p>
      <w:r>
        <w:t>Berry (2019) terms culture as the intricate web of symbols, values, behaviors, beliefs, and customs shaping how the world is perceived and interacted with by people. Culture is also the lens through which people interpret their surroundings, making sense of experiences, and forming social connections (Kaihlanen, Hietapakka, &amp; Heponiemi, 2019). The expansion of the clothing retail business into Asia necessitates a recognition of cultural diversity in the Asian region. From the traditional tapestry of ceremonies and rituals, to modern expression of values, understanding of culture transcends surface-level observations that require an in-depth appreciation of economic, social, and historical contexts influencing business practices and consumer behavior (Berry, 2019).</w:t>
      </w:r>
    </w:p>
    <w:p>
      <w:r>
        <w:t>There are multifaceted components of culture revolving around both tangible and intangible elements. Social structures, language, traditions, rituals, and art are some of the tangible manifestations. On the other hand, norms, values, attitudes, and beliefs comprise the intangible ones (Sharifi, Adib-Hajbaghery, &amp; Najafi, 2019). To expand into Asia successfully, the interrelationship across these components needs to be grasped. Aligning the offerings of the retail offerings with the target market’s cultural preferences, in addition to respectful engagement with the local traditions and being aware of the norms of the society are all crucial in the navigation of Asian diverse cultural landscape (Böcü &amp; Salim, 2016).</w:t>
      </w:r>
    </w:p>
    <w:p>
      <w:pPr>
        <w:pStyle w:val="13"/>
        <w:numPr>
          <w:ilvl w:val="1"/>
          <w:numId w:val="1"/>
        </w:numPr>
        <w:outlineLvl w:val="1"/>
        <w:rPr>
          <w:b/>
        </w:rPr>
      </w:pPr>
      <w:bookmarkStart w:id="18" w:name="_Toc152138616"/>
      <w:r>
        <w:rPr>
          <w:b/>
        </w:rPr>
        <w:t>Hofstede’s Cultural Dimensions</w:t>
      </w:r>
      <w:bookmarkEnd w:id="18"/>
    </w:p>
    <w:p>
      <w:r>
        <w:t>The Hofstede Cultural Dimensions Theory offers a framework through which cultural differences can be understood along five key dimensions, including, Power Distance, Individualism vs Collectivism, Masculinity vs Femininity, Uncertainty Avoidance, and Long-term vs Short-term Orientation (Nickerson, 2023). The application of these dimensions to the Asian context can be useful in unveiling insights around attitudes towards uncertainty, hierarchical structures, work ethics, and social relationships. Through the integration of Hofstede’s framework into the business strategy, the clothing retail business can ensure its approach is tailored in line with the prevalent cultural expectations across the Asian markets (Heydari et al., 2021).</w:t>
      </w:r>
    </w:p>
    <w:p>
      <w:pPr>
        <w:pStyle w:val="13"/>
        <w:numPr>
          <w:ilvl w:val="1"/>
          <w:numId w:val="1"/>
        </w:numPr>
        <w:outlineLvl w:val="1"/>
        <w:rPr>
          <w:b/>
        </w:rPr>
      </w:pPr>
      <w:bookmarkStart w:id="19" w:name="_Toc152138617"/>
      <w:r>
        <w:rPr>
          <w:b/>
        </w:rPr>
        <w:t>Halls High-Low Context</w:t>
      </w:r>
      <w:bookmarkEnd w:id="19"/>
    </w:p>
    <w:p>
      <w:r>
        <w:t>The High-Context and Low-Context cultures according to Edward T. Hall provide incisive details around the transmission of information. Contextually, Asian cultures are in most cases high-context, relying on shared understanding, implicit communication, and non-verbal cues (Oliver, 2016). Being cognizant and adapting to these styles of communication is crucial for effective interactions. Moreover, this comprehension informs not just the advertising and marketing strategies, but also the internal communication in the clothing retail organization. In turn, an environment in which unspoken messages are acknowledged and valued can be fostered (Oliver, 2016).</w:t>
      </w:r>
    </w:p>
    <w:p>
      <w:pPr>
        <w:pStyle w:val="13"/>
        <w:numPr>
          <w:ilvl w:val="1"/>
          <w:numId w:val="1"/>
        </w:numPr>
        <w:outlineLvl w:val="1"/>
        <w:rPr>
          <w:b/>
        </w:rPr>
      </w:pPr>
      <w:bookmarkStart w:id="20" w:name="_Toc152138618"/>
      <w:r>
        <w:rPr>
          <w:b/>
        </w:rPr>
        <w:t>Trompenaars’ 7 Dimensions to Culture</w:t>
      </w:r>
      <w:bookmarkEnd w:id="20"/>
    </w:p>
    <w:p>
      <w:r>
        <w:t>The understanding of cultural differences is extended by Trompenaars’ Cultural Dimensions theory by incorporating 7 dimensions, i.e., Universalism vs. Particularism, Individualism vs. Communitarianism, Neutral vs. Emotional, Specific vs. Diffuse, Achievement vs. Ascription, Sequential vs. Synchronic, and Internal Direction vs. Outer Direction (Balan &amp; Vreja, 2013). Within the context of expansion into the Asian market, these dimensions shed more light around the process of decision making, the role played by individuals in the community, as well as attitudes towards authority. Adaptation of business practices in line with the dimensions can be helpful in enhancing the cultural competence of the clothing retail business, fostering seamless interactions with Asian consumers and partners (Pîrlog, 2021).</w:t>
      </w:r>
    </w:p>
    <w:p/>
    <w:p>
      <w:pPr>
        <w:pStyle w:val="13"/>
        <w:numPr>
          <w:ilvl w:val="1"/>
          <w:numId w:val="1"/>
        </w:numPr>
        <w:outlineLvl w:val="1"/>
        <w:rPr>
          <w:b/>
        </w:rPr>
      </w:pPr>
      <w:bookmarkStart w:id="21" w:name="_Toc152138619"/>
      <w:r>
        <w:rPr>
          <w:b/>
        </w:rPr>
        <w:t>Building Trust Across Cultures</w:t>
      </w:r>
      <w:bookmarkEnd w:id="21"/>
    </w:p>
    <w:p>
      <w:pPr>
        <w:pStyle w:val="13"/>
        <w:numPr>
          <w:ilvl w:val="2"/>
          <w:numId w:val="1"/>
        </w:numPr>
        <w:outlineLvl w:val="2"/>
        <w:rPr>
          <w:b/>
        </w:rPr>
      </w:pPr>
      <w:bookmarkStart w:id="22" w:name="_Toc152138620"/>
      <w:r>
        <w:rPr>
          <w:b/>
        </w:rPr>
        <w:t>Cultural Sensitivity</w:t>
      </w:r>
      <w:bookmarkEnd w:id="22"/>
    </w:p>
    <w:p>
      <w:r>
        <w:t>Building trust in diverse markets can only be fostered through cultural sensitivity. Joseph (2023) terms cultural sensitivity as being acutely aware and appreciating cultural nuances, acknowledgment and respect to differences, without imposing one’s cultural biases. Cultural sensitivity, when demonstrated in various business aspects, such as employee interactions and marketing campaigns, can foster a sense of inclusivity, thus enhancing the credibility of the clothing retail brand before the eyes of Asian partners and consumers (Tuleja, 2021).</w:t>
      </w:r>
    </w:p>
    <w:p>
      <w:pPr>
        <w:pStyle w:val="13"/>
        <w:numPr>
          <w:ilvl w:val="2"/>
          <w:numId w:val="1"/>
        </w:numPr>
        <w:outlineLvl w:val="2"/>
        <w:rPr>
          <w:b/>
        </w:rPr>
      </w:pPr>
      <w:bookmarkStart w:id="23" w:name="_Toc152138621"/>
      <w:r>
        <w:rPr>
          <w:b/>
        </w:rPr>
        <w:t>Cross-Cultural Communication Strategies</w:t>
      </w:r>
      <w:bookmarkEnd w:id="23"/>
    </w:p>
    <w:p>
      <w:r>
        <w:t>Building trust across cultures can also be enhanced through the implementation of effective cross-cultural communication strategies. Such includes tailoring styles of communication in line with cultural preferences, making use of localized messaging, and the incorporation of cultural references and symbols in marketing initiatives (Lifintsev &amp; Wellbrock, 2019). In addition, opportunities can be created for cross-cultural training, thus ensuring that employees are equipped with the requisite skills for navigating different styles of communication and building trustful relationships across the Asian market (Ting-Toomey &amp; Dorjee, 2018). The strategies of cross-cultural communication are adaptive and dynamic in nature, identifying the need for continuous efforts to understand, appreciate, and respond to dynamic Asian cultural landscape, thus achieving successful interactions (Xinman, 2022).</w:t>
      </w:r>
    </w:p>
    <w:p>
      <w:pPr>
        <w:pStyle w:val="13"/>
        <w:numPr>
          <w:ilvl w:val="0"/>
          <w:numId w:val="1"/>
        </w:numPr>
        <w:outlineLvl w:val="0"/>
        <w:rPr>
          <w:b/>
        </w:rPr>
      </w:pPr>
      <w:bookmarkStart w:id="24" w:name="_Toc152138622"/>
      <w:r>
        <w:rPr>
          <w:b/>
        </w:rPr>
        <w:t>Conclusion &amp; Recommendations</w:t>
      </w:r>
      <w:bookmarkEnd w:id="24"/>
    </w:p>
    <w:p>
      <w:r>
        <w:t xml:space="preserve">International business communication remains a multifaceted endeavor, particularly when considering the expansion of the clothing retail business into Asia from the UK. Key skills like effective communication, cross-cultural awareness, and adaptability are needed to navigate the diverse cultural landscape in Asia. Moreover, it is crucial to build trust, establish credibility, and manage conflicts in order to foster strong and enduring professional relationships. Some possible pitfalls identified in the report include cultural misunderstandings, absence of cross-cultural training, and language barriers, thus possibly hindering effective communication. </w:t>
      </w:r>
    </w:p>
    <w:p>
      <w:r>
        <w:t>The following recommendations are thus suggested:</w:t>
      </w:r>
    </w:p>
    <w:p>
      <w:pPr>
        <w:pStyle w:val="13"/>
        <w:numPr>
          <w:ilvl w:val="0"/>
          <w:numId w:val="2"/>
        </w:numPr>
      </w:pPr>
      <w:r>
        <w:rPr>
          <w:i/>
        </w:rPr>
        <w:t xml:space="preserve">Training programs for cultural competence </w:t>
      </w:r>
      <w:r>
        <w:t>– investing in detailed training programs on cultural competence can equip the clothing retail company’s team with the requisite skills for expanding successfully into Asia. The training modules can include courses on language proficiency, immersive experiences, and cross-cultural communication workshops, thus enhancing cultural sensitivity.</w:t>
      </w:r>
    </w:p>
    <w:p>
      <w:pPr>
        <w:pStyle w:val="13"/>
        <w:numPr>
          <w:ilvl w:val="0"/>
          <w:numId w:val="2"/>
        </w:numPr>
      </w:pPr>
      <w:r>
        <w:rPr>
          <w:i/>
        </w:rPr>
        <w:t xml:space="preserve">Cross-cultural communication consultation </w:t>
      </w:r>
      <w:r>
        <w:t>– this can help gain tailored guidance and insights, while equally providing a nuanced comprehension of the specific cultural intricacies in the Asian marketplace, while also providing practical advice on styles of communication.</w:t>
      </w:r>
    </w:p>
    <w:p>
      <w:pPr>
        <w:pStyle w:val="13"/>
        <w:numPr>
          <w:ilvl w:val="0"/>
          <w:numId w:val="2"/>
        </w:numPr>
      </w:pPr>
      <w:r>
        <w:rPr>
          <w:i/>
        </w:rPr>
        <w:t xml:space="preserve">Establishing cross cultural communication guidelines </w:t>
      </w:r>
      <w:r>
        <w:t xml:space="preserve">– comprehensive guidelines for cross-cultural communication should be developed, specific to the clothing retailer’s expansion into Asia. These should address cultural nuances, protocols of communication, and language considerations. </w:t>
      </w:r>
    </w:p>
    <w:p>
      <w:r>
        <w:br w:type="page"/>
      </w:r>
    </w:p>
    <w:p>
      <w:pPr>
        <w:pStyle w:val="13"/>
        <w:numPr>
          <w:ilvl w:val="0"/>
          <w:numId w:val="1"/>
        </w:numPr>
        <w:outlineLvl w:val="0"/>
        <w:rPr>
          <w:b/>
        </w:rPr>
      </w:pPr>
      <w:bookmarkStart w:id="25" w:name="_Toc152138623"/>
      <w:r>
        <w:rPr>
          <w:b/>
        </w:rPr>
        <w:t>References</w:t>
      </w:r>
      <w:bookmarkEnd w:id="25"/>
      <w:r>
        <w:rPr>
          <w:b/>
        </w:rPr>
        <w:t xml:space="preserve"> </w:t>
      </w:r>
    </w:p>
    <w:p>
      <w:pPr>
        <w:ind w:left="720" w:hanging="720"/>
      </w:pPr>
      <w:r>
        <w:t>Abugre, J. B., &amp; Debrah, Y. A. (2019). Assessing the impact of cross-cultural communication competence on expatriate business operations in multinational corporations of a Sub-Saharan African context. </w:t>
      </w:r>
      <w:r>
        <w:rPr>
          <w:i/>
          <w:iCs/>
        </w:rPr>
        <w:t>International Journal of Cross Cultural Management</w:t>
      </w:r>
      <w:r>
        <w:t>, </w:t>
      </w:r>
      <w:r>
        <w:rPr>
          <w:i/>
          <w:iCs/>
        </w:rPr>
        <w:t>19</w:t>
      </w:r>
      <w:r>
        <w:t>(1), 85-104.</w:t>
      </w:r>
    </w:p>
    <w:p>
      <w:pPr>
        <w:ind w:left="720" w:hanging="720"/>
      </w:pPr>
      <w:r>
        <w:t>Aichhorn, N., &amp; Puck, J. (2017). “I just don’t feel comfortable speaking English”: Foreign language anxiety as a catalyst for spoken-language barriers in MNCs. </w:t>
      </w:r>
      <w:r>
        <w:rPr>
          <w:i/>
          <w:iCs/>
        </w:rPr>
        <w:t>International Business Review</w:t>
      </w:r>
      <w:r>
        <w:t>, </w:t>
      </w:r>
      <w:r>
        <w:rPr>
          <w:i/>
          <w:iCs/>
        </w:rPr>
        <w:t>26</w:t>
      </w:r>
      <w:r>
        <w:t>(4), 749-763.</w:t>
      </w:r>
    </w:p>
    <w:p>
      <w:pPr>
        <w:ind w:left="720" w:hanging="720"/>
      </w:pPr>
      <w:r>
        <w:t>Balan, S., &amp; Vreja, L. O. (2013, March). The Trompenaars’ seven-dimension cultural model and cultural orientations of Romanian students in management. In </w:t>
      </w:r>
      <w:r>
        <w:rPr>
          <w:i/>
          <w:iCs/>
        </w:rPr>
        <w:t>Proceedings of the 7th International Management Conference" New Management for the New Economy", November 7th-8th, Bucharest, Romania</w:t>
      </w:r>
      <w:r>
        <w:t xml:space="preserve">. </w:t>
      </w:r>
    </w:p>
    <w:p>
      <w:pPr>
        <w:ind w:left="720" w:hanging="720"/>
      </w:pPr>
      <w:r>
        <w:t>Berry, J. W. (2019). </w:t>
      </w:r>
      <w:r>
        <w:rPr>
          <w:i/>
          <w:iCs/>
        </w:rPr>
        <w:t>Acculturation: A personal journey across cultures</w:t>
      </w:r>
      <w:r>
        <w:t>. Cambridge University Press.</w:t>
      </w:r>
    </w:p>
    <w:p>
      <w:pPr>
        <w:ind w:left="720" w:hanging="720"/>
      </w:pPr>
      <w:r>
        <w:t>Bhaduri, R. M. (2019). Leveraging culture and leadership in crisis management. </w:t>
      </w:r>
      <w:r>
        <w:rPr>
          <w:i/>
          <w:iCs/>
        </w:rPr>
        <w:t>European Journal of Training and Development</w:t>
      </w:r>
      <w:r>
        <w:t>, </w:t>
      </w:r>
      <w:r>
        <w:rPr>
          <w:i/>
          <w:iCs/>
        </w:rPr>
        <w:t>43</w:t>
      </w:r>
      <w:r>
        <w:t>(5/6), 554-569.</w:t>
      </w:r>
    </w:p>
    <w:p>
      <w:pPr>
        <w:ind w:left="720" w:hanging="720"/>
      </w:pPr>
      <w:r>
        <w:t>Böcü, A. B., &amp; Salim, R. A. Z. I. (2016). Evaluation of textbook series ‘Life’in terms of cultural components. </w:t>
      </w:r>
      <w:r>
        <w:rPr>
          <w:i/>
          <w:iCs/>
        </w:rPr>
        <w:t>Journal of Language and Linguistic Studies</w:t>
      </w:r>
      <w:r>
        <w:t>, </w:t>
      </w:r>
      <w:r>
        <w:rPr>
          <w:i/>
          <w:iCs/>
        </w:rPr>
        <w:t>12</w:t>
      </w:r>
      <w:r>
        <w:t>(2), 221-237.</w:t>
      </w:r>
    </w:p>
    <w:p>
      <w:pPr>
        <w:ind w:left="720" w:hanging="720"/>
      </w:pPr>
      <w:r>
        <w:t>Braslauskas, J. (2020). Effective creative intercultural communication in the context of business interaction: theoretical and practical aspects. </w:t>
      </w:r>
      <w:r>
        <w:rPr>
          <w:i/>
          <w:iCs/>
        </w:rPr>
        <w:t>Creativity Studies</w:t>
      </w:r>
      <w:r>
        <w:t>, </w:t>
      </w:r>
      <w:r>
        <w:rPr>
          <w:i/>
          <w:iCs/>
        </w:rPr>
        <w:t>13</w:t>
      </w:r>
      <w:r>
        <w:t>(1), 199-215.</w:t>
      </w:r>
    </w:p>
    <w:p>
      <w:pPr>
        <w:ind w:left="720" w:hanging="720"/>
      </w:pPr>
      <w:r>
        <w:t>Czinkota, M. R., Ronkainen, I. A., &amp; Gupta, S. (2021). </w:t>
      </w:r>
      <w:r>
        <w:rPr>
          <w:i/>
          <w:iCs/>
        </w:rPr>
        <w:t>International business</w:t>
      </w:r>
      <w:r>
        <w:t>. Cambridge University Press.</w:t>
      </w:r>
    </w:p>
    <w:p>
      <w:pPr>
        <w:ind w:left="720" w:hanging="720"/>
      </w:pPr>
      <w:r>
        <w:t>Gerbasi, A., &amp; Latusek, D. (2015). Trust-building in international business ventures. </w:t>
      </w:r>
      <w:r>
        <w:rPr>
          <w:i/>
          <w:iCs/>
        </w:rPr>
        <w:t>Baltic Journal of Management</w:t>
      </w:r>
      <w:r>
        <w:t>, </w:t>
      </w:r>
      <w:r>
        <w:rPr>
          <w:i/>
          <w:iCs/>
        </w:rPr>
        <w:t>10</w:t>
      </w:r>
      <w:r>
        <w:t>(1), 30-51.</w:t>
      </w:r>
    </w:p>
    <w:p>
      <w:pPr>
        <w:ind w:left="720" w:hanging="720"/>
      </w:pPr>
      <w:r>
        <w:t>Heydari, A., Laroche, M., Paulin, M., &amp; Richard, M. O. (2021). Hofstede's individual-level indulgence dimension: Scale development and validation. </w:t>
      </w:r>
      <w:r>
        <w:rPr>
          <w:i/>
          <w:iCs/>
        </w:rPr>
        <w:t>Journal of Retailing and Consumer Services</w:t>
      </w:r>
      <w:r>
        <w:t>, </w:t>
      </w:r>
      <w:r>
        <w:rPr>
          <w:i/>
          <w:iCs/>
        </w:rPr>
        <w:t>62</w:t>
      </w:r>
      <w:r>
        <w:t>, 102640.</w:t>
      </w:r>
    </w:p>
    <w:p>
      <w:pPr>
        <w:ind w:left="720" w:hanging="720"/>
      </w:pPr>
      <w:r>
        <w:t>Hichert, R., &amp; Faisst, J. (2022). International business communication standards. </w:t>
      </w:r>
      <w:r>
        <w:rPr>
          <w:i/>
          <w:iCs/>
        </w:rPr>
        <w:t>IBCS Version</w:t>
      </w:r>
      <w:r>
        <w:t>, </w:t>
      </w:r>
      <w:r>
        <w:rPr>
          <w:i/>
          <w:iCs/>
        </w:rPr>
        <w:t>1.2</w:t>
      </w:r>
      <w:r>
        <w:t>.</w:t>
      </w:r>
    </w:p>
    <w:p>
      <w:pPr>
        <w:ind w:left="720" w:hanging="720"/>
      </w:pPr>
      <w:r>
        <w:t>Hodgetts, R. M., &amp; Luthans, F. (2020). International management: Culture, strategy, and behavior. </w:t>
      </w:r>
      <w:r>
        <w:rPr>
          <w:i/>
          <w:iCs/>
        </w:rPr>
        <w:t>(No Title)</w:t>
      </w:r>
      <w:r>
        <w:t>.</w:t>
      </w:r>
    </w:p>
    <w:p>
      <w:pPr>
        <w:ind w:left="720" w:hanging="720"/>
      </w:pPr>
      <w:r>
        <w:t>Joseph, C. K. (2023). Cultural Sensitivity in Global Public Relations Campaigns. </w:t>
      </w:r>
      <w:r>
        <w:rPr>
          <w:i/>
          <w:iCs/>
        </w:rPr>
        <w:t>American Journal of Public Relations</w:t>
      </w:r>
      <w:r>
        <w:t>, </w:t>
      </w:r>
      <w:r>
        <w:rPr>
          <w:i/>
          <w:iCs/>
        </w:rPr>
        <w:t>2</w:t>
      </w:r>
      <w:r>
        <w:t>(1), 20-27.</w:t>
      </w:r>
    </w:p>
    <w:p>
      <w:pPr>
        <w:ind w:left="720" w:hanging="720"/>
      </w:pPr>
      <w:r>
        <w:t>Kaihlanen, A. M., Hietapakka, L., &amp; Heponiemi, T. (2019). Increasing cultural awareness: qualitative study of nurses’ perceptions about cultural competence training. </w:t>
      </w:r>
      <w:r>
        <w:rPr>
          <w:i/>
          <w:iCs/>
        </w:rPr>
        <w:t>BMC Nursing</w:t>
      </w:r>
      <w:r>
        <w:t>, </w:t>
      </w:r>
      <w:r>
        <w:rPr>
          <w:i/>
          <w:iCs/>
        </w:rPr>
        <w:t>18</w:t>
      </w:r>
      <w:r>
        <w:t>(1), 1-9.</w:t>
      </w:r>
    </w:p>
    <w:p>
      <w:pPr>
        <w:ind w:left="720" w:hanging="720"/>
      </w:pPr>
      <w:r>
        <w:t>Lifintsev, D., &amp; Wellbrock, W. (2019). Cross-cultural communication in the digital age. </w:t>
      </w:r>
      <w:r>
        <w:rPr>
          <w:i/>
          <w:iCs/>
        </w:rPr>
        <w:t>Estudos em Comunicação</w:t>
      </w:r>
      <w:r>
        <w:t>, </w:t>
      </w:r>
      <w:r>
        <w:rPr>
          <w:i/>
          <w:iCs/>
        </w:rPr>
        <w:t>1</w:t>
      </w:r>
      <w:r>
        <w:t>(28).</w:t>
      </w:r>
    </w:p>
    <w:p>
      <w:pPr>
        <w:ind w:left="720" w:hanging="720"/>
      </w:pPr>
      <w:r>
        <w:t>Nickerson, C. (2023). Hofstede’s Cultural Dimensions Theory &amp; Examples. </w:t>
      </w:r>
      <w:r>
        <w:rPr>
          <w:i/>
          <w:iCs/>
        </w:rPr>
        <w:t>Simply Psychology</w:t>
      </w:r>
      <w:r>
        <w:t>.</w:t>
      </w:r>
    </w:p>
    <w:p>
      <w:pPr>
        <w:ind w:left="720" w:hanging="720"/>
      </w:pPr>
      <w:r>
        <w:t>Oliver, C. (2016). From Class to Culture: Restricted/Elaborated Codes vs. High/Low-Context Communication in Basil Bernstein and Edward T. Hall. </w:t>
      </w:r>
      <w:r>
        <w:rPr>
          <w:i/>
          <w:iCs/>
        </w:rPr>
        <w:t>Sophia University Junior College Division Faculty Journal</w:t>
      </w:r>
      <w:r>
        <w:t>, </w:t>
      </w:r>
      <w:r>
        <w:rPr>
          <w:i/>
          <w:iCs/>
        </w:rPr>
        <w:t>37</w:t>
      </w:r>
      <w:r>
        <w:t>, 73-83.</w:t>
      </w:r>
    </w:p>
    <w:p>
      <w:pPr>
        <w:ind w:left="720" w:hanging="720"/>
      </w:pPr>
      <w:r>
        <w:t>Pîrlog, A. (2021). Intercultural profile of managers in the republic of Moldova in the context of the trompenaars and hampden-turner theory of cultural dimensions. </w:t>
      </w:r>
      <w:r>
        <w:rPr>
          <w:i/>
          <w:iCs/>
        </w:rPr>
        <w:t>Economy and Sociology</w:t>
      </w:r>
      <w:r>
        <w:t>, (2), 70-84.</w:t>
      </w:r>
    </w:p>
    <w:p>
      <w:pPr>
        <w:ind w:left="720" w:hanging="720"/>
      </w:pPr>
      <w:r>
        <w:t>Sahadevan, P., &amp; Sumangala, M. (2021). Effective cross-cultural communication for international business. </w:t>
      </w:r>
      <w:r>
        <w:rPr>
          <w:i/>
          <w:iCs/>
        </w:rPr>
        <w:t>Shanlax International Journal of Management</w:t>
      </w:r>
      <w:r>
        <w:t>, </w:t>
      </w:r>
      <w:r>
        <w:rPr>
          <w:i/>
          <w:iCs/>
        </w:rPr>
        <w:t>8</w:t>
      </w:r>
      <w:r>
        <w:t>(4), 24-33.</w:t>
      </w:r>
    </w:p>
    <w:p>
      <w:pPr>
        <w:ind w:left="720" w:hanging="720"/>
      </w:pPr>
      <w:r>
        <w:t>Sharifi, N., Adib-Hajbaghery, M., &amp; Najafi, M. (2019). Cultural competence in nursing: A concept analysis. </w:t>
      </w:r>
      <w:r>
        <w:rPr>
          <w:i/>
          <w:iCs/>
        </w:rPr>
        <w:t>International Journal of Nursing Studies</w:t>
      </w:r>
      <w:r>
        <w:t>, </w:t>
      </w:r>
      <w:r>
        <w:rPr>
          <w:i/>
          <w:iCs/>
        </w:rPr>
        <w:t>99</w:t>
      </w:r>
      <w:r>
        <w:t>, 103386.</w:t>
      </w:r>
    </w:p>
    <w:p>
      <w:pPr>
        <w:ind w:left="720" w:hanging="720"/>
      </w:pPr>
      <w:r>
        <w:t>Takino, M. (2020). Power in international business communication and linguistic competence: Analyzing the experiences of nonnative business people who use English as a business lingua franca (BELF). </w:t>
      </w:r>
      <w:r>
        <w:rPr>
          <w:i/>
          <w:iCs/>
        </w:rPr>
        <w:t>International Journal of Business Communication</w:t>
      </w:r>
      <w:r>
        <w:t>, </w:t>
      </w:r>
      <w:r>
        <w:rPr>
          <w:i/>
          <w:iCs/>
        </w:rPr>
        <w:t>57</w:t>
      </w:r>
      <w:r>
        <w:t>(4), 517-544.</w:t>
      </w:r>
    </w:p>
    <w:p>
      <w:pPr>
        <w:ind w:left="720" w:hanging="720"/>
      </w:pPr>
      <w:r>
        <w:t>Ting-Toomey, S., &amp; Dorjee, T. (2018). </w:t>
      </w:r>
      <w:r>
        <w:rPr>
          <w:i/>
          <w:iCs/>
        </w:rPr>
        <w:t>Communicating across cultures</w:t>
      </w:r>
      <w:r>
        <w:t>. Guilford Publications.</w:t>
      </w:r>
    </w:p>
    <w:p>
      <w:pPr>
        <w:ind w:left="720" w:hanging="720"/>
      </w:pPr>
      <w:r>
        <w:t>Trompenaars, F., &amp; Hampden-Turner, C. (2020). </w:t>
      </w:r>
      <w:r>
        <w:rPr>
          <w:i/>
          <w:iCs/>
        </w:rPr>
        <w:t>Riding the waves of culture: Understanding diversity in global business</w:t>
      </w:r>
      <w:r>
        <w:t>. Nicholas Brealey International.</w:t>
      </w:r>
    </w:p>
    <w:p>
      <w:pPr>
        <w:ind w:left="720" w:hanging="720"/>
      </w:pPr>
      <w:r>
        <w:t>Tuleja, E. A. (2021). </w:t>
      </w:r>
      <w:r>
        <w:rPr>
          <w:i/>
          <w:iCs/>
        </w:rPr>
        <w:t>Intercultural Communication for Global Business: How leaders communicate for success</w:t>
      </w:r>
      <w:r>
        <w:t>. Routledge.</w:t>
      </w:r>
    </w:p>
    <w:p>
      <w:pPr>
        <w:ind w:left="720" w:hanging="720"/>
      </w:pPr>
      <w:r>
        <w:t>Xinman, D. (2022). Cross Cultural Communication Strategy of Enterprise Brand under the Background of New Media. </w:t>
      </w:r>
      <w:r>
        <w:rPr>
          <w:i/>
          <w:iCs/>
        </w:rPr>
        <w:t>Academic Journal of Humanities &amp; Social Sciences</w:t>
      </w:r>
      <w:r>
        <w:t>, </w:t>
      </w:r>
      <w:r>
        <w:rPr>
          <w:i/>
          <w:iCs/>
        </w:rPr>
        <w:t>5</w:t>
      </w:r>
      <w:r>
        <w:t>(13).</w:t>
      </w: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auto"/>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480" w:lineRule="auto"/>
      </w:pPr>
      <w:r>
        <w:separator/>
      </w:r>
    </w:p>
  </w:footnote>
  <w:footnote w:type="continuationSeparator" w:id="1">
    <w:p>
      <w:pPr>
        <w:spacing w:before="0" w:after="0" w:line="48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04237697"/>
      <w:docPartObj>
        <w:docPartGallery w:val="AutoText"/>
      </w:docPartObj>
    </w:sdtPr>
    <w:sdtContent>
      <w:p>
        <w:pPr>
          <w:pStyle w:val="5"/>
        </w:pPr>
        <w:r>
          <w:t>BUSINESS ADVISORY REPORT</w:t>
        </w:r>
        <w:r>
          <w:tab/>
        </w:r>
        <w:r>
          <w:tab/>
        </w:r>
        <w:r>
          <w:fldChar w:fldCharType="begin"/>
        </w:r>
        <w:r>
          <w:instrText xml:space="preserve"> PAGE   \* MERGEFORMAT </w:instrText>
        </w:r>
        <w:r>
          <w:fldChar w:fldCharType="separate"/>
        </w:r>
        <w:r>
          <w:t>2</w:t>
        </w:r>
        <w:r>
          <w:fldChar w:fldCharType="end"/>
        </w:r>
      </w:p>
    </w:sdtContent>
  </w:sdt>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736E8F"/>
    <w:multiLevelType w:val="multilevel"/>
    <w:tmpl w:val="16736E8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22761BB"/>
    <w:multiLevelType w:val="multilevel"/>
    <w:tmpl w:val="222761BB"/>
    <w:lvl w:ilvl="0" w:tentative="0">
      <w:start w:val="1"/>
      <w:numFmt w:val="decimal"/>
      <w:lvlText w:val="%1.0"/>
      <w:lvlJc w:val="left"/>
      <w:pPr>
        <w:ind w:left="360" w:hanging="360"/>
      </w:pPr>
      <w:rPr>
        <w:rFonts w:hint="default"/>
      </w:rPr>
    </w:lvl>
    <w:lvl w:ilvl="1" w:tentative="0">
      <w:start w:val="1"/>
      <w:numFmt w:val="decimal"/>
      <w:lvlText w:val="%1.%2"/>
      <w:lvlJc w:val="left"/>
      <w:pPr>
        <w:ind w:left="1080" w:hanging="36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5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kzYWJmNjMxMzI2NWRkOTFiMDNhZDkxNjIzMGE5NDgifQ=="/>
  </w:docVars>
  <w:rsids>
    <w:rsidRoot w:val="00D37B38"/>
    <w:rsid w:val="0004178B"/>
    <w:rsid w:val="000A1EDF"/>
    <w:rsid w:val="000B5252"/>
    <w:rsid w:val="001A1C0C"/>
    <w:rsid w:val="001B36FD"/>
    <w:rsid w:val="001D268C"/>
    <w:rsid w:val="00215D46"/>
    <w:rsid w:val="00223516"/>
    <w:rsid w:val="002B09FF"/>
    <w:rsid w:val="00356C7F"/>
    <w:rsid w:val="003872EE"/>
    <w:rsid w:val="003F1345"/>
    <w:rsid w:val="004162A6"/>
    <w:rsid w:val="00425C3D"/>
    <w:rsid w:val="004A1CA7"/>
    <w:rsid w:val="004E3231"/>
    <w:rsid w:val="0050317D"/>
    <w:rsid w:val="00511851"/>
    <w:rsid w:val="005605E1"/>
    <w:rsid w:val="005719E7"/>
    <w:rsid w:val="0057537C"/>
    <w:rsid w:val="005E4245"/>
    <w:rsid w:val="005F1253"/>
    <w:rsid w:val="006B49E3"/>
    <w:rsid w:val="007055B1"/>
    <w:rsid w:val="00810F98"/>
    <w:rsid w:val="008346A1"/>
    <w:rsid w:val="00861606"/>
    <w:rsid w:val="00880C51"/>
    <w:rsid w:val="008B7C88"/>
    <w:rsid w:val="009076B6"/>
    <w:rsid w:val="009B5C9C"/>
    <w:rsid w:val="00A17D9B"/>
    <w:rsid w:val="00A50C63"/>
    <w:rsid w:val="00A94F99"/>
    <w:rsid w:val="00AE2279"/>
    <w:rsid w:val="00B62C9B"/>
    <w:rsid w:val="00B85F66"/>
    <w:rsid w:val="00BE0D40"/>
    <w:rsid w:val="00C846DE"/>
    <w:rsid w:val="00C91326"/>
    <w:rsid w:val="00C91F41"/>
    <w:rsid w:val="00C94354"/>
    <w:rsid w:val="00C9514C"/>
    <w:rsid w:val="00CE39F4"/>
    <w:rsid w:val="00D37B38"/>
    <w:rsid w:val="00DF7922"/>
    <w:rsid w:val="00E762B3"/>
    <w:rsid w:val="00E800B2"/>
    <w:rsid w:val="00E84BAA"/>
    <w:rsid w:val="00F66F72"/>
    <w:rsid w:val="342F22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480" w:lineRule="auto"/>
    </w:pPr>
    <w:rPr>
      <w:rFonts w:ascii="Times New Roman" w:hAnsi="Times New Roman" w:eastAsiaTheme="minorHAnsi" w:cstheme="minorBidi"/>
      <w:sz w:val="24"/>
      <w:szCs w:val="22"/>
      <w:lang w:val="en-US" w:eastAsia="en-US" w:bidi="ar-SA"/>
    </w:rPr>
  </w:style>
  <w:style w:type="paragraph" w:styleId="2">
    <w:name w:val="heading 1"/>
    <w:basedOn w:val="1"/>
    <w:next w:val="1"/>
    <w:link w:val="14"/>
    <w:qFormat/>
    <w:uiPriority w:val="0"/>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toc 3"/>
    <w:basedOn w:val="1"/>
    <w:next w:val="1"/>
    <w:uiPriority w:val="0"/>
    <w:pPr>
      <w:spacing w:after="100"/>
      <w:ind w:left="480"/>
    </w:pPr>
  </w:style>
  <w:style w:type="paragraph" w:styleId="4">
    <w:name w:val="footer"/>
    <w:basedOn w:val="1"/>
    <w:link w:val="12"/>
    <w:uiPriority w:val="0"/>
    <w:pPr>
      <w:tabs>
        <w:tab w:val="center" w:pos="4680"/>
        <w:tab w:val="right" w:pos="9360"/>
      </w:tabs>
      <w:spacing w:after="0" w:line="240" w:lineRule="auto"/>
    </w:pPr>
  </w:style>
  <w:style w:type="paragraph" w:styleId="5">
    <w:name w:val="header"/>
    <w:basedOn w:val="1"/>
    <w:link w:val="11"/>
    <w:uiPriority w:val="0"/>
    <w:pPr>
      <w:tabs>
        <w:tab w:val="center" w:pos="4680"/>
        <w:tab w:val="right" w:pos="9360"/>
      </w:tabs>
      <w:spacing w:after="0" w:line="240" w:lineRule="auto"/>
    </w:pPr>
  </w:style>
  <w:style w:type="paragraph" w:styleId="6">
    <w:name w:val="toc 1"/>
    <w:basedOn w:val="1"/>
    <w:next w:val="1"/>
    <w:uiPriority w:val="0"/>
    <w:pPr>
      <w:spacing w:after="100"/>
    </w:pPr>
  </w:style>
  <w:style w:type="paragraph" w:styleId="7">
    <w:name w:val="toc 2"/>
    <w:basedOn w:val="1"/>
    <w:next w:val="1"/>
    <w:uiPriority w:val="0"/>
    <w:pPr>
      <w:spacing w:after="100"/>
      <w:ind w:left="240"/>
    </w:pPr>
  </w:style>
  <w:style w:type="character" w:styleId="10">
    <w:name w:val="Hyperlink"/>
    <w:basedOn w:val="9"/>
    <w:uiPriority w:val="0"/>
    <w:rPr>
      <w:color w:val="0563C1" w:themeColor="hyperlink"/>
      <w:u w:val="single"/>
      <w14:textFill>
        <w14:solidFill>
          <w14:schemeClr w14:val="hlink"/>
        </w14:solidFill>
      </w14:textFill>
    </w:rPr>
  </w:style>
  <w:style w:type="character" w:customStyle="1" w:styleId="11">
    <w:name w:val="Header Char"/>
    <w:basedOn w:val="9"/>
    <w:link w:val="5"/>
    <w:uiPriority w:val="99"/>
  </w:style>
  <w:style w:type="character" w:customStyle="1" w:styleId="12">
    <w:name w:val="Footer Char"/>
    <w:basedOn w:val="9"/>
    <w:link w:val="4"/>
    <w:uiPriority w:val="99"/>
  </w:style>
  <w:style w:type="paragraph" w:styleId="13">
    <w:name w:val="List Paragraph"/>
    <w:basedOn w:val="1"/>
    <w:qFormat/>
    <w:uiPriority w:val="34"/>
    <w:pPr>
      <w:ind w:left="720"/>
      <w:contextualSpacing/>
    </w:pPr>
  </w:style>
  <w:style w:type="character" w:customStyle="1" w:styleId="14">
    <w:name w:val="Heading 1 Char"/>
    <w:basedOn w:val="9"/>
    <w:link w:val="2"/>
    <w:uiPriority w:val="9"/>
    <w:rPr>
      <w:rFonts w:asciiTheme="majorHAnsi" w:hAnsiTheme="majorHAnsi" w:eastAsiaTheme="majorEastAsia" w:cstheme="majorBidi"/>
      <w:color w:val="2F5597" w:themeColor="accent1" w:themeShade="BF"/>
      <w:sz w:val="32"/>
      <w:szCs w:val="32"/>
    </w:rPr>
  </w:style>
  <w:style w:type="paragraph" w:customStyle="1" w:styleId="15">
    <w:name w:val="TOC Heading"/>
    <w:basedOn w:val="2"/>
    <w:next w:val="1"/>
    <w:unhideWhenUsed/>
    <w:qFormat/>
    <w:uiPriority w:val="39"/>
    <w:pPr>
      <w:spacing w:line="259" w:lineRule="auto"/>
      <w:outlineLvl w:val="9"/>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sectNamePr val="lengthwise2"/>
      <sectRole val="1"/>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218068-346B-4C06-888A-9840DC0C49D0}">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2020-02-13T03:23:00Z</dcterms:created>
  <dcterms:modified xsi:type="dcterms:W3CDTF">2023-11-30T17:51:35Z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32255F27A8204DE09478B90141C73487_13</vt:lpwstr>
  </property>
</Properties>
</file>