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0F1FA00A"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 xml:space="preserve">Consolidation of </w:t>
      </w:r>
      <w:r w:rsidR="003F57C0">
        <w:rPr>
          <w:rFonts w:ascii="Times New Roman" w:hAnsi="Times New Roman"/>
          <w:b/>
          <w:bCs/>
          <w:color w:val="auto"/>
          <w:sz w:val="48"/>
          <w:szCs w:val="48"/>
        </w:rPr>
        <w:t>Social Work</w:t>
      </w:r>
      <w:r w:rsidRPr="00F927A1">
        <w:rPr>
          <w:rFonts w:ascii="Times New Roman" w:hAnsi="Times New Roman"/>
          <w:b/>
          <w:bCs/>
          <w:color w:val="auto"/>
          <w:sz w:val="48"/>
          <w:szCs w:val="48"/>
        </w:rPr>
        <w:t xml:space="preserve">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4031FC02"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027A5">
              <w:rPr>
                <w:rFonts w:ascii="Times New Roman" w:hAnsi="Times New Roman" w:cs="Times New Roman"/>
                <w:b/>
                <w:color w:val="auto"/>
                <w:sz w:val="48"/>
              </w:rPr>
              <w:t>A</w:t>
            </w:r>
            <w:r w:rsidR="0019690B">
              <w:rPr>
                <w:rFonts w:ascii="Times New Roman" w:hAnsi="Times New Roman" w:cs="Times New Roman"/>
                <w:b/>
                <w:color w:val="auto"/>
                <w:sz w:val="48"/>
              </w:rPr>
              <w:t>LISHA Marie Jones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EF31757"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0027A5">
              <w:rPr>
                <w:rFonts w:ascii="Times New Roman" w:hAnsi="Times New Roman" w:cs="Times New Roman"/>
                <w:b/>
                <w:color w:val="auto"/>
                <w:sz w:val="48"/>
              </w:rPr>
              <w:t xml:space="preserve"> alishajones1991@hotmail.co.uk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ED3627B"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E760EE2" w14:textId="32D7BF08" w:rsidR="000027A5" w:rsidRPr="005D3F07" w:rsidRDefault="000027A5"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1101913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6DD5909C" w14:textId="77777777" w:rsidR="00C231C7"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w:t>
            </w:r>
          </w:p>
          <w:p w14:paraId="346A014B" w14:textId="77777777" w:rsidR="00C231C7" w:rsidRDefault="00C231C7">
            <w:pPr>
              <w:jc w:val="both"/>
              <w:rPr>
                <w:sz w:val="24"/>
                <w:szCs w:val="24"/>
              </w:rPr>
            </w:pPr>
          </w:p>
          <w:p w14:paraId="541B485B" w14:textId="24BA3F98" w:rsidR="00C77FA5" w:rsidRPr="00874113" w:rsidRDefault="00216563" w:rsidP="00874113">
            <w:pPr>
              <w:jc w:val="both"/>
              <w:rPr>
                <w:sz w:val="24"/>
                <w:szCs w:val="24"/>
              </w:rPr>
            </w:pPr>
            <w:r w:rsidRPr="00874113">
              <w:rPr>
                <w:sz w:val="24"/>
                <w:szCs w:val="24"/>
              </w:rPr>
              <w:t xml:space="preserve">You must demonstrate how </w:t>
            </w:r>
            <w:r w:rsidR="00F34C86" w:rsidRPr="00874113">
              <w:rPr>
                <w:sz w:val="24"/>
                <w:szCs w:val="24"/>
              </w:rPr>
              <w:t xml:space="preserve">the case relates to or could relate to safeguarding </w:t>
            </w:r>
            <w:r w:rsidRPr="00874113">
              <w:rPr>
                <w:sz w:val="24"/>
                <w:szCs w:val="24"/>
              </w:rPr>
              <w:t>legislation, policies</w:t>
            </w:r>
            <w:r w:rsidR="00F34C86" w:rsidRPr="00874113">
              <w:rPr>
                <w:sz w:val="24"/>
                <w:szCs w:val="24"/>
              </w:rPr>
              <w:t xml:space="preserve">, </w:t>
            </w:r>
            <w:r w:rsidR="00F62CE6" w:rsidRPr="00874113">
              <w:rPr>
                <w:sz w:val="24"/>
                <w:szCs w:val="24"/>
              </w:rPr>
              <w:t>strategies,</w:t>
            </w:r>
            <w:r w:rsidR="00F34C86" w:rsidRPr="00874113">
              <w:rPr>
                <w:sz w:val="24"/>
                <w:szCs w:val="24"/>
              </w:rPr>
              <w:t xml:space="preserve"> and procedures</w:t>
            </w:r>
            <w:r w:rsidR="7AAB400D" w:rsidRPr="00874113">
              <w:rPr>
                <w:sz w:val="24"/>
                <w:szCs w:val="24"/>
              </w:rPr>
              <w:t xml:space="preserve"> </w:t>
            </w:r>
            <w:r w:rsidR="623F2A43" w:rsidRPr="00874113">
              <w:rPr>
                <w:sz w:val="24"/>
                <w:szCs w:val="24"/>
              </w:rPr>
              <w:t>(</w:t>
            </w:r>
            <w:r w:rsidR="7AAB400D" w:rsidRPr="00874113">
              <w:rPr>
                <w:sz w:val="24"/>
                <w:szCs w:val="24"/>
              </w:rPr>
              <w:t>i</w:t>
            </w:r>
            <w:r w:rsidR="623F2A43" w:rsidRPr="00874113">
              <w:rPr>
                <w:sz w:val="24"/>
                <w:szCs w:val="24"/>
              </w:rPr>
              <w:t xml:space="preserve">ncluding </w:t>
            </w:r>
            <w:r w:rsidR="322513AD" w:rsidRPr="00874113">
              <w:rPr>
                <w:sz w:val="24"/>
                <w:szCs w:val="24"/>
              </w:rPr>
              <w:t>d</w:t>
            </w:r>
            <w:r w:rsidR="7E97696C" w:rsidRPr="00874113">
              <w:rPr>
                <w:sz w:val="24"/>
                <w:szCs w:val="24"/>
              </w:rPr>
              <w:t xml:space="preserve">emonstrating an understanding of </w:t>
            </w:r>
            <w:r w:rsidR="623F2A43" w:rsidRPr="00874113">
              <w:rPr>
                <w:sz w:val="24"/>
                <w:szCs w:val="24"/>
              </w:rPr>
              <w:t>the</w:t>
            </w:r>
            <w:r w:rsidR="350F702B" w:rsidRPr="00874113">
              <w:rPr>
                <w:sz w:val="24"/>
                <w:szCs w:val="24"/>
              </w:rPr>
              <w:t xml:space="preserve"> </w:t>
            </w:r>
            <w:r w:rsidR="3B2446CA" w:rsidRPr="00874113">
              <w:rPr>
                <w:rFonts w:eastAsia="Arial"/>
                <w:color w:val="000000" w:themeColor="text1"/>
                <w:sz w:val="24"/>
                <w:szCs w:val="24"/>
              </w:rPr>
              <w:t xml:space="preserve">interface </w:t>
            </w:r>
            <w:r w:rsidR="534A9052" w:rsidRPr="00874113">
              <w:rPr>
                <w:rFonts w:eastAsia="Arial"/>
                <w:color w:val="000000" w:themeColor="text1"/>
                <w:sz w:val="24"/>
                <w:szCs w:val="24"/>
              </w:rPr>
              <w:t>between social services provision in Wales with the United Kingdom, the European Union</w:t>
            </w:r>
            <w:r w:rsidR="007A628F" w:rsidRPr="00874113">
              <w:rPr>
                <w:rFonts w:eastAsia="Arial"/>
                <w:color w:val="000000" w:themeColor="text1"/>
                <w:sz w:val="24"/>
                <w:szCs w:val="24"/>
              </w:rPr>
              <w:t xml:space="preserve"> (EU)</w:t>
            </w:r>
            <w:r w:rsidR="534A9052" w:rsidRPr="00874113">
              <w:rPr>
                <w:rFonts w:eastAsia="Arial"/>
                <w:color w:val="000000" w:themeColor="text1"/>
                <w:sz w:val="24"/>
                <w:szCs w:val="24"/>
              </w:rPr>
              <w:t xml:space="preserve"> and outside the EU</w:t>
            </w:r>
            <w:r w:rsidR="623F2A43" w:rsidRPr="00874113">
              <w:rPr>
                <w:rFonts w:eastAsia="Arial"/>
                <w:color w:val="000000" w:themeColor="text1"/>
                <w:sz w:val="24"/>
                <w:szCs w:val="24"/>
              </w:rPr>
              <w:t>)</w:t>
            </w:r>
            <w:r w:rsidR="00411EF7" w:rsidRPr="00874113">
              <w:rPr>
                <w:sz w:val="24"/>
                <w:szCs w:val="24"/>
              </w:rPr>
              <w:t>.</w:t>
            </w:r>
            <w:r w:rsidR="00354B6D" w:rsidRPr="00874113">
              <w:rPr>
                <w:sz w:val="24"/>
                <w:szCs w:val="24"/>
              </w:rPr>
              <w:t xml:space="preserve"> </w:t>
            </w:r>
            <w:r w:rsidR="102A3950" w:rsidRPr="00874113">
              <w:rPr>
                <w:sz w:val="24"/>
                <w:szCs w:val="24"/>
              </w:rPr>
              <w:t>You</w:t>
            </w:r>
            <w:r w:rsidR="00354B6D" w:rsidRPr="00874113">
              <w:rPr>
                <w:sz w:val="24"/>
                <w:szCs w:val="24"/>
              </w:rPr>
              <w:t xml:space="preserve"> must</w:t>
            </w:r>
            <w:r w:rsidR="00411EF7" w:rsidRPr="00874113">
              <w:rPr>
                <w:sz w:val="24"/>
                <w:szCs w:val="24"/>
              </w:rPr>
              <w:t xml:space="preserve"> </w:t>
            </w:r>
            <w:r w:rsidR="00354B6D" w:rsidRPr="00874113">
              <w:rPr>
                <w:sz w:val="24"/>
                <w:szCs w:val="24"/>
              </w:rPr>
              <w:t>demonstrate your understanding of</w:t>
            </w:r>
            <w:r w:rsidR="00F34C86" w:rsidRPr="00874113">
              <w:rPr>
                <w:sz w:val="24"/>
                <w:szCs w:val="24"/>
              </w:rPr>
              <w:t xml:space="preserve"> </w:t>
            </w:r>
            <w:r w:rsidR="00411EF7" w:rsidRPr="00874113">
              <w:rPr>
                <w:sz w:val="24"/>
                <w:szCs w:val="24"/>
              </w:rPr>
              <w:t xml:space="preserve">the </w:t>
            </w:r>
            <w:r w:rsidRPr="00874113">
              <w:rPr>
                <w:sz w:val="24"/>
                <w:szCs w:val="24"/>
              </w:rPr>
              <w:t xml:space="preserve">integration of </w:t>
            </w:r>
            <w:r w:rsidR="6A854C79" w:rsidRPr="00874113">
              <w:rPr>
                <w:sz w:val="24"/>
                <w:szCs w:val="24"/>
              </w:rPr>
              <w:t>analysis in asses</w:t>
            </w:r>
            <w:r w:rsidR="0F77E214" w:rsidRPr="00874113">
              <w:rPr>
                <w:sz w:val="24"/>
                <w:szCs w:val="24"/>
              </w:rPr>
              <w:t>sment, collabo</w:t>
            </w:r>
            <w:r w:rsidR="6A854C79" w:rsidRPr="00874113">
              <w:rPr>
                <w:sz w:val="24"/>
                <w:szCs w:val="24"/>
              </w:rPr>
              <w:t>rative work</w:t>
            </w:r>
            <w:r w:rsidR="0F77E214" w:rsidRPr="00874113">
              <w:rPr>
                <w:sz w:val="24"/>
                <w:szCs w:val="24"/>
              </w:rPr>
              <w:t>ing</w:t>
            </w:r>
            <w:r w:rsidR="6A854C79" w:rsidRPr="00874113">
              <w:rPr>
                <w:sz w:val="24"/>
                <w:szCs w:val="24"/>
              </w:rPr>
              <w:t xml:space="preserve"> a</w:t>
            </w:r>
            <w:r w:rsidR="0F77E214" w:rsidRPr="00874113">
              <w:rPr>
                <w:sz w:val="24"/>
                <w:szCs w:val="24"/>
              </w:rPr>
              <w:t xml:space="preserve">nd </w:t>
            </w:r>
            <w:r w:rsidR="6A854C79" w:rsidRPr="00874113">
              <w:rPr>
                <w:sz w:val="24"/>
                <w:szCs w:val="24"/>
              </w:rPr>
              <w:t>professional</w:t>
            </w:r>
            <w:r w:rsidR="00F34C86" w:rsidRPr="00874113">
              <w:rPr>
                <w:sz w:val="24"/>
                <w:szCs w:val="24"/>
              </w:rPr>
              <w:t xml:space="preserve"> </w:t>
            </w:r>
            <w:r w:rsidRPr="00874113">
              <w:rPr>
                <w:sz w:val="24"/>
                <w:szCs w:val="24"/>
              </w:rPr>
              <w:t>judgements</w:t>
            </w:r>
            <w:r w:rsidR="0F77E214" w:rsidRPr="00874113">
              <w:rPr>
                <w:sz w:val="24"/>
                <w:szCs w:val="24"/>
              </w:rPr>
              <w:t xml:space="preserve"> in increasingly complex situations </w:t>
            </w:r>
            <w:r w:rsidR="00E5498A" w:rsidRPr="00874113">
              <w:rPr>
                <w:sz w:val="24"/>
                <w:szCs w:val="24"/>
              </w:rPr>
              <w:t>and</w:t>
            </w:r>
            <w:r w:rsidR="1D6670C0" w:rsidRPr="00874113">
              <w:rPr>
                <w:sz w:val="24"/>
                <w:szCs w:val="24"/>
              </w:rPr>
              <w:t xml:space="preserve"> </w:t>
            </w:r>
            <w:r w:rsidR="39C47EB7" w:rsidRPr="00874113">
              <w:rPr>
                <w:sz w:val="24"/>
                <w:szCs w:val="24"/>
              </w:rPr>
              <w:t>the</w:t>
            </w:r>
            <w:r w:rsidR="25F327FB" w:rsidRPr="00874113">
              <w:rPr>
                <w:sz w:val="24"/>
                <w:szCs w:val="24"/>
              </w:rPr>
              <w:t xml:space="preserve"> </w:t>
            </w:r>
            <w:r w:rsidR="00F34C86" w:rsidRPr="00874113">
              <w:rPr>
                <w:sz w:val="24"/>
                <w:szCs w:val="24"/>
              </w:rPr>
              <w:t xml:space="preserve">use of </w:t>
            </w:r>
            <w:r w:rsidR="003F57C0">
              <w:rPr>
                <w:sz w:val="24"/>
                <w:szCs w:val="24"/>
              </w:rPr>
              <w:t>Social Work</w:t>
            </w:r>
            <w:r w:rsidR="00F34C86" w:rsidRPr="00874113">
              <w:rPr>
                <w:sz w:val="24"/>
                <w:szCs w:val="24"/>
              </w:rPr>
              <w:t xml:space="preserve"> theories</w:t>
            </w:r>
            <w:r w:rsidR="756EEE2D" w:rsidRPr="00874113">
              <w:rPr>
                <w:sz w:val="24"/>
                <w:szCs w:val="24"/>
              </w:rPr>
              <w:t>.</w:t>
            </w:r>
            <w:r w:rsidRPr="00874113">
              <w:rPr>
                <w:sz w:val="24"/>
                <w:szCs w:val="24"/>
              </w:rPr>
              <w:t xml:space="preserve"> </w:t>
            </w:r>
            <w:r w:rsidR="756EEE2D" w:rsidRPr="00874113">
              <w:rPr>
                <w:sz w:val="24"/>
                <w:szCs w:val="24"/>
              </w:rPr>
              <w:t>You</w:t>
            </w:r>
            <w:r w:rsidRPr="00874113">
              <w:rPr>
                <w:sz w:val="24"/>
                <w:szCs w:val="24"/>
              </w:rPr>
              <w:t xml:space="preserve"> </w:t>
            </w:r>
            <w:r w:rsidR="00E5498A" w:rsidRPr="00874113">
              <w:rPr>
                <w:sz w:val="24"/>
                <w:szCs w:val="24"/>
              </w:rPr>
              <w:t xml:space="preserve">must </w:t>
            </w:r>
            <w:r w:rsidR="00F030D4" w:rsidRPr="00874113">
              <w:rPr>
                <w:sz w:val="24"/>
                <w:szCs w:val="24"/>
              </w:rPr>
              <w:t>refer to</w:t>
            </w:r>
            <w:r w:rsidRPr="00874113">
              <w:rPr>
                <w:sz w:val="24"/>
                <w:szCs w:val="24"/>
              </w:rPr>
              <w:t xml:space="preserve"> </w:t>
            </w:r>
            <w:r w:rsidR="00F34C86" w:rsidRPr="00874113">
              <w:rPr>
                <w:sz w:val="24"/>
                <w:szCs w:val="24"/>
              </w:rPr>
              <w:t>the specific dimensions of working in Wales</w:t>
            </w:r>
            <w:r w:rsidR="00411EF7" w:rsidRPr="00874113">
              <w:rPr>
                <w:sz w:val="24"/>
                <w:szCs w:val="24"/>
              </w:rPr>
              <w:t xml:space="preserve">. </w:t>
            </w:r>
          </w:p>
          <w:p w14:paraId="2F8A7CA5" w14:textId="6EDC9DFB"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03660C0C" w:rsidR="00D3203C" w:rsidRDefault="00D3203C" w:rsidP="00FF7EBB">
            <w:pPr>
              <w:jc w:val="both"/>
              <w:rPr>
                <w:i/>
                <w:sz w:val="24"/>
                <w:szCs w:val="24"/>
              </w:rPr>
            </w:pPr>
          </w:p>
          <w:p w14:paraId="7CE8DB88" w14:textId="0C3AF2EF" w:rsidR="0016459B" w:rsidRDefault="0016459B" w:rsidP="00FF7EBB">
            <w:pPr>
              <w:jc w:val="both"/>
              <w:rPr>
                <w:i/>
                <w:sz w:val="24"/>
                <w:szCs w:val="24"/>
              </w:rPr>
            </w:pPr>
          </w:p>
          <w:p w14:paraId="5BDCCF7B" w14:textId="77777777" w:rsidR="00825368" w:rsidRPr="00825368" w:rsidRDefault="00825368" w:rsidP="00825368">
            <w:pPr>
              <w:pStyle w:val="NormalWeb"/>
              <w:spacing w:before="0" w:beforeAutospacing="0" w:after="0" w:afterAutospacing="0"/>
              <w:jc w:val="both"/>
              <w:rPr>
                <w:rFonts w:ascii="Arial" w:hAnsi="Arial" w:cs="Arial"/>
                <w:color w:val="0E101A"/>
              </w:rPr>
            </w:pPr>
            <w:r w:rsidRPr="00825368">
              <w:rPr>
                <w:rFonts w:ascii="Arial" w:hAnsi="Arial" w:cs="Arial"/>
                <w:color w:val="0E101A"/>
              </w:rPr>
              <w:t>In this task, I will critically reflect on a case study based on an assessment that I undertook within my current role concerning safeguarding children. Furthering this, relating this practice to safeguarding legislation, strategies, policy, and procedures and expand on this further by demonstrating my understanding of the interface between social service provision in Wales, the UK, the EU and otherwise. Throughout this case study, I will also demonstrate my understanding of the integration of analysis within the assessment, the importance of working collaboratively with individuals and others, the significance of the understanding and use of my professional judgment when working with complex situations and the Social Work theories which underpin my Social Work practice.</w:t>
            </w:r>
          </w:p>
          <w:p w14:paraId="411082A4" w14:textId="77777777" w:rsidR="00825368" w:rsidRPr="00825368" w:rsidRDefault="00825368" w:rsidP="00825368">
            <w:pPr>
              <w:pStyle w:val="NormalWeb"/>
              <w:spacing w:before="0" w:beforeAutospacing="0" w:after="0" w:afterAutospacing="0"/>
              <w:jc w:val="both"/>
              <w:rPr>
                <w:rFonts w:ascii="Arial" w:hAnsi="Arial" w:cs="Arial"/>
                <w:color w:val="0E101A"/>
              </w:rPr>
            </w:pPr>
          </w:p>
          <w:p w14:paraId="3170A911" w14:textId="77777777" w:rsidR="00825368" w:rsidRPr="00825368" w:rsidRDefault="00825368" w:rsidP="00825368">
            <w:pPr>
              <w:pStyle w:val="NormalWeb"/>
              <w:spacing w:before="0" w:beforeAutospacing="0" w:after="0" w:afterAutospacing="0"/>
              <w:jc w:val="both"/>
              <w:rPr>
                <w:rFonts w:ascii="Arial" w:hAnsi="Arial" w:cs="Arial"/>
                <w:color w:val="0E101A"/>
              </w:rPr>
            </w:pPr>
            <w:r w:rsidRPr="00825368">
              <w:rPr>
                <w:rFonts w:ascii="Arial" w:hAnsi="Arial" w:cs="Arial"/>
                <w:color w:val="0E101A"/>
              </w:rPr>
              <w:t>In my current role, I work closely with children with additional needs, their parents/carers and a wide range of multidisciplinary services, i.e., education, health, psychology etc. I had been working with the family for over a year. As a result, I have been involved in several professional meetings, reviews and discussions concerning the children (4 and 5) 's care and support, educational and health needs. </w:t>
            </w:r>
          </w:p>
          <w:p w14:paraId="4A12C2B3" w14:textId="77777777" w:rsidR="00825368" w:rsidRPr="00825368" w:rsidRDefault="00825368" w:rsidP="00825368">
            <w:pPr>
              <w:pStyle w:val="NormalWeb"/>
              <w:spacing w:before="0" w:beforeAutospacing="0" w:after="0" w:afterAutospacing="0"/>
              <w:jc w:val="both"/>
              <w:rPr>
                <w:rFonts w:ascii="Arial" w:hAnsi="Arial" w:cs="Arial"/>
                <w:color w:val="0E101A"/>
              </w:rPr>
            </w:pPr>
          </w:p>
          <w:p w14:paraId="4CC4187B" w14:textId="77777777" w:rsidR="00825368" w:rsidRPr="00825368" w:rsidRDefault="00825368" w:rsidP="00825368">
            <w:pPr>
              <w:pStyle w:val="NormalWeb"/>
              <w:spacing w:before="0" w:beforeAutospacing="0" w:after="0" w:afterAutospacing="0"/>
              <w:jc w:val="both"/>
              <w:rPr>
                <w:rFonts w:ascii="Arial" w:hAnsi="Arial" w:cs="Arial"/>
                <w:color w:val="0E101A"/>
              </w:rPr>
            </w:pPr>
            <w:r w:rsidRPr="00825368">
              <w:rPr>
                <w:rFonts w:ascii="Arial" w:hAnsi="Arial" w:cs="Arial"/>
                <w:color w:val="0E101A"/>
              </w:rPr>
              <w:t>Historically, the children's mother (6) has a history of mental health issues and following a sequence of episodes where the mother had stated that she was no longer able to manage the children's needs, which also correlated with the level and frequency of Police reports received were concerns were shared about the mother's mental health, well-being, and frequent alcohol consumption. As a result, the children were placed on the child protection register for a period and later were placed voluntarily in their father's full-time care. At this point, the parents had separated and had an informal child arrangement agreement, where the children would stay overnight four nights a week rotationally with each parent. (4) is a teenage female, and (5) her brother, who is four years younger than her, both have a rare genetic disorder. Both children attend a specialist educational setting and regularly receive support from services to manage the children's long-term and day-to-day care and support needs. </w:t>
            </w:r>
          </w:p>
          <w:p w14:paraId="19EBFD27" w14:textId="77777777" w:rsidR="00825368" w:rsidRPr="00825368" w:rsidRDefault="00825368" w:rsidP="00825368">
            <w:pPr>
              <w:pStyle w:val="NormalWeb"/>
              <w:spacing w:before="0" w:beforeAutospacing="0" w:after="0" w:afterAutospacing="0"/>
              <w:jc w:val="both"/>
              <w:rPr>
                <w:rFonts w:ascii="Arial" w:hAnsi="Arial" w:cs="Arial"/>
                <w:color w:val="0E101A"/>
              </w:rPr>
            </w:pPr>
          </w:p>
          <w:p w14:paraId="0D5B8C2D" w14:textId="77777777" w:rsidR="00825368" w:rsidRPr="00825368" w:rsidRDefault="00825368" w:rsidP="00825368">
            <w:pPr>
              <w:pStyle w:val="NormalWeb"/>
              <w:spacing w:before="0" w:beforeAutospacing="0" w:after="0" w:afterAutospacing="0"/>
              <w:jc w:val="both"/>
              <w:rPr>
                <w:rFonts w:ascii="Arial" w:hAnsi="Arial" w:cs="Arial"/>
                <w:color w:val="0E101A"/>
              </w:rPr>
            </w:pPr>
            <w:r w:rsidRPr="00825368">
              <w:rPr>
                <w:rFonts w:ascii="Arial" w:hAnsi="Arial" w:cs="Arial"/>
                <w:color w:val="0E101A"/>
              </w:rPr>
              <w:t>I received a CID16 report from the Police raising concerns about the mother's alcohol use and persistently contacting the Police for support with removing her current partner/and close friend from the family home. The Social Services Well-being (Wales) Act (2014) section 7 clearly outlines the duty of which partner agencies who have reasonable cause to suspect that a child is at risk must inform the local authority of their concern (SSWWA, 2014). </w:t>
            </w:r>
          </w:p>
          <w:p w14:paraId="0C1D4702" w14:textId="77777777" w:rsidR="00825368" w:rsidRPr="00825368" w:rsidRDefault="00825368" w:rsidP="00825368">
            <w:pPr>
              <w:pStyle w:val="NormalWeb"/>
              <w:spacing w:before="0" w:beforeAutospacing="0" w:after="0" w:afterAutospacing="0"/>
              <w:jc w:val="both"/>
              <w:rPr>
                <w:rFonts w:ascii="Arial" w:hAnsi="Arial" w:cs="Arial"/>
                <w:color w:val="0E101A"/>
              </w:rPr>
            </w:pPr>
          </w:p>
          <w:p w14:paraId="5A39D517" w14:textId="77777777" w:rsidR="00825368" w:rsidRPr="00825368" w:rsidRDefault="00825368" w:rsidP="00825368">
            <w:pPr>
              <w:pStyle w:val="NormalWeb"/>
              <w:spacing w:before="0" w:beforeAutospacing="0" w:after="0" w:afterAutospacing="0"/>
              <w:jc w:val="both"/>
              <w:rPr>
                <w:rFonts w:ascii="Arial" w:hAnsi="Arial" w:cs="Arial"/>
                <w:color w:val="0E101A"/>
              </w:rPr>
            </w:pPr>
            <w:r w:rsidRPr="00825368">
              <w:rPr>
                <w:rFonts w:ascii="Arial" w:hAnsi="Arial" w:cs="Arial"/>
                <w:color w:val="0E101A"/>
              </w:rPr>
              <w:t>After a discussion with my Manager, it was decided that it would be more appropriate to gather further information at this time, as neither child was in their mother's care during the time of the reported incident, and there was no evidence of immediate risk of harm at this point. However, this should not discount the potential risk of harm to the children if the situation deteriorates and is likely to affect the children directly. Therefore, we agreed that I would arrange a visit to assess the current situation and speak to the mother, her partner, the children, and their father. This case is one that I regularly discussed during my supervision and is one that both my Manager and I understand. I felt I had built a good working relationship with the mother over the last year. The importance of supervision within Social Work is recognised within Wales and other parts of the UK. Similar to Social Care Wales, Social Care England also acknowledges the importance of supervision to the role of the Social Worker in practice, as this gives the professional protected time with their Manager to discuss the impact of their work on the professional directly, as well as, ensuring that decision made are person-centred and values-based (Jennings, 2020). Therefore, we did not feel it necessary at this time for the case to be escalated to a section 47 investigation, and I would make my own enquiry before discussing further and deciding if the case needed to be escalated.</w:t>
            </w:r>
          </w:p>
          <w:p w14:paraId="77B0CA7D" w14:textId="77777777" w:rsidR="00825368" w:rsidRPr="00825368" w:rsidRDefault="00825368" w:rsidP="00825368">
            <w:pPr>
              <w:pStyle w:val="NormalWeb"/>
              <w:spacing w:before="0" w:beforeAutospacing="0" w:after="0" w:afterAutospacing="0"/>
              <w:jc w:val="both"/>
              <w:rPr>
                <w:rFonts w:ascii="Arial" w:hAnsi="Arial" w:cs="Arial"/>
                <w:color w:val="0E101A"/>
              </w:rPr>
            </w:pPr>
          </w:p>
          <w:p w14:paraId="54551645" w14:textId="77777777" w:rsidR="00825368" w:rsidRPr="00825368" w:rsidRDefault="00825368" w:rsidP="00825368">
            <w:pPr>
              <w:pStyle w:val="NormalWeb"/>
              <w:spacing w:before="0" w:beforeAutospacing="0" w:after="0" w:afterAutospacing="0"/>
              <w:jc w:val="both"/>
              <w:rPr>
                <w:rFonts w:ascii="Arial" w:hAnsi="Arial" w:cs="Arial"/>
                <w:color w:val="0E101A"/>
              </w:rPr>
            </w:pPr>
            <w:r w:rsidRPr="00825368">
              <w:rPr>
                <w:rFonts w:ascii="Arial" w:hAnsi="Arial" w:cs="Arial"/>
                <w:color w:val="0E101A"/>
              </w:rPr>
              <w:t>The Children's Act (1989) underpins and reinforces the necessity of all individuals, organisations and agencies who work with children to ensure they are safeguarded from harm and promote the welfare of children in the UK. The definition of a child at 'risk of harm' is as follows "a) is experiencing or is at risk of abuse, neglect, or other kinds of harm; b) and has needs for care and support (whether or not the LA is meeting any of those needs)" (SWWWA, 2014). Relating directly to section 47 previously discussed, it is where authorities have reasonable cause to suspect that a child is at risk or is likely to suffer significant harm. A section 47 investigation will seek to assess and protect children from such harm. The legislation gives power to both Police and local authority to take the necessary step to safeguard a child from harm. It may make decisions about an emergency protection order or make alternative accommodation arrangements in the child's best interest to safeguard them from the risk of harm (Children Act, 1989). Relating this more specifically to my work sector, certain individuals and children may be more at risk of abuse and harm than others, i.e., families affected by mental health issues, disabilities, under local authority care, domestic abuse, and substance misuse.</w:t>
            </w:r>
          </w:p>
          <w:p w14:paraId="5F442E74" w14:textId="77777777" w:rsidR="00825368" w:rsidRPr="00825368" w:rsidRDefault="00825368" w:rsidP="00825368">
            <w:pPr>
              <w:pStyle w:val="NormalWeb"/>
              <w:spacing w:before="0" w:beforeAutospacing="0" w:after="0" w:afterAutospacing="0"/>
              <w:jc w:val="both"/>
              <w:rPr>
                <w:rFonts w:ascii="Arial" w:hAnsi="Arial" w:cs="Arial"/>
                <w:color w:val="0E101A"/>
              </w:rPr>
            </w:pPr>
          </w:p>
          <w:p w14:paraId="55B70CBA" w14:textId="77777777" w:rsidR="00825368" w:rsidRPr="00825368" w:rsidRDefault="00825368" w:rsidP="00825368">
            <w:pPr>
              <w:pStyle w:val="NormalWeb"/>
              <w:spacing w:before="0" w:beforeAutospacing="0" w:after="0" w:afterAutospacing="0"/>
              <w:jc w:val="both"/>
              <w:rPr>
                <w:rFonts w:ascii="Arial" w:hAnsi="Arial" w:cs="Arial"/>
                <w:color w:val="0E101A"/>
              </w:rPr>
            </w:pPr>
            <w:r w:rsidRPr="00825368">
              <w:rPr>
                <w:rFonts w:ascii="Arial" w:hAnsi="Arial" w:cs="Arial"/>
                <w:color w:val="0E101A"/>
              </w:rPr>
              <w:t>Children with disabilities are at a greater risk of experiencing harm or abuse. There are many factors which make children with disabilities more likely to experience abuse or harm when in comparison to their peers who have no disabilities. Depending on the type of disability, be it physical or cognitive, some children may not recognise the abuse. The child may also rely on their abuser for care and support daily, making reporting any maltreatment difficult for that child. Children and families may feel significantly more isolated due to the level of care a child may need, making accessing useful advice and support difficult. The national disability charity Sense (2021) reports that 61% of disabled people feel chronically lonelier, increasing to 70% for disabled young people. This has since been amplified by the recent COVID19 Pandemic, which restricted individuals' movement nationally (Sense Cymru, 2021). Other factors discussed by Sense, which refer directly to professionals working with families with disabled children, which cloud risks presented to those children, are that professionals may not be adequately trained to recognise signs of abuse or harm. A professional working with parents/carers regularly to support their caring role and to meet the child's needs may overlook some parental behaviours that may not be satisfactory. It was also noted that child protection professionals might not be specialised or experienced in communication and understanding a disabled child's communication level, style, or ability (Miller, 2014).</w:t>
            </w:r>
          </w:p>
          <w:p w14:paraId="6A702DAF" w14:textId="77777777" w:rsidR="00825368" w:rsidRPr="00825368" w:rsidRDefault="00825368" w:rsidP="00825368">
            <w:pPr>
              <w:pStyle w:val="NormalWeb"/>
              <w:spacing w:before="0" w:beforeAutospacing="0" w:after="0" w:afterAutospacing="0"/>
              <w:jc w:val="both"/>
              <w:rPr>
                <w:rFonts w:ascii="Arial" w:hAnsi="Arial" w:cs="Arial"/>
                <w:color w:val="0E101A"/>
              </w:rPr>
            </w:pPr>
          </w:p>
          <w:p w14:paraId="6C9584EA" w14:textId="77777777" w:rsidR="00825368" w:rsidRPr="00825368" w:rsidRDefault="00825368" w:rsidP="00825368">
            <w:pPr>
              <w:pStyle w:val="NormalWeb"/>
              <w:spacing w:before="0" w:beforeAutospacing="0" w:after="0" w:afterAutospacing="0"/>
              <w:jc w:val="both"/>
              <w:rPr>
                <w:rFonts w:ascii="Arial" w:hAnsi="Arial" w:cs="Arial"/>
                <w:color w:val="0E101A"/>
              </w:rPr>
            </w:pPr>
            <w:r w:rsidRPr="00825368">
              <w:rPr>
                <w:rFonts w:ascii="Arial" w:hAnsi="Arial" w:cs="Arial"/>
                <w:color w:val="0E101A"/>
              </w:rPr>
              <w:t>Present during the arranged visit was the children's mother (6), her partner (7) and both children (4 and 5). The family are from a white working-class background and conversed in Welsh and English. Child (4) understands both languages well but chooses/prefers to communicate in English if not otherwise prompted to respond in Welsh. I spent time interacting with both children, who had not long returned home from school. (4) was particularly engaging and appeared happy to talk to me, as it had been a while since I had seen her due to the school summer holidays. (4) has good verbal communication skills and communicates in short bursts of speech with often repetition in sounds, words, and phrases familiar to her and which she uses daily. However, (4) has an excitable personality and, on occasion, needs her mother's help with keeping on track with the flow of the conversation or re-iterating what is being asked of her, or conveying to others what she means by a phrase or statement to ensure others have understood what she is trying to communicate. This is often witnessed in cases where a child's parent/carers may advocate on their behalf, as the child may not be able to convey themselves verbally or clearly. The code of practice also outlines when an individual is not appropriate to advocate on their behalf 'someone implicated in an enquiry into abuse or neglect or whose actions have influenced a local authority decision to consider adult protection and support order actions to protection activities in respect of a child' (Social Services and Wellbeing (Wales) Act 2014 Part 10 Code of Practice (Advocacy), 2016). Given the circumstances of the visit and as the enquiry wasn't a formal s47 enquiry, I kept this in mind throughout the visit as the visit was directly related to the mother's own behaviours during the reported incident. Therefore, she may attempt to minimise the impact on the children.</w:t>
            </w:r>
          </w:p>
          <w:p w14:paraId="3F18E5E4" w14:textId="77777777" w:rsidR="00825368" w:rsidRPr="00825368" w:rsidRDefault="00825368" w:rsidP="00825368">
            <w:pPr>
              <w:pStyle w:val="NormalWeb"/>
              <w:spacing w:before="0" w:beforeAutospacing="0" w:after="0" w:afterAutospacing="0"/>
              <w:jc w:val="both"/>
              <w:rPr>
                <w:rFonts w:ascii="Arial" w:hAnsi="Arial" w:cs="Arial"/>
                <w:color w:val="0E101A"/>
              </w:rPr>
            </w:pPr>
          </w:p>
          <w:p w14:paraId="3938306C" w14:textId="77777777" w:rsidR="00825368" w:rsidRPr="00825368" w:rsidRDefault="00825368" w:rsidP="00825368">
            <w:pPr>
              <w:pStyle w:val="NormalWeb"/>
              <w:spacing w:before="0" w:beforeAutospacing="0" w:after="0" w:afterAutospacing="0"/>
              <w:jc w:val="both"/>
              <w:rPr>
                <w:rFonts w:ascii="Arial" w:hAnsi="Arial" w:cs="Arial"/>
                <w:color w:val="0E101A"/>
              </w:rPr>
            </w:pPr>
            <w:r w:rsidRPr="00825368">
              <w:rPr>
                <w:rFonts w:ascii="Arial" w:hAnsi="Arial" w:cs="Arial"/>
                <w:color w:val="0E101A"/>
              </w:rPr>
              <w:t>Child (5) has limited verbal communication skills but has access to an electronic communication aid and can express his wishes and feelings using Picture Exchange Communication System (PECS) cards and non-verbal communication cues, i.e. eye contact, pointing, noises, body language and the use of his personal space. When engaging with (5), I could see that he was tired and presented as more irritable and less willing to engage with me. His mother and I agreed it would be appropriate if (5) wished to leave the room so that he could do so. The importance of professional communication with individuals, building a good working relationship and understanding the child's needs is pivotal in Social Work to ensure that assessments are consistently child-focused, especially when considering risks (SSWWWA, 2014). Fundamentally this necessity is emphasised by the United Nations Convention on the Rights of the child (UNCRC). This international agreement protects children's rights and provides a framework for the development of services for children across the United Nations. For Social Workers and professionals working with and supporting children, upholding their rights derives from this legislation ensuring that all children are protected from harm and discrimination, have the right to access support and can reach their fullest potential (United Nations Children's Fund UK. (1989). Since the 'Framework for Assessment of Children in need and their Families' was published, it set a standard within Social Work that professionals must give priority to the needs of the child, promoting the child's right to participate in an assessment in a manner which they are comfortable and able to do so. 'The child's needs are paramount, and the needs and wishes of each child receive the support they need before a problem escalates' (HM Government, 2018).</w:t>
            </w:r>
          </w:p>
          <w:p w14:paraId="3BA67BD9" w14:textId="77777777" w:rsidR="00825368" w:rsidRPr="00825368" w:rsidRDefault="00825368" w:rsidP="00825368">
            <w:pPr>
              <w:pStyle w:val="NormalWeb"/>
              <w:spacing w:before="0" w:beforeAutospacing="0" w:after="0" w:afterAutospacing="0"/>
              <w:jc w:val="both"/>
              <w:rPr>
                <w:rFonts w:ascii="Arial" w:hAnsi="Arial" w:cs="Arial"/>
                <w:color w:val="0E101A"/>
              </w:rPr>
            </w:pPr>
          </w:p>
          <w:p w14:paraId="7CE9FAC9" w14:textId="77777777" w:rsidR="00825368" w:rsidRPr="00825368" w:rsidRDefault="00825368" w:rsidP="00825368">
            <w:pPr>
              <w:pStyle w:val="NormalWeb"/>
              <w:spacing w:before="0" w:beforeAutospacing="0" w:after="0" w:afterAutospacing="0"/>
              <w:jc w:val="both"/>
              <w:rPr>
                <w:rFonts w:ascii="Arial" w:hAnsi="Arial" w:cs="Arial"/>
                <w:color w:val="0E101A"/>
              </w:rPr>
            </w:pPr>
            <w:r w:rsidRPr="00825368">
              <w:rPr>
                <w:rFonts w:ascii="Arial" w:hAnsi="Arial" w:cs="Arial"/>
                <w:color w:val="0E101A"/>
              </w:rPr>
              <w:t>During the discussion with the children's mother (6) and her partner (7), various issues were highlighted, such as; often disagreements within the relationship due to financial and emotional strain, the mother felt a lack of support from the children's father on days where the children are in her care, the mother's mental health decline on occasions where she does consume alcohol all which interlinked with the lack of friend/family support generally within the mother's life. When assessing risk or risky behaviours it’s important to assess both risk factors and protective factors within a case. To accurately balance the risks and safeguarding factors, I completed a Risk Assessment Stage 2 tool. This makes use of the risk model stage 2 aspect, which translates into a mathematical representation of a system which uses relevant historical data through the gathering of information and analysis across eight key areas; Understanding the capacity of the parent/carer, Understanding the needs of the child, indicating the level of harm, Categorizing the harm, Risk Summary, Consideration if the harm is ‘significant’ and Decision following the risk assessment (XXX Council, 2022). Some of the main risk factors highlighted during the discussion were the risk that (6) would fall back into self-destructive behaviours through alcohol use and self-harm, the risk of escalating depression or anxiety impacting the mother's ability to meet the children’s needs fully, and ultimately the risk of the children and the mother being negatively influenced which may affect their health or wellbeing (Social Work Portal, 2022). </w:t>
            </w:r>
          </w:p>
          <w:p w14:paraId="3746F1BF" w14:textId="77777777" w:rsidR="00825368" w:rsidRPr="00825368" w:rsidRDefault="00825368" w:rsidP="00825368">
            <w:pPr>
              <w:pStyle w:val="NormalWeb"/>
              <w:spacing w:before="0" w:beforeAutospacing="0" w:after="0" w:afterAutospacing="0"/>
              <w:jc w:val="both"/>
              <w:rPr>
                <w:rFonts w:ascii="Arial" w:hAnsi="Arial" w:cs="Arial"/>
                <w:color w:val="0E101A"/>
              </w:rPr>
            </w:pPr>
            <w:r w:rsidRPr="00825368">
              <w:rPr>
                <w:rFonts w:ascii="Arial" w:hAnsi="Arial" w:cs="Arial"/>
                <w:color w:val="0E101A"/>
              </w:rPr>
              <w:t> </w:t>
            </w:r>
          </w:p>
          <w:p w14:paraId="37B508A0" w14:textId="77777777" w:rsidR="00825368" w:rsidRPr="00825368" w:rsidRDefault="00825368" w:rsidP="00825368">
            <w:pPr>
              <w:pStyle w:val="NormalWeb"/>
              <w:spacing w:before="0" w:beforeAutospacing="0" w:after="0" w:afterAutospacing="0"/>
              <w:jc w:val="both"/>
              <w:rPr>
                <w:rFonts w:ascii="Arial" w:hAnsi="Arial" w:cs="Arial"/>
                <w:color w:val="0E101A"/>
              </w:rPr>
            </w:pPr>
            <w:r w:rsidRPr="00825368">
              <w:rPr>
                <w:rFonts w:ascii="Arial" w:hAnsi="Arial" w:cs="Arial"/>
                <w:color w:val="0E101A"/>
              </w:rPr>
              <w:t>On the other hand, some safeguarding factors within this case study were; The mother has remained open and honest with professionals about her difficulties socially, personally and with the relationship dynamic between her and her current partner and the relationship between her and the father’s children. The mother had the capacity to meet most of the children's needs and protect them from harm. The mother was seeking support from partner agencies, this was something she had to instigate herself following the recent incident. She demonstrated a good insight into the children's needs for stable and consistent care and appeared to acknowledge the risk if her situation was to decline while the children were in her care. Ultimately very few of the children's needs remained unmet and these needs were not critical at that time. Another significant factor at the time of the assessment was that the children spent an equal amount of time in their father’s care and who takes a more significant and main role in the children’s lives i.e. health, educational and social needs.  </w:t>
            </w:r>
          </w:p>
          <w:p w14:paraId="3718AC9B" w14:textId="77777777" w:rsidR="00825368" w:rsidRPr="00825368" w:rsidRDefault="00825368" w:rsidP="00825368">
            <w:pPr>
              <w:pStyle w:val="NormalWeb"/>
              <w:spacing w:before="0" w:beforeAutospacing="0" w:after="0" w:afterAutospacing="0"/>
              <w:jc w:val="both"/>
              <w:rPr>
                <w:rFonts w:ascii="Arial" w:hAnsi="Arial" w:cs="Arial"/>
                <w:color w:val="0E101A"/>
              </w:rPr>
            </w:pPr>
            <w:r w:rsidRPr="00825368">
              <w:rPr>
                <w:rFonts w:ascii="Arial" w:hAnsi="Arial" w:cs="Arial"/>
                <w:color w:val="0E101A"/>
              </w:rPr>
              <w:t> </w:t>
            </w:r>
          </w:p>
          <w:p w14:paraId="48A27EEA" w14:textId="77777777" w:rsidR="00825368" w:rsidRPr="00825368" w:rsidRDefault="00825368" w:rsidP="00825368">
            <w:pPr>
              <w:pStyle w:val="NormalWeb"/>
              <w:spacing w:before="0" w:beforeAutospacing="0" w:after="0" w:afterAutospacing="0"/>
              <w:jc w:val="both"/>
              <w:rPr>
                <w:rFonts w:ascii="Arial" w:hAnsi="Arial" w:cs="Arial"/>
                <w:color w:val="0E101A"/>
              </w:rPr>
            </w:pPr>
            <w:r w:rsidRPr="00825368">
              <w:rPr>
                <w:rFonts w:ascii="Arial" w:hAnsi="Arial" w:cs="Arial"/>
                <w:color w:val="0E101A"/>
              </w:rPr>
              <w:t>Linking this to Social Work theory, what became evident when undertaking the assessment was how prominent Karpman’s drama triangle model was visible within the case. Karpman's (1968)</w:t>
            </w:r>
            <w:r w:rsidRPr="00825368">
              <w:rPr>
                <w:rStyle w:val="Strong"/>
                <w:rFonts w:ascii="Arial" w:hAnsi="Arial" w:cs="Arial"/>
                <w:b w:val="0"/>
                <w:bCs w:val="0"/>
                <w:color w:val="0E101A"/>
              </w:rPr>
              <w:t> social model of human interaction </w:t>
            </w:r>
            <w:r w:rsidRPr="00825368">
              <w:rPr>
                <w:rFonts w:ascii="Arial" w:hAnsi="Arial" w:cs="Arial"/>
                <w:color w:val="0E101A"/>
              </w:rPr>
              <w:t>describes this as a dysfunction within people’s relationships where an individual’s role shifts between the ‘persecutor’, ‘rescuer’ and the ‘victim’. During the assessment (6) shifted through all three ‘roles’ during the conversation. (6) Initially presents herself as the ‘victim’ in the narrative; displaying emotions of helplessness and that she was being oppressed, powerless and unable to change how she manages difficult situations in life which eventually spiral into an episode of depression. Later displaying characteristics of a ‘persecutor’, criticising the lack of support from agencies and the children’s father, and often pushing the blame onto others for her actions. Eventually transforming into the ‘rescuer’ role, stating that she isn’t understood by others, that she had sought support from other agencies before my visit, and often stating “well that’s how I am” or “it’s just who I am”, which correlates with Karpan’s ideology that this has now become her identity. On reflection, I recall having this model at the forefront of my critical analysis during the assessment and when later undertaking the Stage 2 Risk Assessment tool. </w:t>
            </w:r>
          </w:p>
          <w:p w14:paraId="1CEBB139" w14:textId="77777777" w:rsidR="00825368" w:rsidRPr="00825368" w:rsidRDefault="00825368" w:rsidP="00825368">
            <w:pPr>
              <w:pStyle w:val="NormalWeb"/>
              <w:spacing w:before="0" w:beforeAutospacing="0" w:after="0" w:afterAutospacing="0"/>
              <w:jc w:val="both"/>
              <w:rPr>
                <w:rFonts w:ascii="Arial" w:hAnsi="Arial" w:cs="Arial"/>
                <w:color w:val="0E101A"/>
              </w:rPr>
            </w:pPr>
            <w:r w:rsidRPr="00825368">
              <w:rPr>
                <w:rFonts w:ascii="Arial" w:hAnsi="Arial" w:cs="Arial"/>
                <w:color w:val="0E101A"/>
              </w:rPr>
              <w:t> </w:t>
            </w:r>
          </w:p>
          <w:p w14:paraId="18FAA5DC" w14:textId="77777777" w:rsidR="00825368" w:rsidRPr="00825368" w:rsidRDefault="00825368" w:rsidP="00825368">
            <w:pPr>
              <w:pStyle w:val="NormalWeb"/>
              <w:spacing w:before="0" w:beforeAutospacing="0" w:after="0" w:afterAutospacing="0"/>
              <w:jc w:val="both"/>
              <w:rPr>
                <w:rFonts w:ascii="Arial" w:hAnsi="Arial" w:cs="Arial"/>
                <w:color w:val="0E101A"/>
              </w:rPr>
            </w:pPr>
            <w:r w:rsidRPr="00825368">
              <w:rPr>
                <w:rFonts w:ascii="Arial" w:hAnsi="Arial" w:cs="Arial"/>
                <w:color w:val="0E101A"/>
              </w:rPr>
              <w:t>The Risk Assessment tool concluded that the children were not likely to be at risk of significant harm from the evidence gathered to date. As a newly qualified Social Work, I had reservations about how sustainable this would be long-term. I acknowledged my concern about the mother’s interpretation of her own needs which I felt she had minimized and cast aside as “It is who I am”. This led me to research Merton’s theory of the self-fulfilling prophecy. In summary Merton (1957) formulated the concept that the self-fulfilling prophecy theory is “a belief or expectation, correct or incorrect, could bring about a desired or expected outcome”. In theory, if a person believes that they cannot change something, though this may be false, the idea of not being able to change something actualises and will not be changed. In the case of (6)’s ideology of “it is who I am” I applied this concept as a part of professional analysis and judgment. Having worked with (6) and her family for over a year, I genuinely think that (6) doesn’t believe that she can change the way she responds to difficult and challenging circumstances and often relies upon the same coping mechanisms she had previously used when the children’s names were then placed on the child protection register. Though the risk had reduced in line with the protective facts, I believe the underlying issues remain. If (6)'s circumstances change and where the risk escalates and impacts the children’s safety or well-being, I understand the safeguarding procedures which would follow. </w:t>
            </w:r>
          </w:p>
          <w:p w14:paraId="62B9ADB4" w14:textId="77777777" w:rsidR="00825368" w:rsidRPr="00825368" w:rsidRDefault="00825368" w:rsidP="00825368">
            <w:pPr>
              <w:pStyle w:val="NormalWeb"/>
              <w:spacing w:before="0" w:beforeAutospacing="0" w:after="0" w:afterAutospacing="0"/>
              <w:jc w:val="both"/>
              <w:rPr>
                <w:rFonts w:ascii="Arial" w:hAnsi="Arial" w:cs="Arial"/>
                <w:color w:val="0E101A"/>
              </w:rPr>
            </w:pPr>
            <w:r w:rsidRPr="00825368">
              <w:rPr>
                <w:rFonts w:ascii="Arial" w:hAnsi="Arial" w:cs="Arial"/>
                <w:color w:val="0E101A"/>
              </w:rPr>
              <w:t> </w:t>
            </w:r>
          </w:p>
          <w:p w14:paraId="0849C8DB" w14:textId="77777777" w:rsidR="00825368" w:rsidRPr="00825368" w:rsidRDefault="00825368" w:rsidP="00825368">
            <w:pPr>
              <w:pStyle w:val="NormalWeb"/>
              <w:spacing w:before="0" w:beforeAutospacing="0" w:after="0" w:afterAutospacing="0"/>
              <w:jc w:val="both"/>
              <w:rPr>
                <w:rFonts w:ascii="Arial" w:hAnsi="Arial" w:cs="Arial"/>
                <w:color w:val="0E101A"/>
              </w:rPr>
            </w:pPr>
            <w:r w:rsidRPr="00825368">
              <w:rPr>
                <w:rFonts w:ascii="Arial" w:hAnsi="Arial" w:cs="Arial"/>
                <w:color w:val="0E101A"/>
              </w:rPr>
              <w:t>If a child is deemed to be at significant risk of harm, as defined in the Wales Safeguarding Procedures (2019), where a child is/has experienced ill-treatment including sexual, neglect, emotional and psychological abuse. The impairment of physical and mental health or of physical intellectual, emotional, social, or behavioural development of which I would act within the child’s best interests to safeguard them from further or potential harm. The procedures give clear guidance that the evidence must be substantiated and evidence that the harm is significant and likely to continue for the threshold to be met. In some circumstances, a strategy meeting may be requested to discuss the findings of the s47 enquiry and determine the way to proceed with the findings, i.e. Police involvement if a crime has been committed against a child, or if it is a matter for the local authority Social Service department to proceed with an initial child protection case conference (Wales Safeguarding Procedures Project Board, 2019).</w:t>
            </w:r>
          </w:p>
          <w:p w14:paraId="11AB33B5" w14:textId="77777777" w:rsidR="00825368" w:rsidRPr="00825368" w:rsidRDefault="00825368" w:rsidP="00825368">
            <w:pPr>
              <w:pStyle w:val="NormalWeb"/>
              <w:spacing w:before="0" w:beforeAutospacing="0" w:after="0" w:afterAutospacing="0"/>
              <w:jc w:val="both"/>
              <w:rPr>
                <w:rFonts w:ascii="Arial" w:hAnsi="Arial" w:cs="Arial"/>
                <w:color w:val="0E101A"/>
              </w:rPr>
            </w:pPr>
          </w:p>
          <w:p w14:paraId="6FEB586E" w14:textId="77777777" w:rsidR="00825368" w:rsidRPr="00825368" w:rsidRDefault="00825368" w:rsidP="00825368">
            <w:pPr>
              <w:pStyle w:val="NormalWeb"/>
              <w:spacing w:before="0" w:beforeAutospacing="0" w:after="0" w:afterAutospacing="0"/>
              <w:jc w:val="both"/>
              <w:rPr>
                <w:rFonts w:ascii="Arial" w:hAnsi="Arial" w:cs="Arial"/>
                <w:color w:val="0E101A"/>
              </w:rPr>
            </w:pPr>
            <w:r w:rsidRPr="00825368">
              <w:rPr>
                <w:rFonts w:ascii="Arial" w:hAnsi="Arial" w:cs="Arial"/>
                <w:color w:val="0E101A"/>
              </w:rPr>
              <w:t>An initial case conference is where information and concerns about the child and their family are shared within a multidisciplinary setting which also includes the child's family, to outline the decisions and actions which need to take place to safeguard the child from further harm and whether the threshold for significant harm has been met and if the child's name should be placed on the Child protection register (Laws, 2019). Suppose the decision is made that the harm has been substantiated, and the child must be registered on the Child protection register. In that case, the harm must be categorised as neglect, physical abuse, sexual abuse and exploitation or emotional abuse. The members of the Case Conference meeting will agree on the categorisation and allow the family to have their voices and opinions heard. From this agreement, a Child Protection Plan (CPP) must be drawn up where actions will be agreed upon to promote the child's health, development, and well-being, including support available to the family to meet these outcomes. The CPP is an important tool to measure the progress and engagement of the family with actioning the desired outcomes. The intended outcomes for the CPP will often be created and agreed upon during the first Core Group meeting, which must be arranged within ten working days from the Initial Case conference meeting (Wales Safeguarding Procedures, 2014). Even further action may be taken if significant harm has been proven, and the Local Authority must act to safeguard a child.</w:t>
            </w:r>
          </w:p>
          <w:p w14:paraId="32AC5E36" w14:textId="77777777" w:rsidR="00825368" w:rsidRPr="00825368" w:rsidRDefault="00825368" w:rsidP="00825368">
            <w:pPr>
              <w:pStyle w:val="NormalWeb"/>
              <w:spacing w:before="0" w:beforeAutospacing="0" w:after="0" w:afterAutospacing="0"/>
              <w:jc w:val="both"/>
              <w:rPr>
                <w:rFonts w:ascii="Arial" w:hAnsi="Arial" w:cs="Arial"/>
                <w:color w:val="0E101A"/>
              </w:rPr>
            </w:pPr>
          </w:p>
          <w:p w14:paraId="19A706FA" w14:textId="77777777" w:rsidR="00825368" w:rsidRPr="00825368" w:rsidRDefault="00825368" w:rsidP="00825368">
            <w:pPr>
              <w:pStyle w:val="NormalWeb"/>
              <w:spacing w:before="0" w:beforeAutospacing="0" w:after="0" w:afterAutospacing="0"/>
              <w:jc w:val="both"/>
              <w:rPr>
                <w:rFonts w:ascii="Arial" w:hAnsi="Arial" w:cs="Arial"/>
                <w:color w:val="0E101A"/>
              </w:rPr>
            </w:pPr>
            <w:r w:rsidRPr="00825368">
              <w:rPr>
                <w:rFonts w:ascii="Arial" w:hAnsi="Arial" w:cs="Arial"/>
                <w:color w:val="0E101A"/>
              </w:rPr>
              <w:t>The four most common orders are made concerning children, Care Order, Emergency Protection Order, Secure Accommodation Order, and Supervision Order. Two of which I will discuss further; a Care Order derives from the Children Act 1989 section 31, which the Local Authority may apply to the courts for, and which gives the Local Authority shared Parental Responsibility for a child and the right to remove a child from their family home. This order allows the Local Authority powers to decide where the child lives, how they may have contact with their parents/carers, and whom they live with (CAFCASS, 2023). A Supervision Order can last twelve months, during which the Local Authority must provide a Social Worker to assist, befriend and advise a child. The local Authority may require the supervised child and those responsible for the child, usually a parent or care, to comply with the order that he/she takes all reasonable steps to ensure that the supervised child complies with any direction given within the Supervision Order which may include engagement in medical or psychiatric examinations. A Supervision Order does not give the local Authority any parental responsibility compared to the Care Order (Children Act, 1989). Linking this to my case study, (6) had been through this process in the past when the children were initially placed in their father's care, and this was something she openly expressed was an extremely difficult but necessary agreement, as she acknowledged that at that time in her past, she needed psychological and practical support from agencies. In this case, there had been no need for the local Authority to apply for a Care or Supervision Order as the mother had given the children to their father voluntarily and in compliance with advice and support from their then Social Worker. One of the main frameworks within my area of work, which helped instigate the change in this case, was the 'Steps to Change' Effective Child Protection framework. </w:t>
            </w:r>
          </w:p>
          <w:p w14:paraId="37C351A1" w14:textId="77777777" w:rsidR="00825368" w:rsidRPr="00825368" w:rsidRDefault="00825368" w:rsidP="00825368">
            <w:pPr>
              <w:pStyle w:val="NormalWeb"/>
              <w:spacing w:before="0" w:beforeAutospacing="0" w:after="0" w:afterAutospacing="0"/>
              <w:jc w:val="both"/>
              <w:rPr>
                <w:rFonts w:ascii="Arial" w:hAnsi="Arial" w:cs="Arial"/>
                <w:color w:val="0E101A"/>
              </w:rPr>
            </w:pPr>
          </w:p>
          <w:p w14:paraId="5B1F58CA" w14:textId="77777777" w:rsidR="00825368" w:rsidRPr="00825368" w:rsidRDefault="00825368" w:rsidP="00825368">
            <w:pPr>
              <w:pStyle w:val="NormalWeb"/>
              <w:spacing w:before="0" w:beforeAutospacing="0" w:after="0" w:afterAutospacing="0"/>
              <w:jc w:val="both"/>
              <w:rPr>
                <w:rFonts w:ascii="Arial" w:hAnsi="Arial" w:cs="Arial"/>
                <w:color w:val="0E101A"/>
              </w:rPr>
            </w:pPr>
            <w:r w:rsidRPr="00825368">
              <w:rPr>
                <w:rFonts w:ascii="Arial" w:hAnsi="Arial" w:cs="Arial"/>
                <w:color w:val="0E101A"/>
              </w:rPr>
              <w:t>This framework was initially developed and continues to be a structured approach and active tool for working with cases where change is essential to reducing the risk of significant harm. 'Steps to Change' was designed to provide measurable mechanisms to progress cases towards 'good enough' change. Pivotal to this model is the necessity for open and honest discussions between professionals and families to ensure a clear understanding of the expectations of what changes must occur to reduce risk. This is formulated into steps from one to ten with a single outcome focused upon. For example, two or three outcomes may be considered to ensure that all risk is reduced. However, the professional must not place too much expectation on the family initially to ensure that the outcome is achievable and that the individuals are fully supported to make those changes (Paul &amp; Maclean, 2019). I had undertaken this model with (6) and her partner during the visit. We established the need for further support and agreed upon a single outcome, i.e., how to best reduce the mother's risk of engaging in risky/self-destructive behaviours when consuming alcohol. As part of this framework, a safety plan was formulated and agreed upon, which (6), her partner, the children's father, and I agreed to, which would be reviewed in the following three months. This model worked well in this case; there had been no further reports within those three months. As the family's Social Worker, this allowed me to work intensively with the children's parents to reduce and assess any barriers to achieving this outcome which contributed to reducing risk. </w:t>
            </w:r>
          </w:p>
          <w:p w14:paraId="5C9E2C46" w14:textId="77777777" w:rsidR="00825368" w:rsidRPr="00825368" w:rsidRDefault="00825368" w:rsidP="00825368">
            <w:pPr>
              <w:pStyle w:val="NormalWeb"/>
              <w:spacing w:before="0" w:beforeAutospacing="0" w:after="0" w:afterAutospacing="0"/>
              <w:jc w:val="both"/>
              <w:rPr>
                <w:rFonts w:ascii="Arial" w:hAnsi="Arial" w:cs="Arial"/>
                <w:color w:val="0E101A"/>
              </w:rPr>
            </w:pPr>
          </w:p>
          <w:p w14:paraId="3B15730A" w14:textId="77777777" w:rsidR="00825368" w:rsidRPr="00825368" w:rsidRDefault="00825368" w:rsidP="00825368">
            <w:pPr>
              <w:pStyle w:val="NormalWeb"/>
              <w:spacing w:before="0" w:beforeAutospacing="0" w:after="0" w:afterAutospacing="0"/>
              <w:jc w:val="both"/>
              <w:rPr>
                <w:rFonts w:ascii="Arial" w:hAnsi="Arial" w:cs="Arial"/>
                <w:color w:val="0E101A"/>
              </w:rPr>
            </w:pPr>
            <w:r w:rsidRPr="00825368">
              <w:rPr>
                <w:rFonts w:ascii="Arial" w:hAnsi="Arial" w:cs="Arial"/>
                <w:color w:val="0E101A"/>
              </w:rPr>
              <w:t>In this task, I have critically reflected on a case study based on an assessment that I undertook in my current role concerning safeguarding children. I have also reflected upon my practice, the safeguarding legislation, strategies, policy, and procedures and further demonstrated my understanding of the interface between social service provision in Wales, the UK, the EU and otherwise. Throughout this case study, I have also demonstrated my understanding of the integration of analysis within the assessment, the importance of working collaboratively with individuals, the significance of the understanding and use of my professional judgment when working with complex situations and the Social Work theories which underpin all my Social Work practice when assessing risk in the safeguarding of children.</w:t>
            </w:r>
          </w:p>
          <w:p w14:paraId="1A57780C" w14:textId="77777777" w:rsidR="003F57C0" w:rsidRPr="00E576E2" w:rsidRDefault="003F57C0" w:rsidP="003F57C0">
            <w:pPr>
              <w:jc w:val="both"/>
              <w:rPr>
                <w:iCs/>
                <w:sz w:val="24"/>
                <w:szCs w:val="24"/>
              </w:rPr>
            </w:pPr>
          </w:p>
          <w:p w14:paraId="43CA65F6" w14:textId="467D503D" w:rsidR="00D3203C" w:rsidRDefault="00DF38C4" w:rsidP="00FF7EBB">
            <w:pPr>
              <w:jc w:val="both"/>
              <w:rPr>
                <w:i/>
                <w:sz w:val="24"/>
                <w:szCs w:val="24"/>
              </w:rPr>
            </w:pPr>
            <w:r>
              <w:rPr>
                <w:i/>
                <w:sz w:val="24"/>
                <w:szCs w:val="24"/>
              </w:rPr>
              <w:t>3</w:t>
            </w:r>
            <w:r w:rsidR="003F57C0">
              <w:rPr>
                <w:i/>
                <w:sz w:val="24"/>
                <w:szCs w:val="24"/>
              </w:rPr>
              <w:t>7</w:t>
            </w:r>
            <w:r w:rsidR="00825368">
              <w:rPr>
                <w:i/>
                <w:sz w:val="24"/>
                <w:szCs w:val="24"/>
              </w:rPr>
              <w:t>35</w:t>
            </w:r>
          </w:p>
          <w:p w14:paraId="47F21B6A" w14:textId="007FFCCE" w:rsidR="007A628F" w:rsidRPr="008B28E7" w:rsidRDefault="007A628F" w:rsidP="00FF7EBB">
            <w:pPr>
              <w:jc w:val="both"/>
              <w:rPr>
                <w:sz w:val="24"/>
                <w:szCs w:val="24"/>
              </w:rPr>
            </w:pPr>
          </w:p>
        </w:tc>
      </w:tr>
    </w:tbl>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DB314B" w14:textId="77777777" w:rsidR="0053419D" w:rsidRDefault="0053419D">
      <w:r>
        <w:separator/>
      </w:r>
    </w:p>
  </w:endnote>
  <w:endnote w:type="continuationSeparator" w:id="0">
    <w:p w14:paraId="304F65D3" w14:textId="77777777" w:rsidR="0053419D" w:rsidRDefault="005341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54DC30" w14:textId="77777777" w:rsidR="0053419D" w:rsidRDefault="0053419D">
      <w:r>
        <w:separator/>
      </w:r>
    </w:p>
  </w:footnote>
  <w:footnote w:type="continuationSeparator" w:id="0">
    <w:p w14:paraId="7DAF54BB" w14:textId="77777777" w:rsidR="0053419D" w:rsidRDefault="005341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570E6D"/>
    <w:multiLevelType w:val="multilevel"/>
    <w:tmpl w:val="1632D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0555EBC"/>
    <w:multiLevelType w:val="hybridMultilevel"/>
    <w:tmpl w:val="51CEAE94"/>
    <w:lvl w:ilvl="0" w:tplc="3C58551A">
      <w:start w:val="4000"/>
      <w:numFmt w:val="bullet"/>
      <w:lvlText w:val=""/>
      <w:lvlJc w:val="left"/>
      <w:pPr>
        <w:ind w:left="720" w:hanging="360"/>
      </w:pPr>
      <w:rPr>
        <w:rFonts w:ascii="Symbol" w:eastAsia="Times New Roman" w:hAnsi="Symbol" w:cs="Open Sans" w:hint="default"/>
        <w:color w:val="444444"/>
        <w:sz w:val="27"/>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6"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A6838B8"/>
    <w:multiLevelType w:val="multilevel"/>
    <w:tmpl w:val="7354D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C2953DD"/>
    <w:multiLevelType w:val="hybridMultilevel"/>
    <w:tmpl w:val="86E21D2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7"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912090B"/>
    <w:multiLevelType w:val="hybridMultilevel"/>
    <w:tmpl w:val="3790E8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3"/>
  </w:num>
  <w:num w:numId="3">
    <w:abstractNumId w:val="49"/>
  </w:num>
  <w:num w:numId="4">
    <w:abstractNumId w:val="51"/>
  </w:num>
  <w:num w:numId="5">
    <w:abstractNumId w:val="37"/>
  </w:num>
  <w:num w:numId="6">
    <w:abstractNumId w:val="35"/>
  </w:num>
  <w:num w:numId="7">
    <w:abstractNumId w:val="32"/>
  </w:num>
  <w:num w:numId="8">
    <w:abstractNumId w:val="33"/>
  </w:num>
  <w:num w:numId="9">
    <w:abstractNumId w:val="10"/>
  </w:num>
  <w:num w:numId="10">
    <w:abstractNumId w:val="36"/>
  </w:num>
  <w:num w:numId="11">
    <w:abstractNumId w:val="17"/>
  </w:num>
  <w:num w:numId="12">
    <w:abstractNumId w:val="16"/>
  </w:num>
  <w:num w:numId="13">
    <w:abstractNumId w:val="29"/>
  </w:num>
  <w:num w:numId="14">
    <w:abstractNumId w:val="8"/>
  </w:num>
  <w:num w:numId="15">
    <w:abstractNumId w:val="28"/>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18"/>
  </w:num>
  <w:num w:numId="21">
    <w:abstractNumId w:val="14"/>
  </w:num>
  <w:num w:numId="22">
    <w:abstractNumId w:val="11"/>
  </w:num>
  <w:num w:numId="23">
    <w:abstractNumId w:val="30"/>
  </w:num>
  <w:num w:numId="24">
    <w:abstractNumId w:val="19"/>
  </w:num>
  <w:num w:numId="25">
    <w:abstractNumId w:val="45"/>
  </w:num>
  <w:num w:numId="26">
    <w:abstractNumId w:val="38"/>
  </w:num>
  <w:num w:numId="27">
    <w:abstractNumId w:val="44"/>
  </w:num>
  <w:num w:numId="28">
    <w:abstractNumId w:val="20"/>
  </w:num>
  <w:num w:numId="29">
    <w:abstractNumId w:val="47"/>
  </w:num>
  <w:num w:numId="30">
    <w:abstractNumId w:val="34"/>
  </w:num>
  <w:num w:numId="31">
    <w:abstractNumId w:val="12"/>
  </w:num>
  <w:num w:numId="32">
    <w:abstractNumId w:val="48"/>
  </w:num>
  <w:num w:numId="33">
    <w:abstractNumId w:val="43"/>
  </w:num>
  <w:num w:numId="34">
    <w:abstractNumId w:val="5"/>
  </w:num>
  <w:num w:numId="35">
    <w:abstractNumId w:val="50"/>
  </w:num>
  <w:num w:numId="36">
    <w:abstractNumId w:val="46"/>
  </w:num>
  <w:num w:numId="37">
    <w:abstractNumId w:val="40"/>
  </w:num>
  <w:num w:numId="38">
    <w:abstractNumId w:val="41"/>
  </w:num>
  <w:num w:numId="39">
    <w:abstractNumId w:val="4"/>
  </w:num>
  <w:num w:numId="40">
    <w:abstractNumId w:val="6"/>
  </w:num>
  <w:num w:numId="41">
    <w:abstractNumId w:val="27"/>
  </w:num>
  <w:num w:numId="42">
    <w:abstractNumId w:val="7"/>
  </w:num>
  <w:num w:numId="43">
    <w:abstractNumId w:val="3"/>
  </w:num>
  <w:num w:numId="44">
    <w:abstractNumId w:val="42"/>
  </w:num>
  <w:num w:numId="45">
    <w:abstractNumId w:val="0"/>
  </w:num>
  <w:num w:numId="46">
    <w:abstractNumId w:val="14"/>
  </w:num>
  <w:num w:numId="47">
    <w:abstractNumId w:val="53"/>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30"/>
  </w:num>
  <w:num w:numId="51">
    <w:abstractNumId w:val="26"/>
  </w:num>
  <w:num w:numId="52">
    <w:abstractNumId w:val="21"/>
  </w:num>
  <w:num w:numId="53">
    <w:abstractNumId w:val="2"/>
  </w:num>
  <w:num w:numId="54">
    <w:abstractNumId w:val="39"/>
  </w:num>
  <w:num w:numId="55">
    <w:abstractNumId w:val="52"/>
  </w:num>
  <w:num w:numId="56">
    <w:abstractNumId w:val="22"/>
  </w:num>
  <w:num w:numId="57">
    <w:abstractNumId w:val="31"/>
  </w:num>
  <w:num w:numId="58">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7A5"/>
    <w:rsid w:val="00002C7A"/>
    <w:rsid w:val="000045B8"/>
    <w:rsid w:val="00012B16"/>
    <w:rsid w:val="00020EEC"/>
    <w:rsid w:val="00023C62"/>
    <w:rsid w:val="0002440E"/>
    <w:rsid w:val="0002759A"/>
    <w:rsid w:val="00027B1F"/>
    <w:rsid w:val="0003088B"/>
    <w:rsid w:val="000325D9"/>
    <w:rsid w:val="00033A07"/>
    <w:rsid w:val="00034209"/>
    <w:rsid w:val="000372B2"/>
    <w:rsid w:val="00040282"/>
    <w:rsid w:val="0004079F"/>
    <w:rsid w:val="00043543"/>
    <w:rsid w:val="00045B87"/>
    <w:rsid w:val="00045C07"/>
    <w:rsid w:val="00045C40"/>
    <w:rsid w:val="00046861"/>
    <w:rsid w:val="00054A07"/>
    <w:rsid w:val="00055D43"/>
    <w:rsid w:val="00056FAC"/>
    <w:rsid w:val="00057751"/>
    <w:rsid w:val="00062E39"/>
    <w:rsid w:val="00064063"/>
    <w:rsid w:val="00064EDB"/>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1D08"/>
    <w:rsid w:val="000A4240"/>
    <w:rsid w:val="000A469A"/>
    <w:rsid w:val="000A584A"/>
    <w:rsid w:val="000A6458"/>
    <w:rsid w:val="000A6BD2"/>
    <w:rsid w:val="000B6718"/>
    <w:rsid w:val="000C21C0"/>
    <w:rsid w:val="000C378F"/>
    <w:rsid w:val="000C403D"/>
    <w:rsid w:val="000C6892"/>
    <w:rsid w:val="000C6FFE"/>
    <w:rsid w:val="000D0B0D"/>
    <w:rsid w:val="000D0BB6"/>
    <w:rsid w:val="000D2ED2"/>
    <w:rsid w:val="000D3C20"/>
    <w:rsid w:val="000D6653"/>
    <w:rsid w:val="000E0D51"/>
    <w:rsid w:val="000E26B0"/>
    <w:rsid w:val="000E37C2"/>
    <w:rsid w:val="000E38C3"/>
    <w:rsid w:val="000E3AB2"/>
    <w:rsid w:val="000F1599"/>
    <w:rsid w:val="000F1769"/>
    <w:rsid w:val="000F1A97"/>
    <w:rsid w:val="000F42AE"/>
    <w:rsid w:val="000F6196"/>
    <w:rsid w:val="000F6BC3"/>
    <w:rsid w:val="0010071F"/>
    <w:rsid w:val="0010312C"/>
    <w:rsid w:val="00105026"/>
    <w:rsid w:val="0010662B"/>
    <w:rsid w:val="00106DC7"/>
    <w:rsid w:val="00112391"/>
    <w:rsid w:val="00114F52"/>
    <w:rsid w:val="0012709D"/>
    <w:rsid w:val="00130119"/>
    <w:rsid w:val="00132812"/>
    <w:rsid w:val="001347F8"/>
    <w:rsid w:val="001359EE"/>
    <w:rsid w:val="00137BB5"/>
    <w:rsid w:val="00137E05"/>
    <w:rsid w:val="001447F6"/>
    <w:rsid w:val="00147DE3"/>
    <w:rsid w:val="00150794"/>
    <w:rsid w:val="00151DA6"/>
    <w:rsid w:val="001608C4"/>
    <w:rsid w:val="0016459B"/>
    <w:rsid w:val="00164832"/>
    <w:rsid w:val="00167814"/>
    <w:rsid w:val="00171418"/>
    <w:rsid w:val="001772BF"/>
    <w:rsid w:val="001772DE"/>
    <w:rsid w:val="0019496C"/>
    <w:rsid w:val="001961CF"/>
    <w:rsid w:val="0019690B"/>
    <w:rsid w:val="001A0C4B"/>
    <w:rsid w:val="001A23EF"/>
    <w:rsid w:val="001A59BB"/>
    <w:rsid w:val="001A607E"/>
    <w:rsid w:val="001A6A51"/>
    <w:rsid w:val="001A79C4"/>
    <w:rsid w:val="001B331A"/>
    <w:rsid w:val="001B58C4"/>
    <w:rsid w:val="001C0237"/>
    <w:rsid w:val="001C0E74"/>
    <w:rsid w:val="001C4B74"/>
    <w:rsid w:val="001C4DB8"/>
    <w:rsid w:val="001C50B8"/>
    <w:rsid w:val="001D229F"/>
    <w:rsid w:val="001D344E"/>
    <w:rsid w:val="001E2EB6"/>
    <w:rsid w:val="001F4552"/>
    <w:rsid w:val="002019EB"/>
    <w:rsid w:val="00204B58"/>
    <w:rsid w:val="00205051"/>
    <w:rsid w:val="00211F65"/>
    <w:rsid w:val="00214047"/>
    <w:rsid w:val="00216563"/>
    <w:rsid w:val="0021792F"/>
    <w:rsid w:val="00220D06"/>
    <w:rsid w:val="002246A0"/>
    <w:rsid w:val="00225AA9"/>
    <w:rsid w:val="00230439"/>
    <w:rsid w:val="00230827"/>
    <w:rsid w:val="0023260B"/>
    <w:rsid w:val="00232A09"/>
    <w:rsid w:val="00235176"/>
    <w:rsid w:val="00236031"/>
    <w:rsid w:val="00236061"/>
    <w:rsid w:val="0023641F"/>
    <w:rsid w:val="0024100E"/>
    <w:rsid w:val="00241C1B"/>
    <w:rsid w:val="00242693"/>
    <w:rsid w:val="0024288B"/>
    <w:rsid w:val="00243DB0"/>
    <w:rsid w:val="00247265"/>
    <w:rsid w:val="00260663"/>
    <w:rsid w:val="002657E9"/>
    <w:rsid w:val="0026665E"/>
    <w:rsid w:val="0027147E"/>
    <w:rsid w:val="002761F4"/>
    <w:rsid w:val="002765D9"/>
    <w:rsid w:val="002775E1"/>
    <w:rsid w:val="00277979"/>
    <w:rsid w:val="00284404"/>
    <w:rsid w:val="00291ADD"/>
    <w:rsid w:val="002920DF"/>
    <w:rsid w:val="00292F3D"/>
    <w:rsid w:val="00295CA1"/>
    <w:rsid w:val="002A0E51"/>
    <w:rsid w:val="002A1A44"/>
    <w:rsid w:val="002A291A"/>
    <w:rsid w:val="002A2C54"/>
    <w:rsid w:val="002A4E2E"/>
    <w:rsid w:val="002A5604"/>
    <w:rsid w:val="002B1701"/>
    <w:rsid w:val="002B23C3"/>
    <w:rsid w:val="002B25AE"/>
    <w:rsid w:val="002B443A"/>
    <w:rsid w:val="002B5B35"/>
    <w:rsid w:val="002B7AEE"/>
    <w:rsid w:val="002C2536"/>
    <w:rsid w:val="002C256A"/>
    <w:rsid w:val="002C3031"/>
    <w:rsid w:val="002C4233"/>
    <w:rsid w:val="002C496D"/>
    <w:rsid w:val="002C4B9F"/>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0C40"/>
    <w:rsid w:val="0031350A"/>
    <w:rsid w:val="00316815"/>
    <w:rsid w:val="003168CA"/>
    <w:rsid w:val="00321255"/>
    <w:rsid w:val="0032230D"/>
    <w:rsid w:val="00322A0B"/>
    <w:rsid w:val="00325280"/>
    <w:rsid w:val="00330651"/>
    <w:rsid w:val="00330881"/>
    <w:rsid w:val="00330AEF"/>
    <w:rsid w:val="00331CD2"/>
    <w:rsid w:val="00332426"/>
    <w:rsid w:val="00335C41"/>
    <w:rsid w:val="00335FC5"/>
    <w:rsid w:val="0033771E"/>
    <w:rsid w:val="00337FEF"/>
    <w:rsid w:val="003459A2"/>
    <w:rsid w:val="00351E5B"/>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1345"/>
    <w:rsid w:val="00392F73"/>
    <w:rsid w:val="00393600"/>
    <w:rsid w:val="0039762B"/>
    <w:rsid w:val="00397B6D"/>
    <w:rsid w:val="003A0C37"/>
    <w:rsid w:val="003A0C48"/>
    <w:rsid w:val="003A1B6B"/>
    <w:rsid w:val="003A46C0"/>
    <w:rsid w:val="003A600E"/>
    <w:rsid w:val="003A6322"/>
    <w:rsid w:val="003A6513"/>
    <w:rsid w:val="003B1455"/>
    <w:rsid w:val="003B16C7"/>
    <w:rsid w:val="003B1D72"/>
    <w:rsid w:val="003B2385"/>
    <w:rsid w:val="003B29BC"/>
    <w:rsid w:val="003B3115"/>
    <w:rsid w:val="003C19F1"/>
    <w:rsid w:val="003C3C67"/>
    <w:rsid w:val="003C4186"/>
    <w:rsid w:val="003C6185"/>
    <w:rsid w:val="003C6DDC"/>
    <w:rsid w:val="003D0709"/>
    <w:rsid w:val="003D0D2D"/>
    <w:rsid w:val="003D1885"/>
    <w:rsid w:val="003D1BC0"/>
    <w:rsid w:val="003D20F1"/>
    <w:rsid w:val="003D4710"/>
    <w:rsid w:val="003E16D7"/>
    <w:rsid w:val="003E197E"/>
    <w:rsid w:val="003E4B70"/>
    <w:rsid w:val="003E54CF"/>
    <w:rsid w:val="003E5FBA"/>
    <w:rsid w:val="003F1233"/>
    <w:rsid w:val="003F19B8"/>
    <w:rsid w:val="003F57C0"/>
    <w:rsid w:val="003F67A4"/>
    <w:rsid w:val="003F6B05"/>
    <w:rsid w:val="00400786"/>
    <w:rsid w:val="00401FDA"/>
    <w:rsid w:val="004046F0"/>
    <w:rsid w:val="00404EA7"/>
    <w:rsid w:val="0040668F"/>
    <w:rsid w:val="00411EF7"/>
    <w:rsid w:val="00412677"/>
    <w:rsid w:val="00425160"/>
    <w:rsid w:val="00430DE3"/>
    <w:rsid w:val="004348AE"/>
    <w:rsid w:val="004376C0"/>
    <w:rsid w:val="00437A4B"/>
    <w:rsid w:val="0044223A"/>
    <w:rsid w:val="00450B67"/>
    <w:rsid w:val="00450B7B"/>
    <w:rsid w:val="00451851"/>
    <w:rsid w:val="0045189A"/>
    <w:rsid w:val="00453343"/>
    <w:rsid w:val="004538C3"/>
    <w:rsid w:val="004608B9"/>
    <w:rsid w:val="00463B55"/>
    <w:rsid w:val="00465947"/>
    <w:rsid w:val="004667B1"/>
    <w:rsid w:val="00467F66"/>
    <w:rsid w:val="00470461"/>
    <w:rsid w:val="00470BB1"/>
    <w:rsid w:val="00473153"/>
    <w:rsid w:val="0047350F"/>
    <w:rsid w:val="0047370C"/>
    <w:rsid w:val="004743AF"/>
    <w:rsid w:val="00474E75"/>
    <w:rsid w:val="00482C17"/>
    <w:rsid w:val="00484CE3"/>
    <w:rsid w:val="004911B4"/>
    <w:rsid w:val="0049196A"/>
    <w:rsid w:val="004923DA"/>
    <w:rsid w:val="00492EEB"/>
    <w:rsid w:val="00493434"/>
    <w:rsid w:val="004968E2"/>
    <w:rsid w:val="004A2A49"/>
    <w:rsid w:val="004A5A64"/>
    <w:rsid w:val="004B13C0"/>
    <w:rsid w:val="004B4C7F"/>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18A0"/>
    <w:rsid w:val="0051287D"/>
    <w:rsid w:val="00513999"/>
    <w:rsid w:val="00513C7D"/>
    <w:rsid w:val="00521123"/>
    <w:rsid w:val="00521221"/>
    <w:rsid w:val="0052250B"/>
    <w:rsid w:val="0052452C"/>
    <w:rsid w:val="005305C6"/>
    <w:rsid w:val="0053419D"/>
    <w:rsid w:val="00540EEC"/>
    <w:rsid w:val="005414F4"/>
    <w:rsid w:val="00546187"/>
    <w:rsid w:val="00547B11"/>
    <w:rsid w:val="00557454"/>
    <w:rsid w:val="00557D77"/>
    <w:rsid w:val="00562EAA"/>
    <w:rsid w:val="00563B58"/>
    <w:rsid w:val="005640C4"/>
    <w:rsid w:val="0056684C"/>
    <w:rsid w:val="00571AFD"/>
    <w:rsid w:val="00574A0C"/>
    <w:rsid w:val="0057780F"/>
    <w:rsid w:val="00581E0A"/>
    <w:rsid w:val="00586200"/>
    <w:rsid w:val="0058678B"/>
    <w:rsid w:val="00586D89"/>
    <w:rsid w:val="005877C8"/>
    <w:rsid w:val="00587923"/>
    <w:rsid w:val="00592703"/>
    <w:rsid w:val="00594F9F"/>
    <w:rsid w:val="005A008A"/>
    <w:rsid w:val="005A1B4C"/>
    <w:rsid w:val="005A37B9"/>
    <w:rsid w:val="005A545C"/>
    <w:rsid w:val="005B271A"/>
    <w:rsid w:val="005B3A2D"/>
    <w:rsid w:val="005C1567"/>
    <w:rsid w:val="005C28D3"/>
    <w:rsid w:val="005C446F"/>
    <w:rsid w:val="005C6CE5"/>
    <w:rsid w:val="005D3F07"/>
    <w:rsid w:val="005D4A1E"/>
    <w:rsid w:val="005D4F72"/>
    <w:rsid w:val="005D58A1"/>
    <w:rsid w:val="005E13EA"/>
    <w:rsid w:val="005E17F1"/>
    <w:rsid w:val="005F4AD6"/>
    <w:rsid w:val="005F64AA"/>
    <w:rsid w:val="005F7851"/>
    <w:rsid w:val="00606E27"/>
    <w:rsid w:val="006108C9"/>
    <w:rsid w:val="00614DF7"/>
    <w:rsid w:val="0061700C"/>
    <w:rsid w:val="006179BB"/>
    <w:rsid w:val="0062158D"/>
    <w:rsid w:val="006223FD"/>
    <w:rsid w:val="006326D1"/>
    <w:rsid w:val="00632E0A"/>
    <w:rsid w:val="00633165"/>
    <w:rsid w:val="006447DE"/>
    <w:rsid w:val="00644889"/>
    <w:rsid w:val="0065276E"/>
    <w:rsid w:val="00653E58"/>
    <w:rsid w:val="00654329"/>
    <w:rsid w:val="00654CEC"/>
    <w:rsid w:val="00655507"/>
    <w:rsid w:val="006579FD"/>
    <w:rsid w:val="006635E3"/>
    <w:rsid w:val="00664C94"/>
    <w:rsid w:val="006669F3"/>
    <w:rsid w:val="006712A7"/>
    <w:rsid w:val="00672CED"/>
    <w:rsid w:val="00674FC2"/>
    <w:rsid w:val="00676E35"/>
    <w:rsid w:val="00677E42"/>
    <w:rsid w:val="00681DDF"/>
    <w:rsid w:val="00682216"/>
    <w:rsid w:val="00682334"/>
    <w:rsid w:val="00684732"/>
    <w:rsid w:val="00684B16"/>
    <w:rsid w:val="00687016"/>
    <w:rsid w:val="006872A0"/>
    <w:rsid w:val="006954FA"/>
    <w:rsid w:val="00695B37"/>
    <w:rsid w:val="0069625A"/>
    <w:rsid w:val="00696A88"/>
    <w:rsid w:val="00696F65"/>
    <w:rsid w:val="00697572"/>
    <w:rsid w:val="006B4496"/>
    <w:rsid w:val="006B5E67"/>
    <w:rsid w:val="006B6612"/>
    <w:rsid w:val="006C2EB5"/>
    <w:rsid w:val="006D18A3"/>
    <w:rsid w:val="006D1B49"/>
    <w:rsid w:val="006D5922"/>
    <w:rsid w:val="006D5970"/>
    <w:rsid w:val="006E0181"/>
    <w:rsid w:val="006E481E"/>
    <w:rsid w:val="006E7109"/>
    <w:rsid w:val="006E795F"/>
    <w:rsid w:val="006F0862"/>
    <w:rsid w:val="006F1438"/>
    <w:rsid w:val="006F2A9E"/>
    <w:rsid w:val="006F5ED3"/>
    <w:rsid w:val="00700249"/>
    <w:rsid w:val="007069CD"/>
    <w:rsid w:val="00706BB5"/>
    <w:rsid w:val="0071231A"/>
    <w:rsid w:val="00712E90"/>
    <w:rsid w:val="00713B7E"/>
    <w:rsid w:val="007179F2"/>
    <w:rsid w:val="0072678F"/>
    <w:rsid w:val="007276E5"/>
    <w:rsid w:val="00727C4C"/>
    <w:rsid w:val="00732089"/>
    <w:rsid w:val="00734809"/>
    <w:rsid w:val="0073714E"/>
    <w:rsid w:val="007374EF"/>
    <w:rsid w:val="007406E1"/>
    <w:rsid w:val="00743E40"/>
    <w:rsid w:val="00745016"/>
    <w:rsid w:val="0075031F"/>
    <w:rsid w:val="00751263"/>
    <w:rsid w:val="00751308"/>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93B"/>
    <w:rsid w:val="007B1BFD"/>
    <w:rsid w:val="007B7191"/>
    <w:rsid w:val="007B7D57"/>
    <w:rsid w:val="007C1D94"/>
    <w:rsid w:val="007C556F"/>
    <w:rsid w:val="007C5ABE"/>
    <w:rsid w:val="007C6A87"/>
    <w:rsid w:val="007D0A07"/>
    <w:rsid w:val="007D0F11"/>
    <w:rsid w:val="007D133D"/>
    <w:rsid w:val="007D3EB4"/>
    <w:rsid w:val="007D3F16"/>
    <w:rsid w:val="007E509C"/>
    <w:rsid w:val="007E58A0"/>
    <w:rsid w:val="007F10BD"/>
    <w:rsid w:val="007F312E"/>
    <w:rsid w:val="007F3F7E"/>
    <w:rsid w:val="007F4BA4"/>
    <w:rsid w:val="00806CA1"/>
    <w:rsid w:val="008079EF"/>
    <w:rsid w:val="00813C0C"/>
    <w:rsid w:val="00813CEC"/>
    <w:rsid w:val="0081534C"/>
    <w:rsid w:val="00816CE7"/>
    <w:rsid w:val="008171E4"/>
    <w:rsid w:val="008208EA"/>
    <w:rsid w:val="00822B44"/>
    <w:rsid w:val="00824E67"/>
    <w:rsid w:val="00825368"/>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2D69"/>
    <w:rsid w:val="008550A1"/>
    <w:rsid w:val="0085767D"/>
    <w:rsid w:val="00861038"/>
    <w:rsid w:val="00861103"/>
    <w:rsid w:val="00861443"/>
    <w:rsid w:val="00865B58"/>
    <w:rsid w:val="00866B50"/>
    <w:rsid w:val="00867A63"/>
    <w:rsid w:val="008708F1"/>
    <w:rsid w:val="00871960"/>
    <w:rsid w:val="0087369F"/>
    <w:rsid w:val="00874113"/>
    <w:rsid w:val="00880539"/>
    <w:rsid w:val="00880815"/>
    <w:rsid w:val="008848D1"/>
    <w:rsid w:val="008859E8"/>
    <w:rsid w:val="0088737B"/>
    <w:rsid w:val="00891078"/>
    <w:rsid w:val="00892716"/>
    <w:rsid w:val="00893067"/>
    <w:rsid w:val="008933DE"/>
    <w:rsid w:val="00895FCE"/>
    <w:rsid w:val="00897F3E"/>
    <w:rsid w:val="008A21B4"/>
    <w:rsid w:val="008A2892"/>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3B9"/>
    <w:rsid w:val="008E55EF"/>
    <w:rsid w:val="008E5A35"/>
    <w:rsid w:val="008F127E"/>
    <w:rsid w:val="008F32D9"/>
    <w:rsid w:val="008F4031"/>
    <w:rsid w:val="00902A65"/>
    <w:rsid w:val="00902B71"/>
    <w:rsid w:val="00903932"/>
    <w:rsid w:val="009079BD"/>
    <w:rsid w:val="00912BD9"/>
    <w:rsid w:val="00916FB2"/>
    <w:rsid w:val="00920E5B"/>
    <w:rsid w:val="00922CCA"/>
    <w:rsid w:val="00924406"/>
    <w:rsid w:val="00926436"/>
    <w:rsid w:val="00926C53"/>
    <w:rsid w:val="0093018C"/>
    <w:rsid w:val="0093218B"/>
    <w:rsid w:val="0094495F"/>
    <w:rsid w:val="0094523C"/>
    <w:rsid w:val="00945BB9"/>
    <w:rsid w:val="009544C0"/>
    <w:rsid w:val="00954FA4"/>
    <w:rsid w:val="00956AE9"/>
    <w:rsid w:val="009572C1"/>
    <w:rsid w:val="00962D4D"/>
    <w:rsid w:val="00964CC6"/>
    <w:rsid w:val="00967BFA"/>
    <w:rsid w:val="0098262C"/>
    <w:rsid w:val="0098427C"/>
    <w:rsid w:val="0098683A"/>
    <w:rsid w:val="00986B43"/>
    <w:rsid w:val="00986C0B"/>
    <w:rsid w:val="00986D46"/>
    <w:rsid w:val="00991FDA"/>
    <w:rsid w:val="00992ACA"/>
    <w:rsid w:val="009A3D71"/>
    <w:rsid w:val="009A3E4F"/>
    <w:rsid w:val="009A43F4"/>
    <w:rsid w:val="009A5F3B"/>
    <w:rsid w:val="009A5F79"/>
    <w:rsid w:val="009A6F87"/>
    <w:rsid w:val="009B0B61"/>
    <w:rsid w:val="009B28C0"/>
    <w:rsid w:val="009B3178"/>
    <w:rsid w:val="009B3E46"/>
    <w:rsid w:val="009B7136"/>
    <w:rsid w:val="009C05D6"/>
    <w:rsid w:val="009C337F"/>
    <w:rsid w:val="009C53E7"/>
    <w:rsid w:val="009C6092"/>
    <w:rsid w:val="009C7342"/>
    <w:rsid w:val="009D2B2B"/>
    <w:rsid w:val="009D4365"/>
    <w:rsid w:val="009D477B"/>
    <w:rsid w:val="009D4E3B"/>
    <w:rsid w:val="009D59C2"/>
    <w:rsid w:val="009D7BC9"/>
    <w:rsid w:val="009E122F"/>
    <w:rsid w:val="009E1982"/>
    <w:rsid w:val="009E2079"/>
    <w:rsid w:val="009E2E44"/>
    <w:rsid w:val="009E4D2C"/>
    <w:rsid w:val="009E608E"/>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9A"/>
    <w:rsid w:val="00A303B9"/>
    <w:rsid w:val="00A37416"/>
    <w:rsid w:val="00A40ED6"/>
    <w:rsid w:val="00A42C35"/>
    <w:rsid w:val="00A47621"/>
    <w:rsid w:val="00A479CD"/>
    <w:rsid w:val="00A50CFC"/>
    <w:rsid w:val="00A53687"/>
    <w:rsid w:val="00A54D67"/>
    <w:rsid w:val="00A55A3F"/>
    <w:rsid w:val="00A5656A"/>
    <w:rsid w:val="00A60103"/>
    <w:rsid w:val="00A62EF2"/>
    <w:rsid w:val="00A652F6"/>
    <w:rsid w:val="00A65861"/>
    <w:rsid w:val="00A71BED"/>
    <w:rsid w:val="00A71F88"/>
    <w:rsid w:val="00A732EA"/>
    <w:rsid w:val="00A7489E"/>
    <w:rsid w:val="00A8015F"/>
    <w:rsid w:val="00A85039"/>
    <w:rsid w:val="00A906AA"/>
    <w:rsid w:val="00A9236A"/>
    <w:rsid w:val="00A94C5E"/>
    <w:rsid w:val="00A9563D"/>
    <w:rsid w:val="00AA252C"/>
    <w:rsid w:val="00AA3CA0"/>
    <w:rsid w:val="00AA666E"/>
    <w:rsid w:val="00AA7960"/>
    <w:rsid w:val="00AB17BE"/>
    <w:rsid w:val="00AB1E51"/>
    <w:rsid w:val="00AB3601"/>
    <w:rsid w:val="00AB51B2"/>
    <w:rsid w:val="00AB5518"/>
    <w:rsid w:val="00AC0AFA"/>
    <w:rsid w:val="00AC3A0E"/>
    <w:rsid w:val="00AC4A04"/>
    <w:rsid w:val="00AC5679"/>
    <w:rsid w:val="00AD336F"/>
    <w:rsid w:val="00AD6839"/>
    <w:rsid w:val="00AE134C"/>
    <w:rsid w:val="00AE1868"/>
    <w:rsid w:val="00AE1B1E"/>
    <w:rsid w:val="00AE2564"/>
    <w:rsid w:val="00AE301F"/>
    <w:rsid w:val="00AE3302"/>
    <w:rsid w:val="00AE5BA6"/>
    <w:rsid w:val="00AE6231"/>
    <w:rsid w:val="00AE7077"/>
    <w:rsid w:val="00AF57BF"/>
    <w:rsid w:val="00AF61C2"/>
    <w:rsid w:val="00AF6CC6"/>
    <w:rsid w:val="00B0296A"/>
    <w:rsid w:val="00B07E79"/>
    <w:rsid w:val="00B12295"/>
    <w:rsid w:val="00B137BE"/>
    <w:rsid w:val="00B15998"/>
    <w:rsid w:val="00B17FA0"/>
    <w:rsid w:val="00B2292C"/>
    <w:rsid w:val="00B22C3C"/>
    <w:rsid w:val="00B24344"/>
    <w:rsid w:val="00B26236"/>
    <w:rsid w:val="00B26769"/>
    <w:rsid w:val="00B2754B"/>
    <w:rsid w:val="00B31C91"/>
    <w:rsid w:val="00B3747F"/>
    <w:rsid w:val="00B42E76"/>
    <w:rsid w:val="00B43194"/>
    <w:rsid w:val="00B436BF"/>
    <w:rsid w:val="00B47734"/>
    <w:rsid w:val="00B50FBA"/>
    <w:rsid w:val="00B558EB"/>
    <w:rsid w:val="00B577D3"/>
    <w:rsid w:val="00B60466"/>
    <w:rsid w:val="00B6548F"/>
    <w:rsid w:val="00B6798F"/>
    <w:rsid w:val="00B71A32"/>
    <w:rsid w:val="00B7502A"/>
    <w:rsid w:val="00B77305"/>
    <w:rsid w:val="00B774BD"/>
    <w:rsid w:val="00B77F55"/>
    <w:rsid w:val="00B82CC2"/>
    <w:rsid w:val="00B84A89"/>
    <w:rsid w:val="00B9256C"/>
    <w:rsid w:val="00B92BEF"/>
    <w:rsid w:val="00B94443"/>
    <w:rsid w:val="00B954D7"/>
    <w:rsid w:val="00B95E5C"/>
    <w:rsid w:val="00B9689A"/>
    <w:rsid w:val="00B97056"/>
    <w:rsid w:val="00BA0E53"/>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093D"/>
    <w:rsid w:val="00BD30B1"/>
    <w:rsid w:val="00BE0F7B"/>
    <w:rsid w:val="00BE10C2"/>
    <w:rsid w:val="00BF0D6C"/>
    <w:rsid w:val="00BF1659"/>
    <w:rsid w:val="00BF5088"/>
    <w:rsid w:val="00C01D14"/>
    <w:rsid w:val="00C01D97"/>
    <w:rsid w:val="00C025B4"/>
    <w:rsid w:val="00C029EC"/>
    <w:rsid w:val="00C02CF3"/>
    <w:rsid w:val="00C07924"/>
    <w:rsid w:val="00C13146"/>
    <w:rsid w:val="00C15059"/>
    <w:rsid w:val="00C161FD"/>
    <w:rsid w:val="00C17C9F"/>
    <w:rsid w:val="00C231C7"/>
    <w:rsid w:val="00C23F17"/>
    <w:rsid w:val="00C246F2"/>
    <w:rsid w:val="00C26D0D"/>
    <w:rsid w:val="00C27C95"/>
    <w:rsid w:val="00C300D2"/>
    <w:rsid w:val="00C3270F"/>
    <w:rsid w:val="00C3278B"/>
    <w:rsid w:val="00C33375"/>
    <w:rsid w:val="00C3390C"/>
    <w:rsid w:val="00C34C23"/>
    <w:rsid w:val="00C368FA"/>
    <w:rsid w:val="00C42005"/>
    <w:rsid w:val="00C4664D"/>
    <w:rsid w:val="00C472AA"/>
    <w:rsid w:val="00C50A05"/>
    <w:rsid w:val="00C54AED"/>
    <w:rsid w:val="00C5555D"/>
    <w:rsid w:val="00C555FC"/>
    <w:rsid w:val="00C55E9B"/>
    <w:rsid w:val="00C56D09"/>
    <w:rsid w:val="00C57D24"/>
    <w:rsid w:val="00C604D6"/>
    <w:rsid w:val="00C63CAB"/>
    <w:rsid w:val="00C63D00"/>
    <w:rsid w:val="00C6441B"/>
    <w:rsid w:val="00C65921"/>
    <w:rsid w:val="00C65DC2"/>
    <w:rsid w:val="00C7108B"/>
    <w:rsid w:val="00C75883"/>
    <w:rsid w:val="00C77FA5"/>
    <w:rsid w:val="00C8089F"/>
    <w:rsid w:val="00C835FE"/>
    <w:rsid w:val="00C836CC"/>
    <w:rsid w:val="00C83A71"/>
    <w:rsid w:val="00C852D6"/>
    <w:rsid w:val="00C873D0"/>
    <w:rsid w:val="00C87A74"/>
    <w:rsid w:val="00C92C71"/>
    <w:rsid w:val="00C93F8F"/>
    <w:rsid w:val="00CA0894"/>
    <w:rsid w:val="00CA3593"/>
    <w:rsid w:val="00CA5726"/>
    <w:rsid w:val="00CA7E6A"/>
    <w:rsid w:val="00CB258E"/>
    <w:rsid w:val="00CB3C8F"/>
    <w:rsid w:val="00CC02F1"/>
    <w:rsid w:val="00CC1122"/>
    <w:rsid w:val="00CC11A6"/>
    <w:rsid w:val="00CC135E"/>
    <w:rsid w:val="00CC6543"/>
    <w:rsid w:val="00CC7226"/>
    <w:rsid w:val="00CD0735"/>
    <w:rsid w:val="00CD45E3"/>
    <w:rsid w:val="00CD4771"/>
    <w:rsid w:val="00CD5089"/>
    <w:rsid w:val="00CD5D3F"/>
    <w:rsid w:val="00CD7E1F"/>
    <w:rsid w:val="00CE3674"/>
    <w:rsid w:val="00CE4BC4"/>
    <w:rsid w:val="00CE7DA2"/>
    <w:rsid w:val="00CF0EA5"/>
    <w:rsid w:val="00CF2F8A"/>
    <w:rsid w:val="00CF3DB3"/>
    <w:rsid w:val="00D0274B"/>
    <w:rsid w:val="00D0503D"/>
    <w:rsid w:val="00D052BC"/>
    <w:rsid w:val="00D07026"/>
    <w:rsid w:val="00D14123"/>
    <w:rsid w:val="00D146AE"/>
    <w:rsid w:val="00D20281"/>
    <w:rsid w:val="00D22C8F"/>
    <w:rsid w:val="00D260DB"/>
    <w:rsid w:val="00D3203C"/>
    <w:rsid w:val="00D33491"/>
    <w:rsid w:val="00D3442D"/>
    <w:rsid w:val="00D36F00"/>
    <w:rsid w:val="00D44B67"/>
    <w:rsid w:val="00D44F8E"/>
    <w:rsid w:val="00D467AD"/>
    <w:rsid w:val="00D51FD5"/>
    <w:rsid w:val="00D55DE0"/>
    <w:rsid w:val="00D607EF"/>
    <w:rsid w:val="00D60F88"/>
    <w:rsid w:val="00D646BD"/>
    <w:rsid w:val="00D65558"/>
    <w:rsid w:val="00D71201"/>
    <w:rsid w:val="00D720C7"/>
    <w:rsid w:val="00D772DA"/>
    <w:rsid w:val="00D84841"/>
    <w:rsid w:val="00D876E6"/>
    <w:rsid w:val="00D90958"/>
    <w:rsid w:val="00D95E44"/>
    <w:rsid w:val="00D969BC"/>
    <w:rsid w:val="00D979B0"/>
    <w:rsid w:val="00DA1025"/>
    <w:rsid w:val="00DA22EC"/>
    <w:rsid w:val="00DA5682"/>
    <w:rsid w:val="00DA5860"/>
    <w:rsid w:val="00DA5C0C"/>
    <w:rsid w:val="00DB2767"/>
    <w:rsid w:val="00DB5976"/>
    <w:rsid w:val="00DC1B10"/>
    <w:rsid w:val="00DC2924"/>
    <w:rsid w:val="00DC4729"/>
    <w:rsid w:val="00DD31C5"/>
    <w:rsid w:val="00DD5020"/>
    <w:rsid w:val="00DD63BE"/>
    <w:rsid w:val="00DE4296"/>
    <w:rsid w:val="00DF2469"/>
    <w:rsid w:val="00DF38C4"/>
    <w:rsid w:val="00DF7899"/>
    <w:rsid w:val="00E0524C"/>
    <w:rsid w:val="00E12D08"/>
    <w:rsid w:val="00E13C9B"/>
    <w:rsid w:val="00E15751"/>
    <w:rsid w:val="00E17160"/>
    <w:rsid w:val="00E17D41"/>
    <w:rsid w:val="00E20565"/>
    <w:rsid w:val="00E231D1"/>
    <w:rsid w:val="00E322ED"/>
    <w:rsid w:val="00E3288D"/>
    <w:rsid w:val="00E33EE1"/>
    <w:rsid w:val="00E35112"/>
    <w:rsid w:val="00E35BEC"/>
    <w:rsid w:val="00E41A6A"/>
    <w:rsid w:val="00E50821"/>
    <w:rsid w:val="00E51F91"/>
    <w:rsid w:val="00E5498A"/>
    <w:rsid w:val="00E559CE"/>
    <w:rsid w:val="00E576E2"/>
    <w:rsid w:val="00E60F42"/>
    <w:rsid w:val="00E6746C"/>
    <w:rsid w:val="00E7086E"/>
    <w:rsid w:val="00E71248"/>
    <w:rsid w:val="00E73C41"/>
    <w:rsid w:val="00E75911"/>
    <w:rsid w:val="00E7598F"/>
    <w:rsid w:val="00E76515"/>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6A56"/>
    <w:rsid w:val="00EA7ADF"/>
    <w:rsid w:val="00EB2173"/>
    <w:rsid w:val="00EB62E6"/>
    <w:rsid w:val="00EB695F"/>
    <w:rsid w:val="00EB6DF8"/>
    <w:rsid w:val="00EC3A85"/>
    <w:rsid w:val="00EC4B89"/>
    <w:rsid w:val="00EC59A5"/>
    <w:rsid w:val="00EC6E15"/>
    <w:rsid w:val="00ED1B30"/>
    <w:rsid w:val="00ED5D03"/>
    <w:rsid w:val="00EE01ED"/>
    <w:rsid w:val="00EE1AC1"/>
    <w:rsid w:val="00EE39D6"/>
    <w:rsid w:val="00EE52AD"/>
    <w:rsid w:val="00EE5BC3"/>
    <w:rsid w:val="00EE6FAB"/>
    <w:rsid w:val="00EF328C"/>
    <w:rsid w:val="00EF6788"/>
    <w:rsid w:val="00EF68BB"/>
    <w:rsid w:val="00F01F92"/>
    <w:rsid w:val="00F030D4"/>
    <w:rsid w:val="00F04053"/>
    <w:rsid w:val="00F06573"/>
    <w:rsid w:val="00F10A08"/>
    <w:rsid w:val="00F15354"/>
    <w:rsid w:val="00F22AC5"/>
    <w:rsid w:val="00F254D1"/>
    <w:rsid w:val="00F3207B"/>
    <w:rsid w:val="00F32B82"/>
    <w:rsid w:val="00F34C86"/>
    <w:rsid w:val="00F4043E"/>
    <w:rsid w:val="00F41795"/>
    <w:rsid w:val="00F417B2"/>
    <w:rsid w:val="00F41BBC"/>
    <w:rsid w:val="00F444F0"/>
    <w:rsid w:val="00F446FF"/>
    <w:rsid w:val="00F45521"/>
    <w:rsid w:val="00F50847"/>
    <w:rsid w:val="00F53F27"/>
    <w:rsid w:val="00F546D1"/>
    <w:rsid w:val="00F60281"/>
    <w:rsid w:val="00F62CE6"/>
    <w:rsid w:val="00F64B2B"/>
    <w:rsid w:val="00F66272"/>
    <w:rsid w:val="00F709C0"/>
    <w:rsid w:val="00F81FEC"/>
    <w:rsid w:val="00F927A1"/>
    <w:rsid w:val="00F92E4D"/>
    <w:rsid w:val="00F95D08"/>
    <w:rsid w:val="00FA23BD"/>
    <w:rsid w:val="00FA3764"/>
    <w:rsid w:val="00FA41C7"/>
    <w:rsid w:val="00FA4A79"/>
    <w:rsid w:val="00FA56ED"/>
    <w:rsid w:val="00FA765D"/>
    <w:rsid w:val="00FB05DD"/>
    <w:rsid w:val="00FB0F7C"/>
    <w:rsid w:val="00FB24EA"/>
    <w:rsid w:val="00FB5FA6"/>
    <w:rsid w:val="00FC0334"/>
    <w:rsid w:val="00FC1310"/>
    <w:rsid w:val="00FC2FF3"/>
    <w:rsid w:val="00FC3263"/>
    <w:rsid w:val="00FC45BA"/>
    <w:rsid w:val="00FC51F9"/>
    <w:rsid w:val="00FC5B40"/>
    <w:rsid w:val="00FC5FF8"/>
    <w:rsid w:val="00FD271B"/>
    <w:rsid w:val="00FD3D7C"/>
    <w:rsid w:val="00FD4F8F"/>
    <w:rsid w:val="00FE0C16"/>
    <w:rsid w:val="00FE14B1"/>
    <w:rsid w:val="00FE4D97"/>
    <w:rsid w:val="00FE5F90"/>
    <w:rsid w:val="00FF0070"/>
    <w:rsid w:val="00FF07C3"/>
    <w:rsid w:val="00FF0E90"/>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0027A5"/>
    <w:pPr>
      <w:overflowPunct/>
      <w:autoSpaceDE/>
      <w:autoSpaceDN/>
      <w:adjustRightInd/>
      <w:ind w:left="720"/>
      <w:contextualSpacing/>
      <w:textAlignment w:val="auto"/>
    </w:pPr>
    <w:rPr>
      <w:rFonts w:asciiTheme="minorHAnsi" w:eastAsiaTheme="minorHAnsi" w:hAnsiTheme="minorHAnsi" w:cstheme="minorBidi"/>
      <w:color w:val="auto"/>
      <w:sz w:val="22"/>
      <w:szCs w:val="22"/>
      <w:lang w:eastAsia="en-US"/>
    </w:rPr>
  </w:style>
  <w:style w:type="paragraph" w:styleId="NormalWeb">
    <w:name w:val="Normal (Web)"/>
    <w:basedOn w:val="Normal"/>
    <w:uiPriority w:val="99"/>
    <w:semiHidden/>
    <w:unhideWhenUsed/>
    <w:rsid w:val="002B25A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0C21C0"/>
    <w:rPr>
      <w:b/>
      <w:bCs/>
    </w:rPr>
  </w:style>
  <w:style w:type="character" w:styleId="FollowedHyperlink">
    <w:name w:val="FollowedHyperlink"/>
    <w:basedOn w:val="DefaultParagraphFont"/>
    <w:uiPriority w:val="99"/>
    <w:semiHidden/>
    <w:unhideWhenUsed/>
    <w:rsid w:val="000A6BD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23096946">
      <w:bodyDiv w:val="1"/>
      <w:marLeft w:val="0"/>
      <w:marRight w:val="0"/>
      <w:marTop w:val="0"/>
      <w:marBottom w:val="0"/>
      <w:divBdr>
        <w:top w:val="none" w:sz="0" w:space="0" w:color="auto"/>
        <w:left w:val="none" w:sz="0" w:space="0" w:color="auto"/>
        <w:bottom w:val="none" w:sz="0" w:space="0" w:color="auto"/>
        <w:right w:val="none" w:sz="0" w:space="0" w:color="auto"/>
      </w:divBdr>
    </w:div>
    <w:div w:id="113987883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92560651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8156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49D72371-E3E8-4A20-89C0-7CA0E174A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241</TotalTime>
  <Pages>8</Pages>
  <Words>3708</Words>
  <Characters>21141</Characters>
  <Application>Microsoft Office Word</Application>
  <DocSecurity>0</DocSecurity>
  <Lines>176</Lines>
  <Paragraphs>49</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NORTH AND WEST WALES PQ1 PROGRAMME</vt:lpstr>
      <vt:lpstr>NORTH AND WEST WALES PQ1 PROGRAMME</vt:lpstr>
    </vt:vector>
  </TitlesOfParts>
  <Company>Powys County Council</Company>
  <LinksUpToDate>false</LinksUpToDate>
  <CharactersWithSpaces>24800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Alisha Marie Jones (PLANT)</cp:lastModifiedBy>
  <cp:revision>10</cp:revision>
  <cp:lastPrinted>2020-02-11T19:20:00Z</cp:lastPrinted>
  <dcterms:created xsi:type="dcterms:W3CDTF">2023-02-26T16:09:00Z</dcterms:created>
  <dcterms:modified xsi:type="dcterms:W3CDTF">2023-02-27T10:58:00Z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