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07BEDB0F" w:rsidR="008375B5" w:rsidRPr="007F63C4" w:rsidRDefault="008375B5" w:rsidP="008375B5">
      <w:pPr>
        <w:spacing w:line="360" w:lineRule="auto"/>
        <w:rPr>
          <w:rStyle w:val="Strong"/>
          <w:rFonts w:ascii="Arial" w:hAnsi="Arial" w:cs="Arial"/>
          <w:color w:val="1D2125"/>
          <w:sz w:val="32"/>
          <w:szCs w:val="32"/>
        </w:rPr>
      </w:pPr>
      <w:r w:rsidRPr="007F63C4">
        <w:rPr>
          <w:rStyle w:val="Strong"/>
          <w:rFonts w:ascii="Arial" w:hAnsi="Arial" w:cs="Arial"/>
          <w:color w:val="1D2125"/>
          <w:sz w:val="32"/>
          <w:szCs w:val="32"/>
        </w:rPr>
        <w:t>Student name:</w:t>
      </w:r>
      <w:r w:rsidR="00B842D3" w:rsidRPr="007F63C4">
        <w:rPr>
          <w:rStyle w:val="Strong"/>
          <w:rFonts w:ascii="Arial" w:hAnsi="Arial" w:cs="Arial"/>
          <w:color w:val="1D2125"/>
          <w:sz w:val="32"/>
          <w:szCs w:val="32"/>
        </w:rPr>
        <w:t xml:space="preserve"> Katarzyna Gluba</w:t>
      </w:r>
    </w:p>
    <w:p w14:paraId="227AC82E" w14:textId="4EBB8468" w:rsidR="008375B5" w:rsidRPr="007F63C4" w:rsidRDefault="008375B5" w:rsidP="008375B5">
      <w:pPr>
        <w:spacing w:line="360" w:lineRule="auto"/>
        <w:rPr>
          <w:rStyle w:val="Strong"/>
          <w:rFonts w:ascii="Arial" w:hAnsi="Arial" w:cs="Arial"/>
          <w:color w:val="1D2125"/>
          <w:sz w:val="32"/>
          <w:szCs w:val="32"/>
        </w:rPr>
      </w:pPr>
      <w:r w:rsidRPr="007F63C4">
        <w:rPr>
          <w:rStyle w:val="Strong"/>
          <w:rFonts w:ascii="Arial" w:hAnsi="Arial" w:cs="Arial"/>
          <w:color w:val="1D2125"/>
          <w:sz w:val="32"/>
          <w:szCs w:val="32"/>
        </w:rPr>
        <w:t>Student number:</w:t>
      </w:r>
      <w:r w:rsidR="00B842D3" w:rsidRPr="007F63C4">
        <w:rPr>
          <w:rStyle w:val="Strong"/>
          <w:rFonts w:ascii="Arial" w:hAnsi="Arial" w:cs="Arial"/>
          <w:color w:val="1D2125"/>
          <w:sz w:val="32"/>
          <w:szCs w:val="32"/>
        </w:rPr>
        <w:t xml:space="preserve"> 2316845</w:t>
      </w:r>
    </w:p>
    <w:p w14:paraId="5B5E64AD" w14:textId="0B5FD44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B842D3">
        <w:rPr>
          <w:rStyle w:val="Strong"/>
          <w:rFonts w:ascii="Arial" w:hAnsi="Arial" w:cs="Arial"/>
          <w:color w:val="1D2125"/>
          <w:sz w:val="32"/>
          <w:szCs w:val="32"/>
        </w:rPr>
        <w:t xml:space="preserve">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55E75273" w:rsidR="008375B5" w:rsidRPr="00ED25A8" w:rsidRDefault="006A498C" w:rsidP="008375B5">
      <w:pPr>
        <w:spacing w:line="360" w:lineRule="auto"/>
        <w:rPr>
          <w:rFonts w:ascii="Arial" w:hAnsi="Arial" w:cs="Arial"/>
          <w:b/>
          <w:bCs/>
        </w:rPr>
      </w:pPr>
      <w:r w:rsidRPr="00ED25A8">
        <w:rPr>
          <w:rFonts w:ascii="Arial" w:hAnsi="Arial" w:cs="Arial"/>
          <w:b/>
          <w:bCs/>
        </w:rPr>
        <w:t>Sub</w:t>
      </w:r>
      <w:r w:rsidR="0045764F" w:rsidRPr="00ED25A8">
        <w:rPr>
          <w:rFonts w:ascii="Arial" w:hAnsi="Arial" w:cs="Arial"/>
          <w:b/>
          <w:bCs/>
        </w:rPr>
        <w:t>mission date</w:t>
      </w:r>
      <w:r w:rsidR="0032687E" w:rsidRPr="00ED25A8">
        <w:rPr>
          <w:rFonts w:ascii="Arial" w:hAnsi="Arial" w:cs="Arial"/>
          <w:b/>
          <w:bCs/>
        </w:rPr>
        <w:t xml:space="preserve"> : 17</w:t>
      </w:r>
      <w:r w:rsidR="0032687E" w:rsidRPr="00ED25A8">
        <w:rPr>
          <w:rFonts w:ascii="Arial" w:hAnsi="Arial" w:cs="Arial"/>
          <w:b/>
          <w:bCs/>
          <w:vertAlign w:val="superscript"/>
        </w:rPr>
        <w:t>th</w:t>
      </w:r>
      <w:r w:rsidR="0032687E" w:rsidRPr="00ED25A8">
        <w:rPr>
          <w:rFonts w:ascii="Arial" w:hAnsi="Arial" w:cs="Arial"/>
          <w:b/>
          <w:bCs/>
        </w:rPr>
        <w:t xml:space="preserve"> of November 2025 at 2pm</w:t>
      </w:r>
    </w:p>
    <w:p w14:paraId="35E9E8E1" w14:textId="77777777" w:rsidR="008375B5" w:rsidRPr="00582FBF" w:rsidRDefault="008375B5" w:rsidP="00582FBF">
      <w:pPr>
        <w:pStyle w:val="NormalWeb"/>
        <w:spacing w:line="360" w:lineRule="auto"/>
        <w:rPr>
          <w:rFonts w:ascii="Arial" w:hAnsi="Arial" w:cs="Arial"/>
          <w:b/>
          <w:bCs/>
          <w:color w:val="000000"/>
        </w:rPr>
      </w:pPr>
      <w:r w:rsidRPr="00582FBF">
        <w:rPr>
          <w:rFonts w:ascii="Arial" w:hAnsi="Arial" w:cs="Arial"/>
          <w:b/>
          <w:bCs/>
          <w:color w:val="000000"/>
        </w:rPr>
        <w:lastRenderedPageBreak/>
        <w:t>Table of contents</w:t>
      </w:r>
    </w:p>
    <w:p w14:paraId="1645CC16" w14:textId="2E419DCD" w:rsidR="002004C8" w:rsidRPr="002254C0" w:rsidRDefault="00B842D3" w:rsidP="002004C8">
      <w:pPr>
        <w:pStyle w:val="NormalWeb"/>
        <w:spacing w:line="360" w:lineRule="auto"/>
        <w:rPr>
          <w:rFonts w:ascii="Arial" w:hAnsi="Arial" w:cs="Arial"/>
          <w:color w:val="000000"/>
        </w:rPr>
      </w:pPr>
      <w:r w:rsidRPr="002254C0">
        <w:rPr>
          <w:rFonts w:ascii="Arial" w:hAnsi="Arial" w:cs="Arial"/>
          <w:color w:val="000000"/>
        </w:rPr>
        <w:t>Introduction</w:t>
      </w:r>
      <w:r w:rsidR="004C2357" w:rsidRPr="002254C0">
        <w:rPr>
          <w:rFonts w:ascii="Arial" w:hAnsi="Arial" w:cs="Arial"/>
          <w:color w:val="000000"/>
        </w:rPr>
        <w:t xml:space="preserve"> to topic</w:t>
      </w:r>
      <w:r w:rsidR="005A0DE5" w:rsidRPr="002254C0">
        <w:rPr>
          <w:rFonts w:ascii="Arial" w:hAnsi="Arial" w:cs="Arial"/>
          <w:color w:val="000000"/>
        </w:rPr>
        <w:t xml:space="preserve"> ……………………………………</w:t>
      </w:r>
      <w:r w:rsidR="001213D7" w:rsidRPr="002254C0">
        <w:rPr>
          <w:rFonts w:ascii="Arial" w:hAnsi="Arial" w:cs="Arial"/>
          <w:color w:val="000000"/>
        </w:rPr>
        <w:t>…</w:t>
      </w:r>
      <w:r w:rsidR="001213D7">
        <w:rPr>
          <w:rFonts w:ascii="Arial" w:hAnsi="Arial" w:cs="Arial"/>
          <w:color w:val="000000"/>
        </w:rPr>
        <w:t>.</w:t>
      </w:r>
      <w:r w:rsidR="005A0DE5" w:rsidRPr="002254C0">
        <w:rPr>
          <w:rFonts w:ascii="Arial" w:hAnsi="Arial" w:cs="Arial"/>
          <w:color w:val="000000"/>
        </w:rPr>
        <w:t>………….</w:t>
      </w:r>
      <w:r w:rsidR="001C03D1" w:rsidRPr="002254C0">
        <w:rPr>
          <w:rFonts w:ascii="Arial" w:hAnsi="Arial" w:cs="Arial"/>
          <w:color w:val="000000"/>
        </w:rPr>
        <w:t>3</w:t>
      </w:r>
    </w:p>
    <w:p w14:paraId="6F849AAC" w14:textId="26F2BC98" w:rsidR="00B842D3" w:rsidRPr="002254C0" w:rsidRDefault="00B842D3" w:rsidP="002004C8">
      <w:pPr>
        <w:pStyle w:val="NormalWeb"/>
        <w:spacing w:line="360" w:lineRule="auto"/>
        <w:rPr>
          <w:rFonts w:ascii="Arial" w:hAnsi="Arial" w:cs="Arial"/>
          <w:color w:val="000000"/>
        </w:rPr>
      </w:pPr>
      <w:r w:rsidRPr="002254C0">
        <w:rPr>
          <w:rFonts w:ascii="Arial" w:hAnsi="Arial" w:cs="Arial"/>
          <w:color w:val="000000"/>
        </w:rPr>
        <w:t>What is Dexcom</w:t>
      </w:r>
      <w:r w:rsidR="004C2357" w:rsidRPr="002254C0">
        <w:rPr>
          <w:rFonts w:ascii="Arial" w:hAnsi="Arial" w:cs="Arial"/>
          <w:color w:val="000000"/>
        </w:rPr>
        <w:t xml:space="preserve"> </w:t>
      </w:r>
      <w:r w:rsidRPr="002254C0">
        <w:rPr>
          <w:rFonts w:ascii="Arial" w:hAnsi="Arial" w:cs="Arial"/>
          <w:color w:val="000000"/>
        </w:rPr>
        <w:t>O</w:t>
      </w:r>
      <w:r w:rsidR="004C2357" w:rsidRPr="002254C0">
        <w:rPr>
          <w:rFonts w:ascii="Arial" w:hAnsi="Arial" w:cs="Arial"/>
          <w:color w:val="000000"/>
        </w:rPr>
        <w:t>NE</w:t>
      </w:r>
      <w:r w:rsidRPr="002254C0">
        <w:rPr>
          <w:rFonts w:ascii="Arial" w:hAnsi="Arial" w:cs="Arial"/>
          <w:color w:val="000000"/>
        </w:rPr>
        <w:t>+</w:t>
      </w:r>
      <w:r w:rsidR="001C03D1" w:rsidRPr="002254C0">
        <w:rPr>
          <w:rFonts w:ascii="Arial" w:hAnsi="Arial" w:cs="Arial"/>
          <w:color w:val="000000"/>
        </w:rPr>
        <w:t>……………………………………………</w:t>
      </w:r>
      <w:r w:rsidR="001213D7" w:rsidRPr="002254C0">
        <w:rPr>
          <w:rFonts w:ascii="Arial" w:hAnsi="Arial" w:cs="Arial"/>
          <w:color w:val="000000"/>
        </w:rPr>
        <w:t>….</w:t>
      </w:r>
      <w:r w:rsidR="00A51E7B" w:rsidRPr="002254C0">
        <w:rPr>
          <w:rFonts w:ascii="Arial" w:hAnsi="Arial" w:cs="Arial"/>
          <w:color w:val="000000"/>
        </w:rPr>
        <w:t>3</w:t>
      </w:r>
    </w:p>
    <w:p w14:paraId="66584679" w14:textId="46693D5F" w:rsidR="00B842D3" w:rsidRPr="002254C0" w:rsidRDefault="00B842D3" w:rsidP="002254C0">
      <w:pPr>
        <w:pStyle w:val="NormalWeb"/>
        <w:spacing w:line="360" w:lineRule="auto"/>
        <w:rPr>
          <w:rFonts w:ascii="Arial" w:hAnsi="Arial" w:cs="Arial"/>
          <w:color w:val="000000"/>
        </w:rPr>
      </w:pPr>
      <w:r w:rsidRPr="002254C0">
        <w:rPr>
          <w:rFonts w:ascii="Arial" w:hAnsi="Arial" w:cs="Arial"/>
          <w:color w:val="000000"/>
        </w:rPr>
        <w:t>Data release</w:t>
      </w:r>
      <w:r w:rsidR="001C03D1" w:rsidRPr="002254C0">
        <w:rPr>
          <w:rFonts w:ascii="Arial" w:hAnsi="Arial" w:cs="Arial"/>
          <w:color w:val="000000"/>
        </w:rPr>
        <w:t xml:space="preserve"> …………………………………………………</w:t>
      </w:r>
      <w:r w:rsidR="001213D7" w:rsidRPr="002254C0">
        <w:rPr>
          <w:rFonts w:ascii="Arial" w:hAnsi="Arial" w:cs="Arial"/>
          <w:color w:val="000000"/>
        </w:rPr>
        <w:t>…</w:t>
      </w:r>
      <w:r w:rsidR="001213D7">
        <w:rPr>
          <w:rFonts w:ascii="Arial" w:hAnsi="Arial" w:cs="Arial"/>
          <w:color w:val="000000"/>
        </w:rPr>
        <w:t>.</w:t>
      </w:r>
      <w:r w:rsidR="001C03D1" w:rsidRPr="002254C0">
        <w:rPr>
          <w:rFonts w:ascii="Arial" w:hAnsi="Arial" w:cs="Arial"/>
          <w:color w:val="000000"/>
        </w:rPr>
        <w:t>…….4</w:t>
      </w:r>
    </w:p>
    <w:p w14:paraId="3683FF98" w14:textId="0130AF42" w:rsidR="00353DFA" w:rsidRPr="002254C0" w:rsidRDefault="00353DFA" w:rsidP="002254C0">
      <w:pPr>
        <w:pStyle w:val="NormalWeb"/>
        <w:spacing w:line="360" w:lineRule="auto"/>
        <w:rPr>
          <w:rFonts w:ascii="Arial" w:hAnsi="Arial" w:cs="Arial"/>
          <w:color w:val="000000"/>
        </w:rPr>
      </w:pPr>
      <w:r w:rsidRPr="002254C0">
        <w:rPr>
          <w:rFonts w:ascii="Arial" w:hAnsi="Arial" w:cs="Arial"/>
          <w:color w:val="000000"/>
        </w:rPr>
        <w:t xml:space="preserve">Connection </w:t>
      </w:r>
      <w:r w:rsidR="00A51E7B" w:rsidRPr="002254C0">
        <w:rPr>
          <w:rFonts w:ascii="Arial" w:hAnsi="Arial" w:cs="Arial"/>
          <w:color w:val="000000"/>
        </w:rPr>
        <w:t>…………………………………</w:t>
      </w:r>
      <w:r w:rsidR="00E6518A">
        <w:rPr>
          <w:rFonts w:ascii="Arial" w:hAnsi="Arial" w:cs="Arial"/>
          <w:color w:val="000000"/>
        </w:rPr>
        <w:t>.</w:t>
      </w:r>
      <w:r w:rsidR="00A51E7B" w:rsidRPr="002254C0">
        <w:rPr>
          <w:rFonts w:ascii="Arial" w:hAnsi="Arial" w:cs="Arial"/>
          <w:color w:val="000000"/>
        </w:rPr>
        <w:t>………………</w:t>
      </w:r>
      <w:r w:rsidR="001213D7" w:rsidRPr="002254C0">
        <w:rPr>
          <w:rFonts w:ascii="Arial" w:hAnsi="Arial" w:cs="Arial"/>
          <w:color w:val="000000"/>
        </w:rPr>
        <w:t>…</w:t>
      </w:r>
      <w:r w:rsidR="001213D7">
        <w:rPr>
          <w:rFonts w:ascii="Arial" w:hAnsi="Arial" w:cs="Arial"/>
          <w:color w:val="000000"/>
        </w:rPr>
        <w:t>.</w:t>
      </w:r>
      <w:r w:rsidR="00A51E7B" w:rsidRPr="002254C0">
        <w:rPr>
          <w:rFonts w:ascii="Arial" w:hAnsi="Arial" w:cs="Arial"/>
          <w:color w:val="000000"/>
        </w:rPr>
        <w:t>……</w:t>
      </w:r>
      <w:r w:rsidR="00BA7CA7" w:rsidRPr="002254C0">
        <w:rPr>
          <w:rFonts w:ascii="Arial" w:hAnsi="Arial" w:cs="Arial"/>
          <w:color w:val="000000"/>
        </w:rPr>
        <w:t>...4</w:t>
      </w:r>
    </w:p>
    <w:p w14:paraId="2593E12C" w14:textId="15C949A4" w:rsidR="000B063A" w:rsidRPr="002254C0" w:rsidRDefault="001D411C" w:rsidP="002254C0">
      <w:pPr>
        <w:pStyle w:val="NormalWeb"/>
        <w:spacing w:line="360" w:lineRule="auto"/>
        <w:rPr>
          <w:rFonts w:ascii="Arial" w:hAnsi="Arial" w:cs="Arial"/>
          <w:color w:val="000000"/>
        </w:rPr>
      </w:pPr>
      <w:r w:rsidRPr="002254C0">
        <w:rPr>
          <w:rFonts w:ascii="Arial" w:hAnsi="Arial" w:cs="Arial"/>
          <w:color w:val="000000"/>
        </w:rPr>
        <w:t>Impact of work force</w:t>
      </w:r>
      <w:r w:rsidR="00BA7CA7" w:rsidRPr="002254C0">
        <w:rPr>
          <w:rFonts w:ascii="Arial" w:hAnsi="Arial" w:cs="Arial"/>
          <w:color w:val="000000"/>
        </w:rPr>
        <w:t>………………………………………………</w:t>
      </w:r>
      <w:r w:rsidR="00947ECC">
        <w:rPr>
          <w:rFonts w:ascii="Arial" w:hAnsi="Arial" w:cs="Arial"/>
          <w:color w:val="000000"/>
        </w:rPr>
        <w:t>..</w:t>
      </w:r>
      <w:r w:rsidR="00BA0612">
        <w:rPr>
          <w:rFonts w:ascii="Arial" w:hAnsi="Arial" w:cs="Arial"/>
          <w:color w:val="000000"/>
        </w:rPr>
        <w:t>.</w:t>
      </w:r>
      <w:r w:rsidR="00BA7CA7" w:rsidRPr="002254C0">
        <w:rPr>
          <w:rFonts w:ascii="Arial" w:hAnsi="Arial" w:cs="Arial"/>
          <w:color w:val="000000"/>
        </w:rPr>
        <w:t>…5</w:t>
      </w:r>
    </w:p>
    <w:p w14:paraId="1309CE80" w14:textId="4DD37C40" w:rsidR="001D411C" w:rsidRPr="002254C0" w:rsidRDefault="001D411C" w:rsidP="002254C0">
      <w:pPr>
        <w:pStyle w:val="NormalWeb"/>
        <w:spacing w:line="360" w:lineRule="auto"/>
        <w:rPr>
          <w:rFonts w:ascii="Arial" w:hAnsi="Arial" w:cs="Arial"/>
          <w:color w:val="000000"/>
        </w:rPr>
      </w:pPr>
      <w:r w:rsidRPr="002254C0">
        <w:rPr>
          <w:rFonts w:ascii="Arial" w:hAnsi="Arial" w:cs="Arial"/>
          <w:color w:val="000000"/>
        </w:rPr>
        <w:t xml:space="preserve">Impact </w:t>
      </w:r>
      <w:r w:rsidR="00A001A9" w:rsidRPr="002254C0">
        <w:rPr>
          <w:rFonts w:ascii="Arial" w:hAnsi="Arial" w:cs="Arial"/>
          <w:color w:val="000000"/>
        </w:rPr>
        <w:t>on service delivery</w:t>
      </w:r>
      <w:r w:rsidR="00BA7CA7" w:rsidRPr="002254C0">
        <w:rPr>
          <w:rFonts w:ascii="Arial" w:hAnsi="Arial" w:cs="Arial"/>
          <w:color w:val="000000"/>
        </w:rPr>
        <w:t>……………………………………………</w:t>
      </w:r>
      <w:r w:rsidR="0022135B" w:rsidRPr="002254C0">
        <w:rPr>
          <w:rFonts w:ascii="Arial" w:hAnsi="Arial" w:cs="Arial"/>
          <w:color w:val="000000"/>
        </w:rPr>
        <w:t>.6</w:t>
      </w:r>
    </w:p>
    <w:p w14:paraId="3815C536" w14:textId="66522469" w:rsidR="00A001A9" w:rsidRPr="002254C0" w:rsidRDefault="00A001A9" w:rsidP="002254C0">
      <w:pPr>
        <w:pStyle w:val="NormalWeb"/>
        <w:spacing w:line="360" w:lineRule="auto"/>
        <w:rPr>
          <w:rFonts w:ascii="Arial" w:hAnsi="Arial" w:cs="Arial"/>
          <w:color w:val="000000"/>
        </w:rPr>
      </w:pPr>
      <w:r w:rsidRPr="002254C0">
        <w:rPr>
          <w:rFonts w:ascii="Arial" w:hAnsi="Arial" w:cs="Arial"/>
          <w:color w:val="000000"/>
        </w:rPr>
        <w:t>Impact on patient</w:t>
      </w:r>
      <w:r w:rsidR="0022135B" w:rsidRPr="002254C0">
        <w:rPr>
          <w:rFonts w:ascii="Arial" w:hAnsi="Arial" w:cs="Arial"/>
          <w:color w:val="000000"/>
        </w:rPr>
        <w:t>……………………………………………</w:t>
      </w:r>
      <w:r w:rsidR="001213D7" w:rsidRPr="002254C0">
        <w:rPr>
          <w:rFonts w:ascii="Arial" w:hAnsi="Arial" w:cs="Arial"/>
          <w:color w:val="000000"/>
        </w:rPr>
        <w:t>…</w:t>
      </w:r>
      <w:r w:rsidR="001213D7">
        <w:rPr>
          <w:rFonts w:ascii="Arial" w:hAnsi="Arial" w:cs="Arial"/>
          <w:color w:val="000000"/>
        </w:rPr>
        <w:t>...</w:t>
      </w:r>
      <w:r w:rsidR="0022135B" w:rsidRPr="002254C0">
        <w:rPr>
          <w:rFonts w:ascii="Arial" w:hAnsi="Arial" w:cs="Arial"/>
          <w:color w:val="000000"/>
        </w:rPr>
        <w:t>…</w:t>
      </w:r>
      <w:r w:rsidR="001213D7" w:rsidRPr="002254C0">
        <w:rPr>
          <w:rFonts w:ascii="Arial" w:hAnsi="Arial" w:cs="Arial"/>
          <w:color w:val="000000"/>
        </w:rPr>
        <w:t>….</w:t>
      </w:r>
      <w:r w:rsidR="0022135B" w:rsidRPr="002254C0">
        <w:rPr>
          <w:rFonts w:ascii="Arial" w:hAnsi="Arial" w:cs="Arial"/>
          <w:color w:val="000000"/>
        </w:rPr>
        <w:t>7</w:t>
      </w:r>
    </w:p>
    <w:p w14:paraId="7412A1D2" w14:textId="0711A78E" w:rsidR="00A001A9" w:rsidRPr="002254C0" w:rsidRDefault="00A001A9" w:rsidP="002254C0">
      <w:pPr>
        <w:pStyle w:val="NormalWeb"/>
        <w:spacing w:line="360" w:lineRule="auto"/>
        <w:rPr>
          <w:rFonts w:ascii="Arial" w:hAnsi="Arial" w:cs="Arial"/>
          <w:color w:val="000000"/>
        </w:rPr>
      </w:pPr>
      <w:r w:rsidRPr="002254C0">
        <w:rPr>
          <w:rFonts w:ascii="Arial" w:hAnsi="Arial" w:cs="Arial"/>
          <w:color w:val="000000"/>
        </w:rPr>
        <w:t>Impact on community</w:t>
      </w:r>
      <w:r w:rsidR="0022135B" w:rsidRPr="002254C0">
        <w:rPr>
          <w:rFonts w:ascii="Arial" w:hAnsi="Arial" w:cs="Arial"/>
          <w:color w:val="000000"/>
        </w:rPr>
        <w:t>…………</w:t>
      </w:r>
      <w:r w:rsidR="001213D7" w:rsidRPr="002254C0">
        <w:rPr>
          <w:rFonts w:ascii="Arial" w:hAnsi="Arial" w:cs="Arial"/>
          <w:color w:val="000000"/>
        </w:rPr>
        <w:t>…</w:t>
      </w:r>
      <w:r w:rsidR="001213D7">
        <w:rPr>
          <w:rFonts w:ascii="Arial" w:hAnsi="Arial" w:cs="Arial"/>
          <w:color w:val="000000"/>
        </w:rPr>
        <w:t>.</w:t>
      </w:r>
      <w:r w:rsidR="0022135B" w:rsidRPr="002254C0">
        <w:rPr>
          <w:rFonts w:ascii="Arial" w:hAnsi="Arial" w:cs="Arial"/>
          <w:color w:val="000000"/>
        </w:rPr>
        <w:t>…………</w:t>
      </w:r>
      <w:r w:rsidR="00E6518A" w:rsidRPr="002254C0">
        <w:rPr>
          <w:rFonts w:ascii="Arial" w:hAnsi="Arial" w:cs="Arial"/>
          <w:color w:val="000000"/>
        </w:rPr>
        <w:t>…</w:t>
      </w:r>
      <w:r w:rsidR="00E6518A">
        <w:rPr>
          <w:rFonts w:ascii="Arial" w:hAnsi="Arial" w:cs="Arial"/>
          <w:color w:val="000000"/>
        </w:rPr>
        <w:t>.,</w:t>
      </w:r>
      <w:r w:rsidR="0022135B" w:rsidRPr="002254C0">
        <w:rPr>
          <w:rFonts w:ascii="Arial" w:hAnsi="Arial" w:cs="Arial"/>
          <w:color w:val="000000"/>
        </w:rPr>
        <w:t>……………</w:t>
      </w:r>
      <w:r w:rsidR="001213D7">
        <w:rPr>
          <w:rFonts w:ascii="Arial" w:hAnsi="Arial" w:cs="Arial"/>
          <w:color w:val="000000"/>
        </w:rPr>
        <w:t>…</w:t>
      </w:r>
      <w:r w:rsidR="0022135B" w:rsidRPr="002254C0">
        <w:rPr>
          <w:rFonts w:ascii="Arial" w:hAnsi="Arial" w:cs="Arial"/>
          <w:color w:val="000000"/>
        </w:rPr>
        <w:t>…</w:t>
      </w:r>
      <w:r w:rsidR="001213D7" w:rsidRPr="002254C0">
        <w:rPr>
          <w:rFonts w:ascii="Arial" w:hAnsi="Arial" w:cs="Arial"/>
          <w:color w:val="000000"/>
        </w:rPr>
        <w:t>….</w:t>
      </w:r>
      <w:r w:rsidR="0022135B" w:rsidRPr="002254C0">
        <w:rPr>
          <w:rFonts w:ascii="Arial" w:hAnsi="Arial" w:cs="Arial"/>
          <w:color w:val="000000"/>
        </w:rPr>
        <w:t>8</w:t>
      </w:r>
    </w:p>
    <w:p w14:paraId="5E2F9A0B" w14:textId="59AE31DE" w:rsidR="00A94E09" w:rsidRPr="002254C0" w:rsidRDefault="00A94E09" w:rsidP="002254C0">
      <w:pPr>
        <w:pStyle w:val="NormalWeb"/>
        <w:spacing w:line="360" w:lineRule="auto"/>
        <w:rPr>
          <w:rFonts w:ascii="Arial" w:hAnsi="Arial" w:cs="Arial"/>
          <w:color w:val="000000"/>
        </w:rPr>
      </w:pPr>
      <w:r w:rsidRPr="002254C0">
        <w:rPr>
          <w:rFonts w:ascii="Arial" w:hAnsi="Arial" w:cs="Arial"/>
          <w:color w:val="000000"/>
        </w:rPr>
        <w:t>Positive and negative outcome ………………………………………9</w:t>
      </w:r>
    </w:p>
    <w:p w14:paraId="636C5F5F" w14:textId="60988D5D" w:rsidR="00A001A9" w:rsidRPr="002254C0" w:rsidRDefault="004C2357" w:rsidP="002254C0">
      <w:pPr>
        <w:pStyle w:val="NormalWeb"/>
        <w:spacing w:line="360" w:lineRule="auto"/>
        <w:rPr>
          <w:rFonts w:ascii="Arial" w:hAnsi="Arial" w:cs="Arial"/>
          <w:color w:val="000000"/>
        </w:rPr>
      </w:pPr>
      <w:r w:rsidRPr="002254C0">
        <w:rPr>
          <w:rFonts w:ascii="Arial" w:hAnsi="Arial" w:cs="Arial"/>
          <w:color w:val="000000"/>
        </w:rPr>
        <w:t>C</w:t>
      </w:r>
      <w:r w:rsidR="00A001A9" w:rsidRPr="002254C0">
        <w:rPr>
          <w:rFonts w:ascii="Arial" w:hAnsi="Arial" w:cs="Arial"/>
          <w:color w:val="000000"/>
        </w:rPr>
        <w:t>onclusion</w:t>
      </w:r>
      <w:r w:rsidRPr="002254C0">
        <w:rPr>
          <w:rFonts w:ascii="Arial" w:hAnsi="Arial" w:cs="Arial"/>
          <w:color w:val="000000"/>
        </w:rPr>
        <w:t xml:space="preserve"> </w:t>
      </w:r>
      <w:r w:rsidR="0022135B" w:rsidRPr="002254C0">
        <w:rPr>
          <w:rFonts w:ascii="Arial" w:hAnsi="Arial" w:cs="Arial"/>
          <w:color w:val="000000"/>
        </w:rPr>
        <w:t>……………………………………………</w:t>
      </w:r>
      <w:r w:rsidR="001213D7" w:rsidRPr="002254C0">
        <w:rPr>
          <w:rFonts w:ascii="Arial" w:hAnsi="Arial" w:cs="Arial"/>
          <w:color w:val="000000"/>
        </w:rPr>
        <w:t>…</w:t>
      </w:r>
      <w:r w:rsidR="001213D7">
        <w:rPr>
          <w:rFonts w:ascii="Arial" w:hAnsi="Arial" w:cs="Arial"/>
          <w:color w:val="000000"/>
        </w:rPr>
        <w:t>.</w:t>
      </w:r>
      <w:r w:rsidR="0022135B" w:rsidRPr="002254C0">
        <w:rPr>
          <w:rFonts w:ascii="Arial" w:hAnsi="Arial" w:cs="Arial"/>
          <w:color w:val="000000"/>
        </w:rPr>
        <w:t>……………</w:t>
      </w:r>
      <w:r w:rsidR="00D2513D" w:rsidRPr="002254C0">
        <w:rPr>
          <w:rFonts w:ascii="Arial" w:hAnsi="Arial" w:cs="Arial"/>
          <w:color w:val="000000"/>
        </w:rPr>
        <w:t>.</w:t>
      </w:r>
      <w:r w:rsidR="00FB564C" w:rsidRPr="002254C0">
        <w:rPr>
          <w:rFonts w:ascii="Arial" w:hAnsi="Arial" w:cs="Arial"/>
          <w:color w:val="000000"/>
        </w:rPr>
        <w:t>9</w:t>
      </w:r>
    </w:p>
    <w:p w14:paraId="1C258C52" w14:textId="5D9E34A7" w:rsidR="004C2357" w:rsidRPr="002254C0" w:rsidRDefault="004C2357" w:rsidP="002254C0">
      <w:pPr>
        <w:pStyle w:val="NormalWeb"/>
        <w:spacing w:line="360" w:lineRule="auto"/>
        <w:rPr>
          <w:rFonts w:ascii="Arial" w:hAnsi="Arial" w:cs="Arial"/>
          <w:color w:val="000000"/>
        </w:rPr>
      </w:pPr>
      <w:r w:rsidRPr="002254C0">
        <w:rPr>
          <w:rFonts w:ascii="Arial" w:hAnsi="Arial" w:cs="Arial"/>
          <w:color w:val="000000"/>
        </w:rPr>
        <w:t xml:space="preserve">References </w:t>
      </w:r>
      <w:r w:rsidR="00FB564C" w:rsidRPr="002254C0">
        <w:rPr>
          <w:rFonts w:ascii="Arial" w:hAnsi="Arial" w:cs="Arial"/>
          <w:color w:val="000000"/>
        </w:rPr>
        <w:t>…………………………………………………</w:t>
      </w:r>
      <w:r w:rsidR="001213D7">
        <w:rPr>
          <w:rFonts w:ascii="Arial" w:hAnsi="Arial" w:cs="Arial"/>
          <w:color w:val="000000"/>
        </w:rPr>
        <w:t>.</w:t>
      </w:r>
      <w:r w:rsidR="00FB564C" w:rsidRPr="002254C0">
        <w:rPr>
          <w:rFonts w:ascii="Arial" w:hAnsi="Arial" w:cs="Arial"/>
          <w:color w:val="000000"/>
        </w:rPr>
        <w:t>…………10</w:t>
      </w:r>
    </w:p>
    <w:p w14:paraId="014C36E6" w14:textId="77777777" w:rsidR="008375B5" w:rsidRPr="00582FBF" w:rsidRDefault="008375B5" w:rsidP="00582FBF">
      <w:pPr>
        <w:pStyle w:val="NormalWeb"/>
        <w:spacing w:line="360" w:lineRule="auto"/>
        <w:rPr>
          <w:rFonts w:ascii="Arial" w:hAnsi="Arial" w:cs="Arial"/>
          <w:b/>
          <w:bCs/>
          <w:color w:val="000000"/>
        </w:rPr>
      </w:pPr>
    </w:p>
    <w:p w14:paraId="63E2CA27" w14:textId="77777777" w:rsidR="008375B5" w:rsidRPr="00582FBF" w:rsidRDefault="008375B5" w:rsidP="00582FBF">
      <w:pPr>
        <w:pStyle w:val="NormalWeb"/>
        <w:spacing w:line="360" w:lineRule="auto"/>
        <w:rPr>
          <w:rFonts w:ascii="Arial" w:hAnsi="Arial" w:cs="Arial"/>
          <w:b/>
          <w:bCs/>
          <w:color w:val="000000"/>
        </w:rPr>
      </w:pPr>
    </w:p>
    <w:p w14:paraId="0E7227A5" w14:textId="77777777" w:rsidR="008375B5" w:rsidRPr="00582FBF" w:rsidRDefault="008375B5" w:rsidP="00582FBF">
      <w:pPr>
        <w:pStyle w:val="NormalWeb"/>
        <w:spacing w:line="360" w:lineRule="auto"/>
        <w:rPr>
          <w:rFonts w:ascii="Arial" w:hAnsi="Arial" w:cs="Arial"/>
          <w:b/>
          <w:bCs/>
          <w:color w:val="000000"/>
        </w:rPr>
      </w:pPr>
    </w:p>
    <w:p w14:paraId="4C678BFB" w14:textId="77777777" w:rsidR="008375B5" w:rsidRPr="00582FBF" w:rsidRDefault="008375B5" w:rsidP="00582FBF">
      <w:pPr>
        <w:pStyle w:val="NormalWeb"/>
        <w:spacing w:line="360" w:lineRule="auto"/>
        <w:rPr>
          <w:rFonts w:ascii="Arial" w:hAnsi="Arial" w:cs="Arial"/>
          <w:b/>
          <w:bCs/>
          <w:color w:val="000000"/>
        </w:rPr>
      </w:pPr>
    </w:p>
    <w:p w14:paraId="3B71E803" w14:textId="77777777" w:rsidR="008375B5" w:rsidRPr="00582FBF" w:rsidRDefault="008375B5" w:rsidP="00582FBF">
      <w:pPr>
        <w:pStyle w:val="NormalWeb"/>
        <w:spacing w:line="360" w:lineRule="auto"/>
        <w:rPr>
          <w:rFonts w:ascii="Arial" w:hAnsi="Arial" w:cs="Arial"/>
          <w:b/>
          <w:bCs/>
          <w:color w:val="000000"/>
        </w:rPr>
      </w:pPr>
    </w:p>
    <w:p w14:paraId="1BDE8E0A" w14:textId="77777777" w:rsidR="008375B5" w:rsidRPr="00582FBF" w:rsidRDefault="008375B5" w:rsidP="00582FBF">
      <w:pPr>
        <w:pStyle w:val="NormalWeb"/>
        <w:spacing w:line="360" w:lineRule="auto"/>
        <w:rPr>
          <w:rFonts w:ascii="Arial" w:hAnsi="Arial" w:cs="Arial"/>
          <w:b/>
          <w:bCs/>
          <w:color w:val="000000"/>
        </w:rPr>
      </w:pPr>
    </w:p>
    <w:p w14:paraId="43FBCC08" w14:textId="77777777" w:rsidR="008375B5" w:rsidRPr="00582FBF" w:rsidRDefault="008375B5" w:rsidP="00582FBF">
      <w:pPr>
        <w:pStyle w:val="NormalWeb"/>
        <w:spacing w:line="360" w:lineRule="auto"/>
        <w:rPr>
          <w:rFonts w:ascii="Arial" w:hAnsi="Arial" w:cs="Arial"/>
          <w:b/>
          <w:bCs/>
          <w:color w:val="000000"/>
        </w:rPr>
      </w:pPr>
    </w:p>
    <w:p w14:paraId="2DCF23CD" w14:textId="77777777" w:rsidR="008375B5" w:rsidRPr="00582FBF" w:rsidRDefault="008375B5" w:rsidP="00582FBF">
      <w:pPr>
        <w:pStyle w:val="NormalWeb"/>
        <w:spacing w:line="360" w:lineRule="auto"/>
        <w:rPr>
          <w:rFonts w:ascii="Arial" w:hAnsi="Arial" w:cs="Arial"/>
          <w:b/>
          <w:bCs/>
          <w:color w:val="000000"/>
        </w:rPr>
      </w:pPr>
    </w:p>
    <w:p w14:paraId="7E9D4197" w14:textId="77777777" w:rsidR="008375B5" w:rsidRPr="00582FBF" w:rsidRDefault="008375B5" w:rsidP="00582FBF">
      <w:pPr>
        <w:pStyle w:val="NormalWeb"/>
        <w:spacing w:line="360" w:lineRule="auto"/>
        <w:rPr>
          <w:rFonts w:ascii="Arial" w:hAnsi="Arial" w:cs="Arial"/>
          <w:b/>
          <w:bCs/>
          <w:color w:val="000000"/>
        </w:rPr>
      </w:pPr>
    </w:p>
    <w:p w14:paraId="71EA410D" w14:textId="77777777" w:rsidR="008375B5" w:rsidRPr="00582FBF" w:rsidRDefault="008375B5" w:rsidP="00582FBF">
      <w:pPr>
        <w:pStyle w:val="NormalWeb"/>
        <w:spacing w:line="360" w:lineRule="auto"/>
        <w:rPr>
          <w:rFonts w:ascii="Arial" w:hAnsi="Arial" w:cs="Arial"/>
          <w:b/>
          <w:bCs/>
          <w:color w:val="000000"/>
        </w:rPr>
      </w:pPr>
    </w:p>
    <w:p w14:paraId="42CE9206" w14:textId="77777777" w:rsidR="008375B5" w:rsidRPr="00582FBF" w:rsidRDefault="008375B5" w:rsidP="00582FBF">
      <w:pPr>
        <w:pStyle w:val="NormalWeb"/>
        <w:spacing w:line="360" w:lineRule="auto"/>
        <w:rPr>
          <w:rFonts w:ascii="Arial" w:hAnsi="Arial" w:cs="Arial"/>
          <w:b/>
          <w:bCs/>
          <w:color w:val="000000"/>
        </w:rPr>
      </w:pPr>
    </w:p>
    <w:p w14:paraId="09C4C53A" w14:textId="77777777" w:rsidR="008375B5" w:rsidRPr="00582FBF" w:rsidRDefault="008375B5" w:rsidP="00582FBF">
      <w:pPr>
        <w:pStyle w:val="NormalWeb"/>
        <w:spacing w:line="360" w:lineRule="auto"/>
        <w:rPr>
          <w:rFonts w:ascii="Arial" w:hAnsi="Arial" w:cs="Arial"/>
          <w:b/>
          <w:bCs/>
          <w:color w:val="000000"/>
        </w:rPr>
      </w:pPr>
    </w:p>
    <w:p w14:paraId="5CCEFBC3" w14:textId="77777777" w:rsidR="008375B5" w:rsidRPr="00582FBF" w:rsidRDefault="008375B5" w:rsidP="00582FBF">
      <w:pPr>
        <w:pStyle w:val="NormalWeb"/>
        <w:spacing w:line="360" w:lineRule="auto"/>
        <w:rPr>
          <w:rFonts w:ascii="Arial" w:hAnsi="Arial" w:cs="Arial"/>
          <w:b/>
          <w:bCs/>
          <w:color w:val="000000"/>
        </w:rPr>
      </w:pPr>
    </w:p>
    <w:p w14:paraId="6D010FBC" w14:textId="77777777" w:rsidR="00A9474F" w:rsidRPr="00582FBF" w:rsidRDefault="00A9474F" w:rsidP="00582FBF">
      <w:pPr>
        <w:spacing w:line="360" w:lineRule="auto"/>
        <w:rPr>
          <w:rFonts w:ascii="Arial" w:hAnsi="Arial" w:cs="Arial"/>
        </w:rPr>
      </w:pPr>
      <w:r w:rsidRPr="00582FBF">
        <w:rPr>
          <w:rFonts w:ascii="Arial" w:hAnsi="Arial" w:cs="Arial"/>
          <w:b/>
          <w:bCs/>
        </w:rPr>
        <w:t>Introduction </w:t>
      </w:r>
    </w:p>
    <w:p w14:paraId="073D22C7" w14:textId="14E88048" w:rsidR="00B842D3" w:rsidRPr="00582FBF" w:rsidRDefault="00B842D3" w:rsidP="00582FBF">
      <w:pPr>
        <w:spacing w:line="360" w:lineRule="auto"/>
        <w:rPr>
          <w:rFonts w:ascii="Arial" w:hAnsi="Arial" w:cs="Arial"/>
          <w:color w:val="000000" w:themeColor="text1"/>
        </w:rPr>
      </w:pPr>
      <w:r w:rsidRPr="00582FBF">
        <w:rPr>
          <w:rFonts w:ascii="Arial" w:hAnsi="Arial" w:cs="Arial"/>
          <w:color w:val="000000" w:themeColor="text1"/>
        </w:rPr>
        <w:t>The number of persons with diabetes in the UK has reached an all-time high of 5.8 million as of 2025. Approximately 4.6 million of them have been diagnosed with diabetes, and an additional 1.3 million are thought to have type 2 diabetes. Accordingly, 1 in 16 persons, or around 6% of the population in the UK, have diabetes.</w:t>
      </w:r>
      <w:r w:rsidR="00C43B01" w:rsidRPr="00582FBF">
        <w:rPr>
          <w:rFonts w:ascii="Arial" w:eastAsia="Times New Roman" w:hAnsi="Arial" w:cs="Arial"/>
          <w:kern w:val="0"/>
          <w:lang w:eastAsia="en-GB"/>
        </w:rPr>
        <w:t xml:space="preserve"> </w:t>
      </w:r>
      <w:r w:rsidR="00C43B01" w:rsidRPr="00582FBF">
        <w:rPr>
          <w:rFonts w:ascii="Arial" w:hAnsi="Arial" w:cs="Arial"/>
          <w:color w:val="000000" w:themeColor="text1"/>
        </w:rPr>
        <w:t>(Conor Seery)</w:t>
      </w:r>
    </w:p>
    <w:p w14:paraId="04BEC333" w14:textId="6BBD3F23" w:rsidR="00834B9A" w:rsidRPr="00582FBF" w:rsidRDefault="006F383B" w:rsidP="00582FBF">
      <w:pPr>
        <w:spacing w:line="360" w:lineRule="auto"/>
        <w:rPr>
          <w:rFonts w:ascii="Arial" w:hAnsi="Arial" w:cs="Arial"/>
          <w:color w:val="000000" w:themeColor="text1"/>
        </w:rPr>
      </w:pPr>
      <w:r w:rsidRPr="00582FBF">
        <w:rPr>
          <w:rFonts w:ascii="Arial" w:hAnsi="Arial" w:cs="Arial"/>
          <w:color w:val="000000" w:themeColor="text1"/>
        </w:rPr>
        <w:t xml:space="preserve">Type 2 diabetes affects about 90% of people with diabetes in the UK. </w:t>
      </w:r>
      <w:r w:rsidRPr="00582FBF">
        <w:rPr>
          <w:rFonts w:ascii="Arial" w:hAnsi="Arial" w:cs="Arial"/>
          <w:color w:val="000000" w:themeColor="text1"/>
        </w:rPr>
        <w:br/>
        <w:t xml:space="preserve">Approximately 8% of people have type 1 diabetes, whereas the remaining 2% have fewer common forms. </w:t>
      </w:r>
      <w:r w:rsidRPr="00582FBF">
        <w:rPr>
          <w:rFonts w:ascii="Arial" w:hAnsi="Arial" w:cs="Arial"/>
          <w:color w:val="000000" w:themeColor="text1"/>
        </w:rPr>
        <w:br/>
        <w:t>The total number of persons with diabetes or prediabetes is over 12 million, or almost 1 in 5 adults in the UK. Additionally, an estimated 6.3 million people have prediabetes, or non-diabetic hyperglycaemia.</w:t>
      </w:r>
      <w:r w:rsidR="00834B9A" w:rsidRPr="00582FBF">
        <w:rPr>
          <w:rFonts w:ascii="Arial" w:hAnsi="Arial" w:cs="Arial"/>
          <w:color w:val="000000" w:themeColor="text1"/>
        </w:rPr>
        <w:t xml:space="preserve"> </w:t>
      </w:r>
      <w:r w:rsidR="00F354AA" w:rsidRPr="00582FBF">
        <w:rPr>
          <w:rFonts w:ascii="Arial" w:hAnsi="Arial" w:cs="Arial"/>
          <w:color w:val="000000" w:themeColor="text1"/>
        </w:rPr>
        <w:t>(Sapra and Bhandari)</w:t>
      </w:r>
    </w:p>
    <w:p w14:paraId="4C8CA2A2" w14:textId="77777777" w:rsidR="00834B9A" w:rsidRPr="00582FBF" w:rsidRDefault="00834B9A" w:rsidP="00582FBF">
      <w:pPr>
        <w:spacing w:line="360" w:lineRule="auto"/>
        <w:rPr>
          <w:rFonts w:ascii="Arial" w:hAnsi="Arial" w:cs="Arial"/>
          <w:color w:val="000000" w:themeColor="text1"/>
        </w:rPr>
      </w:pPr>
      <w:r w:rsidRPr="00582FBF">
        <w:rPr>
          <w:rFonts w:ascii="Arial" w:hAnsi="Arial" w:cs="Arial"/>
          <w:color w:val="000000" w:themeColor="text1"/>
        </w:rPr>
        <w:t>A number of revolutionary developments in blood sugar measurement have surfaced in recent years, with an emphasis on continuous glucose monitoring (CGM) devices that are non-invasive, durable, and easy to use.</w:t>
      </w:r>
    </w:p>
    <w:p w14:paraId="1ECB1394" w14:textId="5D30C1F4" w:rsidR="00834B9A" w:rsidRPr="00582FBF" w:rsidRDefault="00834B9A" w:rsidP="00582FBF">
      <w:pPr>
        <w:spacing w:line="360" w:lineRule="auto"/>
        <w:rPr>
          <w:rFonts w:ascii="Arial" w:hAnsi="Arial" w:cs="Arial"/>
          <w:color w:val="000000" w:themeColor="text1"/>
        </w:rPr>
      </w:pPr>
      <w:r w:rsidRPr="00582FBF">
        <w:rPr>
          <w:rFonts w:ascii="Arial" w:hAnsi="Arial" w:cs="Arial"/>
          <w:color w:val="000000" w:themeColor="text1"/>
        </w:rPr>
        <w:t xml:space="preserve">One of this is </w:t>
      </w:r>
      <w:r w:rsidR="0006595A" w:rsidRPr="00582FBF">
        <w:rPr>
          <w:rFonts w:ascii="Arial" w:hAnsi="Arial" w:cs="Arial"/>
          <w:color w:val="000000" w:themeColor="text1"/>
        </w:rPr>
        <w:t>Dexcom ONE</w:t>
      </w:r>
      <w:r w:rsidRPr="00582FBF">
        <w:rPr>
          <w:rFonts w:ascii="Arial" w:hAnsi="Arial" w:cs="Arial"/>
          <w:color w:val="000000" w:themeColor="text1"/>
        </w:rPr>
        <w:t xml:space="preserve"> +.</w:t>
      </w:r>
    </w:p>
    <w:p w14:paraId="0887D9CF" w14:textId="255329E9" w:rsidR="006F383B" w:rsidRPr="00582FBF" w:rsidRDefault="006F383B" w:rsidP="00582FBF">
      <w:pPr>
        <w:spacing w:line="360" w:lineRule="auto"/>
        <w:rPr>
          <w:rFonts w:ascii="Arial" w:hAnsi="Arial" w:cs="Arial"/>
          <w:color w:val="000000" w:themeColor="text1"/>
        </w:rPr>
      </w:pPr>
    </w:p>
    <w:p w14:paraId="1066E7FE" w14:textId="7A1FA201" w:rsidR="00EB583A" w:rsidRPr="00582FBF" w:rsidRDefault="00AC538E" w:rsidP="00582FBF">
      <w:pPr>
        <w:spacing w:line="360" w:lineRule="auto"/>
        <w:rPr>
          <w:rFonts w:ascii="Arial" w:hAnsi="Arial" w:cs="Arial"/>
          <w:color w:val="0D0D0D" w:themeColor="text1" w:themeTint="F2"/>
        </w:rPr>
      </w:pPr>
      <w:r w:rsidRPr="00582FBF">
        <w:rPr>
          <w:rFonts w:ascii="Arial" w:hAnsi="Arial" w:cs="Arial"/>
          <w:b/>
          <w:bCs/>
          <w:color w:val="0D0D0D" w:themeColor="text1" w:themeTint="F2"/>
        </w:rPr>
        <w:t xml:space="preserve">What is </w:t>
      </w:r>
      <w:r w:rsidR="002724D0" w:rsidRPr="00582FBF">
        <w:rPr>
          <w:rFonts w:ascii="Arial" w:hAnsi="Arial" w:cs="Arial"/>
          <w:b/>
          <w:bCs/>
          <w:color w:val="0D0D0D" w:themeColor="text1" w:themeTint="F2"/>
        </w:rPr>
        <w:t>Dexcom</w:t>
      </w:r>
      <w:r w:rsidRPr="00582FBF">
        <w:rPr>
          <w:rFonts w:ascii="Arial" w:hAnsi="Arial" w:cs="Arial"/>
          <w:b/>
          <w:bCs/>
          <w:color w:val="0D0D0D" w:themeColor="text1" w:themeTint="F2"/>
        </w:rPr>
        <w:t xml:space="preserve"> </w:t>
      </w:r>
      <w:r w:rsidR="002724D0" w:rsidRPr="00582FBF">
        <w:rPr>
          <w:rFonts w:ascii="Arial" w:hAnsi="Arial" w:cs="Arial"/>
          <w:b/>
          <w:bCs/>
          <w:color w:val="0D0D0D" w:themeColor="text1" w:themeTint="F2"/>
        </w:rPr>
        <w:t>ONE</w:t>
      </w:r>
      <w:r w:rsidR="007A1C6D" w:rsidRPr="00582FBF">
        <w:rPr>
          <w:rFonts w:ascii="Arial" w:hAnsi="Arial" w:cs="Arial"/>
          <w:b/>
          <w:bCs/>
          <w:color w:val="0D0D0D" w:themeColor="text1" w:themeTint="F2"/>
        </w:rPr>
        <w:t>+?</w:t>
      </w:r>
      <w:r w:rsidR="00E15313" w:rsidRPr="00582FBF">
        <w:rPr>
          <w:rFonts w:ascii="Arial" w:hAnsi="Arial" w:cs="Arial"/>
          <w:color w:val="0D0D0D" w:themeColor="text1" w:themeTint="F2"/>
        </w:rPr>
        <w:t xml:space="preserve"> </w:t>
      </w:r>
      <w:r w:rsidR="000E0420" w:rsidRPr="00582FBF">
        <w:rPr>
          <w:rFonts w:ascii="Arial" w:hAnsi="Arial" w:cs="Arial"/>
          <w:color w:val="0D0D0D" w:themeColor="text1" w:themeTint="F2"/>
        </w:rPr>
        <w:t>(NICE)</w:t>
      </w:r>
    </w:p>
    <w:p w14:paraId="719B0D4C" w14:textId="57043EA8" w:rsidR="006B2B2F" w:rsidRPr="00582FBF" w:rsidRDefault="00EE50DC" w:rsidP="00582FBF">
      <w:pPr>
        <w:spacing w:line="360" w:lineRule="auto"/>
        <w:rPr>
          <w:rFonts w:ascii="Arial" w:hAnsi="Arial" w:cs="Arial"/>
          <w:color w:val="0D0D0D" w:themeColor="text1" w:themeTint="F2"/>
        </w:rPr>
      </w:pPr>
      <w:r w:rsidRPr="00EE50DC">
        <w:rPr>
          <w:rFonts w:ascii="Arial" w:hAnsi="Arial" w:cs="Arial"/>
          <w:color w:val="0D0D0D" w:themeColor="text1" w:themeTint="F2"/>
        </w:rPr>
        <w:t xml:space="preserve">A cutting-edge continuous glucose monitoring (CGM) device called Dexcom ONE+ was created especially to make managing type 1 and type 2 diabetes easier and better. A tiny wearable sensor is used to continuously monitor blood sugar levels and transmit real-time information to a smartphone or receiver, with updates occurring </w:t>
      </w:r>
      <w:r w:rsidRPr="00EE50DC">
        <w:rPr>
          <w:rFonts w:ascii="Arial" w:hAnsi="Arial" w:cs="Arial"/>
          <w:color w:val="0D0D0D" w:themeColor="text1" w:themeTint="F2"/>
        </w:rPr>
        <w:lastRenderedPageBreak/>
        <w:t>every five minutes.</w:t>
      </w:r>
      <w:r w:rsidR="00EA60ED" w:rsidRPr="00582FBF">
        <w:rPr>
          <w:rFonts w:ascii="Arial" w:eastAsia="Times New Roman" w:hAnsi="Arial" w:cs="Arial"/>
          <w:kern w:val="0"/>
          <w:lang w:eastAsia="en-GB"/>
        </w:rPr>
        <w:t xml:space="preserve"> </w:t>
      </w:r>
      <w:r w:rsidR="006B2B2F" w:rsidRPr="00582FBF">
        <w:rPr>
          <w:rFonts w:ascii="Arial" w:hAnsi="Arial" w:cs="Arial"/>
          <w:color w:val="0D0D0D" w:themeColor="text1" w:themeTint="F2"/>
        </w:rPr>
        <w:t xml:space="preserve">Provides individualised high and low blood sugar warnings, along with a "Delay 1st Alert" feature to lessen alarm fatigue following meals. " </w:t>
      </w:r>
    </w:p>
    <w:p w14:paraId="10DFB168" w14:textId="77777777" w:rsidR="005566C4" w:rsidRPr="00582FBF" w:rsidRDefault="006B2B2F" w:rsidP="00582FBF">
      <w:pPr>
        <w:pStyle w:val="ListParagraph"/>
        <w:numPr>
          <w:ilvl w:val="0"/>
          <w:numId w:val="11"/>
        </w:numPr>
        <w:spacing w:line="360" w:lineRule="auto"/>
        <w:rPr>
          <w:rFonts w:ascii="Arial" w:hAnsi="Arial" w:cs="Arial"/>
          <w:color w:val="0D0D0D" w:themeColor="text1" w:themeTint="F2"/>
        </w:rPr>
      </w:pPr>
      <w:r w:rsidRPr="00582FBF">
        <w:rPr>
          <w:rFonts w:ascii="Arial" w:hAnsi="Arial" w:cs="Arial"/>
          <w:color w:val="0D0D0D" w:themeColor="text1" w:themeTint="F2"/>
        </w:rPr>
        <w:t xml:space="preserve">With a 12-hour grace time for sensor change and a 10-day lifespan, the sensor is adaptable and practical for users. " </w:t>
      </w:r>
      <w:r w:rsidRPr="00582FBF">
        <w:rPr>
          <w:rFonts w:ascii="Arial" w:hAnsi="Arial" w:cs="Arial"/>
          <w:color w:val="0D0D0D" w:themeColor="text1" w:themeTint="F2"/>
        </w:rPr>
        <w:br/>
      </w:r>
    </w:p>
    <w:p w14:paraId="60DEE2C1" w14:textId="77777777" w:rsidR="005566C4" w:rsidRPr="00582FBF" w:rsidRDefault="006B2B2F" w:rsidP="00582FBF">
      <w:pPr>
        <w:pStyle w:val="ListParagraph"/>
        <w:numPr>
          <w:ilvl w:val="0"/>
          <w:numId w:val="11"/>
        </w:numPr>
        <w:spacing w:line="360" w:lineRule="auto"/>
        <w:rPr>
          <w:rFonts w:ascii="Arial" w:hAnsi="Arial" w:cs="Arial"/>
          <w:color w:val="0D0D0D" w:themeColor="text1" w:themeTint="F2"/>
        </w:rPr>
      </w:pPr>
      <w:r w:rsidRPr="00582FBF">
        <w:rPr>
          <w:rFonts w:ascii="Arial" w:hAnsi="Arial" w:cs="Arial"/>
          <w:color w:val="0D0D0D" w:themeColor="text1" w:themeTint="F2"/>
        </w:rPr>
        <w:t xml:space="preserve">For active lifestyles, it is waterproof and can be worn covertly on the arm, abdomen, or upper buttocks (children ages 2–6). " </w:t>
      </w:r>
    </w:p>
    <w:p w14:paraId="120A116B" w14:textId="77777777" w:rsidR="005566C4" w:rsidRPr="00582FBF" w:rsidRDefault="005566C4" w:rsidP="00582FBF">
      <w:pPr>
        <w:pStyle w:val="ListParagraph"/>
        <w:numPr>
          <w:ilvl w:val="0"/>
          <w:numId w:val="11"/>
        </w:numPr>
        <w:spacing w:line="360" w:lineRule="auto"/>
        <w:rPr>
          <w:rFonts w:ascii="Arial" w:hAnsi="Arial" w:cs="Arial"/>
          <w:color w:val="0D0D0D" w:themeColor="text1" w:themeTint="F2"/>
        </w:rPr>
      </w:pPr>
      <w:r w:rsidRPr="00582FBF">
        <w:rPr>
          <w:rFonts w:ascii="Arial" w:hAnsi="Arial" w:cs="Arial"/>
          <w:color w:val="0D0D0D" w:themeColor="text1" w:themeTint="F2"/>
        </w:rPr>
        <w:t>M</w:t>
      </w:r>
      <w:r w:rsidR="006B2B2F" w:rsidRPr="00582FBF">
        <w:rPr>
          <w:rFonts w:ascii="Arial" w:hAnsi="Arial" w:cs="Arial"/>
          <w:color w:val="0D0D0D" w:themeColor="text1" w:themeTint="F2"/>
        </w:rPr>
        <w:t xml:space="preserve">akes glucose patterns and trends easily accessible for improved management choices by integrating with Dexcom Clarity and other health applications. " </w:t>
      </w:r>
    </w:p>
    <w:p w14:paraId="5CBF85FD" w14:textId="655BE917" w:rsidR="006B2B2F" w:rsidRDefault="006B2B2F" w:rsidP="00582FBF">
      <w:pPr>
        <w:pStyle w:val="ListParagraph"/>
        <w:numPr>
          <w:ilvl w:val="0"/>
          <w:numId w:val="11"/>
        </w:numPr>
        <w:spacing w:line="360" w:lineRule="auto"/>
        <w:rPr>
          <w:rFonts w:ascii="Arial" w:hAnsi="Arial" w:cs="Arial"/>
          <w:color w:val="0D0D0D" w:themeColor="text1" w:themeTint="F2"/>
        </w:rPr>
      </w:pPr>
      <w:r w:rsidRPr="00582FBF">
        <w:rPr>
          <w:rFonts w:ascii="Arial" w:hAnsi="Arial" w:cs="Arial"/>
          <w:color w:val="0D0D0D" w:themeColor="text1" w:themeTint="F2"/>
        </w:rPr>
        <w:t>For extra security and assistance, it enables up to ten friends or family members to observe remotely.</w:t>
      </w:r>
    </w:p>
    <w:p w14:paraId="72452DCC" w14:textId="014918DE" w:rsidR="00FC728A" w:rsidRDefault="00FC728A" w:rsidP="00FF3A30">
      <w:pPr>
        <w:spacing w:line="360" w:lineRule="auto"/>
        <w:rPr>
          <w:rFonts w:ascii="Arial" w:hAnsi="Arial" w:cs="Arial"/>
          <w:color w:val="0D0D0D" w:themeColor="text1" w:themeTint="F2"/>
        </w:rPr>
      </w:pPr>
      <w:r w:rsidRPr="00095827">
        <w:rPr>
          <w:rFonts w:ascii="Arial" w:hAnsi="Arial" w:cs="Arial"/>
          <w:color w:val="0D0D0D" w:themeColor="text1" w:themeTint="F2"/>
        </w:rPr>
        <w:t xml:space="preserve">The use of Dexcom ONE improved long-term glucose management and decreased the risk of complications by achieving significant decreases in mean HbA1c in both type 1 and type 2 diabetes patients after 6 months. ​ </w:t>
      </w:r>
      <w:r w:rsidRPr="00095827">
        <w:rPr>
          <w:rFonts w:ascii="Arial" w:hAnsi="Arial" w:cs="Arial"/>
          <w:color w:val="0D0D0D" w:themeColor="text1" w:themeTint="F2"/>
        </w:rPr>
        <w:br/>
        <w:t>By spending more time with glucose levels within a healthy range, participants demonstrated improvements in time in range (TIR), which is linked to better diabetes outcomes and fewer hypoglycaemia episodes</w:t>
      </w:r>
      <w:r w:rsidR="00FF3A30">
        <w:rPr>
          <w:rFonts w:ascii="Arial" w:hAnsi="Arial" w:cs="Arial"/>
          <w:color w:val="0D0D0D" w:themeColor="text1" w:themeTint="F2"/>
        </w:rPr>
        <w:t>.</w:t>
      </w:r>
    </w:p>
    <w:p w14:paraId="122B29C0" w14:textId="0817221F" w:rsidR="00BF182E" w:rsidRPr="00582FBF" w:rsidRDefault="00FF3A30" w:rsidP="00582FBF">
      <w:pPr>
        <w:spacing w:line="360" w:lineRule="auto"/>
        <w:rPr>
          <w:rFonts w:ascii="Arial" w:hAnsi="Arial" w:cs="Arial"/>
          <w:color w:val="0D0D0D" w:themeColor="text1" w:themeTint="F2"/>
        </w:rPr>
      </w:pPr>
      <w:r w:rsidRPr="00171B69">
        <w:rPr>
          <w:rFonts w:ascii="Arial" w:hAnsi="Arial" w:cs="Arial"/>
          <w:color w:val="0D0D0D" w:themeColor="text1" w:themeTint="F2"/>
        </w:rPr>
        <w:t>Although useful, alerts can make some users anxious or tired if they are not appropriately tailored.</w:t>
      </w:r>
      <w:r w:rsidRPr="00171B69">
        <w:rPr>
          <w:rFonts w:ascii="Arial" w:hAnsi="Arial" w:cs="Arial"/>
          <w:color w:val="0D0D0D" w:themeColor="text1" w:themeTint="F2"/>
        </w:rPr>
        <w:br/>
        <w:t>Device-related problems that some users encountered, like discomfort during sensor insertion, sporadic skin irritation, or allergies to adhesives, may have an impact on adherence and user happiness.</w:t>
      </w:r>
      <w:r w:rsidR="007A1C6D" w:rsidRPr="00582FBF">
        <w:rPr>
          <w:rFonts w:ascii="Arial" w:hAnsi="Arial" w:cs="Arial"/>
          <w:b/>
          <w:bCs/>
          <w:color w:val="0D0D0D" w:themeColor="text1" w:themeTint="F2"/>
        </w:rPr>
        <w:t xml:space="preserve"> </w:t>
      </w:r>
    </w:p>
    <w:p w14:paraId="4FC20293" w14:textId="7F84CDB5" w:rsidR="00A71FDC" w:rsidRPr="00582FBF" w:rsidRDefault="004573EE" w:rsidP="00A71FDC">
      <w:pPr>
        <w:spacing w:line="360" w:lineRule="auto"/>
        <w:rPr>
          <w:rFonts w:ascii="Arial" w:hAnsi="Arial" w:cs="Arial"/>
          <w:color w:val="0D0D0D" w:themeColor="text1" w:themeTint="F2"/>
        </w:rPr>
      </w:pPr>
      <w:r w:rsidRPr="00582FBF">
        <w:rPr>
          <w:rFonts w:ascii="Arial" w:eastAsia="Times New Roman" w:hAnsi="Arial" w:cs="Arial"/>
          <w:kern w:val="0"/>
          <w:lang w:eastAsia="en-GB"/>
        </w:rPr>
        <w:t>Early in 2024, Dexcom ONE+ was formally introduced in Europe. Following a rollout in the Netherlands in February of the same year, distribution began in Spain, Belgium, and Poland. The device became accessible to diabetics in the UK in May 2024 after its debut. Since then, the deployment has continued to increase availability in various European, Middle Eastern, and African nations until 2024 and 2025.</w:t>
      </w:r>
      <w:r w:rsidR="00A71FDC" w:rsidRPr="00A71FDC">
        <w:rPr>
          <w:rFonts w:ascii="Arial" w:hAnsi="Arial" w:cs="Arial"/>
          <w:color w:val="0D0D0D" w:themeColor="text1" w:themeTint="F2"/>
        </w:rPr>
        <w:t xml:space="preserve"> </w:t>
      </w:r>
      <w:r w:rsidR="00A71FDC" w:rsidRPr="00171B69">
        <w:rPr>
          <w:rFonts w:ascii="Arial" w:hAnsi="Arial" w:cs="Arial"/>
          <w:color w:val="0D0D0D" w:themeColor="text1" w:themeTint="F2"/>
        </w:rPr>
        <w:t>.</w:t>
      </w:r>
      <w:r w:rsidR="00A71FDC" w:rsidRPr="00582FBF">
        <w:rPr>
          <w:rFonts w:ascii="Arial" w:hAnsi="Arial" w:cs="Arial"/>
          <w:b/>
          <w:bCs/>
          <w:color w:val="0D0D0D" w:themeColor="text1" w:themeTint="F2"/>
        </w:rPr>
        <w:t xml:space="preserve"> </w:t>
      </w:r>
      <w:r w:rsidR="00A71FDC" w:rsidRPr="00582FBF">
        <w:rPr>
          <w:rFonts w:ascii="Arial" w:hAnsi="Arial" w:cs="Arial"/>
          <w:color w:val="0D0D0D" w:themeColor="text1" w:themeTint="F2"/>
        </w:rPr>
        <w:t>(“Dexcom Launches Innovative New Sensor, Dexcom ONE+”)</w:t>
      </w:r>
    </w:p>
    <w:p w14:paraId="314B0C62" w14:textId="60E9AC53" w:rsidR="00E81C23" w:rsidRPr="00582FBF" w:rsidRDefault="00E81C23" w:rsidP="00582FBF">
      <w:pPr>
        <w:spacing w:after="0" w:line="360" w:lineRule="auto"/>
        <w:rPr>
          <w:rFonts w:ascii="Arial" w:eastAsia="Times New Roman" w:hAnsi="Arial" w:cs="Arial"/>
          <w:kern w:val="0"/>
          <w:lang w:eastAsia="en-GB"/>
        </w:rPr>
      </w:pPr>
    </w:p>
    <w:p w14:paraId="1246F69D" w14:textId="21EBCF9D" w:rsidR="00103624" w:rsidRPr="00582FBF" w:rsidRDefault="00103624" w:rsidP="00582FBF">
      <w:pPr>
        <w:spacing w:after="0" w:line="360" w:lineRule="auto"/>
        <w:rPr>
          <w:rFonts w:ascii="Arial" w:eastAsia="Times New Roman" w:hAnsi="Arial" w:cs="Arial"/>
          <w:kern w:val="0"/>
          <w:lang w:eastAsia="en-GB"/>
        </w:rPr>
      </w:pPr>
    </w:p>
    <w:p w14:paraId="653AA944" w14:textId="766E065E" w:rsidR="00B42B8D" w:rsidRPr="00582FBF" w:rsidRDefault="008B6589" w:rsidP="00582FBF">
      <w:pPr>
        <w:spacing w:after="0" w:line="360" w:lineRule="auto"/>
        <w:rPr>
          <w:rFonts w:ascii="Arial" w:eastAsia="Times New Roman" w:hAnsi="Arial" w:cs="Arial"/>
          <w:b/>
          <w:bCs/>
          <w:kern w:val="0"/>
          <w:lang w:eastAsia="en-GB"/>
        </w:rPr>
      </w:pPr>
      <w:r w:rsidRPr="00582FBF">
        <w:rPr>
          <w:rFonts w:ascii="Arial" w:eastAsia="Times New Roman" w:hAnsi="Arial" w:cs="Arial"/>
          <w:b/>
          <w:bCs/>
          <w:kern w:val="0"/>
          <w:lang w:eastAsia="en-GB"/>
        </w:rPr>
        <w:lastRenderedPageBreak/>
        <w:t>Connection</w:t>
      </w:r>
      <w:r w:rsidR="001F0652" w:rsidRPr="00582FBF">
        <w:rPr>
          <w:rFonts w:ascii="Arial" w:eastAsia="Times New Roman" w:hAnsi="Arial" w:cs="Arial"/>
          <w:b/>
          <w:bCs/>
          <w:kern w:val="0"/>
          <w:lang w:eastAsia="en-GB"/>
        </w:rPr>
        <w:t xml:space="preserve"> </w:t>
      </w:r>
      <w:r w:rsidR="001F0652" w:rsidRPr="00582FBF">
        <w:rPr>
          <w:rFonts w:ascii="Arial" w:hAnsi="Arial" w:cs="Arial"/>
          <w:color w:val="0D0D0D" w:themeColor="text1" w:themeTint="F2"/>
        </w:rPr>
        <w:t>(Welford et al.)</w:t>
      </w:r>
    </w:p>
    <w:p w14:paraId="421D1325" w14:textId="77777777" w:rsidR="00B42B8D" w:rsidRPr="00582FBF" w:rsidRDefault="00B42B8D" w:rsidP="00582FBF">
      <w:pPr>
        <w:spacing w:after="0" w:line="360" w:lineRule="auto"/>
        <w:rPr>
          <w:rFonts w:ascii="Arial" w:eastAsia="Times New Roman" w:hAnsi="Arial" w:cs="Arial"/>
          <w:b/>
          <w:bCs/>
          <w:kern w:val="0"/>
          <w:lang w:eastAsia="en-GB"/>
        </w:rPr>
      </w:pPr>
    </w:p>
    <w:p w14:paraId="797CA3F4" w14:textId="167C8593" w:rsidR="0008634A" w:rsidRPr="0008634A" w:rsidRDefault="0008634A" w:rsidP="00582FBF">
      <w:pPr>
        <w:spacing w:after="0" w:line="360" w:lineRule="auto"/>
        <w:rPr>
          <w:rFonts w:ascii="Arial" w:eastAsia="Times New Roman" w:hAnsi="Arial" w:cs="Arial"/>
          <w:kern w:val="0"/>
          <w:lang w:eastAsia="en-GB"/>
        </w:rPr>
      </w:pPr>
      <w:r w:rsidRPr="0008634A">
        <w:rPr>
          <w:rFonts w:ascii="Arial" w:eastAsia="Times New Roman" w:hAnsi="Arial" w:cs="Arial"/>
          <w:kern w:val="0"/>
          <w:lang w:eastAsia="en-GB"/>
        </w:rPr>
        <w:t xml:space="preserve">To enable continuous glucose monitoring, the Dexcom ONE+ system is made up of multiple essential devices: </w:t>
      </w:r>
      <w:r w:rsidRPr="0008634A">
        <w:rPr>
          <w:rFonts w:ascii="Arial" w:eastAsia="Times New Roman" w:hAnsi="Arial" w:cs="Arial"/>
          <w:kern w:val="0"/>
          <w:lang w:eastAsia="en-GB"/>
        </w:rPr>
        <w:br/>
      </w:r>
      <w:r w:rsidRPr="0008634A">
        <w:rPr>
          <w:rFonts w:ascii="Arial" w:eastAsia="Times New Roman" w:hAnsi="Arial" w:cs="Arial"/>
          <w:kern w:val="0"/>
          <w:lang w:eastAsia="en-GB"/>
        </w:rPr>
        <w:br/>
      </w:r>
      <w:r w:rsidRPr="0008634A">
        <w:rPr>
          <w:rFonts w:ascii="Arial" w:eastAsia="Times New Roman" w:hAnsi="Arial" w:cs="Arial"/>
          <w:b/>
          <w:bCs/>
          <w:kern w:val="0"/>
          <w:lang w:eastAsia="en-GB"/>
        </w:rPr>
        <w:t>Sensor and Patch:</w:t>
      </w:r>
      <w:r w:rsidRPr="0008634A">
        <w:rPr>
          <w:rFonts w:ascii="Arial" w:eastAsia="Times New Roman" w:hAnsi="Arial" w:cs="Arial"/>
          <w:kern w:val="0"/>
          <w:lang w:eastAsia="en-GB"/>
        </w:rPr>
        <w:t xml:space="preserve"> The system's central component is a compact, integrated sensor with a transmitter. It is applied with a basic disposable applicator to the back of the upper arm, abdomen, or upper buttocks (for kids ages 2–6). The interstitial fluid's glucose levels are measured by inserting the sensor wire slightly beneath the skin. There is a 12-hour grace period for replacement flexibility and a 10-day maximum lifespan for the sensor. "</w:t>
      </w:r>
    </w:p>
    <w:p w14:paraId="60D44E10" w14:textId="77777777" w:rsidR="0008634A" w:rsidRPr="00582FBF" w:rsidRDefault="0008634A" w:rsidP="00582FBF">
      <w:pPr>
        <w:spacing w:after="0" w:line="360" w:lineRule="auto"/>
        <w:rPr>
          <w:rFonts w:ascii="Arial" w:eastAsia="Times New Roman" w:hAnsi="Arial" w:cs="Arial"/>
          <w:kern w:val="0"/>
          <w:lang w:eastAsia="en-GB"/>
        </w:rPr>
      </w:pPr>
    </w:p>
    <w:p w14:paraId="38A9FF68" w14:textId="77777777" w:rsidR="004A11DA" w:rsidRPr="004A11DA" w:rsidRDefault="004A11DA" w:rsidP="00582FBF">
      <w:pPr>
        <w:spacing w:after="0" w:line="360" w:lineRule="auto"/>
        <w:rPr>
          <w:rFonts w:ascii="Arial" w:eastAsia="Times New Roman" w:hAnsi="Arial" w:cs="Arial"/>
          <w:kern w:val="0"/>
          <w:lang w:eastAsia="en-GB"/>
        </w:rPr>
      </w:pPr>
      <w:r w:rsidRPr="004A11DA">
        <w:rPr>
          <w:rFonts w:ascii="Arial" w:eastAsia="Times New Roman" w:hAnsi="Arial" w:cs="Arial"/>
          <w:b/>
          <w:bCs/>
          <w:kern w:val="0"/>
          <w:lang w:eastAsia="en-GB"/>
        </w:rPr>
        <w:t>Receiver:</w:t>
      </w:r>
      <w:r w:rsidRPr="004A11DA">
        <w:rPr>
          <w:rFonts w:ascii="Arial" w:eastAsia="Times New Roman" w:hAnsi="Arial" w:cs="Arial"/>
          <w:kern w:val="0"/>
          <w:lang w:eastAsia="en-GB"/>
        </w:rPr>
        <w:t xml:space="preserve"> A specialised, optional gadget that wirelessly gets glucose readings from the sensor. Its battery lasts up to seven days, and it is compact and light. Those who would rather not use a smartphone can view the glucose levels and trends on the receiver. " </w:t>
      </w:r>
      <w:r w:rsidRPr="004A11DA">
        <w:rPr>
          <w:rFonts w:ascii="Arial" w:eastAsia="Times New Roman" w:hAnsi="Arial" w:cs="Arial"/>
          <w:kern w:val="0"/>
          <w:lang w:eastAsia="en-GB"/>
        </w:rPr>
        <w:br/>
      </w:r>
      <w:r w:rsidRPr="004A11DA">
        <w:rPr>
          <w:rFonts w:ascii="Arial" w:eastAsia="Times New Roman" w:hAnsi="Arial" w:cs="Arial"/>
          <w:kern w:val="0"/>
          <w:lang w:eastAsia="en-GB"/>
        </w:rPr>
        <w:br/>
      </w:r>
      <w:r w:rsidRPr="004A11DA">
        <w:rPr>
          <w:rFonts w:ascii="Arial" w:eastAsia="Times New Roman" w:hAnsi="Arial" w:cs="Arial"/>
          <w:b/>
          <w:bCs/>
          <w:kern w:val="0"/>
          <w:lang w:eastAsia="en-GB"/>
        </w:rPr>
        <w:t>Smartphone App:</w:t>
      </w:r>
      <w:r w:rsidRPr="004A11DA">
        <w:rPr>
          <w:rFonts w:ascii="Arial" w:eastAsia="Times New Roman" w:hAnsi="Arial" w:cs="Arial"/>
          <w:kern w:val="0"/>
          <w:lang w:eastAsia="en-GB"/>
        </w:rPr>
        <w:t xml:space="preserve"> After receiving data from the sensor, the Dexcom ONE+ app displays historical glucose data, trend arrows, live glucose readings, and alarms for high or low glucose. To help users make better management decisions, the app lets users record things like meals, workouts, and insulin dosages. Additionally, for simplicity, it connects with smartwatches and other health apps.</w:t>
      </w:r>
    </w:p>
    <w:p w14:paraId="48181EA2" w14:textId="77777777" w:rsidR="00E72F47" w:rsidRPr="00E72F47" w:rsidRDefault="00E72F47" w:rsidP="00582FBF">
      <w:pPr>
        <w:spacing w:after="0" w:line="360" w:lineRule="auto"/>
        <w:rPr>
          <w:rFonts w:ascii="Arial" w:eastAsia="Times New Roman" w:hAnsi="Arial" w:cs="Arial"/>
          <w:kern w:val="0"/>
          <w:lang w:eastAsia="en-GB"/>
        </w:rPr>
      </w:pPr>
      <w:r w:rsidRPr="00E72F47">
        <w:rPr>
          <w:rFonts w:ascii="Arial" w:eastAsia="Times New Roman" w:hAnsi="Arial" w:cs="Arial"/>
          <w:b/>
          <w:bCs/>
          <w:kern w:val="0"/>
          <w:lang w:eastAsia="en-GB"/>
        </w:rPr>
        <w:t>Data Sharing and Cloud Platform:</w:t>
      </w:r>
      <w:r w:rsidRPr="00E72F47">
        <w:rPr>
          <w:rFonts w:ascii="Arial" w:eastAsia="Times New Roman" w:hAnsi="Arial" w:cs="Arial"/>
          <w:kern w:val="0"/>
          <w:lang w:eastAsia="en-GB"/>
        </w:rPr>
        <w:t xml:space="preserve"> Using the Dexcom Follow app, the system allows up to ten family members or carers to remotely share glucose data. The Dexcom Clarity platform also gives medical professionals access to comprehensive glucose information, facilitating remote monitoring and team-based care. ​ </w:t>
      </w:r>
      <w:r w:rsidRPr="00E72F47">
        <w:rPr>
          <w:rFonts w:ascii="Arial" w:eastAsia="Times New Roman" w:hAnsi="Arial" w:cs="Arial"/>
          <w:kern w:val="0"/>
          <w:lang w:eastAsia="en-GB"/>
        </w:rPr>
        <w:br/>
      </w:r>
      <w:r w:rsidRPr="00E72F47">
        <w:rPr>
          <w:rFonts w:ascii="Arial" w:eastAsia="Times New Roman" w:hAnsi="Arial" w:cs="Arial"/>
          <w:kern w:val="0"/>
          <w:lang w:eastAsia="en-GB"/>
        </w:rPr>
        <w:br/>
        <w:t>When combined, these gadgets provide a complete and easy-to-use system that continuously checks blood sugar levels, offers useful information, and promotes better diabetes care.</w:t>
      </w:r>
    </w:p>
    <w:p w14:paraId="52FB3267" w14:textId="77777777" w:rsidR="004C2357" w:rsidRDefault="00702392" w:rsidP="00582FBF">
      <w:pPr>
        <w:spacing w:after="0" w:line="360" w:lineRule="auto"/>
        <w:rPr>
          <w:rFonts w:ascii="Arial" w:eastAsia="Times New Roman" w:hAnsi="Arial" w:cs="Arial"/>
          <w:kern w:val="0"/>
          <w:lang w:eastAsia="en-GB"/>
        </w:rPr>
      </w:pPr>
      <w:r w:rsidRPr="00702392">
        <w:rPr>
          <w:rFonts w:ascii="Arial" w:eastAsia="Times New Roman" w:hAnsi="Arial" w:cs="Arial"/>
          <w:kern w:val="0"/>
          <w:lang w:eastAsia="en-GB"/>
        </w:rPr>
        <w:t>(Dexcom, 2024)</w:t>
      </w:r>
    </w:p>
    <w:p w14:paraId="6A55B6A0" w14:textId="77777777" w:rsidR="00E35831" w:rsidRPr="00582FBF" w:rsidRDefault="00E35831" w:rsidP="00582FBF">
      <w:pPr>
        <w:spacing w:after="0" w:line="360" w:lineRule="auto"/>
        <w:rPr>
          <w:rFonts w:ascii="Arial" w:eastAsia="Times New Roman" w:hAnsi="Arial" w:cs="Arial"/>
          <w:kern w:val="0"/>
          <w:lang w:eastAsia="en-GB"/>
        </w:rPr>
      </w:pPr>
    </w:p>
    <w:p w14:paraId="1C55CEA7" w14:textId="0C23C2F7" w:rsidR="001946AB" w:rsidRPr="00582FBF" w:rsidRDefault="00C80D0F" w:rsidP="00582FBF">
      <w:pPr>
        <w:spacing w:after="0" w:line="360" w:lineRule="auto"/>
        <w:rPr>
          <w:rFonts w:ascii="Arial" w:hAnsi="Arial" w:cs="Arial"/>
          <w:color w:val="0D0D0D" w:themeColor="text1" w:themeTint="F2"/>
        </w:rPr>
      </w:pPr>
      <w:r w:rsidRPr="00582FBF">
        <w:rPr>
          <w:rFonts w:ascii="Arial" w:hAnsi="Arial" w:cs="Arial"/>
          <w:b/>
          <w:bCs/>
        </w:rPr>
        <w:t>Impact on work force</w:t>
      </w:r>
      <w:r w:rsidR="001F0652" w:rsidRPr="00582FBF">
        <w:rPr>
          <w:rFonts w:ascii="Arial" w:hAnsi="Arial" w:cs="Arial"/>
          <w:b/>
          <w:bCs/>
        </w:rPr>
        <w:t xml:space="preserve"> </w:t>
      </w:r>
      <w:r w:rsidR="001F0652" w:rsidRPr="00582FBF">
        <w:rPr>
          <w:rFonts w:ascii="Arial" w:hAnsi="Arial" w:cs="Arial"/>
          <w:color w:val="0D0D0D" w:themeColor="text1" w:themeTint="F2"/>
        </w:rPr>
        <w:t>(Welford et al.)</w:t>
      </w:r>
    </w:p>
    <w:p w14:paraId="08CE48F4" w14:textId="3967122C" w:rsidR="00A7604C" w:rsidRDefault="007E0172" w:rsidP="00A7604C">
      <w:pPr>
        <w:spacing w:line="360" w:lineRule="auto"/>
        <w:rPr>
          <w:rFonts w:ascii="Arial" w:hAnsi="Arial" w:cs="Arial"/>
          <w:color w:val="0D0D0D" w:themeColor="text1" w:themeTint="F2"/>
        </w:rPr>
      </w:pPr>
      <w:r w:rsidRPr="007E0172">
        <w:rPr>
          <w:rFonts w:ascii="Arial" w:hAnsi="Arial" w:cs="Arial"/>
          <w:color w:val="0D0D0D" w:themeColor="text1" w:themeTint="F2"/>
        </w:rPr>
        <w:lastRenderedPageBreak/>
        <w:t xml:space="preserve">The Dexcom ONE continuous glucose monitoring (CGM) system empowers both diabetics and medical professionals with real-time glucose data, which has a positive impact on workforce critical thinking. By enhancing knowledge of glucose trends and facilitating prompt diabetes management adjustments, this technology promotes informed decision-making. As a result, patients and healthcare professionals take a cooperative, evidence-based approach to treatment, which improves critical thinking about patient care and self-management techniques. </w:t>
      </w:r>
      <w:r w:rsidR="00A7604C" w:rsidRPr="00A7604C">
        <w:rPr>
          <w:rFonts w:ascii="Arial" w:hAnsi="Arial" w:cs="Arial"/>
          <w:color w:val="0D0D0D" w:themeColor="text1" w:themeTint="F2"/>
        </w:rPr>
        <w:t xml:space="preserve">By enabling the interpretation of glucose patterns and prompt notifications, Dexcom ONE's real-time data promotes critical thinking and helps make quick, logical decisions to maintain glucose control. </w:t>
      </w:r>
      <w:r w:rsidR="00A7604C" w:rsidRPr="00A7604C">
        <w:rPr>
          <w:rFonts w:ascii="Arial" w:hAnsi="Arial" w:cs="Arial"/>
          <w:color w:val="0D0D0D" w:themeColor="text1" w:themeTint="F2"/>
        </w:rPr>
        <w:br/>
        <w:t>Healthcare practitioners can make more comprehensive decisions by taking into account the patient's physical, mental, and emotional well-being by incorporating CGM data into electronic health records.</w:t>
      </w:r>
      <w:r w:rsidR="00A7604C" w:rsidRPr="00A7604C">
        <w:rPr>
          <w:rFonts w:ascii="Arial" w:hAnsi="Arial" w:cs="Arial"/>
          <w:color w:val="0D0D0D" w:themeColor="text1" w:themeTint="F2"/>
        </w:rPr>
        <w:br/>
        <w:t>Shared access to comprehensive glucose data encourages collaboration and communication between patients and medical professionals, which improves critical thinking through ongoing feedback and evidence-based treatment modifications.</w:t>
      </w:r>
    </w:p>
    <w:p w14:paraId="0D2B7EB0" w14:textId="263EC374" w:rsidR="000E4AAD" w:rsidRPr="000E4AAD" w:rsidRDefault="000E4AAD" w:rsidP="000E4AAD">
      <w:pPr>
        <w:spacing w:line="360" w:lineRule="auto"/>
        <w:rPr>
          <w:rFonts w:ascii="Arial" w:hAnsi="Arial" w:cs="Arial"/>
          <w:color w:val="0D0D0D" w:themeColor="text1" w:themeTint="F2"/>
        </w:rPr>
      </w:pPr>
      <w:r w:rsidRPr="000E4AAD">
        <w:rPr>
          <w:rFonts w:ascii="Arial" w:hAnsi="Arial" w:cs="Arial"/>
          <w:color w:val="0D0D0D" w:themeColor="text1" w:themeTint="F2"/>
        </w:rPr>
        <w:t xml:space="preserve">By assisting employees in effectively managing their condition while maintaining productivity, the use of Dexcom ONE and other CGM systems lowers diabetes distress and promotes workforce participation. The </w:t>
      </w:r>
      <w:r w:rsidRPr="000E4AAD">
        <w:rPr>
          <w:rFonts w:ascii="Arial" w:hAnsi="Arial" w:cs="Arial"/>
          <w:color w:val="0D0D0D" w:themeColor="text1" w:themeTint="F2"/>
        </w:rPr>
        <w:br/>
        <w:t xml:space="preserve">Because CGM technology allows employees to better manage their diabetes without interfering with their work, employers who incorporate CGM support into health programs may see improvements in employee wellness and productivity. The </w:t>
      </w:r>
      <w:r w:rsidRPr="000E4AAD">
        <w:rPr>
          <w:rFonts w:ascii="Arial" w:hAnsi="Arial" w:cs="Arial"/>
          <w:color w:val="0D0D0D" w:themeColor="text1" w:themeTint="F2"/>
        </w:rPr>
        <w:br/>
        <w:t>Dexcom also offers career development and wellness support in the workplace, which is in line with inclusive, flexible work cultures where flexibility and critical thinking are crucial.</w:t>
      </w:r>
    </w:p>
    <w:p w14:paraId="0D41DA41" w14:textId="77777777" w:rsidR="000E4AAD" w:rsidRPr="00A7604C" w:rsidRDefault="000E4AAD" w:rsidP="00A7604C">
      <w:pPr>
        <w:spacing w:line="360" w:lineRule="auto"/>
        <w:rPr>
          <w:rFonts w:ascii="Arial" w:hAnsi="Arial" w:cs="Arial"/>
          <w:color w:val="0D0D0D" w:themeColor="text1" w:themeTint="F2"/>
        </w:rPr>
      </w:pPr>
    </w:p>
    <w:p w14:paraId="09456966" w14:textId="6CD16838" w:rsidR="007E0172" w:rsidRPr="007E0172" w:rsidRDefault="007E0172" w:rsidP="007E0172">
      <w:pPr>
        <w:spacing w:line="360" w:lineRule="auto"/>
        <w:rPr>
          <w:rFonts w:ascii="Arial" w:hAnsi="Arial" w:cs="Arial"/>
          <w:color w:val="0D0D0D" w:themeColor="text1" w:themeTint="F2"/>
        </w:rPr>
      </w:pPr>
    </w:p>
    <w:p w14:paraId="549D3E14" w14:textId="20725B00" w:rsidR="003646ED" w:rsidRPr="003646ED" w:rsidRDefault="003646ED" w:rsidP="00582FBF">
      <w:pPr>
        <w:spacing w:line="360" w:lineRule="auto"/>
        <w:rPr>
          <w:rFonts w:ascii="Arial" w:hAnsi="Arial" w:cs="Arial"/>
          <w:color w:val="0D0D0D" w:themeColor="text1" w:themeTint="F2"/>
        </w:rPr>
      </w:pPr>
    </w:p>
    <w:p w14:paraId="4FF4710E" w14:textId="77777777" w:rsidR="003646ED" w:rsidRPr="00430576" w:rsidRDefault="003646ED" w:rsidP="00582FBF">
      <w:pPr>
        <w:spacing w:line="360" w:lineRule="auto"/>
        <w:rPr>
          <w:rFonts w:ascii="Arial" w:hAnsi="Arial" w:cs="Arial"/>
          <w:color w:val="0D0D0D" w:themeColor="text1" w:themeTint="F2"/>
        </w:rPr>
      </w:pPr>
    </w:p>
    <w:p w14:paraId="61241919" w14:textId="7CD279EC" w:rsidR="00C80D0F" w:rsidRPr="00582FBF" w:rsidRDefault="00C80D0F" w:rsidP="00582FBF">
      <w:pPr>
        <w:spacing w:line="360" w:lineRule="auto"/>
        <w:rPr>
          <w:rFonts w:ascii="Arial" w:hAnsi="Arial" w:cs="Arial"/>
          <w:b/>
          <w:bCs/>
        </w:rPr>
      </w:pPr>
      <w:r w:rsidRPr="00582FBF">
        <w:rPr>
          <w:rFonts w:ascii="Arial" w:hAnsi="Arial" w:cs="Arial"/>
          <w:b/>
          <w:bCs/>
        </w:rPr>
        <w:t xml:space="preserve">Impact on service delivery </w:t>
      </w:r>
      <w:r w:rsidR="003D3D9E" w:rsidRPr="00582FBF">
        <w:rPr>
          <w:rFonts w:ascii="Arial" w:hAnsi="Arial" w:cs="Arial"/>
          <w:b/>
          <w:bCs/>
        </w:rPr>
        <w:t>(Philpott)</w:t>
      </w:r>
    </w:p>
    <w:p w14:paraId="6110C28E" w14:textId="77777777" w:rsidR="005B7479" w:rsidRPr="005B7479" w:rsidRDefault="005B7479" w:rsidP="005B7479">
      <w:pPr>
        <w:spacing w:line="360" w:lineRule="auto"/>
        <w:rPr>
          <w:rFonts w:ascii="Arial" w:hAnsi="Arial" w:cs="Arial"/>
          <w:color w:val="0D0D0D" w:themeColor="text1" w:themeTint="F2"/>
        </w:rPr>
      </w:pPr>
      <w:r w:rsidRPr="005B7479">
        <w:rPr>
          <w:rFonts w:ascii="Arial" w:hAnsi="Arial" w:cs="Arial"/>
          <w:color w:val="0D0D0D" w:themeColor="text1" w:themeTint="F2"/>
        </w:rPr>
        <w:lastRenderedPageBreak/>
        <w:t>Dexcom ONE has a big influence on how services are provided and how health and social care workers think critically. In order to improve patient outcomes and operational efficiency, real-time continuous glucose monitoring (CGM) requires frequent critical evaluation of patient data and service priorities. This allows for quick, customised responses and simplifies workflows.</w:t>
      </w:r>
    </w:p>
    <w:p w14:paraId="3DC99F12" w14:textId="5CA21E11" w:rsidR="00E74C6A" w:rsidRPr="00582FBF" w:rsidRDefault="00607F89" w:rsidP="00582FBF">
      <w:pPr>
        <w:spacing w:line="360" w:lineRule="auto"/>
        <w:rPr>
          <w:rFonts w:ascii="Arial" w:hAnsi="Arial" w:cs="Arial"/>
          <w:color w:val="0D0D0D" w:themeColor="text1" w:themeTint="F2"/>
        </w:rPr>
      </w:pPr>
      <w:r w:rsidRPr="00607F89">
        <w:rPr>
          <w:rFonts w:ascii="Arial" w:hAnsi="Arial" w:cs="Arial"/>
          <w:color w:val="0D0D0D" w:themeColor="text1" w:themeTint="F2"/>
        </w:rPr>
        <w:t>Through improved patient-clinician engagement and simplified glucose monitoring, the launch of Dexcom ONE+ fundamentally alters the way diabetes services are delivered on a daily basis. With Dexcom ONE+, you may get continuous glucose readings every five minutes without having to prick your finger thanks to an all-in-one sensor and transmitter that can be worn on your arm, belly, or upper buttocks (for kids ages 2 to 6).</w:t>
      </w:r>
      <w:r w:rsidR="00E74C6A" w:rsidRPr="00582FBF">
        <w:rPr>
          <w:rFonts w:ascii="Arial" w:eastAsia="Times New Roman" w:hAnsi="Arial" w:cs="Arial"/>
          <w:kern w:val="0"/>
          <w:lang w:eastAsia="en-GB"/>
        </w:rPr>
        <w:t xml:space="preserve"> </w:t>
      </w:r>
    </w:p>
    <w:p w14:paraId="7ACA800C" w14:textId="7AE852AC" w:rsidR="00607F89" w:rsidRPr="00582FBF" w:rsidRDefault="00607F89" w:rsidP="00582FBF">
      <w:pPr>
        <w:spacing w:line="360" w:lineRule="auto"/>
        <w:rPr>
          <w:rFonts w:ascii="Arial" w:hAnsi="Arial" w:cs="Arial"/>
          <w:color w:val="0D0D0D" w:themeColor="text1" w:themeTint="F2"/>
        </w:rPr>
      </w:pPr>
    </w:p>
    <w:p w14:paraId="7C61358E" w14:textId="77777777" w:rsidR="00E86E37" w:rsidRPr="00582FBF" w:rsidRDefault="00E86E37" w:rsidP="00582FBF">
      <w:pPr>
        <w:spacing w:line="360" w:lineRule="auto"/>
        <w:rPr>
          <w:rFonts w:ascii="Arial" w:hAnsi="Arial" w:cs="Arial"/>
          <w:color w:val="0D0D0D" w:themeColor="text1" w:themeTint="F2"/>
        </w:rPr>
      </w:pPr>
      <w:r w:rsidRPr="00E86E37">
        <w:rPr>
          <w:rFonts w:ascii="Arial" w:hAnsi="Arial" w:cs="Arial"/>
          <w:b/>
          <w:bCs/>
          <w:color w:val="0D0D0D" w:themeColor="text1" w:themeTint="F2"/>
        </w:rPr>
        <w:t>Simplified Monitoring:</w:t>
      </w:r>
      <w:r w:rsidRPr="00E86E37">
        <w:rPr>
          <w:rFonts w:ascii="Arial" w:hAnsi="Arial" w:cs="Arial"/>
          <w:color w:val="0D0D0D" w:themeColor="text1" w:themeTint="F2"/>
        </w:rPr>
        <w:t xml:space="preserve"> Compared to earlier versions, patients simply utilise a single, smaller sensor that has a 10-day wear duration and a 12-hour grace period, which reduces device complexity and modifications. " </w:t>
      </w:r>
      <w:r w:rsidRPr="00E86E37">
        <w:rPr>
          <w:rFonts w:ascii="Arial" w:hAnsi="Arial" w:cs="Arial"/>
          <w:color w:val="0D0D0D" w:themeColor="text1" w:themeTint="F2"/>
        </w:rPr>
        <w:br/>
      </w:r>
      <w:r w:rsidRPr="00E86E37">
        <w:rPr>
          <w:rFonts w:ascii="Arial" w:hAnsi="Arial" w:cs="Arial"/>
          <w:color w:val="0D0D0D" w:themeColor="text1" w:themeTint="F2"/>
        </w:rPr>
        <w:br/>
      </w:r>
      <w:r w:rsidRPr="00E86E37">
        <w:rPr>
          <w:rFonts w:ascii="Arial" w:hAnsi="Arial" w:cs="Arial"/>
          <w:b/>
          <w:bCs/>
          <w:color w:val="0D0D0D" w:themeColor="text1" w:themeTint="F2"/>
        </w:rPr>
        <w:t>Remote Data Access:</w:t>
      </w:r>
      <w:r w:rsidRPr="00E86E37">
        <w:rPr>
          <w:rFonts w:ascii="Arial" w:hAnsi="Arial" w:cs="Arial"/>
          <w:color w:val="0D0D0D" w:themeColor="text1" w:themeTint="F2"/>
        </w:rPr>
        <w:t xml:space="preserve"> Glucose data is automatically sent to Dexcom Clarity, giving medical professionals internet access to both historical and real-time data. This makes evaluations more effective, decreases in-person visits, and encourages proactive, data-driven care. " </w:t>
      </w:r>
      <w:r w:rsidRPr="00E86E37">
        <w:rPr>
          <w:rFonts w:ascii="Arial" w:hAnsi="Arial" w:cs="Arial"/>
          <w:color w:val="0D0D0D" w:themeColor="text1" w:themeTint="F2"/>
        </w:rPr>
        <w:br/>
      </w:r>
      <w:r w:rsidRPr="00E86E37">
        <w:rPr>
          <w:rFonts w:ascii="Arial" w:hAnsi="Arial" w:cs="Arial"/>
          <w:color w:val="0D0D0D" w:themeColor="text1" w:themeTint="F2"/>
        </w:rPr>
        <w:br/>
      </w:r>
      <w:r w:rsidRPr="00E86E37">
        <w:rPr>
          <w:rFonts w:ascii="Arial" w:hAnsi="Arial" w:cs="Arial"/>
          <w:b/>
          <w:bCs/>
          <w:color w:val="0D0D0D" w:themeColor="text1" w:themeTint="F2"/>
        </w:rPr>
        <w:t>Empowerment of the Patient:</w:t>
      </w:r>
      <w:r w:rsidRPr="00E86E37">
        <w:rPr>
          <w:rFonts w:ascii="Arial" w:hAnsi="Arial" w:cs="Arial"/>
          <w:color w:val="0D0D0D" w:themeColor="text1" w:themeTint="F2"/>
        </w:rPr>
        <w:t xml:space="preserve"> Real-time warnings on smartphones or receivers enable patients to handle highs and lows right away, increasing safety and lowering the need for emergency interventions.</w:t>
      </w:r>
    </w:p>
    <w:p w14:paraId="689F2997" w14:textId="77777777" w:rsidR="00B8761D" w:rsidRPr="00B8761D" w:rsidRDefault="00B8761D" w:rsidP="00582FBF">
      <w:pPr>
        <w:spacing w:line="360" w:lineRule="auto"/>
        <w:rPr>
          <w:rFonts w:ascii="Arial" w:hAnsi="Arial" w:cs="Arial"/>
          <w:color w:val="0D0D0D" w:themeColor="text1" w:themeTint="F2"/>
        </w:rPr>
      </w:pPr>
      <w:r w:rsidRPr="00B8761D">
        <w:rPr>
          <w:rFonts w:ascii="Arial" w:hAnsi="Arial" w:cs="Arial"/>
          <w:b/>
          <w:bCs/>
          <w:color w:val="0D0D0D" w:themeColor="text1" w:themeTint="F2"/>
        </w:rPr>
        <w:t>Enhanced Process:</w:t>
      </w:r>
      <w:r w:rsidRPr="00B8761D">
        <w:rPr>
          <w:rFonts w:ascii="Arial" w:hAnsi="Arial" w:cs="Arial"/>
          <w:color w:val="0D0D0D" w:themeColor="text1" w:themeTint="F2"/>
        </w:rPr>
        <w:t xml:space="preserve"> During routine or virtual visits, clinicians can more easily assess glucose patterns, allowing for more individualised therapy modifications. " </w:t>
      </w:r>
      <w:r w:rsidRPr="00B8761D">
        <w:rPr>
          <w:rFonts w:ascii="Arial" w:hAnsi="Arial" w:cs="Arial"/>
          <w:color w:val="0D0D0D" w:themeColor="text1" w:themeTint="F2"/>
        </w:rPr>
        <w:br/>
      </w:r>
      <w:r w:rsidRPr="00B8761D">
        <w:rPr>
          <w:rFonts w:ascii="Arial" w:hAnsi="Arial" w:cs="Arial"/>
          <w:color w:val="0D0D0D" w:themeColor="text1" w:themeTint="F2"/>
        </w:rPr>
        <w:br/>
      </w:r>
      <w:r w:rsidRPr="00B8761D">
        <w:rPr>
          <w:rFonts w:ascii="Arial" w:hAnsi="Arial" w:cs="Arial"/>
          <w:b/>
          <w:bCs/>
          <w:color w:val="0D0D0D" w:themeColor="text1" w:themeTint="F2"/>
        </w:rPr>
        <w:t>Impact on Mental Health:</w:t>
      </w:r>
      <w:r w:rsidRPr="00B8761D">
        <w:rPr>
          <w:rFonts w:ascii="Arial" w:hAnsi="Arial" w:cs="Arial"/>
          <w:color w:val="0D0D0D" w:themeColor="text1" w:themeTint="F2"/>
        </w:rPr>
        <w:t xml:space="preserve"> By providing reliable data, the technology reduces patients' concern about managing their blood sugar levels, which promotes both their physical and emotional health.</w:t>
      </w:r>
    </w:p>
    <w:p w14:paraId="3D318BE4" w14:textId="77777777" w:rsidR="00B8761D" w:rsidRPr="00E86E37" w:rsidRDefault="00B8761D" w:rsidP="00582FBF">
      <w:pPr>
        <w:spacing w:line="360" w:lineRule="auto"/>
        <w:rPr>
          <w:rFonts w:ascii="Arial" w:hAnsi="Arial" w:cs="Arial"/>
          <w:color w:val="0D0D0D" w:themeColor="text1" w:themeTint="F2"/>
        </w:rPr>
      </w:pPr>
    </w:p>
    <w:p w14:paraId="6EC946B6" w14:textId="77777777" w:rsidR="00E86E37" w:rsidRPr="00607F89" w:rsidRDefault="00E86E37" w:rsidP="00582FBF">
      <w:pPr>
        <w:spacing w:line="360" w:lineRule="auto"/>
        <w:rPr>
          <w:rFonts w:ascii="Arial" w:hAnsi="Arial" w:cs="Arial"/>
          <w:color w:val="0D0D0D" w:themeColor="text1" w:themeTint="F2"/>
        </w:rPr>
      </w:pPr>
    </w:p>
    <w:p w14:paraId="1F6F3871" w14:textId="77777777" w:rsidR="00534205" w:rsidRPr="00582FBF" w:rsidRDefault="00C80D0F" w:rsidP="00582FBF">
      <w:pPr>
        <w:spacing w:line="360" w:lineRule="auto"/>
        <w:rPr>
          <w:rFonts w:ascii="Arial" w:hAnsi="Arial" w:cs="Arial"/>
          <w:b/>
          <w:bCs/>
          <w:lang w:val="fr-FR"/>
        </w:rPr>
      </w:pPr>
      <w:r w:rsidRPr="00582FBF">
        <w:rPr>
          <w:rFonts w:ascii="Arial" w:hAnsi="Arial" w:cs="Arial"/>
          <w:b/>
          <w:bCs/>
          <w:lang w:val="fr-FR"/>
        </w:rPr>
        <w:t xml:space="preserve">Impact on patients </w:t>
      </w:r>
      <w:r w:rsidR="00534205" w:rsidRPr="00582FBF">
        <w:rPr>
          <w:rFonts w:ascii="Arial" w:hAnsi="Arial" w:cs="Arial"/>
          <w:b/>
          <w:bCs/>
          <w:lang w:val="fr-FR"/>
        </w:rPr>
        <w:t>(Elliott et al.)</w:t>
      </w:r>
    </w:p>
    <w:p w14:paraId="7F63B5DB" w14:textId="788CAA1E" w:rsidR="002023FA" w:rsidRPr="002023FA" w:rsidRDefault="00420269" w:rsidP="00582FBF">
      <w:pPr>
        <w:spacing w:line="360" w:lineRule="auto"/>
        <w:rPr>
          <w:rFonts w:ascii="Arial" w:hAnsi="Arial" w:cs="Arial"/>
          <w:color w:val="0D0D0D" w:themeColor="text1" w:themeTint="F2"/>
        </w:rPr>
      </w:pPr>
      <w:r w:rsidRPr="00420269">
        <w:rPr>
          <w:rFonts w:ascii="Arial" w:hAnsi="Arial" w:cs="Arial"/>
          <w:color w:val="0D0D0D" w:themeColor="text1" w:themeTint="F2"/>
        </w:rPr>
        <w:t>Se</w:t>
      </w:r>
      <w:r>
        <w:rPr>
          <w:rFonts w:ascii="Arial" w:hAnsi="Arial" w:cs="Arial"/>
          <w:color w:val="0D0D0D" w:themeColor="text1" w:themeTint="F2"/>
        </w:rPr>
        <w:t>nsor</w:t>
      </w:r>
      <w:r w:rsidR="002023FA" w:rsidRPr="002023FA">
        <w:rPr>
          <w:rFonts w:ascii="Arial" w:hAnsi="Arial" w:cs="Arial"/>
          <w:color w:val="0D0D0D" w:themeColor="text1" w:themeTint="F2"/>
        </w:rPr>
        <w:t xml:space="preserve"> makes glucose monitoring easier, less unpleasant, and more empowering, it has a favourable effect on patients' opinions and experiences of their care. With an easy-to-use, all-in-one sensor that can be discreetly worn on several body areas, Dexcom ONE+ offers continuous, real-time glucose readings in contrast to traditional finger-prick testing. This results in increased confidence and peace of mind by lowering anxiety related to glucose management and uncomfortable frequent testing.</w:t>
      </w:r>
    </w:p>
    <w:p w14:paraId="03D0D307" w14:textId="107A05CE" w:rsidR="00153FB1" w:rsidRPr="00582FBF" w:rsidRDefault="00A71E36" w:rsidP="00582FBF">
      <w:pPr>
        <w:spacing w:line="360" w:lineRule="auto"/>
        <w:rPr>
          <w:rFonts w:ascii="Arial" w:hAnsi="Arial" w:cs="Arial"/>
          <w:color w:val="0D0D0D" w:themeColor="text1" w:themeTint="F2"/>
        </w:rPr>
      </w:pPr>
      <w:r w:rsidRPr="00A71E36">
        <w:rPr>
          <w:rFonts w:ascii="Arial" w:hAnsi="Arial" w:cs="Arial"/>
          <w:color w:val="0D0D0D" w:themeColor="text1" w:themeTint="F2"/>
        </w:rPr>
        <w:t xml:space="preserve">Customisable notifications let patients know when their blood sugar levels are high or low before harmful circumstances occur, encouraging proactive self-care and lowering emergency response rates. The Dexcom Follow app improves patient support networks and mental well-being by allowing up to 10 family members or carers to view glucose data. " </w:t>
      </w:r>
      <w:r w:rsidRPr="00A71E36">
        <w:rPr>
          <w:rFonts w:ascii="Arial" w:hAnsi="Arial" w:cs="Arial"/>
          <w:color w:val="0D0D0D" w:themeColor="text1" w:themeTint="F2"/>
        </w:rPr>
        <w:br/>
      </w:r>
      <w:r w:rsidRPr="00A71E36">
        <w:rPr>
          <w:rFonts w:ascii="Arial" w:hAnsi="Arial" w:cs="Arial"/>
          <w:color w:val="0D0D0D" w:themeColor="text1" w:themeTint="F2"/>
        </w:rPr>
        <w:br/>
        <w:t>Furthermore, monitoring may be easily incorporated into patients' everyday routines and lives thanks to a 12-hour grace period for sensor replacement and a quicker sensor warm-up time. These characteristics facilitate better quality of life, treatment satisfaction, and less intrusive diabetes management.</w:t>
      </w:r>
      <w:r w:rsidR="00153FB1" w:rsidRPr="00582FBF">
        <w:rPr>
          <w:rFonts w:ascii="Arial" w:eastAsia="Times New Roman" w:hAnsi="Arial" w:cs="Arial"/>
          <w:kern w:val="0"/>
          <w:lang w:eastAsia="en-GB"/>
        </w:rPr>
        <w:t xml:space="preserve"> </w:t>
      </w:r>
      <w:r w:rsidR="00153FB1" w:rsidRPr="00582FBF">
        <w:rPr>
          <w:rFonts w:ascii="Arial" w:hAnsi="Arial" w:cs="Arial"/>
          <w:color w:val="0D0D0D" w:themeColor="text1" w:themeTint="F2"/>
        </w:rPr>
        <w:t>(Dexcom, n.d.)</w:t>
      </w:r>
    </w:p>
    <w:p w14:paraId="3D0A30FA" w14:textId="7D3C619F" w:rsidR="00A71E36" w:rsidRPr="00A71E36" w:rsidRDefault="00A71E36" w:rsidP="00582FBF">
      <w:pPr>
        <w:spacing w:line="360" w:lineRule="auto"/>
        <w:rPr>
          <w:rFonts w:ascii="Arial" w:hAnsi="Arial" w:cs="Arial"/>
          <w:color w:val="0D0D0D" w:themeColor="text1" w:themeTint="F2"/>
        </w:rPr>
      </w:pPr>
    </w:p>
    <w:p w14:paraId="7FD456A2" w14:textId="77777777" w:rsidR="002023FA" w:rsidRPr="00582FBF" w:rsidRDefault="002023FA" w:rsidP="00582FBF">
      <w:pPr>
        <w:spacing w:line="360" w:lineRule="auto"/>
        <w:rPr>
          <w:rFonts w:ascii="Arial" w:hAnsi="Arial" w:cs="Arial"/>
          <w:i/>
          <w:iCs/>
          <w:color w:val="0070C0"/>
        </w:rPr>
      </w:pPr>
    </w:p>
    <w:p w14:paraId="1D0440C5" w14:textId="77777777" w:rsidR="001327DC" w:rsidRPr="00582FBF" w:rsidRDefault="00C80D0F" w:rsidP="00582FBF">
      <w:pPr>
        <w:spacing w:line="360" w:lineRule="auto"/>
        <w:rPr>
          <w:rFonts w:ascii="Arial" w:hAnsi="Arial" w:cs="Arial"/>
          <w:b/>
          <w:bCs/>
        </w:rPr>
      </w:pPr>
      <w:r w:rsidRPr="00582FBF">
        <w:rPr>
          <w:rFonts w:ascii="Arial" w:hAnsi="Arial" w:cs="Arial"/>
          <w:b/>
          <w:bCs/>
        </w:rPr>
        <w:t xml:space="preserve">Impact on community </w:t>
      </w:r>
      <w:r w:rsidR="001327DC" w:rsidRPr="00582FBF">
        <w:rPr>
          <w:rFonts w:ascii="Arial" w:hAnsi="Arial" w:cs="Arial"/>
          <w:b/>
          <w:bCs/>
        </w:rPr>
        <w:t>(Grace et al.)</w:t>
      </w:r>
    </w:p>
    <w:p w14:paraId="5E4B9A45" w14:textId="77777777" w:rsidR="009F69A8" w:rsidRPr="009F69A8" w:rsidRDefault="009F69A8" w:rsidP="009F69A8">
      <w:pPr>
        <w:spacing w:line="360" w:lineRule="auto"/>
        <w:rPr>
          <w:rFonts w:ascii="Arial" w:hAnsi="Arial" w:cs="Arial"/>
          <w:color w:val="0D0D0D" w:themeColor="text1" w:themeTint="F2"/>
        </w:rPr>
      </w:pPr>
      <w:r w:rsidRPr="009F69A8">
        <w:rPr>
          <w:rFonts w:ascii="Arial" w:hAnsi="Arial" w:cs="Arial"/>
          <w:color w:val="0D0D0D" w:themeColor="text1" w:themeTint="F2"/>
        </w:rPr>
        <w:t>Dexcom ONE significantly influences the critical thinking of the community, particularly among diabetic populations. By making real-time glucose monitoring easily accessible, Dexcom ONE promotes community advocacy, group learning, and improved health literacy. It also supports public discussions that strengthen analytical skills and advance evidence-based diabetes management at the population level.</w:t>
      </w:r>
    </w:p>
    <w:p w14:paraId="135F179F" w14:textId="61E2526A" w:rsidR="007A4557" w:rsidRPr="007A4557" w:rsidRDefault="007A4557" w:rsidP="007A4557">
      <w:pPr>
        <w:spacing w:line="360" w:lineRule="auto"/>
        <w:rPr>
          <w:rFonts w:ascii="Arial" w:hAnsi="Arial" w:cs="Arial"/>
          <w:color w:val="0D0D0D" w:themeColor="text1" w:themeTint="F2"/>
        </w:rPr>
      </w:pPr>
      <w:r w:rsidRPr="007A4557">
        <w:rPr>
          <w:rFonts w:ascii="Arial" w:hAnsi="Arial" w:cs="Arial"/>
          <w:color w:val="0D0D0D" w:themeColor="text1" w:themeTint="F2"/>
        </w:rPr>
        <w:t xml:space="preserve">People with diabetes, their families, and community leaders come together through Dexcom ONE programs like the Dexcom Warriors program to exchange personal stories, promote evidence-based treatment, and inspire one another to make informed decisions every day. This creates an atmosphere where critical discussion, </w:t>
      </w:r>
      <w:r w:rsidRPr="007A4557">
        <w:rPr>
          <w:rFonts w:ascii="Arial" w:hAnsi="Arial" w:cs="Arial"/>
          <w:color w:val="0D0D0D" w:themeColor="text1" w:themeTint="F2"/>
        </w:rPr>
        <w:lastRenderedPageBreak/>
        <w:t xml:space="preserve">analysis, and introspection regarding diabetes care become commonplace. </w:t>
      </w:r>
      <w:r w:rsidRPr="007A4557">
        <w:rPr>
          <w:rFonts w:ascii="Arial" w:hAnsi="Arial" w:cs="Arial"/>
          <w:color w:val="0D0D0D" w:themeColor="text1" w:themeTint="F2"/>
        </w:rPr>
        <w:br/>
        <w:t>Communities get a greater knowledge of the psychological, social, and medical difficulties associated with diabetes through awareness campaigns and peer-led initiatives. CGM devices' real-time output sparks conversations in groups about dietary preferences, exercise routines, and mental well-being, encouraging critical thinking about lifestyle choices and access to healthcare.</w:t>
      </w:r>
    </w:p>
    <w:p w14:paraId="2AA2A867" w14:textId="78184303" w:rsidR="000E5CA1" w:rsidRPr="000E5CA1" w:rsidRDefault="000E5CA1" w:rsidP="007A4557">
      <w:pPr>
        <w:spacing w:line="360" w:lineRule="auto"/>
        <w:rPr>
          <w:rFonts w:ascii="Arial" w:hAnsi="Arial" w:cs="Arial"/>
          <w:color w:val="0D0D0D" w:themeColor="text1" w:themeTint="F2"/>
        </w:rPr>
      </w:pPr>
    </w:p>
    <w:p w14:paraId="1A0280D8" w14:textId="365BE7DB" w:rsidR="00C160F3" w:rsidRPr="00121548" w:rsidRDefault="007D77DB" w:rsidP="00582FBF">
      <w:pPr>
        <w:spacing w:line="360" w:lineRule="auto"/>
        <w:rPr>
          <w:rFonts w:ascii="Arial" w:eastAsia="Times New Roman" w:hAnsi="Arial" w:cs="Arial"/>
          <w:kern w:val="0"/>
          <w:lang w:eastAsia="en-GB"/>
        </w:rPr>
      </w:pPr>
      <w:r w:rsidRPr="00582FBF">
        <w:rPr>
          <w:rFonts w:ascii="Arial" w:eastAsia="Times New Roman" w:hAnsi="Arial" w:cs="Arial"/>
          <w:kern w:val="0"/>
          <w:lang w:eastAsia="en-GB"/>
        </w:rPr>
        <w:t xml:space="preserve"> </w:t>
      </w:r>
      <w:r w:rsidR="00121548" w:rsidRPr="00121548">
        <w:rPr>
          <w:rFonts w:ascii="Arial" w:eastAsia="Times New Roman" w:hAnsi="Arial" w:cs="Arial"/>
          <w:kern w:val="0"/>
          <w:lang w:eastAsia="en-GB"/>
        </w:rPr>
        <w:t>By highlighting health disparities and inspiring local action, survey results and educational initiatives funded by Dexcom ONE enable communities to recognise obstacles, confront systemic problems, and push for legislative reforms using empirical evidence and group reasoning. By increasing access to enabling technology and encouraging critical analysis of community health resources and policies, Dexcom ONE's expansion into underprivileged and socioeconomically disadvantaged places demonstrates its potential to reduce health inequities. I</w:t>
      </w:r>
      <w:r w:rsidR="00121548" w:rsidRPr="00121548">
        <w:rPr>
          <w:rFonts w:ascii="Arial" w:eastAsia="Times New Roman" w:hAnsi="Arial" w:cs="Arial"/>
          <w:kern w:val="0"/>
          <w:lang w:eastAsia="en-GB"/>
        </w:rPr>
        <w:br/>
      </w:r>
      <w:r w:rsidR="00121548" w:rsidRPr="00121548">
        <w:rPr>
          <w:rFonts w:ascii="Arial" w:eastAsia="Times New Roman" w:hAnsi="Arial" w:cs="Arial"/>
          <w:kern w:val="0"/>
          <w:lang w:eastAsia="en-GB"/>
        </w:rPr>
        <w:br/>
        <w:t>Increased resilience, group advocacy, and participatory research are results of community-driven initiatives. This promotes crucial involvement with health services and strengthens the group's capacity to recognise and respond to health trends at the population level.</w:t>
      </w:r>
      <w:r w:rsidRPr="00582FBF">
        <w:rPr>
          <w:rFonts w:ascii="Arial" w:hAnsi="Arial" w:cs="Arial"/>
          <w:color w:val="0D0D0D" w:themeColor="text1" w:themeTint="F2"/>
        </w:rPr>
        <w:t>(Park, 2024</w:t>
      </w:r>
      <w:r w:rsidR="00121548">
        <w:rPr>
          <w:rFonts w:ascii="Arial" w:hAnsi="Arial" w:cs="Arial"/>
          <w:color w:val="0D0D0D" w:themeColor="text1" w:themeTint="F2"/>
        </w:rPr>
        <w:t>)</w:t>
      </w:r>
    </w:p>
    <w:p w14:paraId="2A17C66A" w14:textId="7D182E7B" w:rsidR="00C160F3" w:rsidRPr="00FF3A30" w:rsidRDefault="00C160F3" w:rsidP="00095827">
      <w:pPr>
        <w:spacing w:line="360" w:lineRule="auto"/>
        <w:rPr>
          <w:rFonts w:ascii="Arial" w:hAnsi="Arial" w:cs="Arial"/>
          <w:color w:val="0D0D0D" w:themeColor="text1" w:themeTint="F2"/>
        </w:rPr>
      </w:pPr>
    </w:p>
    <w:p w14:paraId="672F29A4" w14:textId="77777777" w:rsidR="00171B69" w:rsidRPr="00095827" w:rsidRDefault="00171B69" w:rsidP="00095827">
      <w:pPr>
        <w:spacing w:line="360" w:lineRule="auto"/>
        <w:rPr>
          <w:rFonts w:ascii="Arial" w:hAnsi="Arial" w:cs="Arial"/>
          <w:b/>
          <w:bCs/>
          <w:color w:val="0D0D0D" w:themeColor="text1" w:themeTint="F2"/>
        </w:rPr>
      </w:pPr>
    </w:p>
    <w:p w14:paraId="0C5078D7" w14:textId="77777777" w:rsidR="00C80D0F" w:rsidRPr="00582FBF" w:rsidRDefault="00C80D0F" w:rsidP="00582FBF">
      <w:pPr>
        <w:spacing w:line="360" w:lineRule="auto"/>
        <w:rPr>
          <w:rFonts w:ascii="Arial" w:hAnsi="Arial" w:cs="Arial"/>
          <w:b/>
          <w:bCs/>
        </w:rPr>
      </w:pPr>
      <w:r w:rsidRPr="00582FBF">
        <w:rPr>
          <w:rFonts w:ascii="Arial" w:hAnsi="Arial" w:cs="Arial"/>
          <w:b/>
          <w:bCs/>
        </w:rPr>
        <w:t>Conclusion</w:t>
      </w:r>
    </w:p>
    <w:p w14:paraId="5C62C555" w14:textId="09951D08" w:rsidR="00F52C32" w:rsidRPr="00582FBF" w:rsidRDefault="008375B5" w:rsidP="00582FBF">
      <w:pPr>
        <w:spacing w:line="360" w:lineRule="auto"/>
        <w:rPr>
          <w:rFonts w:ascii="Arial" w:hAnsi="Arial" w:cs="Arial"/>
        </w:rPr>
      </w:pPr>
      <w:r w:rsidRPr="00582FBF">
        <w:rPr>
          <w:rFonts w:ascii="Arial" w:hAnsi="Arial" w:cs="Arial"/>
        </w:rPr>
        <w:t xml:space="preserve"> </w:t>
      </w:r>
      <w:r w:rsidR="00F52C32" w:rsidRPr="00582FBF">
        <w:rPr>
          <w:rFonts w:ascii="Arial" w:hAnsi="Arial" w:cs="Arial"/>
        </w:rPr>
        <w:t>In summary, Dexcom ONE+ combines patient-</w:t>
      </w:r>
      <w:r w:rsidR="00330487" w:rsidRPr="00582FBF">
        <w:rPr>
          <w:rFonts w:ascii="Arial" w:hAnsi="Arial" w:cs="Arial"/>
        </w:rPr>
        <w:t>centred</w:t>
      </w:r>
      <w:r w:rsidR="00F52C32" w:rsidRPr="00582FBF">
        <w:rPr>
          <w:rFonts w:ascii="Arial" w:hAnsi="Arial" w:cs="Arial"/>
        </w:rPr>
        <w:t xml:space="preserve"> care with continuous glucose monitoring technology, marking a revolutionary breakthrough in diabetes management. By using a tiny, wearable sensor that gives real-time data, it streamlines glucose monitoring, lessening the need for finger-prick tests and improving user comfort and convenience. " </w:t>
      </w:r>
      <w:r w:rsidR="00F52C32" w:rsidRPr="00582FBF">
        <w:rPr>
          <w:rFonts w:ascii="Arial" w:hAnsi="Arial" w:cs="Arial"/>
        </w:rPr>
        <w:br/>
      </w:r>
      <w:r w:rsidR="00F52C32" w:rsidRPr="00582FBF">
        <w:rPr>
          <w:rFonts w:ascii="Arial" w:hAnsi="Arial" w:cs="Arial"/>
        </w:rPr>
        <w:br/>
        <w:t xml:space="preserve">The system's data-sharing features, app connectivity, and real-time alerts encourage proactive care and educated self-management, promoting critical thinking in both patients and medical professionals. Decision-making and treatment personalisation </w:t>
      </w:r>
      <w:r w:rsidR="00F52C32" w:rsidRPr="00582FBF">
        <w:rPr>
          <w:rFonts w:ascii="Arial" w:hAnsi="Arial" w:cs="Arial"/>
        </w:rPr>
        <w:lastRenderedPageBreak/>
        <w:t>are improved with Dexcom ONE+, which allows patients to see and react to glucose patterns as they happen.</w:t>
      </w:r>
    </w:p>
    <w:p w14:paraId="16D5E8AA" w14:textId="77777777" w:rsidR="00752F92" w:rsidRPr="00752F92" w:rsidRDefault="00752F92" w:rsidP="00582FBF">
      <w:pPr>
        <w:spacing w:line="360" w:lineRule="auto"/>
        <w:rPr>
          <w:rFonts w:ascii="Arial" w:hAnsi="Arial" w:cs="Arial"/>
        </w:rPr>
      </w:pPr>
      <w:r w:rsidRPr="00752F92">
        <w:rPr>
          <w:rFonts w:ascii="Arial" w:hAnsi="Arial" w:cs="Arial"/>
        </w:rPr>
        <w:t xml:space="preserve">Additionally, Dexcom ONE+ has a significant effect on family and community involvement. Healthcare professionals can effectively provide treatment in a variety of places, including homes and clinics, while family members can give patients with both practical and emotional support through remote monitoring. In order to improve health outcomes, this promotes co-production, in which patients, families, and professionals work together. " </w:t>
      </w:r>
      <w:r w:rsidRPr="00752F92">
        <w:rPr>
          <w:rFonts w:ascii="Arial" w:hAnsi="Arial" w:cs="Arial"/>
        </w:rPr>
        <w:br/>
      </w:r>
      <w:r w:rsidRPr="00752F92">
        <w:rPr>
          <w:rFonts w:ascii="Arial" w:hAnsi="Arial" w:cs="Arial"/>
        </w:rPr>
        <w:br/>
        <w:t>All things considered, Dexcom ONE+ enhances clinical results, public health, and quality of life by providing users with thorough glucose data, lowering complications, and encouraging an integrated, tech-enabled approach to diabetes management. The management of chronic diseases can be significantly changed by contemporary digital health instruments, as this invention demonstrates.</w:t>
      </w:r>
    </w:p>
    <w:p w14:paraId="7E08765E" w14:textId="77777777" w:rsidR="00752F92" w:rsidRPr="00582FBF" w:rsidRDefault="00752F92" w:rsidP="00582FBF">
      <w:pPr>
        <w:spacing w:line="360" w:lineRule="auto"/>
        <w:rPr>
          <w:rFonts w:ascii="Arial" w:hAnsi="Arial" w:cs="Arial"/>
        </w:rPr>
      </w:pPr>
    </w:p>
    <w:p w14:paraId="06388B3A" w14:textId="54394144" w:rsidR="00C80D0F" w:rsidRPr="00582FBF" w:rsidRDefault="00C80D0F" w:rsidP="00582FBF">
      <w:pPr>
        <w:spacing w:line="360" w:lineRule="auto"/>
        <w:rPr>
          <w:rFonts w:ascii="Arial" w:hAnsi="Arial" w:cs="Arial"/>
        </w:rPr>
      </w:pPr>
    </w:p>
    <w:p w14:paraId="4241EF9C" w14:textId="77777777" w:rsidR="00C80D0F" w:rsidRPr="00582FBF" w:rsidRDefault="00C80D0F" w:rsidP="00582FBF">
      <w:pPr>
        <w:spacing w:line="360" w:lineRule="auto"/>
        <w:rPr>
          <w:rFonts w:ascii="Arial" w:hAnsi="Arial" w:cs="Arial"/>
        </w:rPr>
      </w:pPr>
    </w:p>
    <w:p w14:paraId="76920EB5" w14:textId="77777777" w:rsidR="00C80D0F" w:rsidRPr="00582FBF" w:rsidRDefault="00C80D0F" w:rsidP="00582FBF">
      <w:pPr>
        <w:spacing w:line="360" w:lineRule="auto"/>
        <w:rPr>
          <w:rFonts w:ascii="Arial" w:hAnsi="Arial" w:cs="Arial"/>
        </w:rPr>
      </w:pPr>
    </w:p>
    <w:p w14:paraId="5C4B2A31" w14:textId="77777777" w:rsidR="00C80D0F" w:rsidRPr="00582FBF" w:rsidRDefault="00C80D0F" w:rsidP="00582FBF">
      <w:pPr>
        <w:spacing w:line="360" w:lineRule="auto"/>
        <w:rPr>
          <w:rFonts w:ascii="Arial" w:hAnsi="Arial" w:cs="Arial"/>
        </w:rPr>
      </w:pPr>
    </w:p>
    <w:p w14:paraId="254D7E0D" w14:textId="11629C1C" w:rsidR="00020BF5" w:rsidRPr="00582FBF" w:rsidRDefault="008375B5" w:rsidP="00582FBF">
      <w:pPr>
        <w:spacing w:line="360" w:lineRule="auto"/>
        <w:rPr>
          <w:rFonts w:ascii="Arial" w:hAnsi="Arial" w:cs="Arial"/>
          <w:b/>
          <w:bCs/>
        </w:rPr>
      </w:pPr>
      <w:r w:rsidRPr="00582FBF">
        <w:rPr>
          <w:rFonts w:ascii="Arial" w:hAnsi="Arial" w:cs="Arial"/>
          <w:b/>
          <w:bCs/>
        </w:rPr>
        <w:t>References</w:t>
      </w:r>
    </w:p>
    <w:p w14:paraId="751663F5" w14:textId="77777777" w:rsidR="00852134" w:rsidRPr="00DE38CE" w:rsidRDefault="00852134" w:rsidP="00582FBF">
      <w:pPr>
        <w:spacing w:line="360" w:lineRule="auto"/>
        <w:rPr>
          <w:rFonts w:ascii="Arial" w:hAnsi="Arial" w:cs="Arial"/>
        </w:rPr>
      </w:pPr>
      <w:r w:rsidRPr="00DE38CE">
        <w:rPr>
          <w:rFonts w:ascii="Arial" w:hAnsi="Arial" w:cs="Arial"/>
        </w:rPr>
        <w:t>Dexcom (2024). Dexcom launches upgraded ONE+ device in UK. Available at: </w:t>
      </w:r>
      <w:hyperlink r:id="rId13" w:tgtFrame="_blank" w:history="1">
        <w:r w:rsidRPr="00DE38CE">
          <w:rPr>
            <w:rStyle w:val="Hyperlink"/>
            <w:rFonts w:ascii="Arial" w:hAnsi="Arial" w:cs="Arial"/>
          </w:rPr>
          <w:t>https://www.medicaldevice-network.com/news/dexcom-launches-upgraded-one-device-in-uk/</w:t>
        </w:r>
      </w:hyperlink>
      <w:r w:rsidRPr="00DE38CE">
        <w:rPr>
          <w:rFonts w:ascii="Arial" w:hAnsi="Arial" w:cs="Arial"/>
        </w:rPr>
        <w:t> (Accessed: 18 October 2025).</w:t>
      </w:r>
    </w:p>
    <w:p w14:paraId="7705B0D3" w14:textId="77777777" w:rsidR="00852134" w:rsidRPr="00AC28CC" w:rsidRDefault="00852134" w:rsidP="00582FBF">
      <w:pPr>
        <w:spacing w:line="360" w:lineRule="auto"/>
        <w:rPr>
          <w:rFonts w:ascii="Arial" w:hAnsi="Arial" w:cs="Arial"/>
        </w:rPr>
      </w:pPr>
      <w:proofErr w:type="spellStart"/>
      <w:r w:rsidRPr="00AC28CC">
        <w:rPr>
          <w:rFonts w:ascii="Arial" w:hAnsi="Arial" w:cs="Arial"/>
        </w:rPr>
        <w:t>DexCom</w:t>
      </w:r>
      <w:proofErr w:type="spellEnd"/>
      <w:r w:rsidRPr="00AC28CC">
        <w:rPr>
          <w:rFonts w:ascii="Arial" w:hAnsi="Arial" w:cs="Arial"/>
        </w:rPr>
        <w:t>, Inc. (2025). Dexcom Launches Innovative New Sensor as Groundbreaking Diabetes Management Tool. Available at: </w:t>
      </w:r>
      <w:hyperlink r:id="rId14" w:tgtFrame="_blank" w:history="1">
        <w:r w:rsidRPr="00AC28CC">
          <w:rPr>
            <w:rStyle w:val="Hyperlink"/>
            <w:rFonts w:ascii="Arial" w:hAnsi="Arial" w:cs="Arial"/>
          </w:rPr>
          <w:t>https://www.investegate.co.uk/announcement/bzw/dexcom-inc--0a4m/dexcom-launches-innovative-new-sensor-as-grou-/8208064</w:t>
        </w:r>
      </w:hyperlink>
      <w:r w:rsidRPr="00AC28CC">
        <w:rPr>
          <w:rFonts w:ascii="Arial" w:hAnsi="Arial" w:cs="Arial"/>
        </w:rPr>
        <w:t> (Accessed: 18 October 2025).</w:t>
      </w:r>
    </w:p>
    <w:p w14:paraId="305D948D" w14:textId="77777777" w:rsidR="00852134" w:rsidRPr="00BF27AE" w:rsidRDefault="00852134" w:rsidP="00582FBF">
      <w:pPr>
        <w:spacing w:line="360" w:lineRule="auto"/>
        <w:rPr>
          <w:rFonts w:ascii="Arial" w:hAnsi="Arial" w:cs="Arial"/>
        </w:rPr>
      </w:pPr>
      <w:r w:rsidRPr="00BF27AE">
        <w:rPr>
          <w:rFonts w:ascii="Arial" w:hAnsi="Arial" w:cs="Arial"/>
        </w:rPr>
        <w:lastRenderedPageBreak/>
        <w:t>Dexcom. (2025). Dexcom ONE+ Compatibility with Phones and Smartwatches. Available at: </w:t>
      </w:r>
      <w:hyperlink r:id="rId15" w:tgtFrame="_blank" w:history="1">
        <w:r w:rsidRPr="00BF27AE">
          <w:rPr>
            <w:rStyle w:val="Hyperlink"/>
            <w:rFonts w:ascii="Arial" w:hAnsi="Arial" w:cs="Arial"/>
          </w:rPr>
          <w:t>https://www.dexcom.com/en-gb/compatibility</w:t>
        </w:r>
      </w:hyperlink>
      <w:r w:rsidRPr="00BF27AE">
        <w:rPr>
          <w:rFonts w:ascii="Arial" w:hAnsi="Arial" w:cs="Arial"/>
        </w:rPr>
        <w:t> (Accessed: 18 October 2025).</w:t>
      </w:r>
    </w:p>
    <w:p w14:paraId="1118AF7B" w14:textId="77777777" w:rsidR="00852134" w:rsidRPr="00582FBF" w:rsidRDefault="00852134" w:rsidP="00582FBF">
      <w:pPr>
        <w:spacing w:line="360" w:lineRule="auto"/>
        <w:rPr>
          <w:rFonts w:ascii="Arial" w:hAnsi="Arial" w:cs="Arial"/>
        </w:rPr>
      </w:pPr>
      <w:r w:rsidRPr="00582FBF">
        <w:rPr>
          <w:rFonts w:ascii="Arial" w:hAnsi="Arial" w:cs="Arial"/>
        </w:rPr>
        <w:t>Dexcom. (2025). How does Dexcom ONE+ CGM System work? Available at: </w:t>
      </w:r>
      <w:hyperlink r:id="rId16" w:tgtFrame="_blank" w:history="1">
        <w:r w:rsidRPr="00582FBF">
          <w:rPr>
            <w:rStyle w:val="Hyperlink"/>
            <w:rFonts w:ascii="Arial" w:hAnsi="Arial" w:cs="Arial"/>
          </w:rPr>
          <w:t>https://www.dexcom.com/en-nz/faqs/how-does-dexcom-one-plus-cgm-system-work</w:t>
        </w:r>
      </w:hyperlink>
      <w:r w:rsidRPr="00582FBF">
        <w:rPr>
          <w:rFonts w:ascii="Arial" w:hAnsi="Arial" w:cs="Arial"/>
        </w:rPr>
        <w:t> (Accessed: 18 October 2025).</w:t>
      </w:r>
    </w:p>
    <w:p w14:paraId="7B10B561" w14:textId="77777777" w:rsidR="00852134" w:rsidRPr="00BF27AE" w:rsidRDefault="00852134" w:rsidP="00582FBF">
      <w:pPr>
        <w:spacing w:line="360" w:lineRule="auto"/>
        <w:rPr>
          <w:rFonts w:ascii="Arial" w:hAnsi="Arial" w:cs="Arial"/>
        </w:rPr>
      </w:pPr>
      <w:r w:rsidRPr="00BF27AE">
        <w:rPr>
          <w:rFonts w:ascii="Arial" w:hAnsi="Arial" w:cs="Arial"/>
        </w:rPr>
        <w:t>Dexcom. (2025). Is my smartphone compatible with the Dexcom ONE+ app? Available at: </w:t>
      </w:r>
      <w:hyperlink r:id="rId17" w:tgtFrame="_blank" w:history="1">
        <w:r w:rsidRPr="00BF27AE">
          <w:rPr>
            <w:rStyle w:val="Hyperlink"/>
            <w:rFonts w:ascii="Arial" w:hAnsi="Arial" w:cs="Arial"/>
          </w:rPr>
          <w:t>https://www.dexcom.com/en-gb/faqs/is-my-smartphone-compatible-with-the-dexcom-one-plus-app</w:t>
        </w:r>
      </w:hyperlink>
      <w:r w:rsidRPr="00BF27AE">
        <w:rPr>
          <w:rFonts w:ascii="Arial" w:hAnsi="Arial" w:cs="Arial"/>
        </w:rPr>
        <w:t> (Accessed: 18 October 2025).</w:t>
      </w:r>
    </w:p>
    <w:p w14:paraId="4B0B572E" w14:textId="77777777" w:rsidR="00852134" w:rsidRPr="00CD700C" w:rsidRDefault="00852134" w:rsidP="00582FBF">
      <w:pPr>
        <w:spacing w:line="360" w:lineRule="auto"/>
        <w:rPr>
          <w:rFonts w:ascii="Arial" w:hAnsi="Arial" w:cs="Arial"/>
          <w:lang w:val="fr-FR"/>
        </w:rPr>
      </w:pPr>
      <w:r w:rsidRPr="00CD700C">
        <w:rPr>
          <w:rFonts w:ascii="Arial" w:hAnsi="Arial" w:cs="Arial"/>
        </w:rPr>
        <w:t xml:space="preserve">Diabetes Mellitus background and management: </w:t>
      </w:r>
      <w:proofErr w:type="spellStart"/>
      <w:r w:rsidRPr="00CD700C">
        <w:rPr>
          <w:rFonts w:ascii="Arial" w:hAnsi="Arial" w:cs="Arial"/>
        </w:rPr>
        <w:t>StatPearls</w:t>
      </w:r>
      <w:proofErr w:type="spellEnd"/>
      <w:r w:rsidRPr="00CD700C">
        <w:rPr>
          <w:rFonts w:ascii="Arial" w:hAnsi="Arial" w:cs="Arial"/>
        </w:rPr>
        <w:t xml:space="preserve">. </w:t>
      </w:r>
      <w:r w:rsidRPr="00CD700C">
        <w:rPr>
          <w:rFonts w:ascii="Arial" w:hAnsi="Arial" w:cs="Arial"/>
          <w:lang w:val="fr-FR"/>
        </w:rPr>
        <w:t>Diabetes Mellitus. 2023. Available from: </w:t>
      </w:r>
      <w:r>
        <w:fldChar w:fldCharType="begin"/>
      </w:r>
      <w:r w:rsidRPr="00A7604C">
        <w:rPr>
          <w:lang w:val="fr-FR"/>
        </w:rPr>
        <w:instrText>HYPERLINK "https://www.ncbi.nlm.nih.gov/books/NBK551501/" \t "_blank"</w:instrText>
      </w:r>
      <w:r>
        <w:fldChar w:fldCharType="separate"/>
      </w:r>
      <w:r w:rsidRPr="00CD700C">
        <w:rPr>
          <w:rStyle w:val="Hyperlink"/>
          <w:rFonts w:ascii="Arial" w:hAnsi="Arial" w:cs="Arial"/>
          <w:lang w:val="fr-FR"/>
        </w:rPr>
        <w:t>https://www.ncbi.nlm.nih.gov/books/NBK551501/</w:t>
      </w:r>
      <w:r>
        <w:fldChar w:fldCharType="end"/>
      </w:r>
    </w:p>
    <w:p w14:paraId="0D1C4CD1" w14:textId="77777777" w:rsidR="00852134" w:rsidRPr="007F63C4" w:rsidRDefault="00852134" w:rsidP="00582FBF">
      <w:pPr>
        <w:spacing w:line="360" w:lineRule="auto"/>
        <w:rPr>
          <w:rFonts w:ascii="Arial" w:hAnsi="Arial" w:cs="Arial"/>
          <w:lang w:val="fr-FR"/>
        </w:rPr>
      </w:pPr>
      <w:r w:rsidRPr="00CD700C">
        <w:rPr>
          <w:rFonts w:ascii="Arial" w:hAnsi="Arial" w:cs="Arial"/>
        </w:rPr>
        <w:t xml:space="preserve">Diabetes overview and types: Cleveland Clinic. Diabetes: What It Is, Causes, Symptoms, Treatment &amp; Types. </w:t>
      </w:r>
      <w:r w:rsidRPr="007F63C4">
        <w:rPr>
          <w:rFonts w:ascii="Arial" w:hAnsi="Arial" w:cs="Arial"/>
          <w:lang w:val="fr-FR"/>
        </w:rPr>
        <w:t>2025. Available from: </w:t>
      </w:r>
      <w:r>
        <w:fldChar w:fldCharType="begin"/>
      </w:r>
      <w:r w:rsidRPr="00A7604C">
        <w:rPr>
          <w:lang w:val="fr-FR"/>
        </w:rPr>
        <w:instrText>HYPERLINK "https://my.clevelandclinic.org/health/diseases/7104-diabetes" \t "_blank"</w:instrText>
      </w:r>
      <w:r>
        <w:fldChar w:fldCharType="separate"/>
      </w:r>
      <w:r w:rsidRPr="007F63C4">
        <w:rPr>
          <w:rStyle w:val="Hyperlink"/>
          <w:rFonts w:ascii="Arial" w:hAnsi="Arial" w:cs="Arial"/>
          <w:lang w:val="fr-FR"/>
        </w:rPr>
        <w:t>https://my.clevelandclinic.org/health/diseases/7104-diabetes</w:t>
      </w:r>
      <w:r>
        <w:fldChar w:fldCharType="end"/>
      </w:r>
    </w:p>
    <w:p w14:paraId="11BB9DE2" w14:textId="77777777" w:rsidR="00852134" w:rsidRPr="00582FBF" w:rsidRDefault="00852134" w:rsidP="00582FBF">
      <w:pPr>
        <w:spacing w:line="360" w:lineRule="auto"/>
        <w:rPr>
          <w:rFonts w:ascii="Arial" w:hAnsi="Arial" w:cs="Arial"/>
          <w:spacing w:val="1"/>
        </w:rPr>
      </w:pPr>
      <w:r w:rsidRPr="007E0172">
        <w:rPr>
          <w:rFonts w:ascii="Arial" w:hAnsi="Arial" w:cs="Arial"/>
          <w:lang w:val="fr-FR"/>
        </w:rPr>
        <w:t xml:space="preserve">Diabetes UK. </w:t>
      </w:r>
      <w:r w:rsidRPr="00582FBF">
        <w:rPr>
          <w:rFonts w:ascii="Arial" w:hAnsi="Arial" w:cs="Arial"/>
        </w:rPr>
        <w:t>(2025). How many people in the UK have diabetes? Available at: </w:t>
      </w:r>
      <w:hyperlink r:id="rId18" w:tgtFrame="_blank" w:history="1">
        <w:r w:rsidRPr="00582FBF">
          <w:rPr>
            <w:rStyle w:val="Hyperlink"/>
            <w:rFonts w:ascii="Arial" w:hAnsi="Arial" w:cs="Arial"/>
          </w:rPr>
          <w:t>https://www.diabetes.co.uk/diabetes-prevalence.html</w:t>
        </w:r>
      </w:hyperlink>
      <w:r w:rsidRPr="00582FBF">
        <w:rPr>
          <w:rFonts w:ascii="Arial" w:hAnsi="Arial" w:cs="Arial"/>
        </w:rPr>
        <w:t> (Accessed: 18 October 2025).</w:t>
      </w:r>
      <w:r w:rsidRPr="00582FBF">
        <w:rPr>
          <w:rFonts w:ascii="Arial" w:hAnsi="Arial" w:cs="Arial"/>
          <w:spacing w:val="1"/>
        </w:rPr>
        <w:t> (Accessed: 18 October 2025).</w:t>
      </w:r>
    </w:p>
    <w:p w14:paraId="65A4A42B" w14:textId="77777777" w:rsidR="00852134" w:rsidRPr="00D22AE5" w:rsidRDefault="00852134" w:rsidP="00582FBF">
      <w:pPr>
        <w:spacing w:line="360" w:lineRule="auto"/>
        <w:rPr>
          <w:rFonts w:ascii="Arial" w:hAnsi="Arial" w:cs="Arial"/>
        </w:rPr>
      </w:pPr>
      <w:r w:rsidRPr="00D22AE5">
        <w:rPr>
          <w:rFonts w:ascii="Arial" w:hAnsi="Arial" w:cs="Arial"/>
        </w:rPr>
        <w:t>Grace, T.P. (2024). The Dexcom Community Glucose Monitoring Project. PMC. Available at: </w:t>
      </w:r>
      <w:hyperlink r:id="rId19" w:tgtFrame="_blank" w:history="1">
        <w:r w:rsidRPr="00D22AE5">
          <w:rPr>
            <w:rStyle w:val="Hyperlink"/>
            <w:rFonts w:ascii="Arial" w:hAnsi="Arial" w:cs="Arial"/>
          </w:rPr>
          <w:t>https://pmc.ncbi.nlm.nih.gov/articles/PMC11486852/</w:t>
        </w:r>
      </w:hyperlink>
      <w:r w:rsidRPr="00D22AE5">
        <w:rPr>
          <w:rFonts w:ascii="Arial" w:hAnsi="Arial" w:cs="Arial"/>
        </w:rPr>
        <w:t> (Accessed: 18 October 2025).</w:t>
      </w:r>
    </w:p>
    <w:p w14:paraId="783AE0E1" w14:textId="77777777" w:rsidR="00852134" w:rsidRPr="00A7604C" w:rsidRDefault="00852134" w:rsidP="00582FBF">
      <w:pPr>
        <w:spacing w:line="360" w:lineRule="auto"/>
        <w:rPr>
          <w:rFonts w:ascii="Arial" w:hAnsi="Arial" w:cs="Arial"/>
          <w:lang w:val="fr-FR"/>
        </w:rPr>
      </w:pPr>
      <w:proofErr w:type="spellStart"/>
      <w:r w:rsidRPr="00DD7FD5">
        <w:rPr>
          <w:rFonts w:ascii="Arial" w:hAnsi="Arial" w:cs="Arial"/>
        </w:rPr>
        <w:t>Mahdavian</w:t>
      </w:r>
      <w:proofErr w:type="spellEnd"/>
      <w:r w:rsidRPr="00DD7FD5">
        <w:rPr>
          <w:rFonts w:ascii="Arial" w:hAnsi="Arial" w:cs="Arial"/>
        </w:rPr>
        <w:t xml:space="preserve">, S. (2021). The Dexcom G6 Continuous Glucose Monitoring System. </w:t>
      </w:r>
      <w:r w:rsidRPr="00A7604C">
        <w:rPr>
          <w:rFonts w:ascii="Arial" w:hAnsi="Arial" w:cs="Arial"/>
          <w:lang w:val="fr-FR"/>
        </w:rPr>
        <w:t>US Pharmacist. Available at: </w:t>
      </w:r>
      <w:hyperlink r:id="rId20" w:tgtFrame="_blank" w:history="1">
        <w:r w:rsidRPr="00A7604C">
          <w:rPr>
            <w:rStyle w:val="Hyperlink"/>
            <w:rFonts w:ascii="Arial" w:hAnsi="Arial" w:cs="Arial"/>
            <w:lang w:val="fr-FR"/>
          </w:rPr>
          <w:t>https://www.uspharmacist.com/article/the-dexcom-g6-continuous-glucose-monitoring-system</w:t>
        </w:r>
      </w:hyperlink>
      <w:r w:rsidRPr="00A7604C">
        <w:rPr>
          <w:rFonts w:ascii="Arial" w:hAnsi="Arial" w:cs="Arial"/>
          <w:lang w:val="fr-FR"/>
        </w:rPr>
        <w:t> (Accessed: 18 October 2025).</w:t>
      </w:r>
    </w:p>
    <w:p w14:paraId="05D22116" w14:textId="77777777" w:rsidR="00852134" w:rsidRPr="00582FBF" w:rsidRDefault="00852134" w:rsidP="00582FBF">
      <w:pPr>
        <w:spacing w:line="360" w:lineRule="auto"/>
        <w:rPr>
          <w:rFonts w:ascii="Arial" w:hAnsi="Arial" w:cs="Arial"/>
        </w:rPr>
      </w:pPr>
      <w:r w:rsidRPr="007F63C4">
        <w:rPr>
          <w:rFonts w:ascii="Arial" w:hAnsi="Arial" w:cs="Arial"/>
          <w:lang w:val="fr-FR"/>
        </w:rPr>
        <w:t xml:space="preserve">Moser, O. et al. </w:t>
      </w:r>
      <w:r w:rsidRPr="0017429D">
        <w:rPr>
          <w:rFonts w:ascii="Arial" w:hAnsi="Arial" w:cs="Arial"/>
        </w:rPr>
        <w:t>(2025). Clinical outcomes of a real</w:t>
      </w:r>
      <w:r w:rsidRPr="0017429D">
        <w:rPr>
          <w:rFonts w:ascii="Cambria Math" w:hAnsi="Cambria Math" w:cs="Cambria Math"/>
        </w:rPr>
        <w:t>‐</w:t>
      </w:r>
      <w:r w:rsidRPr="0017429D">
        <w:rPr>
          <w:rFonts w:ascii="Arial" w:hAnsi="Arial" w:cs="Arial"/>
        </w:rPr>
        <w:t>world prospective study using Dexcom ONE. PMC. Available at: </w:t>
      </w:r>
      <w:hyperlink r:id="rId21" w:tgtFrame="_blank" w:history="1">
        <w:r w:rsidRPr="0017429D">
          <w:rPr>
            <w:rStyle w:val="Hyperlink"/>
            <w:rFonts w:ascii="Arial" w:hAnsi="Arial" w:cs="Arial"/>
          </w:rPr>
          <w:t>https://pmc.ncbi.nlm.nih.gov/articles/PMC11929555/</w:t>
        </w:r>
      </w:hyperlink>
      <w:r w:rsidRPr="0017429D">
        <w:rPr>
          <w:rFonts w:ascii="Arial" w:hAnsi="Arial" w:cs="Arial"/>
        </w:rPr>
        <w:t> (Accessed: 18 October 2025).</w:t>
      </w:r>
    </w:p>
    <w:p w14:paraId="694BFA85" w14:textId="77777777" w:rsidR="00852134" w:rsidRPr="00DD7FD5" w:rsidRDefault="00852134" w:rsidP="00582FBF">
      <w:pPr>
        <w:spacing w:line="360" w:lineRule="auto"/>
        <w:rPr>
          <w:rFonts w:ascii="Arial" w:hAnsi="Arial" w:cs="Arial"/>
        </w:rPr>
      </w:pPr>
      <w:r w:rsidRPr="00A7604C">
        <w:rPr>
          <w:rFonts w:ascii="Arial" w:hAnsi="Arial" w:cs="Arial"/>
        </w:rPr>
        <w:t xml:space="preserve">NICE. </w:t>
      </w:r>
      <w:r w:rsidRPr="00DD7FD5">
        <w:rPr>
          <w:rFonts w:ascii="Arial" w:hAnsi="Arial" w:cs="Arial"/>
        </w:rPr>
        <w:t>(2023). Dexcom G6 for real-time continuous glucose monitoring. Available at: </w:t>
      </w:r>
      <w:hyperlink r:id="rId22" w:tgtFrame="_blank" w:history="1">
        <w:r w:rsidRPr="00DD7FD5">
          <w:rPr>
            <w:rStyle w:val="Hyperlink"/>
            <w:rFonts w:ascii="Arial" w:hAnsi="Arial" w:cs="Arial"/>
          </w:rPr>
          <w:t>https://www.nice.org.uk/guidance/mib233/resources/dexcom-g6-for-realtime-</w:t>
        </w:r>
        <w:r w:rsidRPr="00DD7FD5">
          <w:rPr>
            <w:rStyle w:val="Hyperlink"/>
            <w:rFonts w:ascii="Arial" w:hAnsi="Arial" w:cs="Arial"/>
          </w:rPr>
          <w:lastRenderedPageBreak/>
          <w:t>continuous-glucose-monitoring-pdf-2285965570801093</w:t>
        </w:r>
      </w:hyperlink>
      <w:r w:rsidRPr="00DD7FD5">
        <w:rPr>
          <w:rFonts w:ascii="Arial" w:hAnsi="Arial" w:cs="Arial"/>
        </w:rPr>
        <w:t> (Accessed: 18 October 2025).</w:t>
      </w:r>
    </w:p>
    <w:p w14:paraId="22D69CA1" w14:textId="77777777" w:rsidR="00852134" w:rsidRPr="00582FBF" w:rsidRDefault="00852134" w:rsidP="00582FBF">
      <w:pPr>
        <w:spacing w:line="360" w:lineRule="auto"/>
        <w:rPr>
          <w:rFonts w:ascii="Arial" w:hAnsi="Arial" w:cs="Arial"/>
        </w:rPr>
      </w:pPr>
      <w:r w:rsidRPr="00DE38CE">
        <w:rPr>
          <w:rFonts w:ascii="Arial" w:hAnsi="Arial" w:cs="Arial"/>
        </w:rPr>
        <w:t>North Central London ICS (2025). Continuous Glucose Monitoring (CGM) Guide to initiating and upgrading adult patients to Dexcom ONE+. Available at: </w:t>
      </w:r>
      <w:hyperlink r:id="rId23" w:tgtFrame="_blank" w:history="1">
        <w:r w:rsidRPr="00DE38CE">
          <w:rPr>
            <w:rStyle w:val="Hyperlink"/>
            <w:rFonts w:ascii="Arial" w:hAnsi="Arial" w:cs="Arial"/>
          </w:rPr>
          <w:t>https://nclhealthandcare.org.uk/wp-content/uploads/2025/01/Appendix-3-CGM-implementation-tool-for-adults-living-with-Type-1-diabetes-Dexcom-ONE.pdf</w:t>
        </w:r>
      </w:hyperlink>
      <w:r w:rsidRPr="00DE38CE">
        <w:rPr>
          <w:rFonts w:ascii="Arial" w:hAnsi="Arial" w:cs="Arial"/>
        </w:rPr>
        <w:t> (Accessed: 18 October 2025).</w:t>
      </w:r>
    </w:p>
    <w:p w14:paraId="1E439DF0" w14:textId="77777777" w:rsidR="00852134" w:rsidRPr="00582FBF" w:rsidRDefault="00852134" w:rsidP="00582FBF">
      <w:pPr>
        <w:spacing w:line="360" w:lineRule="auto"/>
        <w:rPr>
          <w:rFonts w:ascii="Arial" w:hAnsi="Arial" w:cs="Arial"/>
        </w:rPr>
      </w:pPr>
      <w:r w:rsidRPr="00AC28CC">
        <w:rPr>
          <w:rFonts w:ascii="Arial" w:hAnsi="Arial" w:cs="Arial"/>
        </w:rPr>
        <w:t>PMC. (2025). Continuous Glucose Monitoring in the Management of Type 2 Diabetes: Training and Role Evolution. Available at: </w:t>
      </w:r>
      <w:hyperlink r:id="rId24" w:tgtFrame="_blank" w:history="1">
        <w:r w:rsidRPr="00AC28CC">
          <w:rPr>
            <w:rStyle w:val="Hyperlink"/>
            <w:rFonts w:ascii="Arial" w:hAnsi="Arial" w:cs="Arial"/>
          </w:rPr>
          <w:t>https://pmc.ncbi.nlm.nih.gov/articles/PMC12182526/</w:t>
        </w:r>
      </w:hyperlink>
      <w:r w:rsidRPr="00AC28CC">
        <w:rPr>
          <w:rFonts w:ascii="Arial" w:hAnsi="Arial" w:cs="Arial"/>
        </w:rPr>
        <w:t> (Accessed: 18 October 2025).</w:t>
      </w:r>
    </w:p>
    <w:p w14:paraId="230EC4AD" w14:textId="77777777" w:rsidR="00852134" w:rsidRPr="007F63C4" w:rsidRDefault="00852134" w:rsidP="00582FBF">
      <w:pPr>
        <w:spacing w:line="360" w:lineRule="auto"/>
        <w:rPr>
          <w:rFonts w:ascii="Arial" w:hAnsi="Arial" w:cs="Arial"/>
          <w:lang w:val="fr-FR"/>
        </w:rPr>
      </w:pPr>
      <w:r w:rsidRPr="0017429D">
        <w:rPr>
          <w:rFonts w:ascii="Arial" w:hAnsi="Arial" w:cs="Arial"/>
        </w:rPr>
        <w:t xml:space="preserve">Welford, A.E. et al. (2025). Continuous Glucose Monitoring in the Management of Type 2 Diabetes: A Prospective Study. </w:t>
      </w:r>
      <w:r w:rsidRPr="007F63C4">
        <w:rPr>
          <w:rFonts w:ascii="Arial" w:hAnsi="Arial" w:cs="Arial"/>
          <w:lang w:val="fr-FR"/>
        </w:rPr>
        <w:t>PMC. Available at: </w:t>
      </w:r>
      <w:hyperlink r:id="rId25" w:tgtFrame="_blank" w:history="1">
        <w:r w:rsidRPr="007F63C4">
          <w:rPr>
            <w:rStyle w:val="Hyperlink"/>
            <w:rFonts w:ascii="Arial" w:hAnsi="Arial" w:cs="Arial"/>
            <w:lang w:val="fr-FR"/>
          </w:rPr>
          <w:t>https://pmc.ncbi.nlm.nih.gov/articles/PMC12182526/</w:t>
        </w:r>
      </w:hyperlink>
      <w:r w:rsidRPr="007F63C4">
        <w:rPr>
          <w:rFonts w:ascii="Arial" w:hAnsi="Arial" w:cs="Arial"/>
          <w:lang w:val="fr-FR"/>
        </w:rPr>
        <w:t> (Accessed: 18 October 2025).</w:t>
      </w:r>
    </w:p>
    <w:p w14:paraId="1960AD91" w14:textId="77777777" w:rsidR="00BF27AE" w:rsidRPr="00D22AE5" w:rsidRDefault="00BF27AE" w:rsidP="00015C90">
      <w:pPr>
        <w:spacing w:line="360" w:lineRule="auto"/>
        <w:rPr>
          <w:rFonts w:ascii="Arial" w:hAnsi="Arial" w:cs="Arial"/>
          <w:b/>
          <w:bCs/>
          <w:sz w:val="28"/>
          <w:szCs w:val="28"/>
        </w:rPr>
      </w:pPr>
    </w:p>
    <w:p w14:paraId="464219F8" w14:textId="77777777" w:rsidR="00D22AE5" w:rsidRPr="0017429D" w:rsidRDefault="00D22AE5" w:rsidP="0017429D">
      <w:pPr>
        <w:spacing w:line="360" w:lineRule="auto"/>
        <w:rPr>
          <w:rFonts w:ascii="Arial" w:hAnsi="Arial" w:cs="Arial"/>
          <w:b/>
          <w:bCs/>
          <w:sz w:val="28"/>
          <w:szCs w:val="28"/>
        </w:rPr>
      </w:pPr>
    </w:p>
    <w:p w14:paraId="5E0B3514" w14:textId="77777777" w:rsidR="0017429D" w:rsidRPr="00DE38CE" w:rsidRDefault="0017429D" w:rsidP="00DE38CE">
      <w:pPr>
        <w:spacing w:line="360" w:lineRule="auto"/>
        <w:rPr>
          <w:rFonts w:ascii="Arial" w:hAnsi="Arial" w:cs="Arial"/>
          <w:b/>
          <w:bCs/>
          <w:sz w:val="28"/>
          <w:szCs w:val="28"/>
        </w:rPr>
      </w:pPr>
    </w:p>
    <w:p w14:paraId="019032A4" w14:textId="77777777" w:rsidR="00DE38CE" w:rsidRPr="00AC28CC" w:rsidRDefault="00DE38CE" w:rsidP="00AC28CC">
      <w:pPr>
        <w:spacing w:line="360" w:lineRule="auto"/>
        <w:rPr>
          <w:rFonts w:ascii="Arial" w:hAnsi="Arial" w:cs="Arial"/>
          <w:b/>
          <w:bCs/>
          <w:sz w:val="28"/>
          <w:szCs w:val="28"/>
        </w:rPr>
      </w:pPr>
    </w:p>
    <w:p w14:paraId="197FA308" w14:textId="77777777" w:rsidR="00AC28CC" w:rsidRPr="00DD7FD5" w:rsidRDefault="00AC28CC" w:rsidP="00DD7FD5">
      <w:pPr>
        <w:spacing w:line="360" w:lineRule="auto"/>
        <w:rPr>
          <w:rFonts w:ascii="Arial" w:hAnsi="Arial" w:cs="Arial"/>
          <w:b/>
          <w:bCs/>
          <w:sz w:val="28"/>
          <w:szCs w:val="28"/>
        </w:rPr>
      </w:pPr>
    </w:p>
    <w:p w14:paraId="3876B82D" w14:textId="77777777" w:rsidR="00DD7FD5" w:rsidRPr="00CD700C" w:rsidRDefault="00DD7FD5" w:rsidP="00587A64">
      <w:pPr>
        <w:spacing w:line="360" w:lineRule="auto"/>
        <w:rPr>
          <w:rFonts w:ascii="Arial" w:hAnsi="Arial" w:cs="Arial"/>
          <w:b/>
          <w:bCs/>
          <w:sz w:val="28"/>
          <w:szCs w:val="28"/>
        </w:rPr>
      </w:pPr>
    </w:p>
    <w:p w14:paraId="10C87F9D" w14:textId="77777777" w:rsidR="00CD700C" w:rsidRPr="0016372D" w:rsidRDefault="00CD700C" w:rsidP="00197B04">
      <w:pPr>
        <w:spacing w:line="360" w:lineRule="auto"/>
        <w:rPr>
          <w:rFonts w:ascii="Arial" w:hAnsi="Arial" w:cs="Arial"/>
          <w:b/>
          <w:bCs/>
          <w:sz w:val="28"/>
          <w:szCs w:val="28"/>
        </w:rPr>
      </w:pPr>
    </w:p>
    <w:p w14:paraId="5BA1EEFE" w14:textId="77777777" w:rsidR="0016372D" w:rsidRPr="008375B5" w:rsidRDefault="0016372D" w:rsidP="008375B5">
      <w:pPr>
        <w:spacing w:line="360" w:lineRule="auto"/>
        <w:rPr>
          <w:rFonts w:ascii="Arial" w:hAnsi="Arial" w:cs="Arial"/>
          <w:sz w:val="22"/>
          <w:szCs w:val="22"/>
        </w:rPr>
      </w:pPr>
    </w:p>
    <w:sectPr w:rsidR="0016372D" w:rsidRPr="008375B5" w:rsidSect="008375B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93456" w14:textId="77777777" w:rsidR="005753E8" w:rsidRDefault="005753E8" w:rsidP="008375B5">
      <w:pPr>
        <w:spacing w:after="0" w:line="240" w:lineRule="auto"/>
      </w:pPr>
      <w:r>
        <w:separator/>
      </w:r>
    </w:p>
  </w:endnote>
  <w:endnote w:type="continuationSeparator" w:id="0">
    <w:p w14:paraId="2E36A2F9" w14:textId="77777777" w:rsidR="005753E8" w:rsidRDefault="005753E8"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31849" w14:textId="77777777" w:rsidR="005753E8" w:rsidRDefault="005753E8" w:rsidP="008375B5">
      <w:pPr>
        <w:spacing w:after="0" w:line="240" w:lineRule="auto"/>
      </w:pPr>
      <w:r>
        <w:separator/>
      </w:r>
    </w:p>
  </w:footnote>
  <w:footnote w:type="continuationSeparator" w:id="0">
    <w:p w14:paraId="4842A140" w14:textId="77777777" w:rsidR="005753E8" w:rsidRDefault="005753E8"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0A86"/>
    <w:multiLevelType w:val="hybridMultilevel"/>
    <w:tmpl w:val="D950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F348A"/>
    <w:multiLevelType w:val="multilevel"/>
    <w:tmpl w:val="7EE0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725FFE"/>
    <w:multiLevelType w:val="multilevel"/>
    <w:tmpl w:val="BA68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E4699E"/>
    <w:multiLevelType w:val="multilevel"/>
    <w:tmpl w:val="28EE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F5B96"/>
    <w:multiLevelType w:val="multilevel"/>
    <w:tmpl w:val="C270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BC50C7"/>
    <w:multiLevelType w:val="hybridMultilevel"/>
    <w:tmpl w:val="4DC4A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FB72B2"/>
    <w:multiLevelType w:val="multilevel"/>
    <w:tmpl w:val="C1F4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19762A"/>
    <w:multiLevelType w:val="multilevel"/>
    <w:tmpl w:val="D630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856EE1"/>
    <w:multiLevelType w:val="hybridMultilevel"/>
    <w:tmpl w:val="1142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02235"/>
    <w:multiLevelType w:val="multilevel"/>
    <w:tmpl w:val="13642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005AC0"/>
    <w:multiLevelType w:val="multilevel"/>
    <w:tmpl w:val="9D5E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0109961">
    <w:abstractNumId w:val="4"/>
  </w:num>
  <w:num w:numId="2" w16cid:durableId="1722706951">
    <w:abstractNumId w:val="5"/>
  </w:num>
  <w:num w:numId="3" w16cid:durableId="335810324">
    <w:abstractNumId w:val="8"/>
  </w:num>
  <w:num w:numId="4" w16cid:durableId="808743765">
    <w:abstractNumId w:val="2"/>
  </w:num>
  <w:num w:numId="5" w16cid:durableId="1356345100">
    <w:abstractNumId w:val="3"/>
  </w:num>
  <w:num w:numId="6" w16cid:durableId="409356113">
    <w:abstractNumId w:val="9"/>
  </w:num>
  <w:num w:numId="7" w16cid:durableId="1013411307">
    <w:abstractNumId w:val="15"/>
  </w:num>
  <w:num w:numId="8" w16cid:durableId="704909136">
    <w:abstractNumId w:val="16"/>
  </w:num>
  <w:num w:numId="9" w16cid:durableId="391775175">
    <w:abstractNumId w:val="11"/>
  </w:num>
  <w:num w:numId="10" w16cid:durableId="1361275402">
    <w:abstractNumId w:val="14"/>
  </w:num>
  <w:num w:numId="11" w16cid:durableId="711156522">
    <w:abstractNumId w:val="0"/>
  </w:num>
  <w:num w:numId="12" w16cid:durableId="2042900847">
    <w:abstractNumId w:val="17"/>
  </w:num>
  <w:num w:numId="13" w16cid:durableId="1191459344">
    <w:abstractNumId w:val="7"/>
  </w:num>
  <w:num w:numId="14" w16cid:durableId="1430927666">
    <w:abstractNumId w:val="18"/>
  </w:num>
  <w:num w:numId="15" w16cid:durableId="1993750009">
    <w:abstractNumId w:val="10"/>
  </w:num>
  <w:num w:numId="16" w16cid:durableId="1789817892">
    <w:abstractNumId w:val="13"/>
  </w:num>
  <w:num w:numId="17" w16cid:durableId="1209148912">
    <w:abstractNumId w:val="6"/>
  </w:num>
  <w:num w:numId="18" w16cid:durableId="6298596">
    <w:abstractNumId w:val="1"/>
  </w:num>
  <w:num w:numId="19" w16cid:durableId="10166172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5C90"/>
    <w:rsid w:val="00020BF5"/>
    <w:rsid w:val="0006595A"/>
    <w:rsid w:val="0008634A"/>
    <w:rsid w:val="00095827"/>
    <w:rsid w:val="000B063A"/>
    <w:rsid w:val="000E0420"/>
    <w:rsid w:val="000E4AAD"/>
    <w:rsid w:val="000E5CA1"/>
    <w:rsid w:val="00100EED"/>
    <w:rsid w:val="00103624"/>
    <w:rsid w:val="001213D7"/>
    <w:rsid w:val="00121548"/>
    <w:rsid w:val="001327DC"/>
    <w:rsid w:val="00153FB1"/>
    <w:rsid w:val="0016372D"/>
    <w:rsid w:val="00171B69"/>
    <w:rsid w:val="0017429D"/>
    <w:rsid w:val="00185AE1"/>
    <w:rsid w:val="001946AB"/>
    <w:rsid w:val="00197B04"/>
    <w:rsid w:val="001A5B34"/>
    <w:rsid w:val="001C03D1"/>
    <w:rsid w:val="001D411C"/>
    <w:rsid w:val="001F0652"/>
    <w:rsid w:val="002004C8"/>
    <w:rsid w:val="002023FA"/>
    <w:rsid w:val="00215E74"/>
    <w:rsid w:val="0022135B"/>
    <w:rsid w:val="002254C0"/>
    <w:rsid w:val="00255D51"/>
    <w:rsid w:val="002724D0"/>
    <w:rsid w:val="002D2F93"/>
    <w:rsid w:val="0032687E"/>
    <w:rsid w:val="00330487"/>
    <w:rsid w:val="00353DFA"/>
    <w:rsid w:val="003646ED"/>
    <w:rsid w:val="003D3D9E"/>
    <w:rsid w:val="00420269"/>
    <w:rsid w:val="00430576"/>
    <w:rsid w:val="004573EE"/>
    <w:rsid w:val="0045764F"/>
    <w:rsid w:val="004A11DA"/>
    <w:rsid w:val="004A2E5E"/>
    <w:rsid w:val="004C2357"/>
    <w:rsid w:val="00534205"/>
    <w:rsid w:val="005566C4"/>
    <w:rsid w:val="005753E8"/>
    <w:rsid w:val="0058254B"/>
    <w:rsid w:val="00582FBF"/>
    <w:rsid w:val="00587A64"/>
    <w:rsid w:val="005A0DE5"/>
    <w:rsid w:val="005B7479"/>
    <w:rsid w:val="005D2013"/>
    <w:rsid w:val="005E3842"/>
    <w:rsid w:val="00607F89"/>
    <w:rsid w:val="00663E3A"/>
    <w:rsid w:val="006742DD"/>
    <w:rsid w:val="006A498C"/>
    <w:rsid w:val="006B2B2F"/>
    <w:rsid w:val="006D169B"/>
    <w:rsid w:val="006F383B"/>
    <w:rsid w:val="00702392"/>
    <w:rsid w:val="00752F92"/>
    <w:rsid w:val="00796B78"/>
    <w:rsid w:val="007A1C6D"/>
    <w:rsid w:val="007A4557"/>
    <w:rsid w:val="007D77DB"/>
    <w:rsid w:val="007E0172"/>
    <w:rsid w:val="007F63C4"/>
    <w:rsid w:val="008265EC"/>
    <w:rsid w:val="00834B9A"/>
    <w:rsid w:val="008375B5"/>
    <w:rsid w:val="00844385"/>
    <w:rsid w:val="00851E21"/>
    <w:rsid w:val="00852134"/>
    <w:rsid w:val="008B6589"/>
    <w:rsid w:val="008E31E6"/>
    <w:rsid w:val="00900E19"/>
    <w:rsid w:val="0091779A"/>
    <w:rsid w:val="009334D8"/>
    <w:rsid w:val="00947ECC"/>
    <w:rsid w:val="00987802"/>
    <w:rsid w:val="009F69A8"/>
    <w:rsid w:val="00A001A9"/>
    <w:rsid w:val="00A21413"/>
    <w:rsid w:val="00A510B1"/>
    <w:rsid w:val="00A51E7B"/>
    <w:rsid w:val="00A632CC"/>
    <w:rsid w:val="00A64391"/>
    <w:rsid w:val="00A71E36"/>
    <w:rsid w:val="00A71FDC"/>
    <w:rsid w:val="00A7604C"/>
    <w:rsid w:val="00A875D4"/>
    <w:rsid w:val="00A9474F"/>
    <w:rsid w:val="00A94E09"/>
    <w:rsid w:val="00AC28CC"/>
    <w:rsid w:val="00AC2DCE"/>
    <w:rsid w:val="00AC3FDE"/>
    <w:rsid w:val="00AC538E"/>
    <w:rsid w:val="00AD1FF8"/>
    <w:rsid w:val="00AF57A9"/>
    <w:rsid w:val="00B12A73"/>
    <w:rsid w:val="00B23077"/>
    <w:rsid w:val="00B42B8D"/>
    <w:rsid w:val="00B52211"/>
    <w:rsid w:val="00B66C03"/>
    <w:rsid w:val="00B7015D"/>
    <w:rsid w:val="00B842D3"/>
    <w:rsid w:val="00B8761D"/>
    <w:rsid w:val="00B9212E"/>
    <w:rsid w:val="00BA0612"/>
    <w:rsid w:val="00BA45FC"/>
    <w:rsid w:val="00BA7CA7"/>
    <w:rsid w:val="00BC2123"/>
    <w:rsid w:val="00BF069D"/>
    <w:rsid w:val="00BF182E"/>
    <w:rsid w:val="00BF27AE"/>
    <w:rsid w:val="00C160F3"/>
    <w:rsid w:val="00C43B01"/>
    <w:rsid w:val="00C622A5"/>
    <w:rsid w:val="00C80D0F"/>
    <w:rsid w:val="00C84DF2"/>
    <w:rsid w:val="00CA406C"/>
    <w:rsid w:val="00CC4F37"/>
    <w:rsid w:val="00CD700C"/>
    <w:rsid w:val="00D06EC8"/>
    <w:rsid w:val="00D22AE5"/>
    <w:rsid w:val="00D2513D"/>
    <w:rsid w:val="00D40915"/>
    <w:rsid w:val="00D6228D"/>
    <w:rsid w:val="00D73F73"/>
    <w:rsid w:val="00D87E57"/>
    <w:rsid w:val="00D96DAA"/>
    <w:rsid w:val="00DD3E28"/>
    <w:rsid w:val="00DD7FD5"/>
    <w:rsid w:val="00DE38CE"/>
    <w:rsid w:val="00E11AA6"/>
    <w:rsid w:val="00E15313"/>
    <w:rsid w:val="00E20FFE"/>
    <w:rsid w:val="00E35831"/>
    <w:rsid w:val="00E6518A"/>
    <w:rsid w:val="00E72F47"/>
    <w:rsid w:val="00E74C6A"/>
    <w:rsid w:val="00E81C23"/>
    <w:rsid w:val="00E86E37"/>
    <w:rsid w:val="00E87CC2"/>
    <w:rsid w:val="00EA60ED"/>
    <w:rsid w:val="00EB583A"/>
    <w:rsid w:val="00ED25A8"/>
    <w:rsid w:val="00EE50DC"/>
    <w:rsid w:val="00F354AA"/>
    <w:rsid w:val="00F4765E"/>
    <w:rsid w:val="00F52C32"/>
    <w:rsid w:val="00FB564C"/>
    <w:rsid w:val="00FC728A"/>
    <w:rsid w:val="00FD1E59"/>
    <w:rsid w:val="00FF3A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5BDB37A8-A6A1-4895-A4EA-69343AD62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16372D"/>
    <w:rPr>
      <w:color w:val="467886" w:themeColor="hyperlink"/>
      <w:u w:val="single"/>
    </w:rPr>
  </w:style>
  <w:style w:type="character" w:styleId="UnresolvedMention">
    <w:name w:val="Unresolved Mention"/>
    <w:basedOn w:val="DefaultParagraphFont"/>
    <w:uiPriority w:val="99"/>
    <w:semiHidden/>
    <w:unhideWhenUsed/>
    <w:rsid w:val="0016372D"/>
    <w:rPr>
      <w:color w:val="605E5C"/>
      <w:shd w:val="clear" w:color="auto" w:fill="E1DFDD"/>
    </w:rPr>
  </w:style>
  <w:style w:type="character" w:styleId="FollowedHyperlink">
    <w:name w:val="FollowedHyperlink"/>
    <w:basedOn w:val="DefaultParagraphFont"/>
    <w:uiPriority w:val="99"/>
    <w:semiHidden/>
    <w:unhideWhenUsed/>
    <w:rsid w:val="00A632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dicaldevice-network.com/news/dexcom-launches-upgraded-one-device-in-uk/" TargetMode="External"/><Relationship Id="rId18" Type="http://schemas.openxmlformats.org/officeDocument/2006/relationships/hyperlink" Target="https://www.diabetes.co.uk/diabetes-prevalence.htm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mc.ncbi.nlm.nih.gov/articles/PMC11929555/" TargetMode="External"/><Relationship Id="rId7" Type="http://schemas.openxmlformats.org/officeDocument/2006/relationships/settings" Target="settings.xml"/><Relationship Id="rId12" Type="http://schemas.openxmlformats.org/officeDocument/2006/relationships/image" Target="file:///C:\Users\biancasanfilippo\Library\Group%20Containers\UBF8T346G9.ms\WebArchiveCopyPasteTempFiles\com.microsoft.Word\UWTSD-Logo.jpg" TargetMode="External"/><Relationship Id="rId17" Type="http://schemas.openxmlformats.org/officeDocument/2006/relationships/hyperlink" Target="https://www.dexcom.com/en-gb/faqs/is-my-smartphone-compatible-with-the-dexcom-one-plus-app" TargetMode="External"/><Relationship Id="rId25" Type="http://schemas.openxmlformats.org/officeDocument/2006/relationships/hyperlink" Target="https://pmc.ncbi.nlm.nih.gov/articles/PMC12182526/" TargetMode="External"/><Relationship Id="rId2" Type="http://schemas.openxmlformats.org/officeDocument/2006/relationships/customXml" Target="../customXml/item2.xml"/><Relationship Id="rId16" Type="http://schemas.openxmlformats.org/officeDocument/2006/relationships/hyperlink" Target="https://www.dexcom.com/en-nz/faqs/how-does-dexcom-one-plus-cgm-system-work" TargetMode="External"/><Relationship Id="rId20" Type="http://schemas.openxmlformats.org/officeDocument/2006/relationships/hyperlink" Target="https://www.uspharmacist.com/article/the-dexcom-g6-continuous-glucose-monitoring-syste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mc.ncbi.nlm.nih.gov/articles/PMC12182526/" TargetMode="External"/><Relationship Id="rId5" Type="http://schemas.openxmlformats.org/officeDocument/2006/relationships/numbering" Target="numbering.xml"/><Relationship Id="rId15" Type="http://schemas.openxmlformats.org/officeDocument/2006/relationships/hyperlink" Target="https://www.dexcom.com/en-gb/compatibility" TargetMode="External"/><Relationship Id="rId23" Type="http://schemas.openxmlformats.org/officeDocument/2006/relationships/hyperlink" Target="https://nclhealthandcare.org.uk/wp-content/uploads/2025/01/Appendix-3-CGM-implementation-tool-for-adults-living-with-Type-1-diabetes-Dexcom-ONE.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mc.ncbi.nlm.nih.gov/articles/PMC1148685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vestegate.co.uk/announcement/bzw/dexcom-inc--0a4m/dexcom-launches-innovative-new-sensor-as-grou-/8208064" TargetMode="External"/><Relationship Id="rId22" Type="http://schemas.openxmlformats.org/officeDocument/2006/relationships/hyperlink" Target="https://www.nice.org.uk/guidance/mib233/resources/dexcom-g6-for-realtime-continuous-glucose-monitoring-pdf-228596557080109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34a590102cc48cb22ef26520430d1d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2b36261d8f271a82c3f23c7b4dffe5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CCA08-ACA0-4E1C-A871-C3558E140A6D}">
  <ds:schemaRefs>
    <ds:schemaRef ds:uri="http://schemas.microsoft.com/sharepoint/v3/contenttype/forms"/>
  </ds:schemaRefs>
</ds:datastoreItem>
</file>

<file path=customXml/itemProps2.xml><?xml version="1.0" encoding="utf-8"?>
<ds:datastoreItem xmlns:ds="http://schemas.openxmlformats.org/officeDocument/2006/customXml" ds:itemID="{E9E6961D-3ED0-48FE-8ABB-68651CFF2A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B7C710-8360-4903-831B-4E7B088F1B25}">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97F851A9-776A-4F3A-886C-B1C1ED8D0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12</Pages>
  <Words>2807</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18772</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Katarzyna Gluba (2316845)</cp:lastModifiedBy>
  <cp:revision>134</cp:revision>
  <dcterms:created xsi:type="dcterms:W3CDTF">2025-10-18T16:03:00Z</dcterms:created>
  <dcterms:modified xsi:type="dcterms:W3CDTF">2025-11-03T12:09:00Z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