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856A246" w14:textId="06DCFB1A" w:rsidR="00BA7D22" w:rsidRDefault="000B03B9">
      <w:pPr>
        <w:rPr>
          <w:rFonts w:ascii="Arial" w:hAnsi="Arial" w:cs="Arial"/>
          <w:b/>
          <w:bCs/>
          <w:sz w:val="24"/>
          <w:szCs w:val="24"/>
        </w:rPr>
      </w:pPr>
      <w:r w:rsidRPr="00265DE1">
        <w:rPr>
          <w:rFonts w:ascii="Arial" w:hAnsi="Arial" w:cs="Arial"/>
          <w:b/>
          <w:bCs/>
          <w:sz w:val="24"/>
          <w:szCs w:val="24"/>
        </w:rPr>
        <w:t xml:space="preserve">Self-directed learning activity </w:t>
      </w:r>
      <w:r w:rsidR="00BA7D22" w:rsidRPr="00265DE1">
        <w:rPr>
          <w:rFonts w:ascii="Arial" w:hAnsi="Arial" w:cs="Arial"/>
          <w:b/>
          <w:bCs/>
          <w:sz w:val="24"/>
          <w:szCs w:val="24"/>
        </w:rPr>
        <w:t>BMDS700</w:t>
      </w:r>
      <w:r w:rsidR="004C5E2A">
        <w:rPr>
          <w:rFonts w:ascii="Arial" w:hAnsi="Arial" w:cs="Arial"/>
          <w:b/>
          <w:bCs/>
          <w:sz w:val="24"/>
          <w:szCs w:val="24"/>
        </w:rPr>
        <w:t>9</w:t>
      </w:r>
      <w:r w:rsidR="00BA7D22" w:rsidRPr="00265DE1">
        <w:rPr>
          <w:rFonts w:ascii="Arial" w:hAnsi="Arial" w:cs="Arial"/>
          <w:b/>
          <w:bCs/>
          <w:sz w:val="24"/>
          <w:szCs w:val="24"/>
        </w:rPr>
        <w:t>-0</w:t>
      </w:r>
      <w:r w:rsidR="004C5E2A">
        <w:rPr>
          <w:rFonts w:ascii="Arial" w:hAnsi="Arial" w:cs="Arial"/>
          <w:b/>
          <w:bCs/>
          <w:sz w:val="24"/>
          <w:szCs w:val="24"/>
        </w:rPr>
        <w:t>1</w:t>
      </w:r>
    </w:p>
    <w:p w14:paraId="673B185C" w14:textId="7957E3D8" w:rsidR="00214487" w:rsidRPr="00265DE1" w:rsidRDefault="00214487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Introduction to socio-technical project and programme management using STAT-HI</w:t>
      </w:r>
    </w:p>
    <w:p w14:paraId="60438D24" w14:textId="34362E7A" w:rsidR="000B03B9" w:rsidRDefault="00BA7D22">
      <w:pPr>
        <w:rPr>
          <w:rFonts w:ascii="Arial" w:hAnsi="Arial" w:cs="Arial"/>
          <w:sz w:val="24"/>
          <w:szCs w:val="24"/>
        </w:rPr>
      </w:pPr>
      <w:r w:rsidRPr="00265DE1">
        <w:rPr>
          <w:rFonts w:ascii="Arial" w:hAnsi="Arial" w:cs="Arial"/>
          <w:sz w:val="24"/>
          <w:szCs w:val="24"/>
        </w:rPr>
        <w:t xml:space="preserve">Read the </w:t>
      </w:r>
      <w:r w:rsidR="004C5E2A">
        <w:rPr>
          <w:rFonts w:ascii="Arial" w:hAnsi="Arial" w:cs="Arial"/>
          <w:sz w:val="24"/>
          <w:szCs w:val="24"/>
        </w:rPr>
        <w:t>paper</w:t>
      </w:r>
      <w:r w:rsidRPr="00265DE1">
        <w:rPr>
          <w:rFonts w:ascii="Arial" w:hAnsi="Arial" w:cs="Arial"/>
          <w:sz w:val="24"/>
          <w:szCs w:val="24"/>
        </w:rPr>
        <w:t xml:space="preserve"> cited below and</w:t>
      </w:r>
      <w:r w:rsidR="000B03B9" w:rsidRPr="00265DE1">
        <w:rPr>
          <w:rFonts w:ascii="Arial" w:hAnsi="Arial" w:cs="Arial"/>
          <w:sz w:val="24"/>
          <w:szCs w:val="24"/>
        </w:rPr>
        <w:t xml:space="preserve"> reflect on the given questions.</w:t>
      </w:r>
      <w:r w:rsidR="00C05A2E" w:rsidRPr="00265DE1">
        <w:rPr>
          <w:rFonts w:ascii="Arial" w:hAnsi="Arial" w:cs="Arial"/>
          <w:sz w:val="24"/>
          <w:szCs w:val="24"/>
        </w:rPr>
        <w:t xml:space="preserve"> </w:t>
      </w:r>
      <w:r w:rsidRPr="00265DE1">
        <w:rPr>
          <w:rFonts w:ascii="Arial" w:hAnsi="Arial" w:cs="Arial"/>
          <w:sz w:val="24"/>
          <w:szCs w:val="24"/>
        </w:rPr>
        <w:t xml:space="preserve">As time permits, also </w:t>
      </w:r>
      <w:r w:rsidR="00C05A2E" w:rsidRPr="00265DE1">
        <w:rPr>
          <w:rFonts w:ascii="Arial" w:hAnsi="Arial" w:cs="Arial"/>
          <w:sz w:val="24"/>
          <w:szCs w:val="24"/>
        </w:rPr>
        <w:t>follow up cit</w:t>
      </w:r>
      <w:r w:rsidRPr="00265DE1">
        <w:rPr>
          <w:rFonts w:ascii="Arial" w:hAnsi="Arial" w:cs="Arial"/>
          <w:sz w:val="24"/>
          <w:szCs w:val="24"/>
        </w:rPr>
        <w:t xml:space="preserve">ed references in the </w:t>
      </w:r>
      <w:r w:rsidR="004C5E2A">
        <w:rPr>
          <w:rFonts w:ascii="Arial" w:hAnsi="Arial" w:cs="Arial"/>
          <w:sz w:val="24"/>
          <w:szCs w:val="24"/>
        </w:rPr>
        <w:t>paper or note them as further reading as the module develops</w:t>
      </w:r>
      <w:r w:rsidR="00C05A2E" w:rsidRPr="00265DE1">
        <w:rPr>
          <w:rFonts w:ascii="Arial" w:hAnsi="Arial" w:cs="Arial"/>
          <w:sz w:val="24"/>
          <w:szCs w:val="24"/>
        </w:rPr>
        <w:t>.</w:t>
      </w:r>
      <w:r w:rsidR="001116C0">
        <w:rPr>
          <w:rFonts w:ascii="Arial" w:hAnsi="Arial" w:cs="Arial"/>
          <w:sz w:val="24"/>
          <w:szCs w:val="24"/>
        </w:rPr>
        <w:t xml:space="preserve"> Keep notes as you may need to </w:t>
      </w:r>
      <w:r w:rsidR="00696B62">
        <w:rPr>
          <w:rFonts w:ascii="Arial" w:hAnsi="Arial" w:cs="Arial"/>
          <w:sz w:val="24"/>
          <w:szCs w:val="24"/>
        </w:rPr>
        <w:t>present a summary of this work later in the course.</w:t>
      </w:r>
    </w:p>
    <w:p w14:paraId="648CB2F6" w14:textId="77777777" w:rsidR="00696B62" w:rsidRDefault="00696B62">
      <w:pPr>
        <w:rPr>
          <w:rFonts w:ascii="Arial" w:hAnsi="Arial" w:cs="Arial"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C05A2E" w:rsidRPr="00265DE1" w14:paraId="393B2660" w14:textId="77777777" w:rsidTr="00C05A2E">
        <w:sdt>
          <w:sdtPr>
            <w:rPr>
              <w:rFonts w:ascii="Arial" w:hAnsi="Arial" w:cs="Arial"/>
              <w:color w:val="000000"/>
            </w:rPr>
            <w:tag w:val="MENDELEY_CITATION_v3_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"/>
            <w:id w:val="-1701310995"/>
            <w:placeholder>
              <w:docPart w:val="DefaultPlaceholder_-1854013440"/>
            </w:placeholder>
          </w:sdtPr>
          <w:sdtContent>
            <w:tc>
              <w:tcPr>
                <w:tcW w:w="9016" w:type="dxa"/>
              </w:tcPr>
              <w:p w14:paraId="059D8AFD" w14:textId="2C5D5647" w:rsidR="00C276D0" w:rsidRDefault="00C276D0" w:rsidP="001766E2">
                <w:pPr>
                  <w:pStyle w:val="NormalWeb"/>
                  <w:rPr>
                    <w:rFonts w:ascii="Arial" w:hAnsi="Arial" w:cs="Arial"/>
                    <w:color w:val="000000"/>
                  </w:rPr>
                </w:pPr>
                <w:r w:rsidRPr="00C276D0">
                  <w:rPr>
                    <w:rFonts w:ascii="Arial" w:hAnsi="Arial" w:cs="Arial"/>
                    <w:color w:val="000000"/>
                  </w:rPr>
                  <w:t>Scott and Briggs, 2010</w:t>
                </w:r>
              </w:p>
              <w:p w14:paraId="67FB92C9" w14:textId="32085B26" w:rsidR="00DB2A6F" w:rsidRPr="00265DE1" w:rsidRDefault="00DB2A6F" w:rsidP="001766E2">
                <w:pPr>
                  <w:pStyle w:val="NormalWeb"/>
                  <w:rPr>
                    <w:rFonts w:ascii="Arial" w:hAnsi="Arial" w:cs="Arial"/>
                  </w:rPr>
                </w:pPr>
              </w:p>
            </w:tc>
          </w:sdtContent>
        </w:sdt>
      </w:tr>
      <w:tr w:rsidR="00C05A2E" w:rsidRPr="00265DE1" w14:paraId="72CA47C8" w14:textId="77777777" w:rsidTr="00C05A2E">
        <w:tc>
          <w:tcPr>
            <w:tcW w:w="9016" w:type="dxa"/>
          </w:tcPr>
          <w:p w14:paraId="637AF3D2" w14:textId="77777777" w:rsidR="00265DE1" w:rsidRPr="00265DE1" w:rsidRDefault="00265DE1" w:rsidP="00265DE1">
            <w:pPr>
              <w:rPr>
                <w:rFonts w:ascii="Arial" w:hAnsi="Arial" w:cs="Arial"/>
                <w:sz w:val="24"/>
                <w:szCs w:val="24"/>
              </w:rPr>
            </w:pPr>
          </w:p>
          <w:p w14:paraId="519BDEC5" w14:textId="51ED512E" w:rsidR="00C05A2E" w:rsidRPr="00265DE1" w:rsidRDefault="00C05A2E" w:rsidP="00C05A2E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sz w:val="24"/>
                <w:szCs w:val="24"/>
              </w:rPr>
            </w:pPr>
            <w:r w:rsidRPr="00265DE1">
              <w:rPr>
                <w:rFonts w:ascii="Arial" w:hAnsi="Arial" w:cs="Arial"/>
                <w:sz w:val="24"/>
                <w:szCs w:val="24"/>
              </w:rPr>
              <w:t xml:space="preserve">How </w:t>
            </w:r>
            <w:r w:rsidR="00265DE1">
              <w:rPr>
                <w:rFonts w:ascii="Arial" w:hAnsi="Arial" w:cs="Arial"/>
                <w:sz w:val="24"/>
                <w:szCs w:val="24"/>
              </w:rPr>
              <w:t>would you explain to a non-technical service manager what is meant by “</w:t>
            </w:r>
            <w:r w:rsidR="00C276D0">
              <w:rPr>
                <w:rFonts w:ascii="Arial" w:hAnsi="Arial" w:cs="Arial"/>
                <w:sz w:val="24"/>
                <w:szCs w:val="24"/>
              </w:rPr>
              <w:t>socio-technical thinking</w:t>
            </w:r>
            <w:r w:rsidR="00265DE1">
              <w:rPr>
                <w:rFonts w:ascii="Arial" w:hAnsi="Arial" w:cs="Arial"/>
                <w:sz w:val="24"/>
                <w:szCs w:val="24"/>
              </w:rPr>
              <w:t>” and why it</w:t>
            </w:r>
            <w:r w:rsidR="00C276D0">
              <w:rPr>
                <w:rFonts w:ascii="Arial" w:hAnsi="Arial" w:cs="Arial"/>
                <w:sz w:val="24"/>
                <w:szCs w:val="24"/>
              </w:rPr>
              <w:t xml:space="preserve"> is important in digital health and care</w:t>
            </w:r>
            <w:r w:rsidRPr="00265DE1">
              <w:rPr>
                <w:rFonts w:ascii="Arial" w:hAnsi="Arial" w:cs="Arial"/>
                <w:sz w:val="24"/>
                <w:szCs w:val="24"/>
              </w:rPr>
              <w:t>?</w:t>
            </w:r>
          </w:p>
          <w:p w14:paraId="0B63BE26" w14:textId="1DFB44C6" w:rsidR="00C05A2E" w:rsidRDefault="006D3007" w:rsidP="00C05A2E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What do you think are the five most important of Clegg’s socio-technical design principles and why? (Box 1)</w:t>
            </w:r>
          </w:p>
          <w:p w14:paraId="37ABA584" w14:textId="6884B9C7" w:rsidR="006D3007" w:rsidRDefault="00EF48DC" w:rsidP="00C05A2E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Have you seen examples of the ‘checklist effect’ in your work?</w:t>
            </w:r>
          </w:p>
          <w:p w14:paraId="6340A2E2" w14:textId="651E784E" w:rsidR="00EF48DC" w:rsidRDefault="00783F83" w:rsidP="00C05A2E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Which</w:t>
            </w:r>
            <w:r w:rsidR="00815039">
              <w:rPr>
                <w:rFonts w:ascii="Arial" w:hAnsi="Arial" w:cs="Arial"/>
                <w:sz w:val="24"/>
                <w:szCs w:val="24"/>
              </w:rPr>
              <w:t xml:space="preserve"> of the STAT-HI checklist items do </w:t>
            </w:r>
            <w:r w:rsidR="002017C4">
              <w:rPr>
                <w:rFonts w:ascii="Arial" w:hAnsi="Arial" w:cs="Arial"/>
                <w:sz w:val="24"/>
                <w:szCs w:val="24"/>
              </w:rPr>
              <w:t>you think are the most useful and why? (Select three or four.)</w:t>
            </w:r>
          </w:p>
          <w:p w14:paraId="03234858" w14:textId="3A41928C" w:rsidR="002017C4" w:rsidRPr="00265DE1" w:rsidRDefault="002017C4" w:rsidP="00C05A2E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Is there anything in the STAT-HI checklist that you think is out-of-date or just wrong</w:t>
            </w:r>
            <w:r w:rsidR="00A65DFE">
              <w:rPr>
                <w:rFonts w:ascii="Arial" w:hAnsi="Arial" w:cs="Arial"/>
                <w:sz w:val="24"/>
                <w:szCs w:val="24"/>
              </w:rPr>
              <w:t>? On what grounds?</w:t>
            </w:r>
          </w:p>
          <w:p w14:paraId="2D3C064B" w14:textId="25F88E9F" w:rsidR="00C05A2E" w:rsidRPr="00265DE1" w:rsidRDefault="00C05A2E" w:rsidP="00265DE1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</w:tbl>
    <w:p w14:paraId="6869B2AB" w14:textId="5B7E041F" w:rsidR="00C05A2E" w:rsidRPr="00265DE1" w:rsidRDefault="00C05A2E">
      <w:pPr>
        <w:rPr>
          <w:rFonts w:ascii="Arial" w:hAnsi="Arial" w:cs="Arial"/>
          <w:sz w:val="24"/>
          <w:szCs w:val="24"/>
        </w:rPr>
      </w:pPr>
    </w:p>
    <w:p w14:paraId="0C710324" w14:textId="77777777" w:rsidR="00C05A2E" w:rsidRPr="00265DE1" w:rsidRDefault="00C05A2E">
      <w:pPr>
        <w:rPr>
          <w:rFonts w:ascii="Arial" w:hAnsi="Arial" w:cs="Arial"/>
          <w:sz w:val="24"/>
          <w:szCs w:val="24"/>
        </w:rPr>
      </w:pPr>
    </w:p>
    <w:p w14:paraId="5D09AB0A" w14:textId="3AB515A4" w:rsidR="00C05A2E" w:rsidRPr="000C30A5" w:rsidRDefault="000C30A5" w:rsidP="00C05A2E">
      <w:pPr>
        <w:rPr>
          <w:rFonts w:ascii="Arial" w:hAnsi="Arial" w:cs="Arial"/>
          <w:b/>
          <w:bCs/>
          <w:sz w:val="24"/>
          <w:szCs w:val="24"/>
        </w:rPr>
      </w:pPr>
      <w:r w:rsidRPr="000C30A5">
        <w:rPr>
          <w:rFonts w:ascii="Arial" w:hAnsi="Arial" w:cs="Arial"/>
          <w:b/>
          <w:bCs/>
          <w:sz w:val="24"/>
          <w:szCs w:val="24"/>
        </w:rPr>
        <w:t>Reference</w:t>
      </w:r>
    </w:p>
    <w:sdt>
      <w:sdtPr>
        <w:rPr>
          <w:rFonts w:ascii="Arial" w:hAnsi="Arial" w:cs="Arial"/>
          <w:sz w:val="24"/>
          <w:szCs w:val="24"/>
        </w:rPr>
        <w:tag w:val="MENDELEY_BIBLIOGRAPHY"/>
        <w:id w:val="-205249657"/>
        <w:placeholder>
          <w:docPart w:val="DefaultPlaceholder_-1854013440"/>
        </w:placeholder>
      </w:sdtPr>
      <w:sdtEndPr/>
      <w:sdtContent>
        <w:p w14:paraId="6B973F35" w14:textId="6E3FC2E0" w:rsidR="00C276D0" w:rsidRPr="00C276D0" w:rsidRDefault="00C276D0">
          <w:pPr>
            <w:divId w:val="900671733"/>
            <w:rPr>
              <w:rFonts w:ascii="Arial" w:eastAsia="Times New Roman" w:hAnsi="Arial" w:cs="Arial"/>
              <w:sz w:val="24"/>
              <w:szCs w:val="24"/>
            </w:rPr>
          </w:pPr>
          <w:r w:rsidRPr="00C276D0">
            <w:rPr>
              <w:rFonts w:ascii="Arial" w:eastAsia="Times New Roman" w:hAnsi="Arial" w:cs="Arial"/>
              <w:sz w:val="24"/>
              <w:szCs w:val="24"/>
            </w:rPr>
            <w:t xml:space="preserve">Scott, P. and Briggs, J. (2010) ‘STAT-HI: A socio-technical assessment tool for health informatics implementations’, </w:t>
          </w:r>
          <w:r w:rsidRPr="00C276D0">
            <w:rPr>
              <w:rFonts w:ascii="Arial" w:eastAsia="Times New Roman" w:hAnsi="Arial" w:cs="Arial"/>
              <w:i/>
              <w:iCs/>
              <w:sz w:val="24"/>
              <w:szCs w:val="24"/>
            </w:rPr>
            <w:t>Open Medical Informatics Journal</w:t>
          </w:r>
          <w:r w:rsidRPr="00C276D0">
            <w:rPr>
              <w:rFonts w:ascii="Arial" w:eastAsia="Times New Roman" w:hAnsi="Arial" w:cs="Arial"/>
              <w:sz w:val="24"/>
              <w:szCs w:val="24"/>
            </w:rPr>
            <w:t xml:space="preserve">, 4(3), pp. 214–220. Available at: </w:t>
          </w:r>
          <w:hyperlink r:id="rId8" w:history="1">
            <w:r w:rsidRPr="00314A4D">
              <w:rPr>
                <w:rStyle w:val="Hyperlink"/>
                <w:rFonts w:ascii="Arial" w:eastAsia="Times New Roman" w:hAnsi="Arial" w:cs="Arial"/>
                <w:sz w:val="24"/>
                <w:szCs w:val="24"/>
              </w:rPr>
              <w:t>https://www.ncbi.nlm.nih.gov/pmc/articles/PMC3096986/</w:t>
            </w:r>
          </w:hyperlink>
          <w:r>
            <w:rPr>
              <w:rFonts w:ascii="Arial" w:eastAsia="Times New Roman" w:hAnsi="Arial" w:cs="Arial"/>
              <w:sz w:val="24"/>
              <w:szCs w:val="24"/>
            </w:rPr>
            <w:t xml:space="preserve"> </w:t>
          </w:r>
          <w:r w:rsidRPr="00C276D0">
            <w:rPr>
              <w:rFonts w:ascii="Arial" w:eastAsia="Times New Roman" w:hAnsi="Arial" w:cs="Arial"/>
              <w:sz w:val="24"/>
              <w:szCs w:val="24"/>
            </w:rPr>
            <w:t xml:space="preserve"> (Accessed: 3 December 2023).</w:t>
          </w:r>
        </w:p>
        <w:p w14:paraId="7824E0F7" w14:textId="2460D642" w:rsidR="000C30A5" w:rsidRPr="00265DE1" w:rsidRDefault="00C276D0" w:rsidP="00C05A2E">
          <w:pPr>
            <w:rPr>
              <w:rFonts w:ascii="Arial" w:hAnsi="Arial" w:cs="Arial"/>
              <w:sz w:val="24"/>
              <w:szCs w:val="24"/>
            </w:rPr>
          </w:pPr>
          <w:r>
            <w:rPr>
              <w:rFonts w:eastAsia="Times New Roman"/>
            </w:rPr>
            <w:t> </w:t>
          </w:r>
        </w:p>
      </w:sdtContent>
    </w:sdt>
    <w:sectPr w:rsidR="000C30A5" w:rsidRPr="00265DE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E6320CA" w14:textId="77777777" w:rsidR="0010217C" w:rsidRDefault="0010217C" w:rsidP="004C5E2A">
      <w:pPr>
        <w:spacing w:after="0" w:line="240" w:lineRule="auto"/>
      </w:pPr>
      <w:r>
        <w:separator/>
      </w:r>
    </w:p>
  </w:endnote>
  <w:endnote w:type="continuationSeparator" w:id="0">
    <w:p w14:paraId="55DFD827" w14:textId="77777777" w:rsidR="0010217C" w:rsidRDefault="0010217C" w:rsidP="004C5E2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713D81F" w14:textId="77777777" w:rsidR="0010217C" w:rsidRDefault="0010217C" w:rsidP="004C5E2A">
      <w:pPr>
        <w:spacing w:after="0" w:line="240" w:lineRule="auto"/>
      </w:pPr>
      <w:r>
        <w:separator/>
      </w:r>
    </w:p>
  </w:footnote>
  <w:footnote w:type="continuationSeparator" w:id="0">
    <w:p w14:paraId="2912B26F" w14:textId="77777777" w:rsidR="0010217C" w:rsidRDefault="0010217C" w:rsidP="004C5E2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5DC57E5"/>
    <w:multiLevelType w:val="hybridMultilevel"/>
    <w:tmpl w:val="5246AC16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 w16cid:durableId="164261300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D5847"/>
    <w:rsid w:val="000243A8"/>
    <w:rsid w:val="000B03B9"/>
    <w:rsid w:val="000C30A5"/>
    <w:rsid w:val="0010217C"/>
    <w:rsid w:val="001116C0"/>
    <w:rsid w:val="001766E2"/>
    <w:rsid w:val="001B197A"/>
    <w:rsid w:val="002017C4"/>
    <w:rsid w:val="00204144"/>
    <w:rsid w:val="00214487"/>
    <w:rsid w:val="00235E44"/>
    <w:rsid w:val="00265DE1"/>
    <w:rsid w:val="002E00D3"/>
    <w:rsid w:val="003002C1"/>
    <w:rsid w:val="003E0D37"/>
    <w:rsid w:val="004C5E2A"/>
    <w:rsid w:val="004D5847"/>
    <w:rsid w:val="005551D0"/>
    <w:rsid w:val="00625793"/>
    <w:rsid w:val="00654CBD"/>
    <w:rsid w:val="00696B62"/>
    <w:rsid w:val="006D3007"/>
    <w:rsid w:val="00702BD1"/>
    <w:rsid w:val="0072042E"/>
    <w:rsid w:val="00783F83"/>
    <w:rsid w:val="007E74D1"/>
    <w:rsid w:val="00815039"/>
    <w:rsid w:val="00987D1A"/>
    <w:rsid w:val="009927EC"/>
    <w:rsid w:val="00A65DFE"/>
    <w:rsid w:val="00A84434"/>
    <w:rsid w:val="00AF3251"/>
    <w:rsid w:val="00B1580B"/>
    <w:rsid w:val="00BA7D22"/>
    <w:rsid w:val="00C05A2E"/>
    <w:rsid w:val="00C276D0"/>
    <w:rsid w:val="00D9262E"/>
    <w:rsid w:val="00DB2A6F"/>
    <w:rsid w:val="00E55096"/>
    <w:rsid w:val="00EF48DC"/>
    <w:rsid w:val="00FE04C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4C2BAA5"/>
  <w15:chartTrackingRefBased/>
  <w15:docId w15:val="{AA0947DC-BBF3-4328-8F3E-B3D80611D8B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B197A"/>
    <w:pPr>
      <w:spacing w:after="200" w:line="276" w:lineRule="auto"/>
    </w:pPr>
    <w:rPr>
      <w:rFonts w:ascii="Calibri" w:eastAsia="Calibri" w:hAnsi="Calibri" w:cs="Times New Roman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customStyle="1" w:styleId="TableGrid2">
    <w:name w:val="Table Grid2"/>
    <w:basedOn w:val="TableNormal"/>
    <w:next w:val="TableGrid"/>
    <w:uiPriority w:val="39"/>
    <w:rsid w:val="001B197A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Grid">
    <w:name w:val="Table Grid"/>
    <w:basedOn w:val="TableNormal"/>
    <w:uiPriority w:val="39"/>
    <w:rsid w:val="001B197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E5509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55096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625793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987D1A"/>
    <w:pPr>
      <w:spacing w:before="100" w:beforeAutospacing="1" w:after="100" w:afterAutospacing="1" w:line="240" w:lineRule="auto"/>
    </w:pPr>
    <w:rPr>
      <w:rFonts w:ascii="Times New Roman" w:eastAsia="Times New Roman" w:hAnsi="Times New Roman"/>
      <w:sz w:val="24"/>
      <w:szCs w:val="24"/>
      <w:lang w:val="en-GB" w:eastAsia="en-GB"/>
    </w:rPr>
  </w:style>
  <w:style w:type="character" w:styleId="PlaceholderText">
    <w:name w:val="Placeholder Text"/>
    <w:basedOn w:val="DefaultParagraphFont"/>
    <w:uiPriority w:val="99"/>
    <w:semiHidden/>
    <w:rsid w:val="001766E2"/>
    <w:rPr>
      <w:color w:val="808080"/>
    </w:rPr>
  </w:style>
  <w:style w:type="paragraph" w:styleId="Header">
    <w:name w:val="header"/>
    <w:basedOn w:val="Normal"/>
    <w:link w:val="HeaderChar"/>
    <w:uiPriority w:val="99"/>
    <w:unhideWhenUsed/>
    <w:rsid w:val="004C5E2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C5E2A"/>
    <w:rPr>
      <w:rFonts w:ascii="Calibri" w:eastAsia="Calibri" w:hAnsi="Calibri" w:cs="Times New Roman"/>
      <w:lang w:val="en-US"/>
    </w:rPr>
  </w:style>
  <w:style w:type="paragraph" w:styleId="Footer">
    <w:name w:val="footer"/>
    <w:basedOn w:val="Normal"/>
    <w:link w:val="FooterChar"/>
    <w:uiPriority w:val="99"/>
    <w:unhideWhenUsed/>
    <w:rsid w:val="004C5E2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C5E2A"/>
    <w:rPr>
      <w:rFonts w:ascii="Calibri" w:eastAsia="Calibri" w:hAnsi="Calibri" w:cs="Times New Roman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42305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199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226621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94725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0155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87399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43979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784904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1404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35323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73669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760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2146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006717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1510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7269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89482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53889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7393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ncbi.nlm.nih.gov/pmc/articles/PMC3096986/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glossaryDocument" Target="glossary/document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DefaultPlaceholder_-185401344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0D1EEE8-C5DF-4E40-9450-65C0CCA5B3D7}"/>
      </w:docPartPr>
      <w:docPartBody>
        <w:p w:rsidR="009B44DD" w:rsidRDefault="009B44DD">
          <w:r w:rsidRPr="007103FD">
            <w:rPr>
              <w:rStyle w:val="PlaceholderText"/>
            </w:rPr>
            <w:t>Click or tap here to enter text.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B44DD"/>
    <w:rsid w:val="00740F53"/>
    <w:rsid w:val="009B44D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9B44DD"/>
    <w:rPr>
      <w:color w:val="808080"/>
    </w:rPr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350" row="3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1B7D62C9-63E0-4C54-A391-7EFF2AFDFCE3}">
  <we:reference id="wa104382081" version="1.55.1.0" store="en-GB" storeType="OMEX"/>
  <we:alternateReferences>
    <we:reference id="wa104382081" version="1.55.1.0" store="" storeType="OMEX"/>
  </we:alternateReferences>
  <we:properties>
    <we:property name="MENDELEY_CITATIONS" value="[{&quot;citationID&quot;:&quot;MENDELEY_CITATION_68e3f868-923a-434e-a1b5-ff02d0b9c144&quot;,&quot;properties&quot;:{&quot;noteIndex&quot;:0},&quot;isEdited&quot;:false,&quot;manualOverride&quot;:{&quot;isManuallyOverridden&quot;:false,&quot;citeprocText&quot;:&quot;(Scott and Briggs, 2010)&quot;,&quot;manualOverrideText&quot;:&quot;&quot;},&quot;citationTag&quot;:&quot;MENDELEY_CITATION_v3_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&quot;,&quot;citationItems&quot;:[{&quot;id&quot;:&quot;7d58d0ac-668c-3650-9b13-290e53f27625&quot;,&quot;itemData&quot;:{&quot;type&quot;:&quot;article-journal&quot;,&quot;id&quot;:&quot;7d58d0ac-668c-3650-9b13-290e53f27625&quot;,&quot;title&quot;:&quot;STAT-HI: A socio-technical assessment tool for health informatics implementations&quot;,&quot;author&quot;:[{&quot;family&quot;:&quot;Scott&quot;,&quot;given&quot;:&quot;Philip&quot;,&quot;parse-names&quot;:false,&quot;dropping-particle&quot;:&quot;&quot;,&quot;non-dropping-particle&quot;:&quot;&quot;},{&quot;family&quot;:&quot;Briggs&quot;,&quot;given&quot;:&quot;Jim&quot;,&quot;parse-names&quot;:false,&quot;dropping-particle&quot;:&quot;&quot;,&quot;non-dropping-particle&quot;:&quot;&quot;}],&quot;container-title&quot;:&quot;Open Medical Informatics Journal&quot;,&quot;accessed&quot;:{&quot;date-parts&quot;:[[2023,12,3]]},&quot;ISSN&quot;:&quot;1874-4311&quot;,&quot;URL&quot;:&quot;https://www.ncbi.nlm.nih.gov/pmc/articles/PMC3096986/&quot;,&quot;issued&quot;:{&quot;date-parts&quot;:[[2010]]},&quot;page&quot;:&quot;214-220&quot;,&quot;abstract&quot;:&quot;This paper proposes a socio-technical assessment tool (STAT-HI) for health informatics implementations. We explore why even projects allegedly using sound methodologies repeatedly fail to give adequate attention to sociotechnical issues, and we present an initial draft of a structured assessment tool for health informatics implementation that encapsulates socio-technical good practice. Further work is proposed to enrich and validate the proposed instrument. This proposal was presented for discussion at a meeting of the UK Faculty of Health Informatics in December 2009.; This paper proposes a socio-technical assessment tool (STAT-HI) for health informatics implementations. We explore why even projects allegedly using sound methodologies repeatedly fail to give adequate attention to sociotechnical issues, and we present an initial draft of a structured assessment tool for health informatics implementation that encapsulates socio-technical good practice. Further work is proposed to enrich and validate the proposed instrument. This proposal was presented for discussion at a meeting of the UK Faculty of Health Informatics in December 2009.&quot;,&quot;issue&quot;:&quot;3&quot;,&quot;volume&quot;:&quot;4&quot;,&quot;container-title-short&quot;:&quot;&quot;},&quot;isTemporary&quot;:false}]}]"/>
    <we:property name="MENDELEY_CITATIONS_LOCALE_CODE" value="&quot;en-GB&quot;"/>
    <we:property name="MENDELEY_CITATIONS_STYLE" value="{&quot;id&quot;:&quot;https://www.zotero.org/styles/harvard-cite-them-right&quot;,&quot;title&quot;:&quot;Cite Them Right 12th edition - Harvard&quot;,&quot;format&quot;:&quot;author-date&quot;,&quot;defaultLocale&quot;:&quot;en-GB&quot;,&quot;isLocaleCodeValid&quot;:true}"/>
  </we:properties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218253B-AB4E-4411-A867-2C892CCE42A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194</Words>
  <Characters>1107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Philip Scott</dc:creator>
  <cp:keywords/>
  <dc:description/>
  <cp:lastModifiedBy>Philip Scott</cp:lastModifiedBy>
  <cp:revision>31</cp:revision>
  <dcterms:created xsi:type="dcterms:W3CDTF">2021-10-24T10:14:00Z</dcterms:created>
  <dcterms:modified xsi:type="dcterms:W3CDTF">2023-12-03T12:37:00Z</dcterms:modified>
</cp:coreProperties>
</file>