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CA0D0E" w14:textId="77777777" w:rsidR="00232C6D" w:rsidRDefault="00232C6D" w:rsidP="00232C6D">
      <w:pPr>
        <w:spacing w:line="360" w:lineRule="auto"/>
        <w:jc w:val="both"/>
        <w:rPr>
          <w:rFonts w:ascii="Arial" w:hAnsi="Arial" w:cs="Arial"/>
        </w:rPr>
      </w:pPr>
      <w:bookmarkStart w:id="0" w:name="_Hlk41071621"/>
      <w:r w:rsidRPr="00CE57DC">
        <w:rPr>
          <w:rFonts w:ascii="Arial" w:hAnsi="Arial" w:cs="Arial"/>
        </w:rPr>
        <w:t>The purpose of this assignment is to look at</w:t>
      </w:r>
      <w:r>
        <w:rPr>
          <w:rFonts w:ascii="Arial" w:hAnsi="Arial" w:cs="Arial"/>
        </w:rPr>
        <w:t xml:space="preserve"> issues within the contemporary Post Compulsory Education and Training sector (PCET), specifically looking at my strengths and weaknesses within regards to those issues. In order to do this the author has provided a presentation to their peers investigating contemporary issues that impact on the PCET sector in their specific field of study. The author will then go on to discuss the most prominent and pertinent issues within this assignment, and then provide an action plan that identifies the areas for development for the future of the author.</w:t>
      </w:r>
    </w:p>
    <w:p w14:paraId="0763B00D" w14:textId="77777777" w:rsidR="00232C6D" w:rsidRDefault="00232C6D" w:rsidP="00232C6D">
      <w:pPr>
        <w:spacing w:line="360" w:lineRule="auto"/>
        <w:jc w:val="both"/>
        <w:rPr>
          <w:rFonts w:ascii="Arial" w:hAnsi="Arial" w:cs="Arial"/>
        </w:rPr>
      </w:pPr>
      <w:r>
        <w:rPr>
          <w:rFonts w:ascii="Arial" w:hAnsi="Arial" w:cs="Arial"/>
        </w:rPr>
        <w:t>The first part of this assignment the author considered for separate issues that were observed whilst on placement within the Youth and Community Work degree programme at the University of Wales Trinity Saint David (UWTSD). The four issues presented, discussed and investigated with peers were the reduction in universities offering the youth work degree, the home and study balance of older students, entry-level attainment, and the challenge of teaching a vocational or practical job within a classroom.</w:t>
      </w:r>
    </w:p>
    <w:p w14:paraId="16658DA9" w14:textId="77777777" w:rsidR="00232C6D" w:rsidRDefault="00232C6D" w:rsidP="00232C6D">
      <w:pPr>
        <w:spacing w:line="360" w:lineRule="auto"/>
        <w:jc w:val="both"/>
        <w:rPr>
          <w:rFonts w:ascii="Arial" w:hAnsi="Arial" w:cs="Arial"/>
        </w:rPr>
      </w:pPr>
      <w:r>
        <w:rPr>
          <w:rFonts w:ascii="Arial" w:hAnsi="Arial" w:cs="Arial"/>
        </w:rPr>
        <w:t>Following the presentation, the author asked six questions of their peers in order to gain an understanding across the PCET programme. These questions were: do you think that, in your experience as a PCET trainee lecturer, there are concerns regarding students home and study balance across the board, could they be degree specific?; Has the previous attainment of students impacted their ability to learn in the classroom, although attainment within the degree programme; have you seen a decrease in the number of students on your chosen degree programme? What were the reasons for this?; Throughout the piece set programme we have discussed different pedagogy’s, learning styles and how to best educate everyone taking the individual into account. Does this mean an issue for you considering your subject matter?; Is it a challenge to teach a practical job in a classroom? And finally considering the last questions and, in light of the current situation and the need to move on to online teaching and assessment how has this impacted on your ability to teach? What has given you new opportunities and what other considerations when moving on to an online way of teaching?</w:t>
      </w:r>
    </w:p>
    <w:p w14:paraId="50F842F1" w14:textId="77777777" w:rsidR="00232C6D" w:rsidRDefault="00232C6D" w:rsidP="00232C6D">
      <w:pPr>
        <w:spacing w:line="360" w:lineRule="auto"/>
        <w:jc w:val="both"/>
        <w:rPr>
          <w:rFonts w:ascii="Arial" w:hAnsi="Arial" w:cs="Arial"/>
        </w:rPr>
      </w:pPr>
      <w:r>
        <w:rPr>
          <w:rFonts w:ascii="Arial" w:hAnsi="Arial" w:cs="Arial"/>
        </w:rPr>
        <w:t>The author received feedback from eight of their peers who are currently studying on the PCET programme. This feedback consisted of some peers answering questions and some peers summing up their responses in a written piece.</w:t>
      </w:r>
    </w:p>
    <w:p w14:paraId="5F2CFA61" w14:textId="77777777" w:rsidR="00232C6D" w:rsidRDefault="00232C6D" w:rsidP="00232C6D">
      <w:pPr>
        <w:spacing w:line="360" w:lineRule="auto"/>
        <w:jc w:val="both"/>
        <w:rPr>
          <w:rFonts w:ascii="Arial" w:hAnsi="Arial" w:cs="Arial"/>
        </w:rPr>
      </w:pPr>
      <w:r>
        <w:rPr>
          <w:rFonts w:ascii="Arial" w:hAnsi="Arial" w:cs="Arial"/>
        </w:rPr>
        <w:t>Through the feedback it was clear that the four original issues that have been identified by the author, could be reduced into two. These two are the youth work degree programme and its students and pedagogy’s and the teaching styles that fit within them, considering most recently online learning. These two issues are relevant to the author as the preferred professional development for the author is to become a lecturer on a youth and community work degree programme.</w:t>
      </w:r>
    </w:p>
    <w:p w14:paraId="5B8E4B7B" w14:textId="77777777" w:rsidR="00232C6D" w:rsidRDefault="00232C6D" w:rsidP="00232C6D">
      <w:pPr>
        <w:spacing w:line="360" w:lineRule="auto"/>
        <w:jc w:val="both"/>
        <w:rPr>
          <w:rFonts w:ascii="Arial" w:hAnsi="Arial" w:cs="Arial"/>
        </w:rPr>
      </w:pPr>
      <w:r>
        <w:rPr>
          <w:rFonts w:ascii="Arial" w:hAnsi="Arial" w:cs="Arial"/>
        </w:rPr>
        <w:lastRenderedPageBreak/>
        <w:t>On each of the professional teaching practice that peers of the author were on, there were issues around attendance, attainment and the student/homelife balance. Many mentioned specifically that, as mature students themselves they found it difficult to balance their children, work and studying the PCET programme, as well as identifying that students they were teaching had the same issues. One peer who provided feedback commented that they were unable to attend a whole module as a result of their work commitments and that they had witnessed the same concerns and issues with those on the course he was specifically teaching.</w:t>
      </w:r>
    </w:p>
    <w:p w14:paraId="7CF28B44" w14:textId="77777777" w:rsidR="00232C6D" w:rsidRDefault="00232C6D" w:rsidP="00232C6D">
      <w:pPr>
        <w:spacing w:line="360" w:lineRule="auto"/>
        <w:jc w:val="both"/>
        <w:rPr>
          <w:rFonts w:ascii="Arial" w:hAnsi="Arial" w:cs="Arial"/>
          <w:color w:val="000000" w:themeColor="text1"/>
        </w:rPr>
      </w:pPr>
      <w:r w:rsidRPr="00713FB5">
        <w:rPr>
          <w:rFonts w:ascii="Arial" w:hAnsi="Arial" w:cs="Arial"/>
          <w:color w:val="000000" w:themeColor="text1"/>
        </w:rPr>
        <w:t xml:space="preserve">Whilst on placement the author noted the number of mature students to significantly outweigh the number of ‘typical’ students. Although there is no typical definition for a mature student </w:t>
      </w:r>
      <w:r w:rsidRPr="00713FB5">
        <w:rPr>
          <w:rFonts w:ascii="Arial" w:eastAsiaTheme="minorEastAsia" w:hAnsi="Arial" w:cs="Arial"/>
          <w:color w:val="000000" w:themeColor="text1"/>
          <w:kern w:val="24"/>
        </w:rPr>
        <w:t>Hubble and Bolton (2020 p.3) in their paper to</w:t>
      </w:r>
      <w:r w:rsidRPr="00713FB5">
        <w:rPr>
          <w:rFonts w:ascii="Arial" w:hAnsi="Arial" w:cs="Arial"/>
          <w:color w:val="000000" w:themeColor="text1"/>
        </w:rPr>
        <w:t xml:space="preserve"> the House of Commons in their 2020 ‘Mature Higher Education Students in England’ report states that the term is “usually used to refer to older students, particularly students over 21 at the start of an undergraduate degree course”</w:t>
      </w:r>
      <w:r>
        <w:rPr>
          <w:rFonts w:ascii="Arial" w:hAnsi="Arial" w:cs="Arial"/>
          <w:color w:val="000000" w:themeColor="text1"/>
        </w:rPr>
        <w:t xml:space="preserve">. Hubble and Bolton go on to explain that mature students tend, in the main, to apply for and take part in vocational and practical and graduate degree courses. </w:t>
      </w:r>
    </w:p>
    <w:p w14:paraId="7FD5AAE2" w14:textId="77777777" w:rsidR="00232C6D" w:rsidRDefault="00232C6D" w:rsidP="00232C6D">
      <w:pPr>
        <w:spacing w:line="360" w:lineRule="auto"/>
        <w:jc w:val="both"/>
        <w:rPr>
          <w:rFonts w:ascii="Arial" w:hAnsi="Arial" w:cs="Arial"/>
        </w:rPr>
      </w:pPr>
      <w:r>
        <w:rPr>
          <w:rFonts w:ascii="Arial" w:hAnsi="Arial" w:cs="Arial"/>
        </w:rPr>
        <w:t>Some of the issues the author has noted, and as described by peer feedback, is that students who have more responsibilities at home have found it more challenging to hand working on time, meet deadlines all have the ability to complete her directed study.</w:t>
      </w:r>
    </w:p>
    <w:p w14:paraId="4309919E" w14:textId="77777777" w:rsidR="00232C6D" w:rsidRDefault="00232C6D" w:rsidP="00232C6D">
      <w:pPr>
        <w:spacing w:line="360" w:lineRule="auto"/>
        <w:jc w:val="both"/>
        <w:rPr>
          <w:rFonts w:ascii="Arial" w:hAnsi="Arial" w:cs="Arial"/>
          <w:color w:val="000000" w:themeColor="text1"/>
        </w:rPr>
      </w:pPr>
      <w:r>
        <w:rPr>
          <w:rFonts w:ascii="Arial" w:hAnsi="Arial" w:cs="Arial"/>
          <w:color w:val="000000" w:themeColor="text1"/>
        </w:rPr>
        <w:t>Hubble and Bolton (2020 p. 13) go on to claim that mature undergrad students are less likely to complete the course, are less likely to graduate with a higher class of degree (first class honours or second class), there are two students are less likely to enter education with A-levels, GCSEs or BTEC’s and that mature students are more likely to already be working in a highly skilled employment area. All of these points have been observed whilst the author has been on placement. There have been a number of students who have dropped out of each of the three years of the undergraduate degree. A number of students have lower confidence in their ability and are therefore not achieving the higher grades possible and many are still working full-time was trying to fit in full-time education at the same time.</w:t>
      </w:r>
    </w:p>
    <w:p w14:paraId="61243B6E" w14:textId="77777777" w:rsidR="00232C6D" w:rsidRDefault="00232C6D" w:rsidP="00232C6D">
      <w:pPr>
        <w:spacing w:line="360" w:lineRule="auto"/>
        <w:jc w:val="both"/>
        <w:rPr>
          <w:rFonts w:ascii="Arial" w:hAnsi="Arial" w:cs="Arial"/>
          <w:color w:val="000000" w:themeColor="text1"/>
        </w:rPr>
      </w:pPr>
      <w:r>
        <w:rPr>
          <w:rFonts w:ascii="Arial" w:hAnsi="Arial" w:cs="Arial"/>
          <w:color w:val="000000" w:themeColor="text1"/>
        </w:rPr>
        <w:t>Hubble Bolton (2020 p. 16) claim that there is a drop-off in the number of mature students studying at undergraduate level. They attributed this to a number of things including the cost of studying, the removal of grants and bursaries and the responsibilities students have at home on top of what would be the studying possibilities.</w:t>
      </w:r>
    </w:p>
    <w:p w14:paraId="4608CD6B" w14:textId="77777777" w:rsidR="00232C6D" w:rsidRDefault="00232C6D" w:rsidP="00232C6D">
      <w:pPr>
        <w:spacing w:line="360" w:lineRule="auto"/>
        <w:jc w:val="both"/>
        <w:rPr>
          <w:rFonts w:ascii="Arial" w:hAnsi="Arial" w:cs="Arial"/>
          <w:color w:val="000000" w:themeColor="text1"/>
        </w:rPr>
      </w:pPr>
      <w:r>
        <w:rPr>
          <w:rFonts w:ascii="Arial" w:hAnsi="Arial" w:cs="Arial"/>
          <w:color w:val="000000" w:themeColor="text1"/>
        </w:rPr>
        <w:t>In a degree program in which there is a response ability to go on placement, the author has noticed that this has compounded those issues and added to them.</w:t>
      </w:r>
    </w:p>
    <w:p w14:paraId="5ABD4F45" w14:textId="77777777" w:rsidR="00232C6D" w:rsidRDefault="00232C6D" w:rsidP="00232C6D">
      <w:pPr>
        <w:spacing w:line="360" w:lineRule="auto"/>
        <w:jc w:val="both"/>
        <w:rPr>
          <w:rFonts w:ascii="Arial" w:hAnsi="Arial" w:cs="Arial"/>
        </w:rPr>
      </w:pPr>
      <w:r>
        <w:rPr>
          <w:rFonts w:ascii="Arial" w:hAnsi="Arial" w:cs="Arial"/>
          <w:color w:val="000000" w:themeColor="text1"/>
        </w:rPr>
        <w:lastRenderedPageBreak/>
        <w:t>Crispin (2019) Claims that there is little known about to how mature students, and ones with children, are able to balance the demands of parenthood and home responsibilities with the studying responsibilities. Crispin (2019) claims that mature students spend significantly less time on their studies than those who are younger as they spend that time predominantly in the family home or at paid employment.</w:t>
      </w:r>
    </w:p>
    <w:p w14:paraId="2B96FC42" w14:textId="77777777" w:rsidR="00232C6D" w:rsidRDefault="00232C6D" w:rsidP="00232C6D">
      <w:pPr>
        <w:spacing w:line="360" w:lineRule="auto"/>
        <w:jc w:val="both"/>
        <w:rPr>
          <w:rFonts w:ascii="Arial" w:hAnsi="Arial" w:cs="Arial"/>
        </w:rPr>
      </w:pPr>
      <w:r>
        <w:rPr>
          <w:rFonts w:ascii="Arial" w:hAnsi="Arial" w:cs="Arial"/>
        </w:rPr>
        <w:t xml:space="preserve">Lowe and Gayle (2007 p.233-4) conducted a study in which they looked at the impact of the work and study life of students. In the conclusions they talk about having a family, having to work and studying as having both positive and negative consequences. Their research seems to indicate, as suggested by some peers and their feedback to my presentation, that the student’s ability to manage an undergraduate degree and balance their work, homelife and study to be a personal one. </w:t>
      </w:r>
    </w:p>
    <w:p w14:paraId="5A5842EC" w14:textId="77777777" w:rsidR="00232C6D" w:rsidRDefault="00232C6D" w:rsidP="00232C6D">
      <w:pPr>
        <w:spacing w:line="360" w:lineRule="auto"/>
        <w:jc w:val="both"/>
        <w:rPr>
          <w:rFonts w:ascii="Arial" w:hAnsi="Arial" w:cs="Arial"/>
        </w:rPr>
      </w:pPr>
      <w:r>
        <w:rPr>
          <w:rFonts w:ascii="Arial" w:hAnsi="Arial" w:cs="Arial"/>
        </w:rPr>
        <w:t>Although there is nothing the author can specifically do in auto to reduce the level of responsibility a student has at home, or at work she is able to support the student in a pastoral manner. The author however feels there is a role for the PCET educator supporting students who have other responsibilities through their undergraduate or postgraduate program. It is the opinion of the author that this could be through one-to-one tutorials, catch-up sessions for this lectures, providing lectures on an online basis so that they are available at all times and to be aware of other support mechanisms available to students outside of the responsibility of the lecturer.</w:t>
      </w:r>
    </w:p>
    <w:p w14:paraId="070C3480" w14:textId="77777777" w:rsidR="00232C6D" w:rsidRDefault="00232C6D" w:rsidP="00232C6D">
      <w:pPr>
        <w:spacing w:line="360" w:lineRule="auto"/>
        <w:jc w:val="both"/>
        <w:rPr>
          <w:rFonts w:ascii="Arial" w:hAnsi="Arial" w:cs="Arial"/>
        </w:rPr>
      </w:pPr>
      <w:r>
        <w:rPr>
          <w:rFonts w:ascii="Arial" w:hAnsi="Arial" w:cs="Arial"/>
        </w:rPr>
        <w:t>The second issue that came out of the presentation to the authors peers and subsequent feedback was the use of different teaching styles and methods and the pedagogy’s associated with them. When presenting the different forms of teaching, the overall views of the authors peers was that face to face teaching was more beneficial no matter the subject matter, but that there may be some undergraduate degrees such as sports science and youth work which required it more than others such as geography.</w:t>
      </w:r>
    </w:p>
    <w:p w14:paraId="7A46C107" w14:textId="77777777" w:rsidR="00232C6D" w:rsidRDefault="00232C6D" w:rsidP="00232C6D">
      <w:pPr>
        <w:spacing w:line="360" w:lineRule="auto"/>
        <w:jc w:val="both"/>
        <w:rPr>
          <w:rFonts w:ascii="Arial" w:hAnsi="Arial" w:cs="Arial"/>
        </w:rPr>
      </w:pPr>
      <w:r>
        <w:rPr>
          <w:rFonts w:ascii="Arial" w:hAnsi="Arial" w:cs="Arial"/>
        </w:rPr>
        <w:t>The youth work undergraduate and postgraduate programmes involve a large amount of field-based and practical learning as well as the theoretical components. The Education Training Standards Wales (ETS 2019 p.7) states that fieldwork is a vital component of the youth and community work undergraduate degree and that ‘</w:t>
      </w:r>
      <w:r w:rsidRPr="000742B1">
        <w:rPr>
          <w:rFonts w:ascii="Arial" w:hAnsi="Arial" w:cs="Arial"/>
        </w:rPr>
        <w:t>A wide range of placements continue to be used across a spectrum of work with young people.</w:t>
      </w:r>
      <w:r>
        <w:rPr>
          <w:rFonts w:ascii="Arial" w:hAnsi="Arial" w:cs="Arial"/>
        </w:rPr>
        <w:t>’</w:t>
      </w:r>
    </w:p>
    <w:p w14:paraId="07682208" w14:textId="77777777" w:rsidR="00232C6D" w:rsidRDefault="00232C6D" w:rsidP="00232C6D">
      <w:pPr>
        <w:spacing w:line="360" w:lineRule="auto"/>
        <w:jc w:val="both"/>
        <w:rPr>
          <w:rFonts w:ascii="Arial" w:hAnsi="Arial" w:cs="Arial"/>
        </w:rPr>
      </w:pPr>
      <w:r>
        <w:rPr>
          <w:rFonts w:ascii="Arial" w:hAnsi="Arial" w:cs="Arial"/>
        </w:rPr>
        <w:t>Although there are elements of the undergraduate degree that must be underpinned by sound theoretical knowledge, and there are elements of the programme which are behaviourist in their approach, such as safeguarding.  A large amount of the programme is taught through a cognitivist or constructivist method. This was also the authors preferred method of teaching.</w:t>
      </w:r>
    </w:p>
    <w:p w14:paraId="40EE4361" w14:textId="77777777" w:rsidR="00232C6D" w:rsidRPr="00AC660A" w:rsidRDefault="00232C6D" w:rsidP="00232C6D">
      <w:pPr>
        <w:spacing w:line="360" w:lineRule="auto"/>
        <w:jc w:val="both"/>
        <w:rPr>
          <w:rFonts w:ascii="Arial" w:hAnsi="Arial" w:cs="Arial"/>
        </w:rPr>
      </w:pPr>
      <w:r>
        <w:rPr>
          <w:rFonts w:ascii="Arial" w:hAnsi="Arial" w:cs="Arial"/>
        </w:rPr>
        <w:lastRenderedPageBreak/>
        <w:t xml:space="preserve">There are three main learning theories, derived from psychological schools, that are generally used to describe the way in which topics are taught or learnt, according to Aubry and Kelly (2019) </w:t>
      </w:r>
      <w:r w:rsidRPr="00AC660A">
        <w:rPr>
          <w:rFonts w:ascii="Arial" w:hAnsi="Arial" w:cs="Arial"/>
        </w:rPr>
        <w:t xml:space="preserve">these are </w:t>
      </w:r>
      <w:r w:rsidRPr="00ED22D4">
        <w:rPr>
          <w:rFonts w:ascii="Arial" w:hAnsi="Arial" w:cs="Arial"/>
        </w:rPr>
        <w:t xml:space="preserve">‘psychological schools of thought which are of relevance to education and learning theory: behaviourism, constructivism and </w:t>
      </w:r>
      <w:r>
        <w:rPr>
          <w:rFonts w:ascii="Arial" w:hAnsi="Arial" w:cs="Arial"/>
        </w:rPr>
        <w:t>cognitivism</w:t>
      </w:r>
      <w:r w:rsidRPr="00ED22D4">
        <w:rPr>
          <w:rFonts w:ascii="Arial" w:hAnsi="Arial" w:cs="Arial"/>
        </w:rPr>
        <w:t>’</w:t>
      </w:r>
    </w:p>
    <w:p w14:paraId="0F9BBC1B" w14:textId="77777777" w:rsidR="00232C6D" w:rsidRPr="00A4529A" w:rsidRDefault="00232C6D" w:rsidP="00232C6D">
      <w:pPr>
        <w:spacing w:line="360" w:lineRule="auto"/>
        <w:jc w:val="both"/>
        <w:rPr>
          <w:rFonts w:ascii="Arial" w:hAnsi="Arial" w:cs="Arial"/>
        </w:rPr>
      </w:pPr>
      <w:r w:rsidRPr="00AC660A">
        <w:rPr>
          <w:rFonts w:ascii="Arial" w:hAnsi="Arial" w:cs="Arial"/>
        </w:rPr>
        <w:t>Behaviourism is explicit in its process, there is a right or wrong answer to a question, or a specific process in which something needs to be followed which is right. Any other process would be wrong. Rogers (2007 p.89) rationalises that behaviourists ‘</w:t>
      </w:r>
      <w:r w:rsidRPr="00ED22D4">
        <w:rPr>
          <w:rFonts w:ascii="Arial" w:hAnsi="Arial" w:cs="Arial"/>
        </w:rPr>
        <w:t>assume knowledge is truth independent od both teacher and learner, that it is the same for all learners and can be known’.</w:t>
      </w:r>
      <w:r>
        <w:rPr>
          <w:rFonts w:ascii="Arial" w:hAnsi="Arial" w:cs="Arial"/>
        </w:rPr>
        <w:t xml:space="preserve"> Within the youth and community work undergraduate programme this would include safeguarding and risk assessment processes. However other aspects of youth and community work are far more grey than black and white, which is where constructivist and cognitivist </w:t>
      </w:r>
      <w:r w:rsidRPr="00A4529A">
        <w:rPr>
          <w:rFonts w:ascii="Arial" w:hAnsi="Arial" w:cs="Arial"/>
        </w:rPr>
        <w:t xml:space="preserve">teaching are more appropriate. </w:t>
      </w:r>
    </w:p>
    <w:p w14:paraId="648BFF72" w14:textId="77777777" w:rsidR="00232C6D" w:rsidRDefault="00232C6D" w:rsidP="00232C6D">
      <w:pPr>
        <w:spacing w:line="360" w:lineRule="auto"/>
        <w:jc w:val="both"/>
        <w:rPr>
          <w:rFonts w:ascii="Arial" w:hAnsi="Arial" w:cs="Arial"/>
        </w:rPr>
      </w:pPr>
      <w:r w:rsidRPr="00A4529A">
        <w:rPr>
          <w:rFonts w:ascii="Arial" w:hAnsi="Arial" w:cs="Arial"/>
        </w:rPr>
        <w:t xml:space="preserve">Constructivism is concerned with building upon prior knowledge and previous experiences. </w:t>
      </w:r>
      <w:r w:rsidRPr="00ED22D4">
        <w:rPr>
          <w:rFonts w:ascii="Arial" w:hAnsi="Arial" w:cs="Arial"/>
        </w:rPr>
        <w:t>Aubry and Kelly (2019 p. 128)</w:t>
      </w:r>
      <w:r w:rsidRPr="00A4529A">
        <w:rPr>
          <w:rFonts w:ascii="Arial" w:hAnsi="Arial" w:cs="Arial"/>
        </w:rPr>
        <w:t xml:space="preserve"> state that</w:t>
      </w:r>
      <w:r w:rsidRPr="00ED22D4">
        <w:rPr>
          <w:rFonts w:ascii="Arial" w:hAnsi="Arial" w:cs="Arial"/>
        </w:rPr>
        <w:t xml:space="preserve"> constructivism ‘stresses the significance of students constructing their knowledge and understanding by being interactively involved in the learning process’</w:t>
      </w:r>
      <w:r w:rsidRPr="00A4529A">
        <w:rPr>
          <w:rFonts w:ascii="Arial" w:hAnsi="Arial" w:cs="Arial"/>
        </w:rPr>
        <w:t>. This enables students to explore and discuss their practice and discuss the theory which underpins what they have learnt. It also affords the learner the ability to learn form their peers and how other students, or the lecturers themselves, might have managed a specific situation. We all learn from each other.</w:t>
      </w:r>
    </w:p>
    <w:p w14:paraId="69D3959F" w14:textId="77777777" w:rsidR="00232C6D" w:rsidRDefault="00232C6D" w:rsidP="00232C6D">
      <w:pPr>
        <w:spacing w:line="360" w:lineRule="auto"/>
        <w:jc w:val="both"/>
        <w:rPr>
          <w:rFonts w:ascii="Arial" w:hAnsi="Arial" w:cs="Arial"/>
        </w:rPr>
      </w:pPr>
      <w:r>
        <w:rPr>
          <w:rFonts w:ascii="Arial" w:hAnsi="Arial" w:cs="Arial"/>
        </w:rPr>
        <w:t>Considering the final learning theory, cognitivism, Aubry and Kelly states that it concentrated its focus on the learner as an individual, and that, as a result lectures should be delivered in a way in which meets the needs of those students</w:t>
      </w:r>
      <w:r w:rsidRPr="00A4529A">
        <w:rPr>
          <w:rFonts w:ascii="Arial" w:hAnsi="Arial" w:cs="Arial"/>
        </w:rPr>
        <w:t xml:space="preserve">. </w:t>
      </w:r>
      <w:r w:rsidRPr="00ED22D4">
        <w:rPr>
          <w:rFonts w:ascii="Arial" w:hAnsi="Arial" w:cs="Arial"/>
        </w:rPr>
        <w:t>Aubry and Kelly (2019 p. 128) say that cognitivism is a ‘theoretical position which stresses that thinking and understanding are fundamental to the learning process</w:t>
      </w:r>
      <w:r w:rsidRPr="00A4529A">
        <w:rPr>
          <w:rFonts w:ascii="Arial" w:hAnsi="Arial" w:cs="Arial"/>
        </w:rPr>
        <w:t>’. This means that for the student to learn they must be able to input and direct their learning themselves.</w:t>
      </w:r>
    </w:p>
    <w:p w14:paraId="751FF376" w14:textId="77777777" w:rsidR="00232C6D" w:rsidRDefault="00232C6D" w:rsidP="00232C6D">
      <w:pPr>
        <w:spacing w:line="360" w:lineRule="auto"/>
        <w:jc w:val="both"/>
        <w:rPr>
          <w:rFonts w:ascii="Arial" w:hAnsi="Arial" w:cs="Arial"/>
        </w:rPr>
      </w:pPr>
      <w:r>
        <w:rPr>
          <w:rFonts w:ascii="Arial" w:hAnsi="Arial" w:cs="Arial"/>
        </w:rPr>
        <w:t>However, this is challenging for lecturers and students alike. The author has recognised, as part of their placement, that students have found it difficult and challenging when behaviourist teaching strategies have been used, such as chalk and talk, and have preferred lectures when there is the opportunity to discuss practical and personal experiences on the topic.</w:t>
      </w:r>
    </w:p>
    <w:p w14:paraId="65CBFBFD" w14:textId="77777777" w:rsidR="00232C6D" w:rsidRDefault="00232C6D" w:rsidP="00232C6D">
      <w:pPr>
        <w:spacing w:line="360" w:lineRule="auto"/>
        <w:jc w:val="both"/>
        <w:rPr>
          <w:rFonts w:ascii="Arial" w:hAnsi="Arial" w:cs="Arial"/>
        </w:rPr>
      </w:pPr>
      <w:r>
        <w:rPr>
          <w:rFonts w:ascii="Arial" w:hAnsi="Arial" w:cs="Arial"/>
        </w:rPr>
        <w:t>This could be seen as an opposition to the way in which teaching is moving into the digital age.</w:t>
      </w:r>
    </w:p>
    <w:bookmarkEnd w:id="0"/>
    <w:p w14:paraId="5D8EF824" w14:textId="77777777" w:rsidR="00232C6D" w:rsidRDefault="00232C6D" w:rsidP="00232C6D">
      <w:pPr>
        <w:spacing w:line="360" w:lineRule="auto"/>
        <w:jc w:val="both"/>
        <w:rPr>
          <w:rFonts w:ascii="Arial" w:hAnsi="Arial" w:cs="Arial"/>
        </w:rPr>
      </w:pPr>
      <w:r>
        <w:rPr>
          <w:rFonts w:ascii="Arial" w:hAnsi="Arial" w:cs="Arial"/>
        </w:rPr>
        <w:t xml:space="preserve">The Welsh government, in 2019, published “Digital 2030: A strategic framework for post-16 digital learning in Wales”. Within it they describe the want for those within further education in Wales to be more converse in digital use and learning to enable the students to enter the </w:t>
      </w:r>
      <w:r>
        <w:rPr>
          <w:rFonts w:ascii="Arial" w:hAnsi="Arial" w:cs="Arial"/>
        </w:rPr>
        <w:lastRenderedPageBreak/>
        <w:t>digital age. Digital 2030 (2019) was published in recognition of the UK Government’s Further Education Learning Technology Action Group. (2019  p.9). The purpose of this group was to consider the use of emergent technologies within the post compulsory sector and, how this could be improved. For the purpose of Digital 2030 they describe post-16, or post compulsory education, as those in further education, those taking part in workplace learning and those who are adult learners. This therefore includes universities colleges community-based learning and workplace learning.</w:t>
      </w:r>
    </w:p>
    <w:p w14:paraId="50D2781C" w14:textId="77777777" w:rsidR="00232C6D" w:rsidRDefault="00232C6D" w:rsidP="00232C6D">
      <w:pPr>
        <w:spacing w:line="360" w:lineRule="auto"/>
        <w:jc w:val="both"/>
        <w:rPr>
          <w:rFonts w:ascii="Arial" w:hAnsi="Arial" w:cs="Arial"/>
          <w:color w:val="141414"/>
          <w:shd w:val="clear" w:color="auto" w:fill="FFFFFF"/>
        </w:rPr>
      </w:pPr>
      <w:r>
        <w:rPr>
          <w:rFonts w:ascii="Arial" w:hAnsi="Arial" w:cs="Arial"/>
        </w:rPr>
        <w:t xml:space="preserve">This has been accelerated in recent times as a result of the coronavirus According to the National Institute for Health and Care Excellence (NICE 2020) the coronavirus is a new virus that is a flu-like virus which affects the respiratory system which can lead to death. As a result of the threat of coronavirus in March 2020 all universities moved onto an online learning platform only. Wales Online commented that an email sent to University of Wales Trinity Saint David students received stated </w:t>
      </w:r>
      <w:r w:rsidRPr="00EF2C07">
        <w:rPr>
          <w:rFonts w:ascii="Arial" w:hAnsi="Arial" w:cs="Arial"/>
        </w:rPr>
        <w:t>that ‘</w:t>
      </w:r>
      <w:r w:rsidRPr="00EF2C07">
        <w:rPr>
          <w:rFonts w:ascii="Arial" w:hAnsi="Arial" w:cs="Arial"/>
          <w:color w:val="141414"/>
          <w:shd w:val="clear" w:color="auto" w:fill="FFFFFF"/>
        </w:rPr>
        <w:t>The University has asked Institutes to move to online delivery of programmes and assessment where possible from Monday 23 March</w:t>
      </w:r>
      <w:r>
        <w:rPr>
          <w:rFonts w:ascii="Arial" w:hAnsi="Arial" w:cs="Arial"/>
          <w:color w:val="141414"/>
          <w:shd w:val="clear" w:color="auto" w:fill="FFFFFF"/>
        </w:rPr>
        <w:t>’ (Online, 2020).</w:t>
      </w:r>
    </w:p>
    <w:p w14:paraId="3556ADC1" w14:textId="77777777" w:rsidR="00232C6D" w:rsidRDefault="00232C6D" w:rsidP="00232C6D">
      <w:pPr>
        <w:spacing w:line="360" w:lineRule="auto"/>
        <w:jc w:val="both"/>
        <w:rPr>
          <w:rFonts w:ascii="Arial" w:hAnsi="Arial" w:cs="Arial"/>
          <w:color w:val="141414"/>
          <w:shd w:val="clear" w:color="auto" w:fill="FFFFFF"/>
        </w:rPr>
      </w:pPr>
      <w:r>
        <w:rPr>
          <w:rFonts w:ascii="Arial" w:hAnsi="Arial" w:cs="Arial"/>
          <w:color w:val="141414"/>
          <w:shd w:val="clear" w:color="auto" w:fill="FFFFFF"/>
        </w:rPr>
        <w:t>This has concluded in students and lecturers having to equip themselves quickly and in a reactive way to meet the needs of their assessments and the needs of their students respectively.</w:t>
      </w:r>
    </w:p>
    <w:p w14:paraId="595487F3" w14:textId="77777777" w:rsidR="00232C6D" w:rsidRDefault="00232C6D" w:rsidP="00232C6D">
      <w:pPr>
        <w:spacing w:line="360" w:lineRule="auto"/>
        <w:jc w:val="both"/>
        <w:rPr>
          <w:rFonts w:ascii="Arial" w:hAnsi="Arial" w:cs="Arial"/>
          <w:color w:val="141414"/>
          <w:shd w:val="clear" w:color="auto" w:fill="FFFFFF"/>
        </w:rPr>
      </w:pPr>
      <w:r>
        <w:rPr>
          <w:rFonts w:ascii="Arial" w:hAnsi="Arial" w:cs="Arial"/>
          <w:color w:val="141414"/>
          <w:shd w:val="clear" w:color="auto" w:fill="FFFFFF"/>
        </w:rPr>
        <w:t>However this does not meet the need for youth and community work students to fulfil their placement and practical elements of learning. On the 20</w:t>
      </w:r>
      <w:r w:rsidRPr="0074655E">
        <w:rPr>
          <w:rFonts w:ascii="Arial" w:hAnsi="Arial" w:cs="Arial"/>
          <w:color w:val="141414"/>
          <w:shd w:val="clear" w:color="auto" w:fill="FFFFFF"/>
          <w:vertAlign w:val="superscript"/>
        </w:rPr>
        <w:t>th</w:t>
      </w:r>
      <w:r>
        <w:rPr>
          <w:rFonts w:ascii="Arial" w:hAnsi="Arial" w:cs="Arial"/>
          <w:color w:val="141414"/>
          <w:shd w:val="clear" w:color="auto" w:fill="FFFFFF"/>
        </w:rPr>
        <w:t xml:space="preserve"> May 2020 Kirsty Williams, Education Minister for Wales, explained the publishing of a “resilience plan” (Williams 2020) for PCET education in wales which takes into account vocational and placement-based programmes. Williams (2020) said </w:t>
      </w:r>
    </w:p>
    <w:p w14:paraId="1AF05005" w14:textId="77777777" w:rsidR="00232C6D" w:rsidRPr="0074655E" w:rsidRDefault="00232C6D" w:rsidP="00232C6D">
      <w:pPr>
        <w:spacing w:line="360" w:lineRule="auto"/>
        <w:ind w:left="850" w:right="850"/>
        <w:jc w:val="both"/>
        <w:rPr>
          <w:rFonts w:ascii="Arial" w:hAnsi="Arial" w:cs="Arial"/>
        </w:rPr>
      </w:pPr>
      <w:r>
        <w:rPr>
          <w:rFonts w:ascii="Arial" w:hAnsi="Arial" w:cs="Arial"/>
          <w:color w:val="141414"/>
          <w:shd w:val="clear" w:color="auto" w:fill="FFFFFF"/>
        </w:rPr>
        <w:t>“</w:t>
      </w:r>
      <w:r>
        <w:rPr>
          <w:rFonts w:ascii="Arial" w:hAnsi="Arial" w:cs="Arial"/>
        </w:rPr>
        <w:t>The plan sets out how we will work… universities… closed to face-to-face learning on March 20… universities have moved to delivering online lectures, tutorials and reviews… Importantly, the plan also identifies the learners for whom the coronavirus is likely to cause most restriction… vocational learners who need to access colleges or workplaces to complete their courses.”</w:t>
      </w:r>
    </w:p>
    <w:p w14:paraId="103A8206" w14:textId="77777777" w:rsidR="00232C6D" w:rsidRDefault="00232C6D" w:rsidP="00232C6D">
      <w:pPr>
        <w:spacing w:line="360" w:lineRule="auto"/>
        <w:jc w:val="both"/>
        <w:rPr>
          <w:rFonts w:ascii="Arial" w:hAnsi="Arial" w:cs="Arial"/>
        </w:rPr>
      </w:pPr>
      <w:r>
        <w:rPr>
          <w:rFonts w:ascii="Arial" w:hAnsi="Arial" w:cs="Arial"/>
          <w:color w:val="141414"/>
          <w:shd w:val="clear" w:color="auto" w:fill="FFFFFF"/>
        </w:rPr>
        <w:t>Whereas the author can adapt to many forms of teaching there is a lack of knowledge and experience in teaching online. The author is confident in teaching face to face but needs to adapt to online teaching.</w:t>
      </w:r>
    </w:p>
    <w:p w14:paraId="3330BC40" w14:textId="77777777" w:rsidR="00A663F6" w:rsidRDefault="00A663F6"/>
    <w:sectPr w:rsidR="00A663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0E45AB41-F19C-4C28-8323-FBF7707D84B7}"/>
    <w:docVar w:name="dgnword-eventsink" w:val="579257216"/>
  </w:docVars>
  <w:rsids>
    <w:rsidRoot w:val="009B68D6"/>
    <w:rsid w:val="00232C6D"/>
    <w:rsid w:val="009B0AC0"/>
    <w:rsid w:val="009B68D6"/>
    <w:rsid w:val="00A663F6"/>
    <w:rsid w:val="00D94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675B5"/>
  <w15:chartTrackingRefBased/>
  <w15:docId w15:val="{3EFE07B7-B197-401F-823F-6C3CFCDB3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2C6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2070</Words>
  <Characters>11804</Characters>
  <Application>Microsoft Office Word</Application>
  <DocSecurity>0</DocSecurity>
  <Lines>98</Lines>
  <Paragraphs>27</Paragraphs>
  <ScaleCrop>false</ScaleCrop>
  <Company/>
  <LinksUpToDate>false</LinksUpToDate>
  <CharactersWithSpaces>13847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 (1809089)</dc:creator>
  <cp:keywords/>
  <dc:description/>
  <cp:lastModifiedBy>Katie Gardner (1809089)</cp:lastModifiedBy>
  <cp:revision>3</cp:revision>
  <dcterms:created xsi:type="dcterms:W3CDTF">2020-05-22T19:26:00Z</dcterms:created>
  <dcterms:modified xsi:type="dcterms:W3CDTF">2020-05-22T21:19:00Z</dcterms:modified>
</cp:coreProperties>
</file>