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1A576C" w14:textId="77777777" w:rsidR="00893712" w:rsidRPr="00893712" w:rsidRDefault="00893712" w:rsidP="00893712">
      <w:pPr>
        <w:spacing w:after="160"/>
        <w:rPr>
          <w:rFonts w:eastAsiaTheme="minorHAnsi" w:cstheme="minorBidi"/>
          <w:b/>
          <w:bCs/>
          <w:lang w:val="en-US" w:eastAsia="en-US"/>
        </w:rPr>
      </w:pPr>
      <w:r w:rsidRPr="00893712">
        <w:rPr>
          <w:rFonts w:eastAsiaTheme="minorHAnsi" w:cstheme="minorBidi"/>
          <w:b/>
          <w:bCs/>
          <w:noProof/>
          <w:lang w:val="en-US" w:eastAsia="en-US"/>
        </w:rPr>
        <w:drawing>
          <wp:inline distT="0" distB="0" distL="0" distR="0" wp14:anchorId="664560BF" wp14:editId="0E9D61D9">
            <wp:extent cx="3717925" cy="1235710"/>
            <wp:effectExtent l="0" t="0" r="0" b="254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9196" cy="1235710"/>
                    </a:xfrm>
                    <a:prstGeom prst="rect">
                      <a:avLst/>
                    </a:prstGeom>
                    <a:noFill/>
                    <a:ln>
                      <a:noFill/>
                    </a:ln>
                  </pic:spPr>
                </pic:pic>
              </a:graphicData>
            </a:graphic>
          </wp:inline>
        </w:drawing>
      </w:r>
    </w:p>
    <w:p w14:paraId="5E988E7E" w14:textId="77777777" w:rsidR="00893712" w:rsidRPr="00893712" w:rsidRDefault="00893712" w:rsidP="00893712">
      <w:pPr>
        <w:spacing w:after="160"/>
        <w:rPr>
          <w:rFonts w:eastAsiaTheme="minorHAnsi" w:cstheme="minorBidi"/>
          <w:lang w:val="en-US" w:eastAsia="en-US"/>
        </w:rPr>
      </w:pPr>
    </w:p>
    <w:p w14:paraId="1D9F63D3" w14:textId="77777777" w:rsidR="00893712" w:rsidRPr="00893712" w:rsidRDefault="00893712" w:rsidP="00893712">
      <w:pPr>
        <w:spacing w:after="160"/>
        <w:rPr>
          <w:rFonts w:eastAsiaTheme="minorHAnsi" w:cstheme="minorBidi"/>
          <w:lang w:val="en-US" w:eastAsia="en-US"/>
        </w:rPr>
      </w:pPr>
    </w:p>
    <w:p w14:paraId="59260D93" w14:textId="13C4EDC7" w:rsidR="00893712" w:rsidRPr="00893712" w:rsidRDefault="00893712" w:rsidP="00893712">
      <w:pPr>
        <w:spacing w:after="160"/>
        <w:rPr>
          <w:rFonts w:eastAsiaTheme="minorHAnsi" w:cstheme="minorBidi"/>
          <w:b/>
          <w:bCs/>
          <w:sz w:val="36"/>
          <w:szCs w:val="36"/>
          <w:lang w:val="en-US" w:eastAsia="en-US"/>
        </w:rPr>
      </w:pPr>
      <w:r w:rsidRPr="00893712">
        <w:rPr>
          <w:rFonts w:eastAsiaTheme="minorHAnsi" w:cstheme="minorBidi"/>
          <w:b/>
          <w:bCs/>
          <w:sz w:val="28"/>
          <w:szCs w:val="28"/>
          <w:lang w:val="en-US" w:eastAsia="en-US"/>
        </w:rPr>
        <w:t xml:space="preserve">           </w:t>
      </w:r>
      <w:r w:rsidRPr="00893712">
        <w:rPr>
          <w:rFonts w:eastAsiaTheme="minorHAnsi" w:cstheme="minorBidi"/>
          <w:b/>
          <w:bCs/>
          <w:sz w:val="36"/>
          <w:szCs w:val="36"/>
          <w:lang w:val="en-US" w:eastAsia="en-US"/>
        </w:rPr>
        <w:t xml:space="preserve">          </w:t>
      </w:r>
    </w:p>
    <w:p w14:paraId="23E39CF1" w14:textId="77777777" w:rsidR="00893712" w:rsidRPr="00893712" w:rsidRDefault="00893712" w:rsidP="00893712">
      <w:pPr>
        <w:spacing w:after="160"/>
        <w:ind w:left="1440"/>
        <w:rPr>
          <w:rFonts w:eastAsiaTheme="minorHAnsi" w:cstheme="minorBidi"/>
          <w:b/>
          <w:bCs/>
          <w:sz w:val="36"/>
          <w:szCs w:val="36"/>
          <w:lang w:val="en-US" w:eastAsia="en-US"/>
        </w:rPr>
      </w:pPr>
      <w:r w:rsidRPr="00893712">
        <w:rPr>
          <w:rFonts w:eastAsiaTheme="minorHAnsi" w:cstheme="minorBidi"/>
          <w:b/>
          <w:bCs/>
          <w:sz w:val="36"/>
          <w:szCs w:val="36"/>
          <w:lang w:val="en-US" w:eastAsia="en-US"/>
        </w:rPr>
        <w:t xml:space="preserve">BA BUSINESS MANAGEMENT </w:t>
      </w:r>
    </w:p>
    <w:p w14:paraId="6E088989" w14:textId="4CA45192" w:rsidR="00893712" w:rsidRPr="00893712" w:rsidRDefault="00893712" w:rsidP="00893712">
      <w:pPr>
        <w:spacing w:after="160"/>
        <w:rPr>
          <w:rFonts w:eastAsiaTheme="minorHAnsi" w:cstheme="minorBidi"/>
          <w:b/>
          <w:bCs/>
          <w:sz w:val="36"/>
          <w:szCs w:val="36"/>
          <w:lang w:val="en-US" w:eastAsia="en-US"/>
        </w:rPr>
      </w:pPr>
      <w:r w:rsidRPr="00893712">
        <w:rPr>
          <w:rFonts w:eastAsiaTheme="minorHAnsi" w:cstheme="minorBidi"/>
          <w:b/>
          <w:bCs/>
          <w:sz w:val="36"/>
          <w:szCs w:val="36"/>
          <w:lang w:val="en-US" w:eastAsia="en-US"/>
        </w:rPr>
        <w:tab/>
      </w:r>
      <w:r w:rsidRPr="00893712">
        <w:rPr>
          <w:rFonts w:eastAsiaTheme="minorHAnsi" w:cstheme="minorBidi"/>
          <w:b/>
          <w:bCs/>
          <w:sz w:val="36"/>
          <w:szCs w:val="36"/>
          <w:lang w:val="en-US" w:eastAsia="en-US"/>
        </w:rPr>
        <w:tab/>
      </w:r>
      <w:r w:rsidRPr="00893712">
        <w:rPr>
          <w:rFonts w:eastAsiaTheme="minorHAnsi" w:cstheme="minorBidi"/>
          <w:b/>
          <w:bCs/>
          <w:sz w:val="36"/>
          <w:szCs w:val="36"/>
          <w:lang w:val="en-US" w:eastAsia="en-US"/>
        </w:rPr>
        <w:tab/>
      </w:r>
      <w:r w:rsidRPr="00893712">
        <w:rPr>
          <w:rFonts w:eastAsiaTheme="minorHAnsi" w:cstheme="minorBidi"/>
          <w:b/>
          <w:bCs/>
          <w:sz w:val="36"/>
          <w:szCs w:val="36"/>
          <w:lang w:val="en-US" w:eastAsia="en-US"/>
        </w:rPr>
        <w:tab/>
        <w:t xml:space="preserve"> </w:t>
      </w:r>
    </w:p>
    <w:p w14:paraId="59F4F62F" w14:textId="28FF31AD" w:rsidR="00893712" w:rsidRPr="00893712" w:rsidRDefault="00893712" w:rsidP="00893712">
      <w:pPr>
        <w:spacing w:after="160"/>
        <w:rPr>
          <w:rFonts w:eastAsiaTheme="minorHAnsi" w:cstheme="minorBidi"/>
          <w:b/>
          <w:bCs/>
          <w:sz w:val="36"/>
          <w:szCs w:val="36"/>
          <w:lang w:val="en-US" w:eastAsia="en-US"/>
        </w:rPr>
      </w:pPr>
      <w:r w:rsidRPr="00893712">
        <w:rPr>
          <w:rFonts w:eastAsiaTheme="minorHAnsi" w:cstheme="minorBidi"/>
          <w:b/>
          <w:bCs/>
          <w:sz w:val="36"/>
          <w:szCs w:val="36"/>
          <w:lang w:val="en-US" w:eastAsia="en-US"/>
        </w:rPr>
        <w:t xml:space="preserve">Module: </w:t>
      </w:r>
      <w:r w:rsidRPr="00893712">
        <w:rPr>
          <w:rFonts w:eastAsiaTheme="minorHAnsi" w:cstheme="minorBidi"/>
          <w:b/>
          <w:bCs/>
          <w:sz w:val="36"/>
          <w:szCs w:val="36"/>
          <w:lang w:eastAsia="en-US"/>
        </w:rPr>
        <w:t>International Financial Management</w:t>
      </w:r>
    </w:p>
    <w:p w14:paraId="25955679" w14:textId="64DF93D5" w:rsidR="00893712" w:rsidRPr="00893712" w:rsidRDefault="00893712" w:rsidP="00893712">
      <w:pPr>
        <w:spacing w:after="160"/>
        <w:rPr>
          <w:rFonts w:eastAsiaTheme="minorHAnsi" w:cstheme="minorBidi"/>
          <w:b/>
          <w:bCs/>
          <w:sz w:val="36"/>
          <w:szCs w:val="36"/>
          <w:lang w:val="en-US" w:eastAsia="en-US"/>
        </w:rPr>
      </w:pPr>
      <w:r w:rsidRPr="00893712">
        <w:rPr>
          <w:rFonts w:eastAsiaTheme="minorHAnsi" w:cstheme="minorBidi"/>
          <w:b/>
          <w:bCs/>
          <w:sz w:val="36"/>
          <w:szCs w:val="36"/>
          <w:lang w:val="en-US" w:eastAsia="en-US"/>
        </w:rPr>
        <w:t>Code: LCBB</w:t>
      </w:r>
      <w:r w:rsidR="00A25B40">
        <w:rPr>
          <w:rFonts w:eastAsiaTheme="minorHAnsi" w:cstheme="minorBidi"/>
          <w:b/>
          <w:bCs/>
          <w:sz w:val="36"/>
          <w:szCs w:val="36"/>
          <w:lang w:val="en-US" w:eastAsia="en-US"/>
        </w:rPr>
        <w:t>6002</w:t>
      </w:r>
    </w:p>
    <w:p w14:paraId="6D231AEC" w14:textId="252682E5" w:rsidR="00893712" w:rsidRPr="00893712" w:rsidRDefault="00893712" w:rsidP="00893712">
      <w:pPr>
        <w:spacing w:after="160"/>
        <w:rPr>
          <w:rFonts w:eastAsiaTheme="minorHAnsi" w:cstheme="minorBidi"/>
          <w:lang w:val="en-US" w:eastAsia="en-US"/>
        </w:rPr>
      </w:pPr>
      <w:r w:rsidRPr="00893712">
        <w:rPr>
          <w:rFonts w:eastAsiaTheme="minorHAnsi" w:cstheme="minorBidi"/>
          <w:b/>
          <w:bCs/>
          <w:sz w:val="36"/>
          <w:szCs w:val="36"/>
          <w:lang w:val="en-US" w:eastAsia="en-US"/>
        </w:rPr>
        <w:t xml:space="preserve">Lecturer: Dr </w:t>
      </w:r>
      <w:r w:rsidR="00A25B40">
        <w:rPr>
          <w:rFonts w:eastAsiaTheme="minorHAnsi" w:cstheme="minorBidi"/>
          <w:b/>
          <w:bCs/>
          <w:sz w:val="36"/>
          <w:szCs w:val="36"/>
          <w:lang w:val="en-US" w:eastAsia="en-US"/>
        </w:rPr>
        <w:t xml:space="preserve">Andry </w:t>
      </w:r>
      <w:proofErr w:type="spellStart"/>
      <w:r w:rsidR="00A9260D">
        <w:rPr>
          <w:rFonts w:eastAsiaTheme="minorHAnsi" w:cstheme="minorBidi"/>
          <w:b/>
          <w:bCs/>
          <w:sz w:val="36"/>
          <w:szCs w:val="36"/>
          <w:lang w:val="en-US" w:eastAsia="en-US"/>
        </w:rPr>
        <w:t>Rakotovololona</w:t>
      </w:r>
      <w:proofErr w:type="spellEnd"/>
    </w:p>
    <w:p w14:paraId="76CCCE0F" w14:textId="77777777" w:rsidR="00893712" w:rsidRPr="00893712" w:rsidRDefault="00893712" w:rsidP="00893712">
      <w:pPr>
        <w:spacing w:after="160"/>
        <w:rPr>
          <w:rFonts w:eastAsiaTheme="minorHAnsi" w:cstheme="minorBidi"/>
          <w:b/>
          <w:bCs/>
          <w:sz w:val="36"/>
          <w:szCs w:val="36"/>
          <w:lang w:val="en-US" w:eastAsia="en-US"/>
        </w:rPr>
      </w:pPr>
      <w:r w:rsidRPr="00893712">
        <w:rPr>
          <w:rFonts w:eastAsiaTheme="minorHAnsi" w:cstheme="minorBidi"/>
          <w:b/>
          <w:bCs/>
          <w:sz w:val="36"/>
          <w:szCs w:val="36"/>
          <w:lang w:val="en-US" w:eastAsia="en-US"/>
        </w:rPr>
        <w:t>Name: Silvia Bounegru</w:t>
      </w:r>
    </w:p>
    <w:p w14:paraId="2A0A1F3E" w14:textId="77777777" w:rsidR="00893712" w:rsidRPr="00893712" w:rsidRDefault="00893712" w:rsidP="00893712">
      <w:pPr>
        <w:spacing w:after="160"/>
        <w:rPr>
          <w:rFonts w:eastAsiaTheme="minorHAnsi" w:cstheme="minorBidi"/>
          <w:b/>
          <w:bCs/>
          <w:sz w:val="36"/>
          <w:szCs w:val="36"/>
          <w:lang w:val="en-US" w:eastAsia="en-US"/>
        </w:rPr>
      </w:pPr>
      <w:r w:rsidRPr="00893712">
        <w:rPr>
          <w:rFonts w:eastAsiaTheme="minorHAnsi" w:cstheme="minorBidi"/>
          <w:b/>
          <w:bCs/>
          <w:sz w:val="36"/>
          <w:szCs w:val="36"/>
          <w:lang w:val="en-US" w:eastAsia="en-US"/>
        </w:rPr>
        <w:t>Student ID: 2132530</w:t>
      </w:r>
    </w:p>
    <w:p w14:paraId="615D68DC" w14:textId="77777777" w:rsidR="00893712" w:rsidRPr="00893712" w:rsidRDefault="00893712" w:rsidP="00893712">
      <w:pPr>
        <w:spacing w:after="160"/>
        <w:rPr>
          <w:rFonts w:eastAsiaTheme="minorHAnsi" w:cstheme="minorBidi"/>
          <w:b/>
          <w:bCs/>
          <w:sz w:val="36"/>
          <w:szCs w:val="36"/>
          <w:lang w:val="en-US" w:eastAsia="en-US"/>
        </w:rPr>
      </w:pPr>
    </w:p>
    <w:p w14:paraId="578CA9DF" w14:textId="77777777" w:rsidR="00893712" w:rsidRPr="00893712" w:rsidRDefault="00893712" w:rsidP="00893712">
      <w:pPr>
        <w:spacing w:after="160"/>
        <w:rPr>
          <w:rFonts w:eastAsiaTheme="minorHAnsi" w:cstheme="minorBidi"/>
          <w:b/>
          <w:bCs/>
          <w:sz w:val="36"/>
          <w:szCs w:val="36"/>
          <w:lang w:val="en-US" w:eastAsia="en-US"/>
        </w:rPr>
      </w:pPr>
    </w:p>
    <w:p w14:paraId="4A5DA3B5" w14:textId="77777777" w:rsidR="00893712" w:rsidRPr="00893712" w:rsidRDefault="00893712" w:rsidP="00893712">
      <w:pPr>
        <w:spacing w:after="160"/>
        <w:rPr>
          <w:rFonts w:eastAsiaTheme="minorHAnsi" w:cstheme="minorBidi"/>
          <w:b/>
          <w:bCs/>
          <w:sz w:val="36"/>
          <w:szCs w:val="36"/>
          <w:lang w:val="en-US" w:eastAsia="en-US"/>
        </w:rPr>
      </w:pPr>
    </w:p>
    <w:p w14:paraId="055E2C7A" w14:textId="46235D7C" w:rsidR="00893712" w:rsidRPr="00893712" w:rsidRDefault="00893712" w:rsidP="00893712">
      <w:pPr>
        <w:spacing w:after="160"/>
        <w:rPr>
          <w:rFonts w:eastAsiaTheme="minorHAnsi" w:cstheme="minorBidi"/>
          <w:b/>
          <w:bCs/>
          <w:sz w:val="32"/>
          <w:szCs w:val="32"/>
          <w:lang w:val="en-US" w:eastAsia="en-US"/>
        </w:rPr>
      </w:pPr>
      <w:r w:rsidRPr="00893712">
        <w:rPr>
          <w:rFonts w:eastAsiaTheme="minorHAnsi" w:cstheme="minorBidi"/>
          <w:b/>
          <w:bCs/>
          <w:sz w:val="36"/>
          <w:szCs w:val="36"/>
          <w:lang w:val="en-US" w:eastAsia="en-US"/>
        </w:rPr>
        <w:t xml:space="preserve">                                  </w:t>
      </w:r>
      <w:r w:rsidRPr="00893712">
        <w:rPr>
          <w:rFonts w:eastAsiaTheme="minorHAnsi" w:cstheme="minorBidi"/>
          <w:b/>
          <w:bCs/>
          <w:sz w:val="32"/>
          <w:szCs w:val="32"/>
          <w:lang w:val="en-US" w:eastAsia="en-US"/>
        </w:rPr>
        <w:t xml:space="preserve">SUBMITTED ON THE </w:t>
      </w:r>
      <w:proofErr w:type="gramStart"/>
      <w:r w:rsidRPr="00893712">
        <w:rPr>
          <w:rFonts w:eastAsiaTheme="minorHAnsi" w:cstheme="minorBidi"/>
          <w:b/>
          <w:bCs/>
          <w:sz w:val="32"/>
          <w:szCs w:val="32"/>
          <w:lang w:val="en-US" w:eastAsia="en-US"/>
        </w:rPr>
        <w:t>2</w:t>
      </w:r>
      <w:r w:rsidR="00677717">
        <w:rPr>
          <w:rFonts w:eastAsiaTheme="minorHAnsi" w:cstheme="minorBidi"/>
          <w:b/>
          <w:bCs/>
          <w:sz w:val="32"/>
          <w:szCs w:val="32"/>
          <w:lang w:val="en-US" w:eastAsia="en-US"/>
        </w:rPr>
        <w:t>1</w:t>
      </w:r>
      <w:r w:rsidR="00677717">
        <w:rPr>
          <w:rFonts w:eastAsiaTheme="minorHAnsi" w:cstheme="minorBidi"/>
          <w:b/>
          <w:bCs/>
          <w:sz w:val="32"/>
          <w:szCs w:val="32"/>
          <w:vertAlign w:val="superscript"/>
          <w:lang w:val="en-US" w:eastAsia="en-US"/>
        </w:rPr>
        <w:t>st</w:t>
      </w:r>
      <w:proofErr w:type="gramEnd"/>
      <w:r w:rsidRPr="00893712">
        <w:rPr>
          <w:rFonts w:eastAsiaTheme="minorHAnsi" w:cstheme="minorBidi"/>
          <w:b/>
          <w:bCs/>
          <w:sz w:val="32"/>
          <w:szCs w:val="32"/>
          <w:lang w:val="en-US" w:eastAsia="en-US"/>
        </w:rPr>
        <w:t xml:space="preserve"> </w:t>
      </w:r>
      <w:r w:rsidR="00677717">
        <w:rPr>
          <w:rFonts w:eastAsiaTheme="minorHAnsi" w:cstheme="minorBidi"/>
          <w:b/>
          <w:bCs/>
          <w:sz w:val="32"/>
          <w:szCs w:val="32"/>
          <w:lang w:val="en-US" w:eastAsia="en-US"/>
        </w:rPr>
        <w:t>August</w:t>
      </w:r>
      <w:r w:rsidRPr="00893712">
        <w:rPr>
          <w:rFonts w:eastAsiaTheme="minorHAnsi" w:cstheme="minorBidi"/>
          <w:b/>
          <w:bCs/>
          <w:sz w:val="32"/>
          <w:szCs w:val="32"/>
          <w:lang w:val="en-US" w:eastAsia="en-US"/>
        </w:rPr>
        <w:t xml:space="preserve"> 202</w:t>
      </w:r>
      <w:r w:rsidR="00677717">
        <w:rPr>
          <w:rFonts w:eastAsiaTheme="minorHAnsi" w:cstheme="minorBidi"/>
          <w:b/>
          <w:bCs/>
          <w:sz w:val="32"/>
          <w:szCs w:val="32"/>
          <w:lang w:val="en-US" w:eastAsia="en-US"/>
        </w:rPr>
        <w:t>4</w:t>
      </w:r>
    </w:p>
    <w:p w14:paraId="08DCF002" w14:textId="77777777" w:rsidR="00893712" w:rsidRPr="00893712" w:rsidRDefault="00893712" w:rsidP="00893712">
      <w:pPr>
        <w:spacing w:after="160"/>
        <w:jc w:val="center"/>
        <w:rPr>
          <w:rFonts w:eastAsiaTheme="minorHAnsi" w:cs="Times New Roman"/>
          <w:b/>
          <w:bCs/>
          <w:noProof/>
          <w:sz w:val="36"/>
          <w:szCs w:val="36"/>
          <w:lang w:eastAsia="en-US"/>
        </w:rPr>
      </w:pPr>
    </w:p>
    <w:p w14:paraId="1EF02C3C" w14:textId="77777777" w:rsidR="00893712" w:rsidRPr="00893712" w:rsidRDefault="00893712" w:rsidP="00893712">
      <w:pPr>
        <w:spacing w:after="160"/>
        <w:jc w:val="center"/>
        <w:rPr>
          <w:rFonts w:eastAsiaTheme="minorHAnsi" w:cs="Times New Roman"/>
          <w:b/>
          <w:bCs/>
          <w:noProof/>
          <w:sz w:val="36"/>
          <w:szCs w:val="36"/>
          <w:lang w:eastAsia="en-US"/>
        </w:rPr>
      </w:pPr>
    </w:p>
    <w:p w14:paraId="7EDDB36A" w14:textId="77777777" w:rsidR="00893712" w:rsidRPr="00893712" w:rsidRDefault="00893712" w:rsidP="00893712">
      <w:pPr>
        <w:spacing w:after="160"/>
        <w:jc w:val="center"/>
        <w:rPr>
          <w:rFonts w:eastAsiaTheme="minorHAnsi" w:cs="Times New Roman"/>
          <w:b/>
          <w:bCs/>
          <w:noProof/>
          <w:sz w:val="36"/>
          <w:szCs w:val="36"/>
          <w:lang w:eastAsia="en-US"/>
        </w:rPr>
      </w:pPr>
    </w:p>
    <w:p w14:paraId="1A38DD80" w14:textId="77777777" w:rsidR="00893712" w:rsidRPr="00893712" w:rsidRDefault="00893712" w:rsidP="00893712">
      <w:pPr>
        <w:spacing w:after="160"/>
        <w:jc w:val="center"/>
        <w:rPr>
          <w:rFonts w:eastAsiaTheme="minorHAnsi" w:cs="Times New Roman"/>
          <w:b/>
          <w:bCs/>
          <w:noProof/>
          <w:sz w:val="36"/>
          <w:szCs w:val="36"/>
          <w:lang w:eastAsia="en-US"/>
        </w:rPr>
      </w:pPr>
    </w:p>
    <w:p w14:paraId="129631DF" w14:textId="77777777" w:rsidR="00893712" w:rsidRPr="00893712" w:rsidRDefault="00893712" w:rsidP="006361E2">
      <w:pPr>
        <w:spacing w:after="160"/>
        <w:jc w:val="center"/>
        <w:rPr>
          <w:rFonts w:eastAsiaTheme="minorHAnsi" w:cs="Times New Roman"/>
          <w:b/>
          <w:bCs/>
          <w:noProof/>
          <w:sz w:val="36"/>
          <w:szCs w:val="36"/>
          <w:lang w:eastAsia="en-US"/>
        </w:rPr>
      </w:pPr>
    </w:p>
    <w:p w14:paraId="6CE6DE72" w14:textId="77777777" w:rsidR="00FC685A" w:rsidRDefault="00893712" w:rsidP="00FC685A">
      <w:pPr>
        <w:spacing w:after="160"/>
        <w:jc w:val="center"/>
        <w:rPr>
          <w:rFonts w:eastAsiaTheme="minorHAnsi" w:cs="Times New Roman"/>
          <w:b/>
          <w:bCs/>
          <w:noProof/>
          <w:sz w:val="48"/>
          <w:szCs w:val="48"/>
          <w:lang w:eastAsia="en-US"/>
        </w:rPr>
      </w:pPr>
      <w:r w:rsidRPr="00893712">
        <w:rPr>
          <w:rFonts w:eastAsiaTheme="minorHAnsi" w:cs="Times New Roman"/>
          <w:b/>
          <w:bCs/>
          <w:noProof/>
          <w:sz w:val="48"/>
          <w:szCs w:val="48"/>
          <w:lang w:eastAsia="en-US"/>
        </w:rPr>
        <w:t>Assignment Title:</w:t>
      </w:r>
    </w:p>
    <w:p w14:paraId="5F4AEB1A" w14:textId="3F2E43AB" w:rsidR="00893712" w:rsidRDefault="006361E2" w:rsidP="00FC685A">
      <w:pPr>
        <w:spacing w:after="160"/>
        <w:jc w:val="center"/>
        <w:rPr>
          <w:rFonts w:eastAsiaTheme="minorHAnsi" w:cs="Times New Roman"/>
          <w:b/>
          <w:bCs/>
          <w:noProof/>
          <w:sz w:val="48"/>
          <w:szCs w:val="48"/>
          <w:lang w:eastAsia="en-US"/>
        </w:rPr>
      </w:pPr>
      <w:r>
        <w:rPr>
          <w:rFonts w:eastAsiaTheme="minorHAnsi" w:cs="Times New Roman"/>
          <w:b/>
          <w:bCs/>
          <w:noProof/>
          <w:sz w:val="48"/>
          <w:szCs w:val="48"/>
          <w:lang w:eastAsia="en-US"/>
        </w:rPr>
        <w:t>Written Report</w:t>
      </w:r>
    </w:p>
    <w:p w14:paraId="1D0D87C1" w14:textId="1C961995" w:rsidR="00797698" w:rsidRPr="00893712" w:rsidRDefault="00797698" w:rsidP="00FC685A">
      <w:pPr>
        <w:spacing w:after="160"/>
        <w:jc w:val="center"/>
        <w:rPr>
          <w:rFonts w:eastAsiaTheme="minorHAnsi" w:cs="Times New Roman"/>
          <w:b/>
          <w:bCs/>
          <w:noProof/>
          <w:sz w:val="48"/>
          <w:szCs w:val="48"/>
          <w:lang w:eastAsia="en-US"/>
        </w:rPr>
      </w:pPr>
      <w:r>
        <w:rPr>
          <w:rFonts w:eastAsiaTheme="minorHAnsi" w:cs="Times New Roman"/>
          <w:b/>
          <w:bCs/>
          <w:noProof/>
          <w:sz w:val="48"/>
          <w:szCs w:val="48"/>
          <w:lang w:eastAsia="en-US"/>
        </w:rPr>
        <w:t xml:space="preserve">International Financial </w:t>
      </w:r>
      <w:r w:rsidR="00540B4B">
        <w:rPr>
          <w:rFonts w:eastAsiaTheme="minorHAnsi" w:cs="Times New Roman"/>
          <w:b/>
          <w:bCs/>
          <w:noProof/>
          <w:sz w:val="48"/>
          <w:szCs w:val="48"/>
          <w:lang w:eastAsia="en-US"/>
        </w:rPr>
        <w:t>Management</w:t>
      </w:r>
    </w:p>
    <w:p w14:paraId="01897086" w14:textId="4963500B" w:rsidR="008D5722" w:rsidRPr="003C1FC6" w:rsidRDefault="00893712" w:rsidP="003C1FC6">
      <w:pPr>
        <w:spacing w:after="160"/>
        <w:jc w:val="center"/>
        <w:rPr>
          <w:rFonts w:eastAsiaTheme="minorHAnsi" w:cs="Times New Roman"/>
          <w:b/>
          <w:bCs/>
          <w:noProof/>
          <w:sz w:val="36"/>
          <w:szCs w:val="36"/>
          <w:lang w:eastAsia="en-US"/>
        </w:rPr>
      </w:pPr>
      <w:r w:rsidRPr="00893712">
        <w:rPr>
          <w:rFonts w:eastAsiaTheme="minorHAnsi" w:cs="Times New Roman"/>
          <w:b/>
          <w:bCs/>
          <w:noProof/>
          <w:sz w:val="36"/>
          <w:szCs w:val="36"/>
          <w:lang w:eastAsia="en-US"/>
        </w:rPr>
        <w:br w:type="page"/>
      </w:r>
    </w:p>
    <w:sdt>
      <w:sdtPr>
        <w:rPr>
          <w:rFonts w:ascii="Times New Roman" w:eastAsia="Arial" w:hAnsi="Times New Roman" w:cs="Arial"/>
          <w:color w:val="auto"/>
          <w:sz w:val="24"/>
          <w:szCs w:val="22"/>
        </w:rPr>
        <w:id w:val="-1982146835"/>
        <w:docPartObj>
          <w:docPartGallery w:val="Table of Contents"/>
          <w:docPartUnique/>
        </w:docPartObj>
      </w:sdtPr>
      <w:sdtEndPr>
        <w:rPr>
          <w:b/>
          <w:bCs/>
        </w:rPr>
      </w:sdtEndPr>
      <w:sdtContent>
        <w:p w14:paraId="0D3A9D30" w14:textId="0DA07AA6" w:rsidR="008627F4" w:rsidRPr="002644FE" w:rsidRDefault="008627F4">
          <w:pPr>
            <w:pStyle w:val="TOCHeading"/>
            <w:rPr>
              <w:b/>
              <w:bCs/>
            </w:rPr>
          </w:pPr>
          <w:r w:rsidRPr="002644FE">
            <w:rPr>
              <w:b/>
              <w:bCs/>
            </w:rPr>
            <w:t>Contents</w:t>
          </w:r>
        </w:p>
        <w:p w14:paraId="66E4A87E" w14:textId="3F3011CC" w:rsidR="008627F4" w:rsidRPr="002644FE" w:rsidRDefault="008627F4" w:rsidP="002644FE">
          <w:pPr>
            <w:pStyle w:val="TOC1"/>
          </w:pPr>
          <w:r w:rsidRPr="002644FE">
            <w:fldChar w:fldCharType="begin"/>
          </w:r>
          <w:r w:rsidRPr="002644FE">
            <w:instrText xml:space="preserve"> TOC \o "1-3" \h \z \u </w:instrText>
          </w:r>
          <w:r w:rsidRPr="002644FE">
            <w:fldChar w:fldCharType="separate"/>
          </w:r>
          <w:hyperlink w:anchor="_Toc171445170" w:history="1">
            <w:r w:rsidRPr="002644FE">
              <w:rPr>
                <w:rStyle w:val="Hyperlink"/>
              </w:rPr>
              <w:t>Introduction</w:t>
            </w:r>
            <w:r w:rsidRPr="002644FE">
              <w:rPr>
                <w:webHidden/>
              </w:rPr>
              <w:tab/>
            </w:r>
            <w:r w:rsidRPr="002644FE">
              <w:rPr>
                <w:webHidden/>
              </w:rPr>
              <w:fldChar w:fldCharType="begin"/>
            </w:r>
            <w:r w:rsidRPr="002644FE">
              <w:rPr>
                <w:webHidden/>
              </w:rPr>
              <w:instrText xml:space="preserve"> PAGEREF _Toc171445170 \h </w:instrText>
            </w:r>
            <w:r w:rsidRPr="002644FE">
              <w:rPr>
                <w:webHidden/>
              </w:rPr>
            </w:r>
            <w:r w:rsidRPr="002644FE">
              <w:rPr>
                <w:webHidden/>
              </w:rPr>
              <w:fldChar w:fldCharType="separate"/>
            </w:r>
            <w:r w:rsidRPr="002644FE">
              <w:rPr>
                <w:webHidden/>
              </w:rPr>
              <w:t>3</w:t>
            </w:r>
            <w:r w:rsidRPr="002644FE">
              <w:rPr>
                <w:webHidden/>
              </w:rPr>
              <w:fldChar w:fldCharType="end"/>
            </w:r>
          </w:hyperlink>
        </w:p>
        <w:p w14:paraId="6D20E76D" w14:textId="6AA4643E" w:rsidR="008627F4" w:rsidRPr="002644FE" w:rsidRDefault="00810BF3">
          <w:pPr>
            <w:pStyle w:val="TOC2"/>
            <w:tabs>
              <w:tab w:val="right" w:leader="dot" w:pos="9350"/>
            </w:tabs>
            <w:rPr>
              <w:b/>
              <w:bCs/>
              <w:noProof/>
            </w:rPr>
          </w:pPr>
          <w:hyperlink w:anchor="_Toc171445171" w:history="1">
            <w:r w:rsidR="008627F4" w:rsidRPr="002644FE">
              <w:rPr>
                <w:rStyle w:val="Hyperlink"/>
                <w:b/>
                <w:bCs/>
                <w:noProof/>
              </w:rPr>
              <w:t>Understanding Foreign Exchange Risks</w:t>
            </w:r>
            <w:r w:rsidR="008627F4" w:rsidRPr="002644FE">
              <w:rPr>
                <w:b/>
                <w:bCs/>
                <w:noProof/>
                <w:webHidden/>
              </w:rPr>
              <w:tab/>
            </w:r>
            <w:r w:rsidR="008627F4" w:rsidRPr="002644FE">
              <w:rPr>
                <w:b/>
                <w:bCs/>
                <w:noProof/>
                <w:webHidden/>
              </w:rPr>
              <w:fldChar w:fldCharType="begin"/>
            </w:r>
            <w:r w:rsidR="008627F4" w:rsidRPr="002644FE">
              <w:rPr>
                <w:b/>
                <w:bCs/>
                <w:noProof/>
                <w:webHidden/>
              </w:rPr>
              <w:instrText xml:space="preserve"> PAGEREF _Toc171445171 \h </w:instrText>
            </w:r>
            <w:r w:rsidR="008627F4" w:rsidRPr="002644FE">
              <w:rPr>
                <w:b/>
                <w:bCs/>
                <w:noProof/>
                <w:webHidden/>
              </w:rPr>
            </w:r>
            <w:r w:rsidR="008627F4" w:rsidRPr="002644FE">
              <w:rPr>
                <w:b/>
                <w:bCs/>
                <w:noProof/>
                <w:webHidden/>
              </w:rPr>
              <w:fldChar w:fldCharType="separate"/>
            </w:r>
            <w:r w:rsidR="008627F4" w:rsidRPr="002644FE">
              <w:rPr>
                <w:b/>
                <w:bCs/>
                <w:noProof/>
                <w:webHidden/>
              </w:rPr>
              <w:t>4</w:t>
            </w:r>
            <w:r w:rsidR="008627F4" w:rsidRPr="002644FE">
              <w:rPr>
                <w:b/>
                <w:bCs/>
                <w:noProof/>
                <w:webHidden/>
              </w:rPr>
              <w:fldChar w:fldCharType="end"/>
            </w:r>
          </w:hyperlink>
        </w:p>
        <w:p w14:paraId="225B31E4" w14:textId="52BD4928" w:rsidR="008627F4" w:rsidRPr="002644FE" w:rsidRDefault="00810BF3">
          <w:pPr>
            <w:pStyle w:val="TOC2"/>
            <w:tabs>
              <w:tab w:val="right" w:leader="dot" w:pos="9350"/>
            </w:tabs>
            <w:rPr>
              <w:b/>
              <w:bCs/>
              <w:noProof/>
            </w:rPr>
          </w:pPr>
          <w:hyperlink w:anchor="_Toc171445172" w:history="1">
            <w:r w:rsidR="008627F4" w:rsidRPr="002644FE">
              <w:rPr>
                <w:rStyle w:val="Hyperlink"/>
                <w:b/>
                <w:bCs/>
                <w:noProof/>
              </w:rPr>
              <w:t>Theoretical Framework</w:t>
            </w:r>
            <w:r w:rsidR="008627F4" w:rsidRPr="002644FE">
              <w:rPr>
                <w:b/>
                <w:bCs/>
                <w:noProof/>
                <w:webHidden/>
              </w:rPr>
              <w:tab/>
            </w:r>
            <w:r w:rsidR="008627F4" w:rsidRPr="002644FE">
              <w:rPr>
                <w:b/>
                <w:bCs/>
                <w:noProof/>
                <w:webHidden/>
              </w:rPr>
              <w:fldChar w:fldCharType="begin"/>
            </w:r>
            <w:r w:rsidR="008627F4" w:rsidRPr="002644FE">
              <w:rPr>
                <w:b/>
                <w:bCs/>
                <w:noProof/>
                <w:webHidden/>
              </w:rPr>
              <w:instrText xml:space="preserve"> PAGEREF _Toc171445172 \h </w:instrText>
            </w:r>
            <w:r w:rsidR="008627F4" w:rsidRPr="002644FE">
              <w:rPr>
                <w:b/>
                <w:bCs/>
                <w:noProof/>
                <w:webHidden/>
              </w:rPr>
            </w:r>
            <w:r w:rsidR="008627F4" w:rsidRPr="002644FE">
              <w:rPr>
                <w:b/>
                <w:bCs/>
                <w:noProof/>
                <w:webHidden/>
              </w:rPr>
              <w:fldChar w:fldCharType="separate"/>
            </w:r>
            <w:r w:rsidR="008627F4" w:rsidRPr="002644FE">
              <w:rPr>
                <w:b/>
                <w:bCs/>
                <w:noProof/>
                <w:webHidden/>
              </w:rPr>
              <w:t>5</w:t>
            </w:r>
            <w:r w:rsidR="008627F4" w:rsidRPr="002644FE">
              <w:rPr>
                <w:b/>
                <w:bCs/>
                <w:noProof/>
                <w:webHidden/>
              </w:rPr>
              <w:fldChar w:fldCharType="end"/>
            </w:r>
          </w:hyperlink>
        </w:p>
        <w:p w14:paraId="1F95C3E2" w14:textId="3B057E79" w:rsidR="008627F4" w:rsidRPr="002644FE" w:rsidRDefault="00810BF3">
          <w:pPr>
            <w:pStyle w:val="TOC2"/>
            <w:tabs>
              <w:tab w:val="right" w:leader="dot" w:pos="9350"/>
            </w:tabs>
            <w:rPr>
              <w:b/>
              <w:bCs/>
              <w:noProof/>
            </w:rPr>
          </w:pPr>
          <w:hyperlink w:anchor="_Toc171445173" w:history="1">
            <w:r w:rsidR="008627F4" w:rsidRPr="002644FE">
              <w:rPr>
                <w:rStyle w:val="Hyperlink"/>
                <w:b/>
                <w:bCs/>
                <w:noProof/>
              </w:rPr>
              <w:t>Hedging Strategies</w:t>
            </w:r>
            <w:r w:rsidR="008627F4" w:rsidRPr="002644FE">
              <w:rPr>
                <w:b/>
                <w:bCs/>
                <w:noProof/>
                <w:webHidden/>
              </w:rPr>
              <w:tab/>
            </w:r>
            <w:r w:rsidR="008627F4" w:rsidRPr="002644FE">
              <w:rPr>
                <w:b/>
                <w:bCs/>
                <w:noProof/>
                <w:webHidden/>
              </w:rPr>
              <w:fldChar w:fldCharType="begin"/>
            </w:r>
            <w:r w:rsidR="008627F4" w:rsidRPr="002644FE">
              <w:rPr>
                <w:b/>
                <w:bCs/>
                <w:noProof/>
                <w:webHidden/>
              </w:rPr>
              <w:instrText xml:space="preserve"> PAGEREF _Toc171445173 \h </w:instrText>
            </w:r>
            <w:r w:rsidR="008627F4" w:rsidRPr="002644FE">
              <w:rPr>
                <w:b/>
                <w:bCs/>
                <w:noProof/>
                <w:webHidden/>
              </w:rPr>
            </w:r>
            <w:r w:rsidR="008627F4" w:rsidRPr="002644FE">
              <w:rPr>
                <w:b/>
                <w:bCs/>
                <w:noProof/>
                <w:webHidden/>
              </w:rPr>
              <w:fldChar w:fldCharType="separate"/>
            </w:r>
            <w:r w:rsidR="008627F4" w:rsidRPr="002644FE">
              <w:rPr>
                <w:b/>
                <w:bCs/>
                <w:noProof/>
                <w:webHidden/>
              </w:rPr>
              <w:t>6</w:t>
            </w:r>
            <w:r w:rsidR="008627F4" w:rsidRPr="002644FE">
              <w:rPr>
                <w:b/>
                <w:bCs/>
                <w:noProof/>
                <w:webHidden/>
              </w:rPr>
              <w:fldChar w:fldCharType="end"/>
            </w:r>
          </w:hyperlink>
        </w:p>
        <w:p w14:paraId="4F887697" w14:textId="070DDB56" w:rsidR="008627F4" w:rsidRPr="002644FE" w:rsidRDefault="00810BF3">
          <w:pPr>
            <w:pStyle w:val="TOC2"/>
            <w:tabs>
              <w:tab w:val="right" w:leader="dot" w:pos="9350"/>
            </w:tabs>
            <w:rPr>
              <w:b/>
              <w:bCs/>
              <w:noProof/>
            </w:rPr>
          </w:pPr>
          <w:hyperlink w:anchor="_Toc171445174" w:history="1">
            <w:r w:rsidR="008627F4" w:rsidRPr="002644FE">
              <w:rPr>
                <w:rStyle w:val="Hyperlink"/>
                <w:b/>
                <w:bCs/>
                <w:noProof/>
              </w:rPr>
              <w:t>Critical Analysis and Empirical Evidence</w:t>
            </w:r>
            <w:r w:rsidR="008627F4" w:rsidRPr="002644FE">
              <w:rPr>
                <w:b/>
                <w:bCs/>
                <w:noProof/>
                <w:webHidden/>
              </w:rPr>
              <w:tab/>
            </w:r>
            <w:r w:rsidR="008627F4" w:rsidRPr="002644FE">
              <w:rPr>
                <w:b/>
                <w:bCs/>
                <w:noProof/>
                <w:webHidden/>
              </w:rPr>
              <w:fldChar w:fldCharType="begin"/>
            </w:r>
            <w:r w:rsidR="008627F4" w:rsidRPr="002644FE">
              <w:rPr>
                <w:b/>
                <w:bCs/>
                <w:noProof/>
                <w:webHidden/>
              </w:rPr>
              <w:instrText xml:space="preserve"> PAGEREF _Toc171445174 \h </w:instrText>
            </w:r>
            <w:r w:rsidR="008627F4" w:rsidRPr="002644FE">
              <w:rPr>
                <w:b/>
                <w:bCs/>
                <w:noProof/>
                <w:webHidden/>
              </w:rPr>
            </w:r>
            <w:r w:rsidR="008627F4" w:rsidRPr="002644FE">
              <w:rPr>
                <w:b/>
                <w:bCs/>
                <w:noProof/>
                <w:webHidden/>
              </w:rPr>
              <w:fldChar w:fldCharType="separate"/>
            </w:r>
            <w:r w:rsidR="008627F4" w:rsidRPr="002644FE">
              <w:rPr>
                <w:b/>
                <w:bCs/>
                <w:noProof/>
                <w:webHidden/>
              </w:rPr>
              <w:t>7</w:t>
            </w:r>
            <w:r w:rsidR="008627F4" w:rsidRPr="002644FE">
              <w:rPr>
                <w:b/>
                <w:bCs/>
                <w:noProof/>
                <w:webHidden/>
              </w:rPr>
              <w:fldChar w:fldCharType="end"/>
            </w:r>
          </w:hyperlink>
        </w:p>
        <w:p w14:paraId="413A4F41" w14:textId="327E684E" w:rsidR="008627F4" w:rsidRPr="002644FE" w:rsidRDefault="00810BF3">
          <w:pPr>
            <w:pStyle w:val="TOC2"/>
            <w:tabs>
              <w:tab w:val="right" w:leader="dot" w:pos="9350"/>
            </w:tabs>
            <w:rPr>
              <w:b/>
              <w:bCs/>
              <w:noProof/>
            </w:rPr>
          </w:pPr>
          <w:hyperlink w:anchor="_Toc171445175" w:history="1">
            <w:r w:rsidR="008627F4" w:rsidRPr="002644FE">
              <w:rPr>
                <w:rStyle w:val="Hyperlink"/>
                <w:b/>
                <w:bCs/>
                <w:noProof/>
              </w:rPr>
              <w:t>Evaluation of Risk Management Strategies</w:t>
            </w:r>
            <w:r w:rsidR="008627F4" w:rsidRPr="002644FE">
              <w:rPr>
                <w:b/>
                <w:bCs/>
                <w:noProof/>
                <w:webHidden/>
              </w:rPr>
              <w:tab/>
            </w:r>
            <w:r w:rsidR="008627F4" w:rsidRPr="002644FE">
              <w:rPr>
                <w:b/>
                <w:bCs/>
                <w:noProof/>
                <w:webHidden/>
              </w:rPr>
              <w:fldChar w:fldCharType="begin"/>
            </w:r>
            <w:r w:rsidR="008627F4" w:rsidRPr="002644FE">
              <w:rPr>
                <w:b/>
                <w:bCs/>
                <w:noProof/>
                <w:webHidden/>
              </w:rPr>
              <w:instrText xml:space="preserve"> PAGEREF _Toc171445175 \h </w:instrText>
            </w:r>
            <w:r w:rsidR="008627F4" w:rsidRPr="002644FE">
              <w:rPr>
                <w:b/>
                <w:bCs/>
                <w:noProof/>
                <w:webHidden/>
              </w:rPr>
            </w:r>
            <w:r w:rsidR="008627F4" w:rsidRPr="002644FE">
              <w:rPr>
                <w:b/>
                <w:bCs/>
                <w:noProof/>
                <w:webHidden/>
              </w:rPr>
              <w:fldChar w:fldCharType="separate"/>
            </w:r>
            <w:r w:rsidR="008627F4" w:rsidRPr="002644FE">
              <w:rPr>
                <w:b/>
                <w:bCs/>
                <w:noProof/>
                <w:webHidden/>
              </w:rPr>
              <w:t>8</w:t>
            </w:r>
            <w:r w:rsidR="008627F4" w:rsidRPr="002644FE">
              <w:rPr>
                <w:b/>
                <w:bCs/>
                <w:noProof/>
                <w:webHidden/>
              </w:rPr>
              <w:fldChar w:fldCharType="end"/>
            </w:r>
          </w:hyperlink>
        </w:p>
        <w:p w14:paraId="74FF46A1" w14:textId="77392238" w:rsidR="008627F4" w:rsidRPr="002644FE" w:rsidRDefault="00810BF3">
          <w:pPr>
            <w:pStyle w:val="TOC3"/>
            <w:tabs>
              <w:tab w:val="right" w:leader="dot" w:pos="9350"/>
            </w:tabs>
            <w:rPr>
              <w:b/>
              <w:bCs/>
              <w:noProof/>
            </w:rPr>
          </w:pPr>
          <w:hyperlink w:anchor="_Toc171445176" w:history="1">
            <w:r w:rsidR="008627F4" w:rsidRPr="002644FE">
              <w:rPr>
                <w:rStyle w:val="Hyperlink"/>
                <w:b/>
                <w:bCs/>
                <w:noProof/>
              </w:rPr>
              <w:t>Cost-Benefit Analysis.</w:t>
            </w:r>
            <w:r w:rsidR="008627F4" w:rsidRPr="002644FE">
              <w:rPr>
                <w:b/>
                <w:bCs/>
                <w:noProof/>
                <w:webHidden/>
              </w:rPr>
              <w:tab/>
            </w:r>
            <w:r w:rsidR="008627F4" w:rsidRPr="002644FE">
              <w:rPr>
                <w:b/>
                <w:bCs/>
                <w:noProof/>
                <w:webHidden/>
              </w:rPr>
              <w:fldChar w:fldCharType="begin"/>
            </w:r>
            <w:r w:rsidR="008627F4" w:rsidRPr="002644FE">
              <w:rPr>
                <w:b/>
                <w:bCs/>
                <w:noProof/>
                <w:webHidden/>
              </w:rPr>
              <w:instrText xml:space="preserve"> PAGEREF _Toc171445176 \h </w:instrText>
            </w:r>
            <w:r w:rsidR="008627F4" w:rsidRPr="002644FE">
              <w:rPr>
                <w:b/>
                <w:bCs/>
                <w:noProof/>
                <w:webHidden/>
              </w:rPr>
            </w:r>
            <w:r w:rsidR="008627F4" w:rsidRPr="002644FE">
              <w:rPr>
                <w:b/>
                <w:bCs/>
                <w:noProof/>
                <w:webHidden/>
              </w:rPr>
              <w:fldChar w:fldCharType="separate"/>
            </w:r>
            <w:r w:rsidR="008627F4" w:rsidRPr="002644FE">
              <w:rPr>
                <w:b/>
                <w:bCs/>
                <w:noProof/>
                <w:webHidden/>
              </w:rPr>
              <w:t>8</w:t>
            </w:r>
            <w:r w:rsidR="008627F4" w:rsidRPr="002644FE">
              <w:rPr>
                <w:b/>
                <w:bCs/>
                <w:noProof/>
                <w:webHidden/>
              </w:rPr>
              <w:fldChar w:fldCharType="end"/>
            </w:r>
          </w:hyperlink>
        </w:p>
        <w:p w14:paraId="00457C6A" w14:textId="7EFB552B" w:rsidR="008627F4" w:rsidRPr="002644FE" w:rsidRDefault="00810BF3">
          <w:pPr>
            <w:pStyle w:val="TOC3"/>
            <w:tabs>
              <w:tab w:val="right" w:leader="dot" w:pos="9350"/>
            </w:tabs>
            <w:rPr>
              <w:b/>
              <w:bCs/>
              <w:noProof/>
            </w:rPr>
          </w:pPr>
          <w:hyperlink w:anchor="_Toc171445177" w:history="1">
            <w:r w:rsidR="008627F4" w:rsidRPr="002644FE">
              <w:rPr>
                <w:rStyle w:val="Hyperlink"/>
                <w:b/>
                <w:bCs/>
                <w:noProof/>
              </w:rPr>
              <w:t>Impact on Financial Performance.</w:t>
            </w:r>
            <w:r w:rsidR="008627F4" w:rsidRPr="002644FE">
              <w:rPr>
                <w:b/>
                <w:bCs/>
                <w:noProof/>
                <w:webHidden/>
              </w:rPr>
              <w:tab/>
            </w:r>
            <w:r w:rsidR="008627F4" w:rsidRPr="002644FE">
              <w:rPr>
                <w:b/>
                <w:bCs/>
                <w:noProof/>
                <w:webHidden/>
              </w:rPr>
              <w:fldChar w:fldCharType="begin"/>
            </w:r>
            <w:r w:rsidR="008627F4" w:rsidRPr="002644FE">
              <w:rPr>
                <w:b/>
                <w:bCs/>
                <w:noProof/>
                <w:webHidden/>
              </w:rPr>
              <w:instrText xml:space="preserve"> PAGEREF _Toc171445177 \h </w:instrText>
            </w:r>
            <w:r w:rsidR="008627F4" w:rsidRPr="002644FE">
              <w:rPr>
                <w:b/>
                <w:bCs/>
                <w:noProof/>
                <w:webHidden/>
              </w:rPr>
            </w:r>
            <w:r w:rsidR="008627F4" w:rsidRPr="002644FE">
              <w:rPr>
                <w:b/>
                <w:bCs/>
                <w:noProof/>
                <w:webHidden/>
              </w:rPr>
              <w:fldChar w:fldCharType="separate"/>
            </w:r>
            <w:r w:rsidR="008627F4" w:rsidRPr="002644FE">
              <w:rPr>
                <w:b/>
                <w:bCs/>
                <w:noProof/>
                <w:webHidden/>
              </w:rPr>
              <w:t>9</w:t>
            </w:r>
            <w:r w:rsidR="008627F4" w:rsidRPr="002644FE">
              <w:rPr>
                <w:b/>
                <w:bCs/>
                <w:noProof/>
                <w:webHidden/>
              </w:rPr>
              <w:fldChar w:fldCharType="end"/>
            </w:r>
          </w:hyperlink>
        </w:p>
        <w:p w14:paraId="04C28D9B" w14:textId="15F86456" w:rsidR="008627F4" w:rsidRPr="002644FE" w:rsidRDefault="00810BF3">
          <w:pPr>
            <w:pStyle w:val="TOC3"/>
            <w:tabs>
              <w:tab w:val="right" w:leader="dot" w:pos="9350"/>
            </w:tabs>
            <w:rPr>
              <w:b/>
              <w:bCs/>
              <w:noProof/>
            </w:rPr>
          </w:pPr>
          <w:hyperlink w:anchor="_Toc171445178" w:history="1">
            <w:r w:rsidR="008627F4" w:rsidRPr="002644FE">
              <w:rPr>
                <w:rStyle w:val="Hyperlink"/>
                <w:b/>
                <w:bCs/>
                <w:noProof/>
              </w:rPr>
              <w:t>Long-Term vs. Short-Term Considerations.</w:t>
            </w:r>
            <w:r w:rsidR="008627F4" w:rsidRPr="002644FE">
              <w:rPr>
                <w:b/>
                <w:bCs/>
                <w:noProof/>
                <w:webHidden/>
              </w:rPr>
              <w:tab/>
            </w:r>
            <w:r w:rsidR="008627F4" w:rsidRPr="002644FE">
              <w:rPr>
                <w:b/>
                <w:bCs/>
                <w:noProof/>
                <w:webHidden/>
              </w:rPr>
              <w:fldChar w:fldCharType="begin"/>
            </w:r>
            <w:r w:rsidR="008627F4" w:rsidRPr="002644FE">
              <w:rPr>
                <w:b/>
                <w:bCs/>
                <w:noProof/>
                <w:webHidden/>
              </w:rPr>
              <w:instrText xml:space="preserve"> PAGEREF _Toc171445178 \h </w:instrText>
            </w:r>
            <w:r w:rsidR="008627F4" w:rsidRPr="002644FE">
              <w:rPr>
                <w:b/>
                <w:bCs/>
                <w:noProof/>
                <w:webHidden/>
              </w:rPr>
            </w:r>
            <w:r w:rsidR="008627F4" w:rsidRPr="002644FE">
              <w:rPr>
                <w:b/>
                <w:bCs/>
                <w:noProof/>
                <w:webHidden/>
              </w:rPr>
              <w:fldChar w:fldCharType="separate"/>
            </w:r>
            <w:r w:rsidR="008627F4" w:rsidRPr="002644FE">
              <w:rPr>
                <w:b/>
                <w:bCs/>
                <w:noProof/>
                <w:webHidden/>
              </w:rPr>
              <w:t>9</w:t>
            </w:r>
            <w:r w:rsidR="008627F4" w:rsidRPr="002644FE">
              <w:rPr>
                <w:b/>
                <w:bCs/>
                <w:noProof/>
                <w:webHidden/>
              </w:rPr>
              <w:fldChar w:fldCharType="end"/>
            </w:r>
          </w:hyperlink>
        </w:p>
        <w:p w14:paraId="36BF3566" w14:textId="23437DE9" w:rsidR="008627F4" w:rsidRPr="002644FE" w:rsidRDefault="00810BF3" w:rsidP="002644FE">
          <w:pPr>
            <w:pStyle w:val="TOC1"/>
          </w:pPr>
          <w:hyperlink w:anchor="_Toc171445179" w:history="1">
            <w:r w:rsidR="008627F4" w:rsidRPr="002644FE">
              <w:rPr>
                <w:rStyle w:val="Hyperlink"/>
              </w:rPr>
              <w:t>Conclusion</w:t>
            </w:r>
            <w:r w:rsidR="008627F4" w:rsidRPr="002644FE">
              <w:rPr>
                <w:webHidden/>
              </w:rPr>
              <w:tab/>
            </w:r>
            <w:r w:rsidR="008627F4" w:rsidRPr="002644FE">
              <w:rPr>
                <w:webHidden/>
              </w:rPr>
              <w:fldChar w:fldCharType="begin"/>
            </w:r>
            <w:r w:rsidR="008627F4" w:rsidRPr="002644FE">
              <w:rPr>
                <w:webHidden/>
              </w:rPr>
              <w:instrText xml:space="preserve"> PAGEREF _Toc171445179 \h </w:instrText>
            </w:r>
            <w:r w:rsidR="008627F4" w:rsidRPr="002644FE">
              <w:rPr>
                <w:webHidden/>
              </w:rPr>
            </w:r>
            <w:r w:rsidR="008627F4" w:rsidRPr="002644FE">
              <w:rPr>
                <w:webHidden/>
              </w:rPr>
              <w:fldChar w:fldCharType="separate"/>
            </w:r>
            <w:r w:rsidR="008627F4" w:rsidRPr="002644FE">
              <w:rPr>
                <w:webHidden/>
              </w:rPr>
              <w:t>10</w:t>
            </w:r>
            <w:r w:rsidR="008627F4" w:rsidRPr="002644FE">
              <w:rPr>
                <w:webHidden/>
              </w:rPr>
              <w:fldChar w:fldCharType="end"/>
            </w:r>
          </w:hyperlink>
        </w:p>
        <w:p w14:paraId="607053D8" w14:textId="02C1C1E0" w:rsidR="008627F4" w:rsidRPr="002644FE" w:rsidRDefault="00810BF3" w:rsidP="002644FE">
          <w:pPr>
            <w:pStyle w:val="TOC1"/>
          </w:pPr>
          <w:hyperlink w:anchor="_Toc171445180" w:history="1">
            <w:r w:rsidR="008627F4" w:rsidRPr="002644FE">
              <w:rPr>
                <w:rStyle w:val="Hyperlink"/>
              </w:rPr>
              <w:t>Reference list</w:t>
            </w:r>
            <w:r w:rsidR="008627F4" w:rsidRPr="002644FE">
              <w:rPr>
                <w:webHidden/>
              </w:rPr>
              <w:tab/>
            </w:r>
            <w:r w:rsidR="008627F4" w:rsidRPr="002644FE">
              <w:rPr>
                <w:webHidden/>
              </w:rPr>
              <w:fldChar w:fldCharType="begin"/>
            </w:r>
            <w:r w:rsidR="008627F4" w:rsidRPr="002644FE">
              <w:rPr>
                <w:webHidden/>
              </w:rPr>
              <w:instrText xml:space="preserve"> PAGEREF _Toc171445180 \h </w:instrText>
            </w:r>
            <w:r w:rsidR="008627F4" w:rsidRPr="002644FE">
              <w:rPr>
                <w:webHidden/>
              </w:rPr>
            </w:r>
            <w:r w:rsidR="008627F4" w:rsidRPr="002644FE">
              <w:rPr>
                <w:webHidden/>
              </w:rPr>
              <w:fldChar w:fldCharType="separate"/>
            </w:r>
            <w:r w:rsidR="008627F4" w:rsidRPr="002644FE">
              <w:rPr>
                <w:webHidden/>
              </w:rPr>
              <w:t>11</w:t>
            </w:r>
            <w:r w:rsidR="008627F4" w:rsidRPr="002644FE">
              <w:rPr>
                <w:webHidden/>
              </w:rPr>
              <w:fldChar w:fldCharType="end"/>
            </w:r>
          </w:hyperlink>
        </w:p>
        <w:p w14:paraId="1CAD0512" w14:textId="5E376166" w:rsidR="008627F4" w:rsidRDefault="008627F4">
          <w:r w:rsidRPr="002644FE">
            <w:rPr>
              <w:b/>
              <w:bCs/>
            </w:rPr>
            <w:fldChar w:fldCharType="end"/>
          </w:r>
        </w:p>
      </w:sdtContent>
    </w:sdt>
    <w:p w14:paraId="38EA8D2B" w14:textId="77777777" w:rsidR="0087051E" w:rsidRDefault="0087051E">
      <w:pPr>
        <w:spacing w:after="160" w:line="259" w:lineRule="auto"/>
        <w:jc w:val="left"/>
        <w:rPr>
          <w:b/>
          <w:bCs/>
        </w:rPr>
      </w:pPr>
      <w:r>
        <w:rPr>
          <w:b/>
          <w:bCs/>
        </w:rPr>
        <w:br w:type="page"/>
      </w:r>
    </w:p>
    <w:p w14:paraId="00BF3E38" w14:textId="67260715" w:rsidR="0087051E" w:rsidRPr="0087051E" w:rsidRDefault="0087051E" w:rsidP="002B3FA2">
      <w:pPr>
        <w:pStyle w:val="Heading1"/>
      </w:pPr>
      <w:bookmarkStart w:id="0" w:name="_Toc171445170"/>
      <w:r w:rsidRPr="0087051E">
        <w:lastRenderedPageBreak/>
        <w:t>Introduction</w:t>
      </w:r>
      <w:bookmarkEnd w:id="0"/>
    </w:p>
    <w:p w14:paraId="4425A88A" w14:textId="77777777" w:rsidR="00604B76" w:rsidRDefault="00604B76" w:rsidP="00BA447A"/>
    <w:p w14:paraId="270561E3" w14:textId="36C1CEC2" w:rsidR="00BA447A" w:rsidRPr="00BA447A" w:rsidRDefault="00EA1826" w:rsidP="00BA447A">
      <w:r>
        <w:t>Exchange rate fluctuations can cause</w:t>
      </w:r>
      <w:r w:rsidR="00BA447A" w:rsidRPr="00BA447A">
        <w:t xml:space="preserve"> financial losses for multinational companies (MNCs) engaged in international trade.</w:t>
      </w:r>
      <w:r w:rsidR="00710C20">
        <w:t xml:space="preserve"> </w:t>
      </w:r>
      <w:r w:rsidR="00BA447A" w:rsidRPr="00BA447A">
        <w:t xml:space="preserve">Since exchange rates are volatile, this possibility falls under the category of foreign exchange risk. </w:t>
      </w:r>
    </w:p>
    <w:p w14:paraId="148914DD" w14:textId="279DCC6C" w:rsidR="00BA447A" w:rsidRDefault="00BA447A" w:rsidP="00BA447A">
      <w:r w:rsidRPr="00BA447A">
        <w:t xml:space="preserve">In addition to economic risks, translation and transaction risks must also be </w:t>
      </w:r>
      <w:r w:rsidR="00710C20">
        <w:t>considered. Multinational companies must control these risks to ensure cash flow, shareholder value, and profitability</w:t>
      </w:r>
      <w:r w:rsidRPr="00BA447A">
        <w:t xml:space="preserve">. An effective risk management program reduces losses, balances finances, and enhances global competitiveness. </w:t>
      </w:r>
      <w:r w:rsidR="00E40DF1">
        <w:t>Multinational companies (MNCs) can strategically negotiate erratic currency markets and maximise global business efficiency by managing foreign exchange risks</w:t>
      </w:r>
      <w:r w:rsidRPr="00BA447A">
        <w:t>. This introduction will serve as the starting point for the discussion.</w:t>
      </w:r>
    </w:p>
    <w:p w14:paraId="5DB7D8C2" w14:textId="4B759C38" w:rsidR="00810BF3" w:rsidRPr="00BA447A" w:rsidRDefault="00810BF3" w:rsidP="00BA447A">
      <w:r w:rsidRPr="00810BF3">
        <w:t xml:space="preserve">For emerging markets and low-income countries to be sustainable and cost-effective </w:t>
      </w:r>
      <w:proofErr w:type="gramStart"/>
      <w:r w:rsidRPr="00810BF3">
        <w:t>with regard to</w:t>
      </w:r>
      <w:proofErr w:type="gramEnd"/>
      <w:r w:rsidRPr="00810BF3">
        <w:t xml:space="preserve"> public debt, Jonasson, Malik, Chung, and Papaioannou (2024) emphasize the need for robust capacity development, strategic hedging, and policy coordination.</w:t>
      </w:r>
    </w:p>
    <w:p w14:paraId="724E8DC6" w14:textId="2B9411AB" w:rsidR="00005018" w:rsidRDefault="00005018" w:rsidP="0087051E"/>
    <w:p w14:paraId="2D937760" w14:textId="77777777" w:rsidR="002B3FA2" w:rsidRDefault="002B3FA2">
      <w:pPr>
        <w:spacing w:after="160" w:line="259" w:lineRule="auto"/>
        <w:jc w:val="left"/>
        <w:rPr>
          <w:b/>
          <w:bCs/>
        </w:rPr>
      </w:pPr>
      <w:r>
        <w:rPr>
          <w:b/>
          <w:bCs/>
        </w:rPr>
        <w:br w:type="page"/>
      </w:r>
    </w:p>
    <w:p w14:paraId="15A2545A" w14:textId="72DD4455" w:rsidR="0087051E" w:rsidRDefault="0087051E" w:rsidP="002B3FA2">
      <w:pPr>
        <w:pStyle w:val="Heading2"/>
      </w:pPr>
      <w:bookmarkStart w:id="1" w:name="_Toc171445171"/>
      <w:r w:rsidRPr="0087051E">
        <w:lastRenderedPageBreak/>
        <w:t>Understanding Foreign Exchange Risks</w:t>
      </w:r>
      <w:bookmarkEnd w:id="1"/>
    </w:p>
    <w:p w14:paraId="20891D63" w14:textId="373523E2" w:rsidR="006E7C21" w:rsidRDefault="009725D0" w:rsidP="0087051E">
      <w:r>
        <w:t>Changes in the value of one currency against another create foreign exchange risk</w:t>
      </w:r>
      <w:r w:rsidR="00604B76" w:rsidRPr="00604B76">
        <w:t xml:space="preserve">. Companies that do business in foreign countries are exposed to foreign exchange risk because they must convert their local currency into foreign currency </w:t>
      </w:r>
      <w:r w:rsidR="00A50E2E">
        <w:t>to</w:t>
      </w:r>
      <w:r w:rsidR="00604B76" w:rsidRPr="00604B76">
        <w:t xml:space="preserve"> conduct transactions. </w:t>
      </w:r>
      <w:r w:rsidR="006E7C21" w:rsidRPr="006E7C21">
        <w:t>In case of currency exchange rate changes, a company may make or lose money.</w:t>
      </w:r>
    </w:p>
    <w:p w14:paraId="30531053" w14:textId="3FA31DE6" w:rsidR="0087051E" w:rsidRPr="0087051E" w:rsidRDefault="00005018" w:rsidP="0087051E">
      <w:r>
        <w:t>T</w:t>
      </w:r>
      <w:r w:rsidRPr="00005018">
        <w:t>his table clearly shows the kinds of risks MNCs run</w:t>
      </w:r>
      <w:r>
        <w:t>, a</w:t>
      </w:r>
      <w:r w:rsidRPr="00005018">
        <w:t xml:space="preserve">long with quick descriptions and </w:t>
      </w:r>
      <w:r w:rsidR="00A50E2E">
        <w:t>shared</w:t>
      </w:r>
      <w:r w:rsidRPr="00005018">
        <w:t xml:space="preserve"> strategies </w:t>
      </w:r>
      <w:r w:rsidR="007E45B6">
        <w:t>for controlling</w:t>
      </w:r>
      <w:r w:rsidRPr="00005018">
        <w:t xml:space="preserve"> each </w:t>
      </w:r>
      <w:r w:rsidR="009257EF">
        <w:t>indicator</w:t>
      </w:r>
      <w:r w:rsidRPr="00005018">
        <w:t xml:space="preserve"> of foreign exchange risk</w:t>
      </w:r>
      <w:r>
        <w:t>.</w:t>
      </w:r>
    </w:p>
    <w:tbl>
      <w:tblPr>
        <w:tblStyle w:val="TableGrid"/>
        <w:tblW w:w="0" w:type="auto"/>
        <w:tblLook w:val="04A0" w:firstRow="1" w:lastRow="0" w:firstColumn="1" w:lastColumn="0" w:noHBand="0" w:noVBand="1"/>
      </w:tblPr>
      <w:tblGrid>
        <w:gridCol w:w="1885"/>
        <w:gridCol w:w="7465"/>
      </w:tblGrid>
      <w:tr w:rsidR="0087051E" w14:paraId="77FCAD61" w14:textId="77777777" w:rsidTr="002B3FA2">
        <w:tc>
          <w:tcPr>
            <w:tcW w:w="1885" w:type="dxa"/>
          </w:tcPr>
          <w:p w14:paraId="1122F104" w14:textId="708FAFB8" w:rsidR="0087051E" w:rsidRPr="004B664F" w:rsidRDefault="0087051E" w:rsidP="0087051E">
            <w:pPr>
              <w:rPr>
                <w:b/>
                <w:bCs/>
              </w:rPr>
            </w:pPr>
            <w:r w:rsidRPr="004B664F">
              <w:rPr>
                <w:b/>
                <w:bCs/>
                <w:color w:val="002060"/>
              </w:rPr>
              <w:t>Type of Foreign Exchange Risk</w:t>
            </w:r>
          </w:p>
        </w:tc>
        <w:tc>
          <w:tcPr>
            <w:tcW w:w="7465" w:type="dxa"/>
          </w:tcPr>
          <w:p w14:paraId="0484DC1B" w14:textId="53551AA8" w:rsidR="0087051E" w:rsidRPr="004B664F" w:rsidRDefault="0087051E" w:rsidP="0087051E">
            <w:pPr>
              <w:rPr>
                <w:b/>
                <w:bCs/>
              </w:rPr>
            </w:pPr>
            <w:r w:rsidRPr="004B664F">
              <w:rPr>
                <w:b/>
                <w:bCs/>
                <w:color w:val="002060"/>
              </w:rPr>
              <w:t>Description</w:t>
            </w:r>
          </w:p>
        </w:tc>
      </w:tr>
      <w:tr w:rsidR="00005018" w14:paraId="09772173" w14:textId="77777777" w:rsidTr="002B3FA2">
        <w:tc>
          <w:tcPr>
            <w:tcW w:w="1885" w:type="dxa"/>
          </w:tcPr>
          <w:p w14:paraId="33945D92" w14:textId="02EC7FC5" w:rsidR="00005018" w:rsidRDefault="00005018" w:rsidP="00005018">
            <w:pPr>
              <w:rPr>
                <w:b/>
                <w:bCs/>
              </w:rPr>
            </w:pPr>
            <w:r w:rsidRPr="00940CC7">
              <w:t>Transaction Risk</w:t>
            </w:r>
          </w:p>
        </w:tc>
        <w:tc>
          <w:tcPr>
            <w:tcW w:w="7465" w:type="dxa"/>
          </w:tcPr>
          <w:p w14:paraId="5DD68347" w14:textId="28CE516C" w:rsidR="00005018" w:rsidRDefault="00005018" w:rsidP="00005018">
            <w:pPr>
              <w:rPr>
                <w:b/>
                <w:bCs/>
              </w:rPr>
            </w:pPr>
            <w:r w:rsidRPr="00295E16">
              <w:t>Exchange rate changes between the transaction date and the date the foreign money financial obligation is settled create a risk associated with transactions—also referred to as short-term or cash flow risk</w:t>
            </w:r>
            <w:r w:rsidR="002B3FA2">
              <w:t xml:space="preserve"> (CFI Team, 2022)</w:t>
            </w:r>
            <w:r w:rsidRPr="00295E16">
              <w:t xml:space="preserve">. </w:t>
            </w:r>
            <w:r w:rsidR="007C44A3">
              <w:t xml:space="preserve">This risk can influence income, international transaction expenses, and cash flows. Hedging techniques help lower transaction risk. Two such techniques </w:t>
            </w:r>
            <w:r w:rsidRPr="00295E16">
              <w:t>are forward contracts and money options.</w:t>
            </w:r>
          </w:p>
        </w:tc>
      </w:tr>
      <w:tr w:rsidR="00005018" w14:paraId="5B1EC570" w14:textId="77777777" w:rsidTr="002B3FA2">
        <w:tc>
          <w:tcPr>
            <w:tcW w:w="1885" w:type="dxa"/>
          </w:tcPr>
          <w:p w14:paraId="3A4AE669" w14:textId="616B24E8" w:rsidR="00005018" w:rsidRDefault="00005018" w:rsidP="00005018">
            <w:pPr>
              <w:rPr>
                <w:b/>
                <w:bCs/>
              </w:rPr>
            </w:pPr>
            <w:r w:rsidRPr="00940CC7">
              <w:t>Translation Risk</w:t>
            </w:r>
          </w:p>
        </w:tc>
        <w:tc>
          <w:tcPr>
            <w:tcW w:w="7465" w:type="dxa"/>
          </w:tcPr>
          <w:p w14:paraId="6676155F" w14:textId="3E1425AF" w:rsidR="00005018" w:rsidRDefault="00005018" w:rsidP="00005018">
            <w:pPr>
              <w:rPr>
                <w:b/>
                <w:bCs/>
              </w:rPr>
            </w:pPr>
            <w:r w:rsidRPr="00295E16">
              <w:t xml:space="preserve">Globally minded companies mix the financial records of their overseas affiliates or subsidiaries. </w:t>
            </w:r>
            <w:r w:rsidR="00B22C5E">
              <w:t>T</w:t>
            </w:r>
            <w:r w:rsidRPr="00295E16">
              <w:t>his process</w:t>
            </w:r>
            <w:r w:rsidR="00B22C5E">
              <w:t xml:space="preserve"> is called</w:t>
            </w:r>
            <w:r w:rsidRPr="00295E16">
              <w:t xml:space="preserve"> accounting risk or translation. Reported financial results, assets, liabilities, financial ratios, and performance indicators all change with exchange rates</w:t>
            </w:r>
            <w:r w:rsidR="002B3FA2">
              <w:t xml:space="preserve"> (CFI Team, 2022)</w:t>
            </w:r>
            <w:r w:rsidRPr="00295E16">
              <w:t xml:space="preserve">. </w:t>
            </w:r>
            <w:r w:rsidR="007C44A3">
              <w:t xml:space="preserve">The relationship between asset and liability can also change with exchange rates. Changes in accounting policies and balance sheet hedging help </w:t>
            </w:r>
            <w:r w:rsidRPr="00295E16">
              <w:t>lower translating risk.</w:t>
            </w:r>
          </w:p>
        </w:tc>
      </w:tr>
      <w:tr w:rsidR="00005018" w14:paraId="603E067A" w14:textId="77777777" w:rsidTr="002B3FA2">
        <w:tc>
          <w:tcPr>
            <w:tcW w:w="1885" w:type="dxa"/>
          </w:tcPr>
          <w:p w14:paraId="4689310E" w14:textId="00A49401" w:rsidR="00005018" w:rsidRDefault="00005018" w:rsidP="00005018">
            <w:pPr>
              <w:rPr>
                <w:b/>
                <w:bCs/>
              </w:rPr>
            </w:pPr>
            <w:r w:rsidRPr="00940CC7">
              <w:t>Economic Risk</w:t>
            </w:r>
          </w:p>
        </w:tc>
        <w:tc>
          <w:tcPr>
            <w:tcW w:w="7465" w:type="dxa"/>
          </w:tcPr>
          <w:p w14:paraId="182BB7FC" w14:textId="5A51554C" w:rsidR="00005018" w:rsidRDefault="00005018" w:rsidP="00005018">
            <w:pPr>
              <w:rPr>
                <w:b/>
                <w:bCs/>
              </w:rPr>
            </w:pPr>
            <w:r w:rsidRPr="00295E16">
              <w:t xml:space="preserve">Economic risk, sometimes </w:t>
            </w:r>
            <w:r w:rsidR="00A50E2E">
              <w:t>called</w:t>
            </w:r>
            <w:r w:rsidRPr="00295E16">
              <w:t xml:space="preserve"> long-term or strategic risk, is the unexpected exchange rate changes that influence the present value of future cash flows from </w:t>
            </w:r>
            <w:r w:rsidR="0001394E">
              <w:t>external</w:t>
            </w:r>
            <w:r w:rsidRPr="00295E16">
              <w:t xml:space="preserve"> investments or operations. It influences multinational companies' value, competitiveness, and market posture in several surroundings</w:t>
            </w:r>
            <w:r w:rsidR="002B3FA2">
              <w:t xml:space="preserve"> (CFI Team, 2022)</w:t>
            </w:r>
            <w:r w:rsidRPr="00295E16">
              <w:t>. Reducing economic risk can be done by diversifying activities, matching cash flows, or applying financial derivatives</w:t>
            </w:r>
            <w:r w:rsidR="007C44A3">
              <w:t>,</w:t>
            </w:r>
            <w:r w:rsidRPr="00295E16">
              <w:t xml:space="preserve"> including currency swaps.</w:t>
            </w:r>
          </w:p>
        </w:tc>
      </w:tr>
    </w:tbl>
    <w:p w14:paraId="1DF3BD07" w14:textId="49220239" w:rsidR="002B3FA2" w:rsidRPr="002B3FA2" w:rsidRDefault="002B3FA2" w:rsidP="002B3FA2">
      <w:pPr>
        <w:spacing w:line="240" w:lineRule="auto"/>
        <w:rPr>
          <w:rFonts w:eastAsia="Times New Roman" w:cs="Times New Roman"/>
          <w:b/>
          <w:bCs/>
          <w:szCs w:val="24"/>
        </w:rPr>
      </w:pPr>
      <w:r w:rsidRPr="002B3FA2">
        <w:rPr>
          <w:rFonts w:eastAsia="Times New Roman" w:cs="Times New Roman"/>
          <w:b/>
          <w:bCs/>
          <w:szCs w:val="24"/>
        </w:rPr>
        <w:t xml:space="preserve">Table 1: </w:t>
      </w:r>
      <w:r w:rsidRPr="002B3FA2">
        <w:rPr>
          <w:b/>
          <w:bCs/>
        </w:rPr>
        <w:t xml:space="preserve">Understanding Foreign Exchange Risks </w:t>
      </w:r>
      <w:r w:rsidRPr="002B3FA2">
        <w:rPr>
          <w:rFonts w:eastAsia="Times New Roman" w:cs="Times New Roman"/>
          <w:b/>
          <w:bCs/>
          <w:szCs w:val="24"/>
        </w:rPr>
        <w:t>(</w:t>
      </w:r>
      <w:proofErr w:type="spellStart"/>
      <w:r w:rsidRPr="002B3FA2">
        <w:rPr>
          <w:rFonts w:eastAsia="Times New Roman" w:cs="Times New Roman"/>
          <w:b/>
          <w:bCs/>
          <w:szCs w:val="24"/>
        </w:rPr>
        <w:t>Jankensgård</w:t>
      </w:r>
      <w:proofErr w:type="spellEnd"/>
      <w:r w:rsidRPr="002B3FA2">
        <w:rPr>
          <w:rFonts w:eastAsia="Times New Roman" w:cs="Times New Roman"/>
          <w:b/>
          <w:bCs/>
          <w:szCs w:val="24"/>
        </w:rPr>
        <w:t xml:space="preserve">, </w:t>
      </w:r>
      <w:proofErr w:type="spellStart"/>
      <w:r w:rsidRPr="002B3FA2">
        <w:rPr>
          <w:rFonts w:eastAsia="Times New Roman" w:cs="Times New Roman"/>
          <w:b/>
          <w:bCs/>
          <w:szCs w:val="24"/>
        </w:rPr>
        <w:t>Alviniussen</w:t>
      </w:r>
      <w:proofErr w:type="spellEnd"/>
      <w:r w:rsidRPr="002B3FA2">
        <w:rPr>
          <w:rFonts w:eastAsia="Times New Roman" w:cs="Times New Roman"/>
          <w:b/>
          <w:bCs/>
          <w:szCs w:val="24"/>
        </w:rPr>
        <w:t xml:space="preserve"> and </w:t>
      </w:r>
      <w:proofErr w:type="spellStart"/>
      <w:r w:rsidRPr="002B3FA2">
        <w:rPr>
          <w:rFonts w:eastAsia="Times New Roman" w:cs="Times New Roman"/>
          <w:b/>
          <w:bCs/>
          <w:szCs w:val="24"/>
        </w:rPr>
        <w:t>Oxelheim</w:t>
      </w:r>
      <w:proofErr w:type="spellEnd"/>
      <w:r w:rsidRPr="002B3FA2">
        <w:rPr>
          <w:rFonts w:eastAsia="Times New Roman" w:cs="Times New Roman"/>
          <w:b/>
          <w:bCs/>
          <w:szCs w:val="24"/>
        </w:rPr>
        <w:t>, 2020)</w:t>
      </w:r>
    </w:p>
    <w:p w14:paraId="495FDEC0" w14:textId="77777777" w:rsidR="0087051E" w:rsidRDefault="0087051E" w:rsidP="0087051E">
      <w:pPr>
        <w:rPr>
          <w:b/>
          <w:bCs/>
        </w:rPr>
      </w:pPr>
    </w:p>
    <w:p w14:paraId="584880FB" w14:textId="7B1E02D7" w:rsidR="0087051E" w:rsidRPr="0087051E" w:rsidRDefault="0087051E" w:rsidP="005C0FB1">
      <w:pPr>
        <w:pStyle w:val="Heading2"/>
      </w:pPr>
      <w:bookmarkStart w:id="2" w:name="_Toc171445172"/>
      <w:r w:rsidRPr="0087051E">
        <w:t>Theoretical Framework</w:t>
      </w:r>
      <w:bookmarkEnd w:id="2"/>
    </w:p>
    <w:p w14:paraId="01BEC729" w14:textId="6C43342C" w:rsidR="0087051E" w:rsidRDefault="00A50E2E" w:rsidP="0087051E">
      <w:pPr>
        <w:rPr>
          <w:b/>
          <w:bCs/>
        </w:rPr>
      </w:pPr>
      <w:r>
        <w:t xml:space="preserve">Here are the main IFM theories pertinent to knowledge of foreign exchange markets and their consequences for multinational companies. Every theory offers a different angle on how MNCs might use their knowledge to control currency risk properly </w:t>
      </w:r>
      <w:r w:rsidR="00005018" w:rsidRPr="00005018">
        <w:t xml:space="preserve">and how </w:t>
      </w:r>
      <w:r w:rsidR="00A77D67">
        <w:t>exchange rates</w:t>
      </w:r>
      <w:r w:rsidR="00005018" w:rsidRPr="00005018">
        <w:t xml:space="preserve"> are set.</w:t>
      </w:r>
    </w:p>
    <w:tbl>
      <w:tblPr>
        <w:tblStyle w:val="TableGrid"/>
        <w:tblW w:w="0" w:type="auto"/>
        <w:tblLook w:val="04A0" w:firstRow="1" w:lastRow="0" w:firstColumn="1" w:lastColumn="0" w:noHBand="0" w:noVBand="1"/>
      </w:tblPr>
      <w:tblGrid>
        <w:gridCol w:w="3325"/>
        <w:gridCol w:w="6025"/>
      </w:tblGrid>
      <w:tr w:rsidR="00A50E2E" w:rsidRPr="00A50E2E" w14:paraId="7027DCDA" w14:textId="77777777" w:rsidTr="0087051E">
        <w:tc>
          <w:tcPr>
            <w:tcW w:w="3325" w:type="dxa"/>
          </w:tcPr>
          <w:p w14:paraId="7D1AE23E" w14:textId="594E7EB4" w:rsidR="0087051E" w:rsidRPr="00A50E2E" w:rsidRDefault="0087051E" w:rsidP="0087051E">
            <w:pPr>
              <w:rPr>
                <w:b/>
                <w:bCs/>
                <w:color w:val="002060"/>
              </w:rPr>
            </w:pPr>
            <w:r w:rsidRPr="00A50E2E">
              <w:rPr>
                <w:b/>
                <w:bCs/>
                <w:color w:val="002060"/>
              </w:rPr>
              <w:t>Theory</w:t>
            </w:r>
          </w:p>
        </w:tc>
        <w:tc>
          <w:tcPr>
            <w:tcW w:w="6025" w:type="dxa"/>
          </w:tcPr>
          <w:p w14:paraId="0B665718" w14:textId="335F94CF" w:rsidR="0087051E" w:rsidRPr="00A50E2E" w:rsidRDefault="0087051E" w:rsidP="0087051E">
            <w:pPr>
              <w:rPr>
                <w:b/>
                <w:bCs/>
                <w:color w:val="002060"/>
              </w:rPr>
            </w:pPr>
            <w:r w:rsidRPr="00A50E2E">
              <w:rPr>
                <w:b/>
                <w:bCs/>
                <w:color w:val="002060"/>
              </w:rPr>
              <w:t>Description</w:t>
            </w:r>
          </w:p>
        </w:tc>
      </w:tr>
      <w:tr w:rsidR="00005018" w14:paraId="52A69398" w14:textId="77777777" w:rsidTr="0087051E">
        <w:tc>
          <w:tcPr>
            <w:tcW w:w="3325" w:type="dxa"/>
          </w:tcPr>
          <w:p w14:paraId="44508CAF" w14:textId="74DCA5BC" w:rsidR="00005018" w:rsidRDefault="00005018" w:rsidP="00005018">
            <w:r w:rsidRPr="00BC369E">
              <w:t>Purchasing Power Parity (PPP)</w:t>
            </w:r>
          </w:p>
        </w:tc>
        <w:tc>
          <w:tcPr>
            <w:tcW w:w="6025" w:type="dxa"/>
          </w:tcPr>
          <w:p w14:paraId="6131E838" w14:textId="18BF052D" w:rsidR="00005018" w:rsidRDefault="001C6353" w:rsidP="00005018">
            <w:r>
              <w:t>Purchased power parity (PPP) is a theory that</w:t>
            </w:r>
            <w:r w:rsidR="00005018" w:rsidRPr="00C5719B">
              <w:t xml:space="preserve"> </w:t>
            </w:r>
            <w:r w:rsidR="00451802">
              <w:t xml:space="preserve">measures relative prices between countries. It is </w:t>
            </w:r>
            <w:proofErr w:type="gramStart"/>
            <w:r w:rsidR="00451802">
              <w:t>based on the fact that</w:t>
            </w:r>
            <w:proofErr w:type="gramEnd"/>
            <w:r w:rsidR="00451802">
              <w:t>, in the long run, the same quantity of money can buy the same basket of goods in different countries. This theory is used to measure the real exchange rate between two countries. It</w:t>
            </w:r>
            <w:r w:rsidR="00005018" w:rsidRPr="00C5719B">
              <w:t xml:space="preserve"> helps multinational companies </w:t>
            </w:r>
            <w:r w:rsidR="00631E3B">
              <w:t xml:space="preserve">forecast long-term exchange rates and modify pricing, </w:t>
            </w:r>
            <w:r w:rsidR="00A77D67">
              <w:t>maximising</w:t>
            </w:r>
            <w:r w:rsidR="00631E3B">
              <w:t xml:space="preserve"> pricing methods</w:t>
            </w:r>
            <w:r w:rsidR="00005018" w:rsidRPr="00C5719B">
              <w:t>.</w:t>
            </w:r>
          </w:p>
        </w:tc>
      </w:tr>
      <w:tr w:rsidR="00005018" w14:paraId="275BA6D1" w14:textId="77777777" w:rsidTr="0087051E">
        <w:tc>
          <w:tcPr>
            <w:tcW w:w="3325" w:type="dxa"/>
          </w:tcPr>
          <w:p w14:paraId="5B791398" w14:textId="53CBD5F0" w:rsidR="00005018" w:rsidRDefault="00005018" w:rsidP="00005018">
            <w:r w:rsidRPr="00BC369E">
              <w:t>Interest Rate Parity (IRP)</w:t>
            </w:r>
          </w:p>
        </w:tc>
        <w:tc>
          <w:tcPr>
            <w:tcW w:w="6025" w:type="dxa"/>
          </w:tcPr>
          <w:p w14:paraId="4EF1A534" w14:textId="6CBBEA23" w:rsidR="00005018" w:rsidRDefault="00005018" w:rsidP="00005018">
            <w:r w:rsidRPr="00C5719B">
              <w:t xml:space="preserve">The International Reserve Policy (IRP) holds that the interest rates of two countries </w:t>
            </w:r>
            <w:r w:rsidR="00631E3B">
              <w:t>primarily</w:t>
            </w:r>
            <w:r w:rsidRPr="00C5719B">
              <w:t xml:space="preserve"> define their forward exchange rate between their currencies. </w:t>
            </w:r>
            <w:r w:rsidR="00631E3B">
              <w:t>Multinational companies decide on international financing and investment based on their capacity to predict forward exchange rates</w:t>
            </w:r>
            <w:r w:rsidRPr="00C5719B">
              <w:t>.</w:t>
            </w:r>
          </w:p>
        </w:tc>
      </w:tr>
      <w:tr w:rsidR="00005018" w14:paraId="4509AE7C" w14:textId="77777777" w:rsidTr="0087051E">
        <w:tc>
          <w:tcPr>
            <w:tcW w:w="3325" w:type="dxa"/>
          </w:tcPr>
          <w:p w14:paraId="021B5B20" w14:textId="6F798CED" w:rsidR="00005018" w:rsidRDefault="00005018" w:rsidP="00005018">
            <w:r w:rsidRPr="00BC369E">
              <w:t>International Fisher Effect (IFE)</w:t>
            </w:r>
          </w:p>
        </w:tc>
        <w:tc>
          <w:tcPr>
            <w:tcW w:w="6025" w:type="dxa"/>
          </w:tcPr>
          <w:p w14:paraId="6E837AC4" w14:textId="68F4D2DA" w:rsidR="00005018" w:rsidRDefault="001B2DA5" w:rsidP="00005018">
            <w:r>
              <w:t xml:space="preserve">The International Finance Corporation (IFE) advises changing nominal interest rates to match expected changes in exchange </w:t>
            </w:r>
            <w:r w:rsidR="00005018" w:rsidRPr="00C5719B">
              <w:t>rates. Based on interest rate variances, it enables multinational companies to forecast changes in exchange rates and modify their financial plans</w:t>
            </w:r>
            <w:r w:rsidR="00631E3B">
              <w:t xml:space="preserve">, including hedging and investment. Another advantage is the </w:t>
            </w:r>
            <w:r w:rsidR="00005018" w:rsidRPr="00C5719B">
              <w:t>ability to forecast exchange rates.</w:t>
            </w:r>
          </w:p>
        </w:tc>
      </w:tr>
      <w:tr w:rsidR="00005018" w14:paraId="06C6210D" w14:textId="77777777" w:rsidTr="0087051E">
        <w:tc>
          <w:tcPr>
            <w:tcW w:w="3325" w:type="dxa"/>
          </w:tcPr>
          <w:p w14:paraId="1F77B094" w14:textId="6235C885" w:rsidR="00005018" w:rsidRDefault="00005018" w:rsidP="00005018">
            <w:r w:rsidRPr="00BC369E">
              <w:t>Efficient Market Hypothesis (EMH)</w:t>
            </w:r>
          </w:p>
        </w:tc>
        <w:tc>
          <w:tcPr>
            <w:tcW w:w="6025" w:type="dxa"/>
          </w:tcPr>
          <w:p w14:paraId="4DBDD5F6" w14:textId="51BA4065" w:rsidR="00005018" w:rsidRDefault="00005018" w:rsidP="00005018">
            <w:r w:rsidRPr="00C5719B">
              <w:t xml:space="preserve">The EMH holds that asset prices </w:t>
            </w:r>
            <w:r w:rsidR="00631E3B">
              <w:t xml:space="preserve">constantly change to represent changes in the market and reflect all the information at hand. Applied to foreign trade markets, exchange rates mirror all pertinent economic data. This makes it difficult for multinational companies </w:t>
            </w:r>
            <w:r w:rsidR="00A50E2E">
              <w:t xml:space="preserve">to outperform </w:t>
            </w:r>
            <w:r w:rsidR="00A50E2E">
              <w:lastRenderedPageBreak/>
              <w:t>the market with predictive strategies regularly</w:t>
            </w:r>
            <w:r w:rsidR="00631E3B">
              <w:t>, but</w:t>
            </w:r>
            <w:r w:rsidRPr="00C5719B">
              <w:t xml:space="preserve"> it clarifies market efficiency when hedging.</w:t>
            </w:r>
          </w:p>
        </w:tc>
      </w:tr>
    </w:tbl>
    <w:p w14:paraId="7014D9E5" w14:textId="0B218D2E" w:rsidR="005C0FB1" w:rsidRPr="005C0FB1" w:rsidRDefault="005C0FB1" w:rsidP="00A50E2E">
      <w:pPr>
        <w:spacing w:line="240" w:lineRule="auto"/>
        <w:jc w:val="center"/>
        <w:rPr>
          <w:rFonts w:eastAsia="Times New Roman" w:cs="Times New Roman"/>
          <w:b/>
          <w:bCs/>
          <w:szCs w:val="24"/>
        </w:rPr>
      </w:pPr>
      <w:r w:rsidRPr="005C0FB1">
        <w:rPr>
          <w:rFonts w:eastAsia="Times New Roman" w:cs="Times New Roman"/>
          <w:b/>
          <w:bCs/>
          <w:szCs w:val="24"/>
        </w:rPr>
        <w:lastRenderedPageBreak/>
        <w:t xml:space="preserve">Table 2: </w:t>
      </w:r>
      <w:r w:rsidRPr="005C0FB1">
        <w:rPr>
          <w:b/>
          <w:bCs/>
        </w:rPr>
        <w:t xml:space="preserve">Theoretical Framework </w:t>
      </w:r>
      <w:r w:rsidRPr="005C0FB1">
        <w:rPr>
          <w:rFonts w:eastAsia="Times New Roman" w:cs="Times New Roman"/>
          <w:b/>
          <w:bCs/>
          <w:szCs w:val="24"/>
        </w:rPr>
        <w:t>(Wang, 2020)</w:t>
      </w:r>
    </w:p>
    <w:p w14:paraId="2F4FB10D" w14:textId="77777777" w:rsidR="0087051E" w:rsidRDefault="0087051E" w:rsidP="0087051E">
      <w:pPr>
        <w:rPr>
          <w:b/>
          <w:bCs/>
        </w:rPr>
      </w:pPr>
    </w:p>
    <w:p w14:paraId="3783EE61" w14:textId="77777777" w:rsidR="0087051E" w:rsidRDefault="0087051E" w:rsidP="0087051E">
      <w:pPr>
        <w:rPr>
          <w:b/>
          <w:bCs/>
        </w:rPr>
      </w:pPr>
    </w:p>
    <w:p w14:paraId="541FD454" w14:textId="00FD3509" w:rsidR="0087051E" w:rsidRDefault="0087051E" w:rsidP="005C0FB1">
      <w:pPr>
        <w:pStyle w:val="Heading2"/>
      </w:pPr>
      <w:bookmarkStart w:id="3" w:name="_Toc171445173"/>
      <w:r w:rsidRPr="0087051E">
        <w:t>Hedging Strategies</w:t>
      </w:r>
      <w:bookmarkEnd w:id="3"/>
    </w:p>
    <w:p w14:paraId="0CE8582A" w14:textId="05237F17" w:rsidR="0087051E" w:rsidRPr="005C0FB1" w:rsidRDefault="0087051E" w:rsidP="0087051E">
      <w:r w:rsidRPr="0087051E">
        <w:t xml:space="preserve">This table provides an overview of various internal and external hedging strategies available to MNCs to manage their exposure to foreign exchange risks. </w:t>
      </w:r>
    </w:p>
    <w:tbl>
      <w:tblPr>
        <w:tblStyle w:val="TableGrid"/>
        <w:tblW w:w="0" w:type="auto"/>
        <w:tblLook w:val="04A0" w:firstRow="1" w:lastRow="0" w:firstColumn="1" w:lastColumn="0" w:noHBand="0" w:noVBand="1"/>
      </w:tblPr>
      <w:tblGrid>
        <w:gridCol w:w="2155"/>
        <w:gridCol w:w="1440"/>
        <w:gridCol w:w="5755"/>
      </w:tblGrid>
      <w:tr w:rsidR="00A50E2E" w:rsidRPr="00A50E2E" w14:paraId="0D127837" w14:textId="77777777" w:rsidTr="0087051E">
        <w:tc>
          <w:tcPr>
            <w:tcW w:w="2155" w:type="dxa"/>
            <w:hideMark/>
          </w:tcPr>
          <w:p w14:paraId="47BD159E" w14:textId="77777777" w:rsidR="0087051E" w:rsidRPr="00A50E2E" w:rsidRDefault="0087051E" w:rsidP="0087051E">
            <w:pPr>
              <w:rPr>
                <w:b/>
                <w:bCs/>
                <w:color w:val="002060"/>
              </w:rPr>
            </w:pPr>
            <w:r w:rsidRPr="00A50E2E">
              <w:rPr>
                <w:b/>
                <w:bCs/>
                <w:color w:val="002060"/>
              </w:rPr>
              <w:t>Hedging Strategy</w:t>
            </w:r>
          </w:p>
        </w:tc>
        <w:tc>
          <w:tcPr>
            <w:tcW w:w="1440" w:type="dxa"/>
            <w:hideMark/>
          </w:tcPr>
          <w:p w14:paraId="3BF33187" w14:textId="77777777" w:rsidR="0087051E" w:rsidRPr="00A50E2E" w:rsidRDefault="0087051E" w:rsidP="0087051E">
            <w:pPr>
              <w:rPr>
                <w:b/>
                <w:bCs/>
                <w:color w:val="002060"/>
              </w:rPr>
            </w:pPr>
            <w:r w:rsidRPr="00A50E2E">
              <w:rPr>
                <w:b/>
                <w:bCs/>
                <w:color w:val="002060"/>
              </w:rPr>
              <w:t>Strategy Name</w:t>
            </w:r>
          </w:p>
        </w:tc>
        <w:tc>
          <w:tcPr>
            <w:tcW w:w="5755" w:type="dxa"/>
            <w:hideMark/>
          </w:tcPr>
          <w:p w14:paraId="7BBFEDCB" w14:textId="77777777" w:rsidR="0087051E" w:rsidRPr="00A50E2E" w:rsidRDefault="0087051E" w:rsidP="0087051E">
            <w:pPr>
              <w:rPr>
                <w:b/>
                <w:bCs/>
                <w:color w:val="002060"/>
              </w:rPr>
            </w:pPr>
            <w:r w:rsidRPr="00A50E2E">
              <w:rPr>
                <w:b/>
                <w:bCs/>
                <w:color w:val="002060"/>
              </w:rPr>
              <w:t>Description</w:t>
            </w:r>
          </w:p>
        </w:tc>
      </w:tr>
      <w:tr w:rsidR="005C0FB1" w:rsidRPr="0087051E" w14:paraId="3C4DE9A2" w14:textId="77777777" w:rsidTr="0087051E">
        <w:tc>
          <w:tcPr>
            <w:tcW w:w="2155" w:type="dxa"/>
            <w:vMerge w:val="restart"/>
            <w:hideMark/>
          </w:tcPr>
          <w:p w14:paraId="189A8603" w14:textId="77777777" w:rsidR="005C0FB1" w:rsidRPr="0087051E" w:rsidRDefault="005C0FB1" w:rsidP="00005018">
            <w:r w:rsidRPr="0087051E">
              <w:t>Internal Strategies</w:t>
            </w:r>
          </w:p>
        </w:tc>
        <w:tc>
          <w:tcPr>
            <w:tcW w:w="1440" w:type="dxa"/>
            <w:hideMark/>
          </w:tcPr>
          <w:p w14:paraId="7B13E51F" w14:textId="77777777" w:rsidR="005C0FB1" w:rsidRPr="0087051E" w:rsidRDefault="005C0FB1" w:rsidP="00005018">
            <w:r w:rsidRPr="0087051E">
              <w:t>Natural Hedging</w:t>
            </w:r>
          </w:p>
        </w:tc>
        <w:tc>
          <w:tcPr>
            <w:tcW w:w="5755" w:type="dxa"/>
            <w:hideMark/>
          </w:tcPr>
          <w:p w14:paraId="4549D3C4" w14:textId="075D06E1" w:rsidR="005C0FB1" w:rsidRPr="0087051E" w:rsidRDefault="005C0FB1" w:rsidP="00005018">
            <w:r w:rsidRPr="0046332D">
              <w:t xml:space="preserve">Natural hedging is the state of a company's operations whereby revenues and expenses in the same currency naturally </w:t>
            </w:r>
            <w:r w:rsidR="00A52075">
              <w:t>line up</w:t>
            </w:r>
            <w:r>
              <w:t xml:space="preserve"> (Abdel-Khalik, 2013)</w:t>
            </w:r>
            <w:r w:rsidRPr="0046332D">
              <w:t xml:space="preserve">. Natural complexity carries this out. </w:t>
            </w:r>
            <w:r w:rsidR="00A50E2E">
              <w:t xml:space="preserve">If a company's revenues and </w:t>
            </w:r>
            <w:r w:rsidR="003D69F7">
              <w:t>costs</w:t>
            </w:r>
            <w:r w:rsidR="00A50E2E">
              <w:t xml:space="preserve"> are in the same foreign currency, it can lower exchange rate risk without resorting to financial instruments</w:t>
            </w:r>
            <w:r w:rsidRPr="0046332D">
              <w:t>.</w:t>
            </w:r>
          </w:p>
        </w:tc>
      </w:tr>
      <w:tr w:rsidR="005C0FB1" w:rsidRPr="0087051E" w14:paraId="105853EA" w14:textId="77777777" w:rsidTr="0087051E">
        <w:tc>
          <w:tcPr>
            <w:tcW w:w="2155" w:type="dxa"/>
            <w:vMerge/>
            <w:hideMark/>
          </w:tcPr>
          <w:p w14:paraId="1408C71E" w14:textId="77777777" w:rsidR="005C0FB1" w:rsidRPr="0087051E" w:rsidRDefault="005C0FB1" w:rsidP="00005018"/>
        </w:tc>
        <w:tc>
          <w:tcPr>
            <w:tcW w:w="1440" w:type="dxa"/>
            <w:hideMark/>
          </w:tcPr>
          <w:p w14:paraId="2FCB8684" w14:textId="77777777" w:rsidR="005C0FB1" w:rsidRPr="0087051E" w:rsidRDefault="005C0FB1" w:rsidP="00005018">
            <w:r w:rsidRPr="0087051E">
              <w:t>Leading and Lagging</w:t>
            </w:r>
          </w:p>
        </w:tc>
        <w:tc>
          <w:tcPr>
            <w:tcW w:w="5755" w:type="dxa"/>
            <w:hideMark/>
          </w:tcPr>
          <w:p w14:paraId="2DF44DC5" w14:textId="3561B61F" w:rsidR="005C0FB1" w:rsidRPr="0087051E" w:rsidRDefault="00062055" w:rsidP="00005018">
            <w:r>
              <w:t>Leadership calls for quick payments or receipts of foreign currencies to profit from exchange rates</w:t>
            </w:r>
            <w:r w:rsidR="005C0FB1" w:rsidRPr="0046332D">
              <w:t>. Money moves are predictable</w:t>
            </w:r>
            <w:r w:rsidR="005C0FB1">
              <w:t xml:space="preserve"> (Abdel-Khalik, 2013)</w:t>
            </w:r>
            <w:r w:rsidR="005C0FB1" w:rsidRPr="0046332D">
              <w:t xml:space="preserve">. Paying lagging delays or receipts helps </w:t>
            </w:r>
            <w:r w:rsidR="00A52075">
              <w:t>offset changing currencies. These techniques reduce transaction risk and manage cash flow</w:t>
            </w:r>
            <w:r w:rsidR="005C0FB1" w:rsidRPr="0046332D">
              <w:t>.</w:t>
            </w:r>
          </w:p>
        </w:tc>
      </w:tr>
      <w:tr w:rsidR="005C0FB1" w:rsidRPr="0087051E" w14:paraId="7753D976" w14:textId="77777777" w:rsidTr="0087051E">
        <w:tc>
          <w:tcPr>
            <w:tcW w:w="2155" w:type="dxa"/>
            <w:vMerge/>
            <w:hideMark/>
          </w:tcPr>
          <w:p w14:paraId="2797E737" w14:textId="77777777" w:rsidR="005C0FB1" w:rsidRPr="0087051E" w:rsidRDefault="005C0FB1" w:rsidP="00005018"/>
        </w:tc>
        <w:tc>
          <w:tcPr>
            <w:tcW w:w="1440" w:type="dxa"/>
            <w:hideMark/>
          </w:tcPr>
          <w:p w14:paraId="098DED18" w14:textId="77777777" w:rsidR="005C0FB1" w:rsidRPr="0087051E" w:rsidRDefault="005C0FB1" w:rsidP="00005018">
            <w:r w:rsidRPr="0087051E">
              <w:t>Pricing Strategies</w:t>
            </w:r>
          </w:p>
        </w:tc>
        <w:tc>
          <w:tcPr>
            <w:tcW w:w="5755" w:type="dxa"/>
            <w:hideMark/>
          </w:tcPr>
          <w:p w14:paraId="24CD6978" w14:textId="572FDFB1" w:rsidR="005C0FB1" w:rsidRPr="0087051E" w:rsidRDefault="005C0FB1" w:rsidP="00005018">
            <w:r w:rsidRPr="0046332D">
              <w:t xml:space="preserve">Price changes entail matching values to changes in </w:t>
            </w:r>
            <w:r w:rsidR="00A52075">
              <w:t xml:space="preserve">the </w:t>
            </w:r>
            <w:r w:rsidRPr="0046332D">
              <w:t xml:space="preserve">value of money. To offset exchange rate losses, a company might, for example, increase product prices in a nation with </w:t>
            </w:r>
            <w:r w:rsidR="00062055">
              <w:t xml:space="preserve">a </w:t>
            </w:r>
            <w:r w:rsidRPr="0046332D">
              <w:t>weak currency value</w:t>
            </w:r>
            <w:r w:rsidR="00062055">
              <w:t xml:space="preserve"> or cut prices to gain a competitive edge in a strong currency</w:t>
            </w:r>
            <w:r w:rsidRPr="0046332D">
              <w:t xml:space="preserve">. The business can opt </w:t>
            </w:r>
            <w:r w:rsidR="00A52075">
              <w:t xml:space="preserve">for </w:t>
            </w:r>
            <w:r w:rsidRPr="0046332D">
              <w:t>either.</w:t>
            </w:r>
          </w:p>
        </w:tc>
      </w:tr>
      <w:tr w:rsidR="005C0FB1" w:rsidRPr="0087051E" w14:paraId="3B2115BE" w14:textId="77777777" w:rsidTr="0087051E">
        <w:tc>
          <w:tcPr>
            <w:tcW w:w="2155" w:type="dxa"/>
            <w:vMerge w:val="restart"/>
            <w:hideMark/>
          </w:tcPr>
          <w:p w14:paraId="66CA7EE6" w14:textId="77777777" w:rsidR="005C0FB1" w:rsidRPr="0087051E" w:rsidRDefault="005C0FB1" w:rsidP="00005018">
            <w:r w:rsidRPr="0087051E">
              <w:t>External Strategies</w:t>
            </w:r>
          </w:p>
        </w:tc>
        <w:tc>
          <w:tcPr>
            <w:tcW w:w="1440" w:type="dxa"/>
            <w:hideMark/>
          </w:tcPr>
          <w:p w14:paraId="0173214A" w14:textId="77777777" w:rsidR="005C0FB1" w:rsidRPr="0087051E" w:rsidRDefault="005C0FB1" w:rsidP="00005018">
            <w:r w:rsidRPr="0087051E">
              <w:t>Forward Contracts</w:t>
            </w:r>
          </w:p>
        </w:tc>
        <w:tc>
          <w:tcPr>
            <w:tcW w:w="5755" w:type="dxa"/>
            <w:hideMark/>
          </w:tcPr>
          <w:p w14:paraId="38D0BE4B" w14:textId="156EDB65" w:rsidR="005C0FB1" w:rsidRPr="0087051E" w:rsidRDefault="00C6744A" w:rsidP="00005018">
            <w:r w:rsidRPr="00C6744A">
              <w:t xml:space="preserve">Forward contracts involve a contract between two parties to exchange a certain currency at a </w:t>
            </w:r>
            <w:r w:rsidR="003D69F7">
              <w:t>specific</w:t>
            </w:r>
            <w:r w:rsidRPr="00C6744A">
              <w:t xml:space="preserve"> rate</w:t>
            </w:r>
            <w:r w:rsidR="00723D95">
              <w:t>.</w:t>
            </w:r>
            <w:r>
              <w:t xml:space="preserve"> </w:t>
            </w:r>
            <w:r w:rsidR="005C0FB1" w:rsidRPr="0046332D">
              <w:t xml:space="preserve">This </w:t>
            </w:r>
            <w:r w:rsidR="005C0FB1" w:rsidRPr="0046332D">
              <w:lastRenderedPageBreak/>
              <w:t>arrangement tracks the exchange rate</w:t>
            </w:r>
            <w:r w:rsidR="005C0FB1">
              <w:t xml:space="preserve"> (Folger, 2022)</w:t>
            </w:r>
            <w:r w:rsidR="005C0FB1" w:rsidRPr="0046332D">
              <w:t xml:space="preserve">. A fixed exchange rate is chosen to forecast cash flows and prevent changes in </w:t>
            </w:r>
            <w:r w:rsidR="005847D2">
              <w:t>the</w:t>
            </w:r>
            <w:r w:rsidR="005C0FB1" w:rsidRPr="0046332D">
              <w:t xml:space="preserve"> value of money.</w:t>
            </w:r>
          </w:p>
        </w:tc>
      </w:tr>
      <w:tr w:rsidR="005C0FB1" w:rsidRPr="0087051E" w14:paraId="65DA6485" w14:textId="77777777" w:rsidTr="0087051E">
        <w:tc>
          <w:tcPr>
            <w:tcW w:w="2155" w:type="dxa"/>
            <w:vMerge/>
            <w:hideMark/>
          </w:tcPr>
          <w:p w14:paraId="7F4BFECC" w14:textId="77777777" w:rsidR="005C0FB1" w:rsidRPr="0087051E" w:rsidRDefault="005C0FB1" w:rsidP="00005018"/>
        </w:tc>
        <w:tc>
          <w:tcPr>
            <w:tcW w:w="1440" w:type="dxa"/>
            <w:hideMark/>
          </w:tcPr>
          <w:p w14:paraId="217AE414" w14:textId="77777777" w:rsidR="005C0FB1" w:rsidRPr="0087051E" w:rsidRDefault="005C0FB1" w:rsidP="00005018">
            <w:r w:rsidRPr="0087051E">
              <w:t>Futures Contracts</w:t>
            </w:r>
          </w:p>
        </w:tc>
        <w:tc>
          <w:tcPr>
            <w:tcW w:w="5755" w:type="dxa"/>
            <w:hideMark/>
          </w:tcPr>
          <w:p w14:paraId="028C926F" w14:textId="6F345EE6" w:rsidR="005C0FB1" w:rsidRPr="0087051E" w:rsidRDefault="005C0FB1" w:rsidP="00005018">
            <w:r w:rsidRPr="0046332D">
              <w:t xml:space="preserve">Though forward contracts are similar, futures contracts are traded on exchanges. Exchanges do not forward contracts. </w:t>
            </w:r>
            <w:r w:rsidR="00885006">
              <w:t>Standardised</w:t>
            </w:r>
            <w:r w:rsidRPr="0046332D">
              <w:t xml:space="preserve"> futures contracts give openness and liquidity</w:t>
            </w:r>
            <w:r>
              <w:t xml:space="preserve"> (Phung, 2019)</w:t>
            </w:r>
            <w:r w:rsidRPr="0046332D">
              <w:t xml:space="preserve">. Futures are used by multinational companies (MNCs) to set exchange rates for </w:t>
            </w:r>
            <w:r w:rsidR="000958B9">
              <w:t xml:space="preserve">future investments or transactions, </w:t>
            </w:r>
            <w:r w:rsidRPr="0046332D">
              <w:t>preventing currency fluctuations.</w:t>
            </w:r>
          </w:p>
        </w:tc>
      </w:tr>
      <w:tr w:rsidR="005C0FB1" w:rsidRPr="0087051E" w14:paraId="1C4DFCBE" w14:textId="77777777" w:rsidTr="0087051E">
        <w:tc>
          <w:tcPr>
            <w:tcW w:w="2155" w:type="dxa"/>
            <w:vMerge/>
            <w:hideMark/>
          </w:tcPr>
          <w:p w14:paraId="064F2501" w14:textId="77777777" w:rsidR="005C0FB1" w:rsidRPr="0087051E" w:rsidRDefault="005C0FB1" w:rsidP="00005018"/>
        </w:tc>
        <w:tc>
          <w:tcPr>
            <w:tcW w:w="1440" w:type="dxa"/>
            <w:hideMark/>
          </w:tcPr>
          <w:p w14:paraId="254B43F3" w14:textId="77777777" w:rsidR="005C0FB1" w:rsidRPr="0087051E" w:rsidRDefault="005C0FB1" w:rsidP="00005018">
            <w:r w:rsidRPr="0087051E">
              <w:t>Options Contracts</w:t>
            </w:r>
          </w:p>
        </w:tc>
        <w:tc>
          <w:tcPr>
            <w:tcW w:w="5755" w:type="dxa"/>
            <w:hideMark/>
          </w:tcPr>
          <w:p w14:paraId="537A77AD" w14:textId="32ED2405" w:rsidR="005C0FB1" w:rsidRPr="0087051E" w:rsidRDefault="005C0FB1" w:rsidP="00005018">
            <w:r w:rsidRPr="0046332D">
              <w:t xml:space="preserve">Options buyers have the right but not the obligation to purchase or sell </w:t>
            </w:r>
            <w:r w:rsidR="002C4EAC">
              <w:t xml:space="preserve">a </w:t>
            </w:r>
            <w:r w:rsidR="002C4EAC" w:rsidRPr="002C4EAC">
              <w:t xml:space="preserve">certain amount of currency at a specific rate within a set </w:t>
            </w:r>
            <w:r w:rsidR="003D69F7">
              <w:t>period</w:t>
            </w:r>
            <w:r w:rsidRPr="0046332D">
              <w:t>. Consumers are not obliged to use this right</w:t>
            </w:r>
            <w:r>
              <w:t xml:space="preserve"> (Hargrave, 2022)</w:t>
            </w:r>
            <w:r w:rsidRPr="0046332D">
              <w:t>. Still, the buyer is not obliged to exercise this statutory right. They also let participants hedge against value loss and profit from positive changes in the exchange rate.</w:t>
            </w:r>
          </w:p>
        </w:tc>
      </w:tr>
      <w:tr w:rsidR="005C0FB1" w:rsidRPr="0087051E" w14:paraId="773CD8E6" w14:textId="77777777" w:rsidTr="0087051E">
        <w:tc>
          <w:tcPr>
            <w:tcW w:w="2155" w:type="dxa"/>
            <w:vMerge/>
            <w:hideMark/>
          </w:tcPr>
          <w:p w14:paraId="76E5D724" w14:textId="77777777" w:rsidR="005C0FB1" w:rsidRPr="0087051E" w:rsidRDefault="005C0FB1" w:rsidP="00005018"/>
        </w:tc>
        <w:tc>
          <w:tcPr>
            <w:tcW w:w="1440" w:type="dxa"/>
            <w:hideMark/>
          </w:tcPr>
          <w:p w14:paraId="6A7B8346" w14:textId="77777777" w:rsidR="005C0FB1" w:rsidRPr="0087051E" w:rsidRDefault="005C0FB1" w:rsidP="00005018">
            <w:r w:rsidRPr="0087051E">
              <w:t>Swaps</w:t>
            </w:r>
          </w:p>
        </w:tc>
        <w:tc>
          <w:tcPr>
            <w:tcW w:w="5755" w:type="dxa"/>
            <w:hideMark/>
          </w:tcPr>
          <w:p w14:paraId="1F6816BB" w14:textId="3444DA0E" w:rsidR="005C0FB1" w:rsidRPr="0087051E" w:rsidRDefault="005C0FB1" w:rsidP="00005018">
            <w:r w:rsidRPr="0046332D">
              <w:t>For those in another</w:t>
            </w:r>
            <w:r w:rsidR="00081BA1">
              <w:t xml:space="preserve"> currency, currency swaps trade principal and interest payments on loans in one currency (Tamplin, 2024). Swaps help multinational companies (MNCs) control cash flows in many currencies, hedge long-term exposures, </w:t>
            </w:r>
            <w:r w:rsidR="004A4A60">
              <w:t>leverage market borrowing rates, and</w:t>
            </w:r>
            <w:r w:rsidRPr="0046332D">
              <w:t xml:space="preserve"> control money flow.</w:t>
            </w:r>
          </w:p>
        </w:tc>
      </w:tr>
    </w:tbl>
    <w:p w14:paraId="08E90910" w14:textId="1C955AAE" w:rsidR="0087051E" w:rsidRDefault="005C0FB1" w:rsidP="00A50E2E">
      <w:pPr>
        <w:jc w:val="center"/>
        <w:rPr>
          <w:b/>
          <w:bCs/>
        </w:rPr>
      </w:pPr>
      <w:r>
        <w:rPr>
          <w:b/>
          <w:bCs/>
        </w:rPr>
        <w:t xml:space="preserve">Table3: </w:t>
      </w:r>
      <w:r w:rsidRPr="0087051E">
        <w:rPr>
          <w:b/>
        </w:rPr>
        <w:t>Hedging Strategies</w:t>
      </w:r>
      <w:r>
        <w:rPr>
          <w:b/>
        </w:rPr>
        <w:t xml:space="preserve"> (Author)</w:t>
      </w:r>
    </w:p>
    <w:p w14:paraId="60B8D816" w14:textId="77777777" w:rsidR="005C0FB1" w:rsidRDefault="005C0FB1" w:rsidP="0087051E">
      <w:pPr>
        <w:rPr>
          <w:b/>
          <w:bCs/>
        </w:rPr>
      </w:pPr>
    </w:p>
    <w:p w14:paraId="1A4D30CC" w14:textId="5D8A65D1" w:rsidR="0087051E" w:rsidRDefault="0087051E" w:rsidP="002154A4">
      <w:pPr>
        <w:pStyle w:val="Heading2"/>
      </w:pPr>
      <w:bookmarkStart w:id="4" w:name="_Toc171445174"/>
      <w:r w:rsidRPr="0087051E">
        <w:t>Critical Analysis and Empirical Evidence</w:t>
      </w:r>
      <w:bookmarkEnd w:id="4"/>
    </w:p>
    <w:p w14:paraId="5EF601AA" w14:textId="1AA37255" w:rsidR="00005018" w:rsidRDefault="00005018" w:rsidP="00005018">
      <w:r>
        <w:t xml:space="preserve">The similarities and differences between internal and external hedging strategies </w:t>
      </w:r>
      <w:r w:rsidR="00081BA1">
        <w:t>emphasise</w:t>
      </w:r>
      <w:r>
        <w:t xml:space="preserve"> the need </w:t>
      </w:r>
      <w:r w:rsidR="000A6B9F">
        <w:t>for multinational corporations (MNCs) to consider</w:t>
      </w:r>
      <w:r>
        <w:t xml:space="preserve"> several factors. Natural hedging and pricing adjustments inside strategies help to lower foreign exchange risks without financial instruments</w:t>
      </w:r>
      <w:r w:rsidR="002154A4">
        <w:t xml:space="preserve"> (</w:t>
      </w:r>
      <w:proofErr w:type="spellStart"/>
      <w:r w:rsidR="002154A4">
        <w:t>Trafimow</w:t>
      </w:r>
      <w:proofErr w:type="spellEnd"/>
      <w:r w:rsidR="002154A4">
        <w:t>, 2022)</w:t>
      </w:r>
      <w:r>
        <w:t xml:space="preserve">. These methods could be </w:t>
      </w:r>
      <w:r w:rsidR="00081BA1">
        <w:t>helpful</w:t>
      </w:r>
      <w:r>
        <w:t xml:space="preserve"> in daily operations. Toyota uses </w:t>
      </w:r>
      <w:r>
        <w:lastRenderedPageBreak/>
        <w:t xml:space="preserve">natural hedging since it produces and markets vehicles in </w:t>
      </w:r>
      <w:r w:rsidR="000620DF">
        <w:t>the same currencies. This reduces the company's transaction risk</w:t>
      </w:r>
      <w:r>
        <w:t xml:space="preserve">. Internal strategies, however, might not </w:t>
      </w:r>
      <w:proofErr w:type="gramStart"/>
      <w:r>
        <w:t>totally eliminate</w:t>
      </w:r>
      <w:proofErr w:type="gramEnd"/>
      <w:r>
        <w:t xml:space="preserve"> financial risk and may be less flexible in erratic markets.</w:t>
      </w:r>
    </w:p>
    <w:p w14:paraId="1EAAC38E" w14:textId="2E3C0CD0" w:rsidR="00005018" w:rsidRDefault="00005018" w:rsidP="00005018">
      <w:r>
        <w:t>Forward contracts and options provide outside means for exact exchange rate hedging. These strategies force one to consider expenses and complexity. Apple uses options contracts to hedge world sales currency risk, for example. Apple hides like this</w:t>
      </w:r>
      <w:r w:rsidR="002154A4">
        <w:t xml:space="preserve"> (Savitz, 2022)</w:t>
      </w:r>
      <w:r>
        <w:t>. Although they call for knowledge and monitoring, external strategies reduce risk better in volatile surroundings.</w:t>
      </w:r>
    </w:p>
    <w:p w14:paraId="181CEE8A" w14:textId="7C601214" w:rsidR="00005018" w:rsidRDefault="00005018" w:rsidP="00005018">
      <w:r>
        <w:t xml:space="preserve">Comparative research shows that </w:t>
      </w:r>
      <w:r w:rsidR="008F5CD8">
        <w:t xml:space="preserve">a mixed internal and external strategy results in better risk control. Natural hedging and currency swaps help Airbus retain operational flexibility, </w:t>
      </w:r>
      <w:r>
        <w:t>reducing translation risk</w:t>
      </w:r>
      <w:r w:rsidR="002154A4">
        <w:t xml:space="preserve"> (</w:t>
      </w:r>
      <w:proofErr w:type="spellStart"/>
      <w:r w:rsidR="002154A4">
        <w:t>Trafimow</w:t>
      </w:r>
      <w:proofErr w:type="spellEnd"/>
      <w:r w:rsidR="002154A4">
        <w:t>, 2022)</w:t>
      </w:r>
      <w:r>
        <w:t xml:space="preserve">. One expects results. Multinational corporations (MNCs) choose internal or external strategies depending on their operational structure, risk tolerance, and market environment. This </w:t>
      </w:r>
      <w:r w:rsidR="00190B92">
        <w:t>emphasises</w:t>
      </w:r>
      <w:r>
        <w:t xml:space="preserve"> </w:t>
      </w:r>
      <w:r w:rsidR="005C4BD2">
        <w:t>the importance of achieving</w:t>
      </w:r>
      <w:r>
        <w:t xml:space="preserve"> results using a </w:t>
      </w:r>
      <w:r w:rsidR="00BF6347">
        <w:t>customised</w:t>
      </w:r>
      <w:r>
        <w:t>, all-around strategy.</w:t>
      </w:r>
    </w:p>
    <w:p w14:paraId="091FEDFB" w14:textId="77777777" w:rsidR="00005018" w:rsidRDefault="00005018" w:rsidP="00005018"/>
    <w:p w14:paraId="03EDA475" w14:textId="3B232494" w:rsidR="0087051E" w:rsidRPr="0087051E" w:rsidRDefault="0087051E" w:rsidP="0087051E">
      <w:pPr>
        <w:pStyle w:val="Heading2"/>
      </w:pPr>
      <w:bookmarkStart w:id="5" w:name="_Toc171445175"/>
      <w:r w:rsidRPr="0087051E">
        <w:t>Evaluation of Risk Management Strategies</w:t>
      </w:r>
      <w:bookmarkEnd w:id="5"/>
    </w:p>
    <w:p w14:paraId="0851271F" w14:textId="413D6B63" w:rsidR="00005018" w:rsidRDefault="00005018" w:rsidP="00005018">
      <w:r>
        <w:t xml:space="preserve">A comprehensive cost-benefit analysis covering both immediate and long-term effects will enable one to assess how different approaches </w:t>
      </w:r>
      <w:r w:rsidR="003515B4">
        <w:t>to</w:t>
      </w:r>
      <w:r>
        <w:t xml:space="preserve"> risk management impact the financial situation of multinational corporations. This clarifies the effects of risk-reducing strategies.</w:t>
      </w:r>
    </w:p>
    <w:p w14:paraId="6124CCBA" w14:textId="77777777" w:rsidR="00005018" w:rsidRDefault="00005018" w:rsidP="00005018"/>
    <w:p w14:paraId="0ACF5A8B" w14:textId="77777777" w:rsidR="00005018" w:rsidRDefault="00005018" w:rsidP="00005018">
      <w:pPr>
        <w:pStyle w:val="Heading3"/>
      </w:pPr>
      <w:bookmarkStart w:id="6" w:name="_Toc171445176"/>
      <w:r>
        <w:t>Cost-Benefit Analysis.</w:t>
      </w:r>
      <w:bookmarkEnd w:id="6"/>
    </w:p>
    <w:p w14:paraId="4B18FD27" w14:textId="70BCE087" w:rsidR="00005018" w:rsidRDefault="00005018" w:rsidP="00005018">
      <w:r>
        <w:t xml:space="preserve">Hedging strategies incur costs. </w:t>
      </w:r>
      <w:r w:rsidR="005C4BD2">
        <w:t>These expenses include</w:t>
      </w:r>
      <w:r>
        <w:t xml:space="preserve"> natural hedging opportunity costs, options premiums, and forward contract transaction fees. Among the many benefits are </w:t>
      </w:r>
      <w:r w:rsidR="005C4BD2">
        <w:t xml:space="preserve">lessening </w:t>
      </w:r>
      <w:r>
        <w:t>cash flow volatility, more consistent earnings, and protection of profitability from changes in currency values</w:t>
      </w:r>
      <w:r w:rsidR="002154A4">
        <w:t xml:space="preserve"> (O’Mahony, 2021)</w:t>
      </w:r>
      <w:r>
        <w:t>. Studies of multinational corporations like Procter &amp; Gamble found that effective hedging strategies can reduce earnings volatility, generating more consistent financial performance</w:t>
      </w:r>
      <w:r w:rsidR="002154A4">
        <w:t xml:space="preserve"> (Zhang, 2020)</w:t>
      </w:r>
      <w:r>
        <w:t xml:space="preserve">. </w:t>
      </w:r>
      <w:r w:rsidR="004E53A6">
        <w:t xml:space="preserve">However, too aggressive hedging or poorly timed strategies can pay off benefits </w:t>
      </w:r>
      <w:r w:rsidR="005C4BD2">
        <w:t xml:space="preserve">that are </w:t>
      </w:r>
      <w:r w:rsidR="004E53A6">
        <w:t>not commensurate with</w:t>
      </w:r>
      <w:r>
        <w:t xml:space="preserve"> their costs.</w:t>
      </w:r>
    </w:p>
    <w:p w14:paraId="3F620ECD" w14:textId="77777777" w:rsidR="00005018" w:rsidRDefault="00005018" w:rsidP="00005018"/>
    <w:p w14:paraId="54590D16" w14:textId="77777777" w:rsidR="00005018" w:rsidRDefault="00005018" w:rsidP="00005018">
      <w:pPr>
        <w:pStyle w:val="Heading3"/>
      </w:pPr>
      <w:bookmarkStart w:id="7" w:name="_Toc171445177"/>
      <w:r>
        <w:lastRenderedPageBreak/>
        <w:t>Impact on Financial Performance.</w:t>
      </w:r>
      <w:bookmarkEnd w:id="7"/>
    </w:p>
    <w:p w14:paraId="0EED85DD" w14:textId="6A593D62" w:rsidR="00005018" w:rsidRDefault="00005018" w:rsidP="00005018">
      <w:r>
        <w:t xml:space="preserve">Since </w:t>
      </w:r>
      <w:r w:rsidR="00190B92">
        <w:t>hedging strategies affect shareholder value, cash flow, and income, they</w:t>
      </w:r>
      <w:r>
        <w:t xml:space="preserve"> change the </w:t>
      </w:r>
      <w:r w:rsidR="005C4BD2">
        <w:t>business's financial state</w:t>
      </w:r>
      <w:r>
        <w:t>. On the other hand, over- or under-hedging can lead to losses or ignore opportunities. Although not hedging can cost opportunities, hedging can help to stop currency losses</w:t>
      </w:r>
      <w:r w:rsidR="00214F40">
        <w:t xml:space="preserve"> (Jardine, Zhang and Shi, 2022)</w:t>
      </w:r>
      <w:r>
        <w:t xml:space="preserve">. One should avoid these situations. </w:t>
      </w:r>
      <w:r w:rsidR="005C4BD2">
        <w:t>Robust</w:t>
      </w:r>
      <w:r>
        <w:t xml:space="preserve"> risk management strategies enable multinational corporations (MNCs) to have more consistent financial performance over time than their counterparts more sensitive to currencies</w:t>
      </w:r>
      <w:r w:rsidR="00214F40">
        <w:t xml:space="preserve"> (Jardine, Zhang and Shi, 2022)</w:t>
      </w:r>
      <w:r>
        <w:t>. These models let MNCs maintain continuous financial performance.</w:t>
      </w:r>
    </w:p>
    <w:p w14:paraId="438686FD" w14:textId="77777777" w:rsidR="00005018" w:rsidRDefault="00005018" w:rsidP="00005018"/>
    <w:p w14:paraId="2BE9B54A" w14:textId="77777777" w:rsidR="00005018" w:rsidRDefault="00005018" w:rsidP="00005018">
      <w:pPr>
        <w:pStyle w:val="Heading3"/>
      </w:pPr>
      <w:bookmarkStart w:id="8" w:name="_Toc171445178"/>
      <w:r>
        <w:t>Long-Term vs. Short-Term Considerations.</w:t>
      </w:r>
      <w:bookmarkEnd w:id="8"/>
    </w:p>
    <w:p w14:paraId="693A15F6" w14:textId="54853CC6" w:rsidR="00005018" w:rsidRDefault="00005018" w:rsidP="00005018">
      <w:r>
        <w:t xml:space="preserve">Strategic alignment of hedging policies with corporate goals, market positioning, and competitive advantages will define long-term success. Nestlé uses forward contracts and natural hedging to </w:t>
      </w:r>
      <w:r w:rsidR="004E53A6">
        <w:t>control currency risk over time (Toader et al., 2023). This approach allows them to apply all strategies</w:t>
      </w:r>
      <w:r>
        <w:t xml:space="preserve">. Since short-term elements are so </w:t>
      </w:r>
      <w:r w:rsidR="005C4BD2">
        <w:t>essential</w:t>
      </w:r>
      <w:r>
        <w:t xml:space="preserve">, one should be able to adjust hedging positions to match new market conditions and risk </w:t>
      </w:r>
      <w:r w:rsidR="003515B4">
        <w:t>levels</w:t>
      </w:r>
      <w:r>
        <w:t xml:space="preserve">. This promises </w:t>
      </w:r>
      <w:r w:rsidR="003515B4">
        <w:t xml:space="preserve">a </w:t>
      </w:r>
      <w:r>
        <w:t xml:space="preserve">quick and </w:t>
      </w:r>
      <w:r w:rsidR="00885006">
        <w:t>financially solid</w:t>
      </w:r>
      <w:r>
        <w:t xml:space="preserve"> response to unexpected events.</w:t>
      </w:r>
    </w:p>
    <w:p w14:paraId="74696F95" w14:textId="6225DF6F" w:rsidR="001F5AFB" w:rsidRDefault="001F5AFB">
      <w:pPr>
        <w:spacing w:after="160" w:line="259" w:lineRule="auto"/>
        <w:jc w:val="left"/>
      </w:pPr>
      <w:r>
        <w:br w:type="page"/>
      </w:r>
    </w:p>
    <w:p w14:paraId="71DDAE7D" w14:textId="71D4D086" w:rsidR="0087051E" w:rsidRDefault="0087051E" w:rsidP="0087051E">
      <w:pPr>
        <w:pStyle w:val="Heading1"/>
      </w:pPr>
      <w:bookmarkStart w:id="9" w:name="_Toc171445179"/>
      <w:r>
        <w:lastRenderedPageBreak/>
        <w:t>Conclusion</w:t>
      </w:r>
      <w:bookmarkEnd w:id="9"/>
    </w:p>
    <w:p w14:paraId="2B6E4CE7" w14:textId="6A76F27F" w:rsidR="00005018" w:rsidRDefault="00005018" w:rsidP="00005018">
      <w:r>
        <w:t xml:space="preserve">Multinational corporations (MNCs) </w:t>
      </w:r>
      <w:proofErr w:type="gramStart"/>
      <w:r>
        <w:t>have to</w:t>
      </w:r>
      <w:proofErr w:type="gramEnd"/>
      <w:r>
        <w:t xml:space="preserve"> set and implement a foreign exchange risk control system to reduce volatility and protect financial performance</w:t>
      </w:r>
      <w:r w:rsidR="00E95880">
        <w:t xml:space="preserve"> since MNCs supervise international trade. Natural hedging is an internal strategy used in operations that promotes External approaches that lower risk </w:t>
      </w:r>
      <w:r w:rsidR="00997E73">
        <w:t>like</w:t>
      </w:r>
      <w:r>
        <w:t xml:space="preserve"> forward contracts and options. A combined approach</w:t>
      </w:r>
      <w:r w:rsidR="003E0544">
        <w:t xml:space="preserve">, including internal and external </w:t>
      </w:r>
      <w:r w:rsidR="008477A1">
        <w:t>strategy</w:t>
      </w:r>
      <w:r w:rsidR="003E0544">
        <w:t>,</w:t>
      </w:r>
      <w:r>
        <w:t xml:space="preserve"> </w:t>
      </w:r>
      <w:r w:rsidR="00E95880">
        <w:t>maximises</w:t>
      </w:r>
      <w:r>
        <w:t xml:space="preserve"> results in risk management.</w:t>
      </w:r>
    </w:p>
    <w:p w14:paraId="0AE75AC2" w14:textId="77777777" w:rsidR="00005018" w:rsidRDefault="00005018" w:rsidP="00005018"/>
    <w:p w14:paraId="3F0A9637" w14:textId="6891685D" w:rsidR="00005018" w:rsidRDefault="00005018" w:rsidP="00005018">
      <w:r>
        <w:t>Global companies should follow these guidelines:</w:t>
      </w:r>
    </w:p>
    <w:p w14:paraId="14318C9B" w14:textId="77777777" w:rsidR="00005018" w:rsidRDefault="00005018" w:rsidP="00005018">
      <w:pPr>
        <w:pStyle w:val="ListParagraph"/>
        <w:numPr>
          <w:ilvl w:val="0"/>
          <w:numId w:val="17"/>
        </w:numPr>
      </w:pPr>
      <w:r>
        <w:t>Consider combining natural hedging with financial instruments to increase even more flexibility.</w:t>
      </w:r>
    </w:p>
    <w:p w14:paraId="4BEBDADE" w14:textId="31EF750B" w:rsidR="00005018" w:rsidRDefault="00005018" w:rsidP="00005018">
      <w:pPr>
        <w:pStyle w:val="ListParagraph"/>
        <w:numPr>
          <w:ilvl w:val="0"/>
          <w:numId w:val="17"/>
        </w:numPr>
      </w:pPr>
      <w:r>
        <w:t xml:space="preserve">If you </w:t>
      </w:r>
      <w:r w:rsidR="00C03A55">
        <w:t>will</w:t>
      </w:r>
      <w:r>
        <w:t xml:space="preserve"> apply proactive strategic changes, you must remain current with world economic events.</w:t>
      </w:r>
    </w:p>
    <w:p w14:paraId="32385835" w14:textId="77777777" w:rsidR="00005018" w:rsidRDefault="00005018" w:rsidP="00005018">
      <w:pPr>
        <w:pStyle w:val="ListParagraph"/>
        <w:numPr>
          <w:ilvl w:val="0"/>
          <w:numId w:val="17"/>
        </w:numPr>
      </w:pPr>
      <w:r>
        <w:t>Regular reviews ensure that hedging strategies meet changing corporate needs.</w:t>
      </w:r>
    </w:p>
    <w:p w14:paraId="369CAFC3" w14:textId="77777777" w:rsidR="00005018" w:rsidRDefault="00005018" w:rsidP="00005018">
      <w:pPr>
        <w:pStyle w:val="ListParagraph"/>
        <w:numPr>
          <w:ilvl w:val="0"/>
          <w:numId w:val="17"/>
        </w:numPr>
      </w:pPr>
      <w:r>
        <w:t>Make sure your employees grasp foreign exchange risks and hedging techniques most of the time.</w:t>
      </w:r>
    </w:p>
    <w:p w14:paraId="340FA2C2" w14:textId="77777777" w:rsidR="00005018" w:rsidRDefault="00005018" w:rsidP="00005018">
      <w:pPr>
        <w:spacing w:after="160" w:line="259" w:lineRule="auto"/>
        <w:jc w:val="left"/>
      </w:pPr>
    </w:p>
    <w:p w14:paraId="56E3BAED" w14:textId="77777777" w:rsidR="00005018" w:rsidRDefault="00005018" w:rsidP="00005018">
      <w:pPr>
        <w:spacing w:after="160" w:line="259" w:lineRule="auto"/>
        <w:jc w:val="left"/>
      </w:pPr>
    </w:p>
    <w:p w14:paraId="7986F6C1" w14:textId="77777777" w:rsidR="00005018" w:rsidRDefault="00005018" w:rsidP="00005018">
      <w:pPr>
        <w:spacing w:after="160" w:line="259" w:lineRule="auto"/>
        <w:jc w:val="left"/>
      </w:pPr>
    </w:p>
    <w:p w14:paraId="49B53017" w14:textId="77777777" w:rsidR="00005018" w:rsidRDefault="00005018" w:rsidP="00005018">
      <w:pPr>
        <w:spacing w:after="160" w:line="259" w:lineRule="auto"/>
        <w:jc w:val="left"/>
      </w:pPr>
    </w:p>
    <w:p w14:paraId="678B8F01" w14:textId="77777777" w:rsidR="0087051E" w:rsidRDefault="0087051E">
      <w:pPr>
        <w:spacing w:after="160" w:line="259" w:lineRule="auto"/>
        <w:jc w:val="left"/>
      </w:pPr>
      <w:r>
        <w:br w:type="page"/>
      </w:r>
    </w:p>
    <w:p w14:paraId="4584D0EB" w14:textId="77777777" w:rsidR="008A5879" w:rsidRDefault="008A5879" w:rsidP="008A5879">
      <w:pPr>
        <w:pStyle w:val="Heading1"/>
        <w:spacing w:before="0" w:after="240" w:line="360" w:lineRule="auto"/>
        <w:rPr>
          <w:rFonts w:cs="Times New Roman"/>
          <w:sz w:val="36"/>
          <w:szCs w:val="36"/>
        </w:rPr>
      </w:pPr>
      <w:bookmarkStart w:id="10" w:name="_Toc171445180"/>
      <w:r>
        <w:rPr>
          <w:sz w:val="36"/>
          <w:szCs w:val="36"/>
        </w:rPr>
        <w:lastRenderedPageBreak/>
        <w:t>Reference list</w:t>
      </w:r>
      <w:bookmarkEnd w:id="10"/>
    </w:p>
    <w:p w14:paraId="134FA316" w14:textId="77777777" w:rsidR="008A5879" w:rsidRDefault="008A5879" w:rsidP="00096361">
      <w:pPr>
        <w:pStyle w:val="NormalWeb"/>
        <w:numPr>
          <w:ilvl w:val="0"/>
          <w:numId w:val="18"/>
        </w:numPr>
        <w:spacing w:before="0" w:beforeAutospacing="0" w:after="240" w:afterAutospacing="0" w:line="360" w:lineRule="auto"/>
      </w:pPr>
      <w:r>
        <w:t xml:space="preserve">Abdel-Khalik, A.R. (2013). </w:t>
      </w:r>
      <w:r>
        <w:rPr>
          <w:i/>
          <w:iCs/>
        </w:rPr>
        <w:t>Accounting for Risk, Hedging and Complex Contracts</w:t>
      </w:r>
      <w:r>
        <w:t>. Routledge.</w:t>
      </w:r>
    </w:p>
    <w:p w14:paraId="34D0BFD6" w14:textId="7A880108" w:rsidR="00951FC5" w:rsidRDefault="002E5D7E" w:rsidP="00096361">
      <w:pPr>
        <w:pStyle w:val="NormalWeb"/>
        <w:numPr>
          <w:ilvl w:val="0"/>
          <w:numId w:val="18"/>
        </w:numPr>
        <w:spacing w:before="0" w:beforeAutospacing="0" w:after="240" w:afterAutospacing="0" w:line="360" w:lineRule="auto"/>
      </w:pPr>
      <w:r w:rsidRPr="002E5D7E">
        <w:t xml:space="preserve">Jonasson, T., Malik, S., Chung, K. and Papaioannou, M.G., 2024. </w:t>
      </w:r>
      <w:r w:rsidRPr="002E5D7E">
        <w:rPr>
          <w:i/>
          <w:iCs/>
        </w:rPr>
        <w:t>Managing foreign exchange rate risk: Capacity development for public debt managers in emerging market and low-income countries</w:t>
      </w:r>
      <w:r w:rsidRPr="002E5D7E">
        <w:t>. IMF Working Paper No. WP/2024/167. International Monetary Fund.</w:t>
      </w:r>
    </w:p>
    <w:p w14:paraId="7130430E" w14:textId="55040160" w:rsidR="008A5879" w:rsidRDefault="008A5879" w:rsidP="00096361">
      <w:pPr>
        <w:pStyle w:val="NormalWeb"/>
        <w:numPr>
          <w:ilvl w:val="0"/>
          <w:numId w:val="18"/>
        </w:numPr>
        <w:spacing w:before="0" w:beforeAutospacing="0" w:after="240" w:afterAutospacing="0" w:line="360" w:lineRule="auto"/>
      </w:pPr>
      <w:r>
        <w:t xml:space="preserve">CFI Team (2022). </w:t>
      </w:r>
      <w:r>
        <w:rPr>
          <w:i/>
          <w:iCs/>
        </w:rPr>
        <w:t>Foreign Exchange Risk</w:t>
      </w:r>
      <w:r>
        <w:t>.</w:t>
      </w:r>
      <w:r w:rsidR="00D057B8">
        <w:t xml:space="preserve"> </w:t>
      </w:r>
      <w:r>
        <w:t>Corporate Finance Institute. Available at: https://corporatefinanceinstitute.com/resources/foreign-exchange/foreign-exchange-risk/.</w:t>
      </w:r>
    </w:p>
    <w:p w14:paraId="63895589" w14:textId="1789A0E5" w:rsidR="008A5879" w:rsidRDefault="008A5879" w:rsidP="00096361">
      <w:pPr>
        <w:pStyle w:val="NormalWeb"/>
        <w:numPr>
          <w:ilvl w:val="0"/>
          <w:numId w:val="18"/>
        </w:numPr>
        <w:spacing w:before="0" w:beforeAutospacing="0" w:after="240" w:afterAutospacing="0" w:line="360" w:lineRule="auto"/>
      </w:pPr>
      <w:r>
        <w:t xml:space="preserve">Folger, J. (2022). </w:t>
      </w:r>
      <w:r>
        <w:rPr>
          <w:i/>
          <w:iCs/>
        </w:rPr>
        <w:t>Currency Futures: An Introduction</w:t>
      </w:r>
      <w:r>
        <w:t>. Investopedia. Available at: https://www.investopedia.com/articles/forex/10/introduction-currency-futures.asp.</w:t>
      </w:r>
    </w:p>
    <w:p w14:paraId="26A366E0" w14:textId="02F6CA94" w:rsidR="008A5879" w:rsidRDefault="008A5879" w:rsidP="00096361">
      <w:pPr>
        <w:pStyle w:val="NormalWeb"/>
        <w:numPr>
          <w:ilvl w:val="0"/>
          <w:numId w:val="18"/>
        </w:numPr>
        <w:spacing w:before="0" w:beforeAutospacing="0" w:after="240" w:afterAutospacing="0" w:line="360" w:lineRule="auto"/>
      </w:pPr>
      <w:r>
        <w:t xml:space="preserve">Hargrave, M. (2022). </w:t>
      </w:r>
      <w:r>
        <w:rPr>
          <w:i/>
          <w:iCs/>
        </w:rPr>
        <w:t>What Is an Options Contract?</w:t>
      </w:r>
      <w:r>
        <w:t xml:space="preserve"> Investopedia. Available at: </w:t>
      </w:r>
      <w:hyperlink r:id="rId9" w:history="1">
        <w:r w:rsidR="00DD1C82" w:rsidRPr="00EF7AF5">
          <w:rPr>
            <w:rStyle w:val="Hyperlink"/>
          </w:rPr>
          <w:t>https://www.investopedia.com/ter</w:t>
        </w:r>
        <w:r w:rsidR="00DD1C82" w:rsidRPr="00EF7AF5">
          <w:rPr>
            <w:rStyle w:val="Hyperlink"/>
          </w:rPr>
          <w:t>m</w:t>
        </w:r>
        <w:r w:rsidR="00DD1C82" w:rsidRPr="00EF7AF5">
          <w:rPr>
            <w:rStyle w:val="Hyperlink"/>
          </w:rPr>
          <w:t>s/o/optionscontract.asp</w:t>
        </w:r>
      </w:hyperlink>
      <w:r>
        <w:t>.</w:t>
      </w:r>
    </w:p>
    <w:p w14:paraId="18BCD2CF" w14:textId="3EA84AFB" w:rsidR="00DD1C82" w:rsidRDefault="00DD1C82" w:rsidP="00096361">
      <w:pPr>
        <w:pStyle w:val="NormalWeb"/>
        <w:numPr>
          <w:ilvl w:val="0"/>
          <w:numId w:val="18"/>
        </w:numPr>
        <w:spacing w:before="0" w:beforeAutospacing="0" w:after="240" w:afterAutospacing="0" w:line="360" w:lineRule="auto"/>
      </w:pPr>
      <w:r w:rsidRPr="00DD1C82">
        <w:t xml:space="preserve"> </w:t>
      </w:r>
      <w:proofErr w:type="spellStart"/>
      <w:r w:rsidRPr="00DD1C82">
        <w:t>Oxelheim</w:t>
      </w:r>
      <w:proofErr w:type="spellEnd"/>
      <w:r w:rsidRPr="00DD1C82">
        <w:t xml:space="preserve">, L., </w:t>
      </w:r>
      <w:proofErr w:type="spellStart"/>
      <w:r w:rsidRPr="00DD1C82">
        <w:t>Alviniussen</w:t>
      </w:r>
      <w:proofErr w:type="spellEnd"/>
      <w:r w:rsidRPr="00DD1C82">
        <w:t xml:space="preserve">, A. and </w:t>
      </w:r>
      <w:proofErr w:type="spellStart"/>
      <w:r w:rsidRPr="00DD1C82">
        <w:t>Jankensgard</w:t>
      </w:r>
      <w:proofErr w:type="spellEnd"/>
      <w:r w:rsidRPr="00DD1C82">
        <w:t xml:space="preserve">, H. (2020) </w:t>
      </w:r>
      <w:r w:rsidRPr="00DD1C82">
        <w:rPr>
          <w:i/>
          <w:iCs/>
        </w:rPr>
        <w:t>Corporate Foreign Exchange Risk Management</w:t>
      </w:r>
      <w:r w:rsidRPr="00DD1C82">
        <w:t xml:space="preserve">. 1st </w:t>
      </w:r>
      <w:proofErr w:type="spellStart"/>
      <w:r w:rsidRPr="00DD1C82">
        <w:t>edn</w:t>
      </w:r>
      <w:proofErr w:type="spellEnd"/>
      <w:r w:rsidRPr="00DD1C82">
        <w:t xml:space="preserve">. Wiley. </w:t>
      </w:r>
    </w:p>
    <w:p w14:paraId="6FB53870" w14:textId="692EB821" w:rsidR="008A5879" w:rsidRDefault="008A5879" w:rsidP="00096361">
      <w:pPr>
        <w:pStyle w:val="NormalWeb"/>
        <w:numPr>
          <w:ilvl w:val="0"/>
          <w:numId w:val="18"/>
        </w:numPr>
        <w:spacing w:before="0" w:beforeAutospacing="0" w:after="240" w:afterAutospacing="0" w:line="360" w:lineRule="auto"/>
      </w:pPr>
      <w:r>
        <w:t xml:space="preserve">Jardine, M.R.D., Zhang, M. and Shi, W. (2022). How Shareholders Impact Stakeholder Interests: A Review and Map for Future Research. </w:t>
      </w:r>
      <w:r>
        <w:rPr>
          <w:i/>
          <w:iCs/>
        </w:rPr>
        <w:t>Journal of Management</w:t>
      </w:r>
      <w:r>
        <w:t xml:space="preserve">, 49(1), p.014920632211267. </w:t>
      </w:r>
      <w:proofErr w:type="spellStart"/>
      <w:proofErr w:type="gramStart"/>
      <w:r>
        <w:t>doi:https</w:t>
      </w:r>
      <w:proofErr w:type="spellEnd"/>
      <w:r>
        <w:t>://doi.org/10.1177/01492063221126707</w:t>
      </w:r>
      <w:proofErr w:type="gramEnd"/>
      <w:r>
        <w:t>.</w:t>
      </w:r>
    </w:p>
    <w:p w14:paraId="16430ACA" w14:textId="03A57BBA" w:rsidR="008A5879" w:rsidRDefault="008A5879" w:rsidP="00096361">
      <w:pPr>
        <w:pStyle w:val="NormalWeb"/>
        <w:numPr>
          <w:ilvl w:val="0"/>
          <w:numId w:val="18"/>
        </w:numPr>
        <w:spacing w:before="0" w:beforeAutospacing="0" w:after="240" w:afterAutospacing="0" w:line="360" w:lineRule="auto"/>
      </w:pPr>
      <w:r>
        <w:t xml:space="preserve">O’Mahony, T. (2021). Cost-Benefit analysis and the environment: The time horizon is of the essence. </w:t>
      </w:r>
      <w:r>
        <w:rPr>
          <w:i/>
          <w:iCs/>
        </w:rPr>
        <w:t>Environmental Impact Assessment Review</w:t>
      </w:r>
      <w:r>
        <w:t>,</w:t>
      </w:r>
      <w:r w:rsidR="00096361">
        <w:t xml:space="preserve"> </w:t>
      </w:r>
      <w:r>
        <w:t xml:space="preserve">89, p.106587. </w:t>
      </w:r>
      <w:proofErr w:type="spellStart"/>
      <w:proofErr w:type="gramStart"/>
      <w:r>
        <w:t>doi:https</w:t>
      </w:r>
      <w:proofErr w:type="spellEnd"/>
      <w:r>
        <w:t>://doi.org/10.1016/j.eiar.2021.106587</w:t>
      </w:r>
      <w:proofErr w:type="gramEnd"/>
      <w:r>
        <w:t>.</w:t>
      </w:r>
    </w:p>
    <w:p w14:paraId="2501A2A7" w14:textId="215F6BE3" w:rsidR="008A5879" w:rsidRDefault="008A5879" w:rsidP="00096361">
      <w:pPr>
        <w:pStyle w:val="NormalWeb"/>
        <w:numPr>
          <w:ilvl w:val="0"/>
          <w:numId w:val="18"/>
        </w:numPr>
        <w:spacing w:before="0" w:beforeAutospacing="0" w:after="240" w:afterAutospacing="0" w:line="360" w:lineRule="auto"/>
      </w:pPr>
      <w:r>
        <w:t xml:space="preserve">Phung, A. (2019). </w:t>
      </w:r>
      <w:r>
        <w:rPr>
          <w:i/>
          <w:iCs/>
        </w:rPr>
        <w:t>Forward Contracts vs. Futures Contracts: What’s the Difference?</w:t>
      </w:r>
      <w:r>
        <w:t xml:space="preserve"> Investopedia. Available at:</w:t>
      </w:r>
      <w:r w:rsidR="00096361">
        <w:t xml:space="preserve"> </w:t>
      </w:r>
      <w:r>
        <w:t>https://www.investopedia.com/ask/answers/06/forwardsandfutures.asp.</w:t>
      </w:r>
    </w:p>
    <w:p w14:paraId="4AC9AE25" w14:textId="652AE325" w:rsidR="008A5879" w:rsidRDefault="008A5879" w:rsidP="00096361">
      <w:pPr>
        <w:pStyle w:val="NormalWeb"/>
        <w:numPr>
          <w:ilvl w:val="0"/>
          <w:numId w:val="18"/>
        </w:numPr>
        <w:spacing w:before="0" w:beforeAutospacing="0" w:after="240" w:afterAutospacing="0" w:line="360" w:lineRule="auto"/>
      </w:pPr>
      <w:r>
        <w:lastRenderedPageBreak/>
        <w:t xml:space="preserve">Savitz, E.J. (2022). </w:t>
      </w:r>
      <w:r>
        <w:rPr>
          <w:i/>
          <w:iCs/>
        </w:rPr>
        <w:t>Apple’s Outlook Is at Risk as Dollar Surges, Goldman Says</w:t>
      </w:r>
      <w:r>
        <w:t>.</w:t>
      </w:r>
      <w:r w:rsidR="00D057B8">
        <w:t xml:space="preserve"> </w:t>
      </w:r>
      <w:r>
        <w:t>Available at: https://www.barrons.com/articles/apple-stock-outlook-dollar-goldman-51658249861.</w:t>
      </w:r>
    </w:p>
    <w:p w14:paraId="362A943D" w14:textId="220FB2A8" w:rsidR="008A5879" w:rsidRDefault="008A5879" w:rsidP="00096361">
      <w:pPr>
        <w:pStyle w:val="NormalWeb"/>
        <w:numPr>
          <w:ilvl w:val="0"/>
          <w:numId w:val="18"/>
        </w:numPr>
        <w:spacing w:before="0" w:beforeAutospacing="0" w:after="240" w:afterAutospacing="0" w:line="360" w:lineRule="auto"/>
      </w:pPr>
      <w:r>
        <w:t xml:space="preserve">Tamplin, T. (2024). </w:t>
      </w:r>
      <w:r>
        <w:rPr>
          <w:i/>
          <w:iCs/>
        </w:rPr>
        <w:t>Currency Swaps | Definition, Types, Mechanics, Pros, and Cons</w:t>
      </w:r>
      <w:r>
        <w:t>. Finance Strategist. Available at: https://www.financestrategists.com/wealth-management/investments/currency-swaps/.</w:t>
      </w:r>
    </w:p>
    <w:p w14:paraId="1A85B6FD" w14:textId="77777777" w:rsidR="008A5879" w:rsidRDefault="008A5879" w:rsidP="00096361">
      <w:pPr>
        <w:pStyle w:val="NormalWeb"/>
        <w:numPr>
          <w:ilvl w:val="0"/>
          <w:numId w:val="18"/>
        </w:numPr>
        <w:spacing w:before="0" w:beforeAutospacing="0" w:after="240" w:afterAutospacing="0" w:line="360" w:lineRule="auto"/>
      </w:pPr>
      <w:r>
        <w:t xml:space="preserve">Toader, O., Homburg, F., André, C., Teixeira, T. and Pereira, A. (2023). Currency hedging. The case study Nestlé Suisse SA. </w:t>
      </w:r>
      <w:r>
        <w:rPr>
          <w:i/>
          <w:iCs/>
        </w:rPr>
        <w:t>International Journal of Social Science and Human Research</w:t>
      </w:r>
      <w:r>
        <w:t xml:space="preserve">, 06(04). </w:t>
      </w:r>
      <w:proofErr w:type="spellStart"/>
      <w:proofErr w:type="gramStart"/>
      <w:r>
        <w:t>doi:https</w:t>
      </w:r>
      <w:proofErr w:type="spellEnd"/>
      <w:r>
        <w:t>://doi.org/10.47191/</w:t>
      </w:r>
      <w:proofErr w:type="spellStart"/>
      <w:r>
        <w:t>ijsshr</w:t>
      </w:r>
      <w:proofErr w:type="spellEnd"/>
      <w:r>
        <w:t>/v6-i4-21</w:t>
      </w:r>
      <w:proofErr w:type="gramEnd"/>
      <w:r>
        <w:t>.</w:t>
      </w:r>
    </w:p>
    <w:p w14:paraId="16C9BEB0" w14:textId="77777777" w:rsidR="008A5879" w:rsidRDefault="008A5879" w:rsidP="00096361">
      <w:pPr>
        <w:pStyle w:val="NormalWeb"/>
        <w:numPr>
          <w:ilvl w:val="0"/>
          <w:numId w:val="18"/>
        </w:numPr>
        <w:spacing w:before="0" w:beforeAutospacing="0" w:after="240" w:afterAutospacing="0" w:line="360" w:lineRule="auto"/>
      </w:pPr>
      <w:proofErr w:type="spellStart"/>
      <w:r>
        <w:t>Trafimow</w:t>
      </w:r>
      <w:proofErr w:type="spellEnd"/>
      <w:r>
        <w:t xml:space="preserve">, D. (2022). A New Way to Think About Internal and External Validity. </w:t>
      </w:r>
      <w:r>
        <w:rPr>
          <w:i/>
          <w:iCs/>
        </w:rPr>
        <w:t>Perspectives on Psychological Science</w:t>
      </w:r>
      <w:r>
        <w:t xml:space="preserve">, 18(5), p.174569162211361. </w:t>
      </w:r>
      <w:proofErr w:type="spellStart"/>
      <w:proofErr w:type="gramStart"/>
      <w:r>
        <w:t>doi:https</w:t>
      </w:r>
      <w:proofErr w:type="spellEnd"/>
      <w:r>
        <w:t>://doi.org/10.1177/17456916221136117</w:t>
      </w:r>
      <w:proofErr w:type="gramEnd"/>
      <w:r>
        <w:t>.</w:t>
      </w:r>
    </w:p>
    <w:p w14:paraId="54A510F2" w14:textId="77777777" w:rsidR="008A5879" w:rsidRDefault="008A5879" w:rsidP="00096361">
      <w:pPr>
        <w:pStyle w:val="NormalWeb"/>
        <w:numPr>
          <w:ilvl w:val="0"/>
          <w:numId w:val="18"/>
        </w:numPr>
        <w:spacing w:before="0" w:beforeAutospacing="0" w:after="240" w:afterAutospacing="0" w:line="360" w:lineRule="auto"/>
      </w:pPr>
      <w:r>
        <w:t xml:space="preserve">Wang, P. (2020). </w:t>
      </w:r>
      <w:r>
        <w:rPr>
          <w:i/>
          <w:iCs/>
        </w:rPr>
        <w:t>The Economics of Foreign Exchange and Global Finance</w:t>
      </w:r>
      <w:r>
        <w:t xml:space="preserve">. </w:t>
      </w:r>
      <w:r>
        <w:rPr>
          <w:i/>
          <w:iCs/>
        </w:rPr>
        <w:t>Springer Texts in Business and Economics</w:t>
      </w:r>
      <w:r>
        <w:t xml:space="preserve">. Berlin, Heidelberg: Springer Berlin Heidelberg. </w:t>
      </w:r>
      <w:proofErr w:type="spellStart"/>
      <w:proofErr w:type="gramStart"/>
      <w:r>
        <w:t>doi:https</w:t>
      </w:r>
      <w:proofErr w:type="spellEnd"/>
      <w:r>
        <w:t>://doi.org/10.1007/978-3-662-59271-7</w:t>
      </w:r>
      <w:proofErr w:type="gramEnd"/>
      <w:r>
        <w:t>.</w:t>
      </w:r>
    </w:p>
    <w:p w14:paraId="04E18903" w14:textId="7E67D9F1" w:rsidR="00B839EF" w:rsidRDefault="008A5879" w:rsidP="00096361">
      <w:pPr>
        <w:pStyle w:val="NormalWeb"/>
        <w:numPr>
          <w:ilvl w:val="0"/>
          <w:numId w:val="18"/>
        </w:numPr>
        <w:spacing w:before="0" w:beforeAutospacing="0" w:after="240" w:afterAutospacing="0" w:line="360" w:lineRule="auto"/>
      </w:pPr>
      <w:r>
        <w:t xml:space="preserve">Zhang, X. (2020). Multinational Companies’ Hedging Effectiveness of Foreign Exchange Risk: A Quantitative Comparison Study. </w:t>
      </w:r>
      <w:r>
        <w:rPr>
          <w:i/>
          <w:iCs/>
        </w:rPr>
        <w:t>Fudan Journal of the Humanities and Social Sciences</w:t>
      </w:r>
      <w:r>
        <w:t xml:space="preserve">. </w:t>
      </w:r>
      <w:proofErr w:type="spellStart"/>
      <w:proofErr w:type="gramStart"/>
      <w:r>
        <w:t>doi:https</w:t>
      </w:r>
      <w:proofErr w:type="spellEnd"/>
      <w:r>
        <w:t>://doi.org/10.1007/s40647-020-00305-3</w:t>
      </w:r>
      <w:proofErr w:type="gramEnd"/>
      <w:r>
        <w:t>.</w:t>
      </w:r>
    </w:p>
    <w:p w14:paraId="7120EB42" w14:textId="01FF548B" w:rsidR="00184EFA" w:rsidRDefault="0005521A" w:rsidP="00096361">
      <w:pPr>
        <w:pStyle w:val="NormalWeb"/>
        <w:numPr>
          <w:ilvl w:val="0"/>
          <w:numId w:val="18"/>
        </w:numPr>
        <w:spacing w:before="0" w:beforeAutospacing="0" w:after="240" w:afterAutospacing="0" w:line="360" w:lineRule="auto"/>
      </w:pPr>
      <w:r w:rsidRPr="0005521A">
        <w:t xml:space="preserve">Stephens, J. (2003) </w:t>
      </w:r>
      <w:r w:rsidRPr="00EF3D40">
        <w:rPr>
          <w:i/>
          <w:iCs/>
        </w:rPr>
        <w:t>Managing Currency Risk</w:t>
      </w:r>
      <w:r w:rsidRPr="0005521A">
        <w:t xml:space="preserve">. 1st </w:t>
      </w:r>
      <w:proofErr w:type="spellStart"/>
      <w:r w:rsidRPr="0005521A">
        <w:t>edn</w:t>
      </w:r>
      <w:proofErr w:type="spellEnd"/>
      <w:r w:rsidRPr="0005521A">
        <w:t>. Wiley. Available at:</w:t>
      </w:r>
      <w:r w:rsidR="00151881">
        <w:t xml:space="preserve"> </w:t>
      </w:r>
      <w:r w:rsidR="00630B6F" w:rsidRPr="00630B6F">
        <w:t xml:space="preserve">https://ereader.perlego.com/1/book/2770924/3 </w:t>
      </w:r>
      <w:r w:rsidRPr="0005521A">
        <w:t>(Accessed: 20 August 2024).</w:t>
      </w:r>
    </w:p>
    <w:p w14:paraId="4B6C264A" w14:textId="77777777" w:rsidR="00184EFA" w:rsidRDefault="00184EFA" w:rsidP="00096361">
      <w:pPr>
        <w:pStyle w:val="NormalWeb"/>
        <w:spacing w:before="0" w:beforeAutospacing="0" w:after="240" w:afterAutospacing="0" w:line="360" w:lineRule="auto"/>
      </w:pPr>
    </w:p>
    <w:sectPr w:rsidR="00184EFA" w:rsidSect="003D6308">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9973D0" w14:textId="77777777" w:rsidR="0045751D" w:rsidRDefault="0045751D" w:rsidP="00E551E4">
      <w:pPr>
        <w:spacing w:line="240" w:lineRule="auto"/>
      </w:pPr>
      <w:r>
        <w:separator/>
      </w:r>
    </w:p>
  </w:endnote>
  <w:endnote w:type="continuationSeparator" w:id="0">
    <w:p w14:paraId="710088BB" w14:textId="77777777" w:rsidR="0045751D" w:rsidRDefault="0045751D" w:rsidP="00E551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230645" w14:textId="77777777" w:rsidR="00E551E4" w:rsidRDefault="00E551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4497373"/>
      <w:docPartObj>
        <w:docPartGallery w:val="Page Numbers (Bottom of Page)"/>
        <w:docPartUnique/>
      </w:docPartObj>
    </w:sdtPr>
    <w:sdtEndPr/>
    <w:sdtContent>
      <w:p w14:paraId="5C545BBA" w14:textId="308E6162" w:rsidR="00E551E4" w:rsidRDefault="00E551E4">
        <w:pPr>
          <w:pStyle w:val="Footer"/>
          <w:jc w:val="right"/>
        </w:pPr>
        <w:r>
          <w:fldChar w:fldCharType="begin"/>
        </w:r>
        <w:r>
          <w:instrText>PAGE   \* MERGEFORMAT</w:instrText>
        </w:r>
        <w:r>
          <w:fldChar w:fldCharType="separate"/>
        </w:r>
        <w:r>
          <w:t>2</w:t>
        </w:r>
        <w:r>
          <w:fldChar w:fldCharType="end"/>
        </w:r>
      </w:p>
    </w:sdtContent>
  </w:sdt>
  <w:p w14:paraId="6AE8CDBF" w14:textId="77777777" w:rsidR="00E551E4" w:rsidRDefault="00E551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E5AB9E" w14:textId="77777777" w:rsidR="00E551E4" w:rsidRDefault="00E551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7F0072" w14:textId="77777777" w:rsidR="0045751D" w:rsidRDefault="0045751D" w:rsidP="00E551E4">
      <w:pPr>
        <w:spacing w:line="240" w:lineRule="auto"/>
      </w:pPr>
      <w:r>
        <w:separator/>
      </w:r>
    </w:p>
  </w:footnote>
  <w:footnote w:type="continuationSeparator" w:id="0">
    <w:p w14:paraId="5F0E5CFF" w14:textId="77777777" w:rsidR="0045751D" w:rsidRDefault="0045751D" w:rsidP="00E551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F23FE2" w14:textId="77777777" w:rsidR="00E551E4" w:rsidRDefault="00E551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B37999" w14:textId="77777777" w:rsidR="00E551E4" w:rsidRDefault="00E551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B6D05D" w14:textId="77777777" w:rsidR="00E551E4" w:rsidRDefault="00E551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6BB0A03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7AD0DD8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6CA1522"/>
    <w:multiLevelType w:val="hybridMultilevel"/>
    <w:tmpl w:val="B5F02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96E4F"/>
    <w:multiLevelType w:val="multilevel"/>
    <w:tmpl w:val="4E42A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BE4844"/>
    <w:multiLevelType w:val="multilevel"/>
    <w:tmpl w:val="29949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675B5"/>
    <w:multiLevelType w:val="hybridMultilevel"/>
    <w:tmpl w:val="04A6B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E72028"/>
    <w:multiLevelType w:val="multilevel"/>
    <w:tmpl w:val="C8C4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0E21D3"/>
    <w:multiLevelType w:val="multilevel"/>
    <w:tmpl w:val="A5F07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D650FE"/>
    <w:multiLevelType w:val="hybridMultilevel"/>
    <w:tmpl w:val="E3165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025036"/>
    <w:multiLevelType w:val="hybridMultilevel"/>
    <w:tmpl w:val="C2F27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7418C9"/>
    <w:multiLevelType w:val="hybridMultilevel"/>
    <w:tmpl w:val="72B85AA2"/>
    <w:lvl w:ilvl="0" w:tplc="CA52268E">
      <w:start w:val="1"/>
      <w:numFmt w:val="bullet"/>
      <w:pStyle w:val="NoSpac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304046"/>
    <w:multiLevelType w:val="multilevel"/>
    <w:tmpl w:val="1B1C8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2A4487"/>
    <w:multiLevelType w:val="multilevel"/>
    <w:tmpl w:val="7E86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C040F9"/>
    <w:multiLevelType w:val="multilevel"/>
    <w:tmpl w:val="9334B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4E3CFD"/>
    <w:multiLevelType w:val="multilevel"/>
    <w:tmpl w:val="F3CEA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3861685">
    <w:abstractNumId w:val="1"/>
  </w:num>
  <w:num w:numId="2" w16cid:durableId="1121418177">
    <w:abstractNumId w:val="10"/>
  </w:num>
  <w:num w:numId="3" w16cid:durableId="2086880650">
    <w:abstractNumId w:val="10"/>
  </w:num>
  <w:num w:numId="4" w16cid:durableId="1009599952">
    <w:abstractNumId w:val="0"/>
  </w:num>
  <w:num w:numId="5" w16cid:durableId="1838811550">
    <w:abstractNumId w:val="10"/>
  </w:num>
  <w:num w:numId="6" w16cid:durableId="1205143040">
    <w:abstractNumId w:val="10"/>
  </w:num>
  <w:num w:numId="7" w16cid:durableId="569467706">
    <w:abstractNumId w:val="12"/>
  </w:num>
  <w:num w:numId="8" w16cid:durableId="1425954590">
    <w:abstractNumId w:val="3"/>
  </w:num>
  <w:num w:numId="9" w16cid:durableId="28533774">
    <w:abstractNumId w:val="6"/>
  </w:num>
  <w:num w:numId="10" w16cid:durableId="2077629517">
    <w:abstractNumId w:val="11"/>
  </w:num>
  <w:num w:numId="11" w16cid:durableId="1932822">
    <w:abstractNumId w:val="4"/>
  </w:num>
  <w:num w:numId="12" w16cid:durableId="456879518">
    <w:abstractNumId w:val="7"/>
  </w:num>
  <w:num w:numId="13" w16cid:durableId="1833789350">
    <w:abstractNumId w:val="13"/>
  </w:num>
  <w:num w:numId="14" w16cid:durableId="953560833">
    <w:abstractNumId w:val="14"/>
  </w:num>
  <w:num w:numId="15" w16cid:durableId="1060521277">
    <w:abstractNumId w:val="2"/>
  </w:num>
  <w:num w:numId="16" w16cid:durableId="1021903465">
    <w:abstractNumId w:val="8"/>
  </w:num>
  <w:num w:numId="17" w16cid:durableId="88695589">
    <w:abstractNumId w:val="9"/>
  </w:num>
  <w:num w:numId="18" w16cid:durableId="10951285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7G0NDE3NbcwNLYwNrBQ0lEKTi0uzszPAykwrgUAgu4DfCwAAAA="/>
  </w:docVars>
  <w:rsids>
    <w:rsidRoot w:val="00516EC0"/>
    <w:rsid w:val="00005018"/>
    <w:rsid w:val="0001394E"/>
    <w:rsid w:val="00023A15"/>
    <w:rsid w:val="0005521A"/>
    <w:rsid w:val="00062055"/>
    <w:rsid w:val="000620DF"/>
    <w:rsid w:val="00062CDE"/>
    <w:rsid w:val="00081BA1"/>
    <w:rsid w:val="000958B9"/>
    <w:rsid w:val="00096361"/>
    <w:rsid w:val="000A6B9F"/>
    <w:rsid w:val="00102455"/>
    <w:rsid w:val="001112AA"/>
    <w:rsid w:val="00151881"/>
    <w:rsid w:val="001656DC"/>
    <w:rsid w:val="00184EFA"/>
    <w:rsid w:val="00190B92"/>
    <w:rsid w:val="001A460A"/>
    <w:rsid w:val="001A6D2D"/>
    <w:rsid w:val="001B2DA5"/>
    <w:rsid w:val="001C6353"/>
    <w:rsid w:val="001F5AFB"/>
    <w:rsid w:val="00214F40"/>
    <w:rsid w:val="002154A4"/>
    <w:rsid w:val="0025105A"/>
    <w:rsid w:val="002644FE"/>
    <w:rsid w:val="00264546"/>
    <w:rsid w:val="002845B2"/>
    <w:rsid w:val="002A10DA"/>
    <w:rsid w:val="002B3FA2"/>
    <w:rsid w:val="002C4EAC"/>
    <w:rsid w:val="002E420D"/>
    <w:rsid w:val="002E5D7E"/>
    <w:rsid w:val="002E6C70"/>
    <w:rsid w:val="003515B4"/>
    <w:rsid w:val="003C1FC6"/>
    <w:rsid w:val="003C2A6B"/>
    <w:rsid w:val="003D6308"/>
    <w:rsid w:val="003D69F7"/>
    <w:rsid w:val="003E0544"/>
    <w:rsid w:val="00410067"/>
    <w:rsid w:val="00432C9D"/>
    <w:rsid w:val="0043569E"/>
    <w:rsid w:val="00451802"/>
    <w:rsid w:val="0045751D"/>
    <w:rsid w:val="00463AC3"/>
    <w:rsid w:val="004A4A60"/>
    <w:rsid w:val="004A6606"/>
    <w:rsid w:val="004B664F"/>
    <w:rsid w:val="004E53A6"/>
    <w:rsid w:val="00516EC0"/>
    <w:rsid w:val="00540B4B"/>
    <w:rsid w:val="005805C7"/>
    <w:rsid w:val="0058239B"/>
    <w:rsid w:val="005847D2"/>
    <w:rsid w:val="00594890"/>
    <w:rsid w:val="005A0126"/>
    <w:rsid w:val="005B3226"/>
    <w:rsid w:val="005C0FB1"/>
    <w:rsid w:val="005C3795"/>
    <w:rsid w:val="005C4BD2"/>
    <w:rsid w:val="005E34B8"/>
    <w:rsid w:val="00604B76"/>
    <w:rsid w:val="00630B6F"/>
    <w:rsid w:val="00631E3B"/>
    <w:rsid w:val="006322DE"/>
    <w:rsid w:val="006361E2"/>
    <w:rsid w:val="00672A23"/>
    <w:rsid w:val="00677717"/>
    <w:rsid w:val="00696689"/>
    <w:rsid w:val="006D375B"/>
    <w:rsid w:val="006E7C21"/>
    <w:rsid w:val="00710390"/>
    <w:rsid w:val="00710C20"/>
    <w:rsid w:val="00723D95"/>
    <w:rsid w:val="00735F37"/>
    <w:rsid w:val="007703CF"/>
    <w:rsid w:val="0079597A"/>
    <w:rsid w:val="00797698"/>
    <w:rsid w:val="007A0775"/>
    <w:rsid w:val="007C44A3"/>
    <w:rsid w:val="007E45B6"/>
    <w:rsid w:val="007E47AA"/>
    <w:rsid w:val="00810BF3"/>
    <w:rsid w:val="008113B5"/>
    <w:rsid w:val="00814554"/>
    <w:rsid w:val="00817813"/>
    <w:rsid w:val="00822DC9"/>
    <w:rsid w:val="0084424E"/>
    <w:rsid w:val="008477A1"/>
    <w:rsid w:val="008627F4"/>
    <w:rsid w:val="0087051E"/>
    <w:rsid w:val="00885006"/>
    <w:rsid w:val="00893712"/>
    <w:rsid w:val="008954DE"/>
    <w:rsid w:val="008A5879"/>
    <w:rsid w:val="008D5722"/>
    <w:rsid w:val="008F5CD8"/>
    <w:rsid w:val="009257EF"/>
    <w:rsid w:val="0094248B"/>
    <w:rsid w:val="00951FC5"/>
    <w:rsid w:val="009725D0"/>
    <w:rsid w:val="00977EAC"/>
    <w:rsid w:val="00997E73"/>
    <w:rsid w:val="009A096A"/>
    <w:rsid w:val="009A2CAE"/>
    <w:rsid w:val="009C7CC5"/>
    <w:rsid w:val="009E25FB"/>
    <w:rsid w:val="009F51EE"/>
    <w:rsid w:val="00A01964"/>
    <w:rsid w:val="00A11E35"/>
    <w:rsid w:val="00A13A2E"/>
    <w:rsid w:val="00A145CA"/>
    <w:rsid w:val="00A25B40"/>
    <w:rsid w:val="00A50E2E"/>
    <w:rsid w:val="00A52075"/>
    <w:rsid w:val="00A77D67"/>
    <w:rsid w:val="00A9260D"/>
    <w:rsid w:val="00AA2DF2"/>
    <w:rsid w:val="00AC05D3"/>
    <w:rsid w:val="00AF108C"/>
    <w:rsid w:val="00B22C5E"/>
    <w:rsid w:val="00B66A2B"/>
    <w:rsid w:val="00B70D51"/>
    <w:rsid w:val="00B774CF"/>
    <w:rsid w:val="00B81296"/>
    <w:rsid w:val="00B839EF"/>
    <w:rsid w:val="00BA447A"/>
    <w:rsid w:val="00BD439B"/>
    <w:rsid w:val="00BD50B6"/>
    <w:rsid w:val="00BF6347"/>
    <w:rsid w:val="00C0259F"/>
    <w:rsid w:val="00C03A55"/>
    <w:rsid w:val="00C6744A"/>
    <w:rsid w:val="00CD0456"/>
    <w:rsid w:val="00D057B8"/>
    <w:rsid w:val="00D360AC"/>
    <w:rsid w:val="00D57C2A"/>
    <w:rsid w:val="00D611BB"/>
    <w:rsid w:val="00DC6AF1"/>
    <w:rsid w:val="00DD1C82"/>
    <w:rsid w:val="00DD4017"/>
    <w:rsid w:val="00E05465"/>
    <w:rsid w:val="00E40DF1"/>
    <w:rsid w:val="00E551E4"/>
    <w:rsid w:val="00E95880"/>
    <w:rsid w:val="00E95E61"/>
    <w:rsid w:val="00EA1826"/>
    <w:rsid w:val="00EB7B0B"/>
    <w:rsid w:val="00EF3D40"/>
    <w:rsid w:val="00F156C2"/>
    <w:rsid w:val="00F275E4"/>
    <w:rsid w:val="00FC685A"/>
    <w:rsid w:val="00FE79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F67D77"/>
  <w15:chartTrackingRefBased/>
  <w15:docId w15:val="{7BDF479A-297A-4E9B-9500-DC33D7E1B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455"/>
    <w:pPr>
      <w:spacing w:after="0" w:line="360" w:lineRule="auto"/>
      <w:jc w:val="both"/>
    </w:pPr>
    <w:rPr>
      <w:rFonts w:ascii="Times New Roman" w:hAnsi="Times New Roman" w:cs="Arial"/>
      <w:sz w:val="24"/>
      <w:lang w:eastAsia="en-GB"/>
    </w:rPr>
  </w:style>
  <w:style w:type="paragraph" w:styleId="Heading1">
    <w:name w:val="heading 1"/>
    <w:basedOn w:val="Normal"/>
    <w:next w:val="Normal"/>
    <w:link w:val="Heading1Char"/>
    <w:uiPriority w:val="9"/>
    <w:qFormat/>
    <w:rsid w:val="00814554"/>
    <w:pPr>
      <w:keepNext/>
      <w:keepLines/>
      <w:spacing w:before="240" w:line="480" w:lineRule="auto"/>
      <w:outlineLvl w:val="0"/>
    </w:pPr>
    <w:rPr>
      <w:rFonts w:eastAsiaTheme="majorEastAsia" w:cstheme="majorBidi"/>
      <w:b/>
      <w:color w:val="4472C4" w:themeColor="accent1"/>
      <w:sz w:val="32"/>
      <w:szCs w:val="32"/>
      <w:lang w:eastAsia="en-US"/>
    </w:rPr>
  </w:style>
  <w:style w:type="paragraph" w:styleId="Heading2">
    <w:name w:val="heading 2"/>
    <w:basedOn w:val="Normal"/>
    <w:next w:val="Normal"/>
    <w:link w:val="Heading2Char"/>
    <w:uiPriority w:val="9"/>
    <w:unhideWhenUsed/>
    <w:qFormat/>
    <w:rsid w:val="00814554"/>
    <w:pPr>
      <w:keepNext/>
      <w:keepLines/>
      <w:spacing w:before="40" w:line="480" w:lineRule="auto"/>
      <w:outlineLvl w:val="1"/>
    </w:pPr>
    <w:rPr>
      <w:rFonts w:eastAsiaTheme="majorEastAsia" w:cstheme="majorBidi"/>
      <w:b/>
      <w:color w:val="4472C4" w:themeColor="accent1"/>
      <w:sz w:val="28"/>
      <w:szCs w:val="26"/>
      <w:lang w:eastAsia="en-US"/>
    </w:rPr>
  </w:style>
  <w:style w:type="paragraph" w:styleId="Heading3">
    <w:name w:val="heading 3"/>
    <w:basedOn w:val="Normal"/>
    <w:next w:val="Normal"/>
    <w:link w:val="Heading3Char"/>
    <w:uiPriority w:val="9"/>
    <w:unhideWhenUsed/>
    <w:qFormat/>
    <w:rsid w:val="00814554"/>
    <w:pPr>
      <w:keepNext/>
      <w:keepLines/>
      <w:spacing w:before="40" w:line="480" w:lineRule="auto"/>
      <w:outlineLvl w:val="2"/>
    </w:pPr>
    <w:rPr>
      <w:rFonts w:eastAsiaTheme="majorEastAsia" w:cstheme="majorBidi"/>
      <w:b/>
      <w:color w:val="4472C4" w:themeColor="accent1"/>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554"/>
    <w:rPr>
      <w:rFonts w:ascii="Times New Roman" w:eastAsiaTheme="majorEastAsia" w:hAnsi="Times New Roman" w:cstheme="majorBidi"/>
      <w:b/>
      <w:color w:val="4472C4" w:themeColor="accent1"/>
      <w:sz w:val="32"/>
      <w:szCs w:val="32"/>
    </w:rPr>
  </w:style>
  <w:style w:type="character" w:customStyle="1" w:styleId="Heading2Char">
    <w:name w:val="Heading 2 Char"/>
    <w:basedOn w:val="DefaultParagraphFont"/>
    <w:link w:val="Heading2"/>
    <w:uiPriority w:val="9"/>
    <w:rsid w:val="00814554"/>
    <w:rPr>
      <w:rFonts w:ascii="Times New Roman" w:eastAsiaTheme="majorEastAsia" w:hAnsi="Times New Roman" w:cstheme="majorBidi"/>
      <w:b/>
      <w:color w:val="4472C4" w:themeColor="accent1"/>
      <w:sz w:val="28"/>
      <w:szCs w:val="26"/>
    </w:rPr>
  </w:style>
  <w:style w:type="paragraph" w:styleId="NoSpacing">
    <w:name w:val="No Spacing"/>
    <w:aliases w:val="Bullet Points"/>
    <w:basedOn w:val="ListParagraph"/>
    <w:next w:val="ListNumber"/>
    <w:autoRedefine/>
    <w:uiPriority w:val="1"/>
    <w:qFormat/>
    <w:rsid w:val="00410067"/>
    <w:pPr>
      <w:numPr>
        <w:numId w:val="6"/>
      </w:numPr>
    </w:pPr>
    <w:rPr>
      <w:color w:val="333333"/>
      <w:shd w:val="clear" w:color="auto" w:fill="FFFFFF"/>
    </w:rPr>
  </w:style>
  <w:style w:type="paragraph" w:styleId="ListParagraph">
    <w:name w:val="List Paragraph"/>
    <w:basedOn w:val="Normal"/>
    <w:uiPriority w:val="34"/>
    <w:qFormat/>
    <w:rsid w:val="0043569E"/>
    <w:pPr>
      <w:ind w:left="720"/>
      <w:contextualSpacing/>
    </w:pPr>
  </w:style>
  <w:style w:type="paragraph" w:styleId="ListBullet">
    <w:name w:val="List Bullet"/>
    <w:basedOn w:val="Normal"/>
    <w:uiPriority w:val="99"/>
    <w:semiHidden/>
    <w:unhideWhenUsed/>
    <w:rsid w:val="0043569E"/>
    <w:pPr>
      <w:numPr>
        <w:numId w:val="1"/>
      </w:numPr>
      <w:contextualSpacing/>
    </w:pPr>
  </w:style>
  <w:style w:type="paragraph" w:styleId="ListNumber">
    <w:name w:val="List Number"/>
    <w:basedOn w:val="Normal"/>
    <w:uiPriority w:val="99"/>
    <w:semiHidden/>
    <w:unhideWhenUsed/>
    <w:rsid w:val="00410067"/>
    <w:pPr>
      <w:numPr>
        <w:numId w:val="4"/>
      </w:numPr>
      <w:contextualSpacing/>
    </w:pPr>
  </w:style>
  <w:style w:type="character" w:customStyle="1" w:styleId="Heading3Char">
    <w:name w:val="Heading 3 Char"/>
    <w:basedOn w:val="DefaultParagraphFont"/>
    <w:link w:val="Heading3"/>
    <w:uiPriority w:val="9"/>
    <w:rsid w:val="00814554"/>
    <w:rPr>
      <w:rFonts w:ascii="Times New Roman" w:eastAsiaTheme="majorEastAsia" w:hAnsi="Times New Roman" w:cstheme="majorBidi"/>
      <w:b/>
      <w:color w:val="4472C4" w:themeColor="accent1"/>
      <w:sz w:val="24"/>
      <w:szCs w:val="24"/>
    </w:rPr>
  </w:style>
  <w:style w:type="table" w:styleId="TableGrid">
    <w:name w:val="Table Grid"/>
    <w:basedOn w:val="TableNormal"/>
    <w:uiPriority w:val="39"/>
    <w:rsid w:val="008705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7051E"/>
    <w:rPr>
      <w:b/>
      <w:bCs/>
    </w:rPr>
  </w:style>
  <w:style w:type="paragraph" w:styleId="NormalWeb">
    <w:name w:val="Normal (Web)"/>
    <w:basedOn w:val="Normal"/>
    <w:uiPriority w:val="99"/>
    <w:unhideWhenUsed/>
    <w:rsid w:val="008A5879"/>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8627F4"/>
    <w:pPr>
      <w:spacing w:line="259" w:lineRule="auto"/>
      <w:jc w:val="left"/>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2644FE"/>
    <w:pPr>
      <w:tabs>
        <w:tab w:val="right" w:leader="dot" w:pos="9350"/>
      </w:tabs>
      <w:spacing w:after="100"/>
    </w:pPr>
    <w:rPr>
      <w:b/>
      <w:bCs/>
      <w:noProof/>
    </w:rPr>
  </w:style>
  <w:style w:type="paragraph" w:styleId="TOC2">
    <w:name w:val="toc 2"/>
    <w:basedOn w:val="Normal"/>
    <w:next w:val="Normal"/>
    <w:autoRedefine/>
    <w:uiPriority w:val="39"/>
    <w:unhideWhenUsed/>
    <w:rsid w:val="008627F4"/>
    <w:pPr>
      <w:spacing w:after="100"/>
      <w:ind w:left="240"/>
    </w:pPr>
  </w:style>
  <w:style w:type="paragraph" w:styleId="TOC3">
    <w:name w:val="toc 3"/>
    <w:basedOn w:val="Normal"/>
    <w:next w:val="Normal"/>
    <w:autoRedefine/>
    <w:uiPriority w:val="39"/>
    <w:unhideWhenUsed/>
    <w:rsid w:val="008627F4"/>
    <w:pPr>
      <w:spacing w:after="100"/>
      <w:ind w:left="480"/>
    </w:pPr>
  </w:style>
  <w:style w:type="character" w:styleId="Hyperlink">
    <w:name w:val="Hyperlink"/>
    <w:basedOn w:val="DefaultParagraphFont"/>
    <w:uiPriority w:val="99"/>
    <w:unhideWhenUsed/>
    <w:rsid w:val="008627F4"/>
    <w:rPr>
      <w:color w:val="0563C1" w:themeColor="hyperlink"/>
      <w:u w:val="single"/>
    </w:rPr>
  </w:style>
  <w:style w:type="paragraph" w:styleId="Header">
    <w:name w:val="header"/>
    <w:basedOn w:val="Normal"/>
    <w:link w:val="HeaderChar"/>
    <w:uiPriority w:val="99"/>
    <w:unhideWhenUsed/>
    <w:rsid w:val="00E551E4"/>
    <w:pPr>
      <w:tabs>
        <w:tab w:val="center" w:pos="4513"/>
        <w:tab w:val="right" w:pos="9026"/>
      </w:tabs>
      <w:spacing w:line="240" w:lineRule="auto"/>
    </w:pPr>
  </w:style>
  <w:style w:type="character" w:customStyle="1" w:styleId="HeaderChar">
    <w:name w:val="Header Char"/>
    <w:basedOn w:val="DefaultParagraphFont"/>
    <w:link w:val="Header"/>
    <w:uiPriority w:val="99"/>
    <w:rsid w:val="00E551E4"/>
    <w:rPr>
      <w:rFonts w:ascii="Times New Roman" w:hAnsi="Times New Roman" w:cs="Arial"/>
      <w:sz w:val="24"/>
      <w:lang w:eastAsia="en-GB"/>
    </w:rPr>
  </w:style>
  <w:style w:type="paragraph" w:styleId="Footer">
    <w:name w:val="footer"/>
    <w:basedOn w:val="Normal"/>
    <w:link w:val="FooterChar"/>
    <w:uiPriority w:val="99"/>
    <w:unhideWhenUsed/>
    <w:rsid w:val="00E551E4"/>
    <w:pPr>
      <w:tabs>
        <w:tab w:val="center" w:pos="4513"/>
        <w:tab w:val="right" w:pos="9026"/>
      </w:tabs>
      <w:spacing w:line="240" w:lineRule="auto"/>
    </w:pPr>
  </w:style>
  <w:style w:type="character" w:customStyle="1" w:styleId="FooterChar">
    <w:name w:val="Footer Char"/>
    <w:basedOn w:val="DefaultParagraphFont"/>
    <w:link w:val="Footer"/>
    <w:uiPriority w:val="99"/>
    <w:rsid w:val="00E551E4"/>
    <w:rPr>
      <w:rFonts w:ascii="Times New Roman" w:hAnsi="Times New Roman" w:cs="Arial"/>
      <w:sz w:val="24"/>
      <w:lang w:eastAsia="en-GB"/>
    </w:rPr>
  </w:style>
  <w:style w:type="character" w:styleId="UnresolvedMention">
    <w:name w:val="Unresolved Mention"/>
    <w:basedOn w:val="DefaultParagraphFont"/>
    <w:uiPriority w:val="99"/>
    <w:semiHidden/>
    <w:unhideWhenUsed/>
    <w:rsid w:val="00DD1C82"/>
    <w:rPr>
      <w:color w:val="605E5C"/>
      <w:shd w:val="clear" w:color="auto" w:fill="E1DFDD"/>
    </w:rPr>
  </w:style>
  <w:style w:type="character" w:styleId="FollowedHyperlink">
    <w:name w:val="FollowedHyperlink"/>
    <w:basedOn w:val="DefaultParagraphFont"/>
    <w:uiPriority w:val="99"/>
    <w:semiHidden/>
    <w:unhideWhenUsed/>
    <w:rsid w:val="00AA2D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859843">
      <w:bodyDiv w:val="1"/>
      <w:marLeft w:val="0"/>
      <w:marRight w:val="0"/>
      <w:marTop w:val="0"/>
      <w:marBottom w:val="0"/>
      <w:divBdr>
        <w:top w:val="none" w:sz="0" w:space="0" w:color="auto"/>
        <w:left w:val="none" w:sz="0" w:space="0" w:color="auto"/>
        <w:bottom w:val="none" w:sz="0" w:space="0" w:color="auto"/>
        <w:right w:val="none" w:sz="0" w:space="0" w:color="auto"/>
      </w:divBdr>
      <w:divsChild>
        <w:div w:id="1729187886">
          <w:marLeft w:val="0"/>
          <w:marRight w:val="0"/>
          <w:marTop w:val="0"/>
          <w:marBottom w:val="0"/>
          <w:divBdr>
            <w:top w:val="none" w:sz="0" w:space="0" w:color="auto"/>
            <w:left w:val="none" w:sz="0" w:space="0" w:color="auto"/>
            <w:bottom w:val="none" w:sz="0" w:space="0" w:color="auto"/>
            <w:right w:val="none" w:sz="0" w:space="0" w:color="auto"/>
          </w:divBdr>
        </w:div>
      </w:divsChild>
    </w:div>
    <w:div w:id="225603784">
      <w:bodyDiv w:val="1"/>
      <w:marLeft w:val="0"/>
      <w:marRight w:val="0"/>
      <w:marTop w:val="0"/>
      <w:marBottom w:val="0"/>
      <w:divBdr>
        <w:top w:val="none" w:sz="0" w:space="0" w:color="auto"/>
        <w:left w:val="none" w:sz="0" w:space="0" w:color="auto"/>
        <w:bottom w:val="none" w:sz="0" w:space="0" w:color="auto"/>
        <w:right w:val="none" w:sz="0" w:space="0" w:color="auto"/>
      </w:divBdr>
    </w:div>
    <w:div w:id="352809354">
      <w:bodyDiv w:val="1"/>
      <w:marLeft w:val="0"/>
      <w:marRight w:val="0"/>
      <w:marTop w:val="0"/>
      <w:marBottom w:val="0"/>
      <w:divBdr>
        <w:top w:val="none" w:sz="0" w:space="0" w:color="auto"/>
        <w:left w:val="none" w:sz="0" w:space="0" w:color="auto"/>
        <w:bottom w:val="none" w:sz="0" w:space="0" w:color="auto"/>
        <w:right w:val="none" w:sz="0" w:space="0" w:color="auto"/>
      </w:divBdr>
    </w:div>
    <w:div w:id="402991340">
      <w:bodyDiv w:val="1"/>
      <w:marLeft w:val="0"/>
      <w:marRight w:val="0"/>
      <w:marTop w:val="0"/>
      <w:marBottom w:val="0"/>
      <w:divBdr>
        <w:top w:val="none" w:sz="0" w:space="0" w:color="auto"/>
        <w:left w:val="none" w:sz="0" w:space="0" w:color="auto"/>
        <w:bottom w:val="none" w:sz="0" w:space="0" w:color="auto"/>
        <w:right w:val="none" w:sz="0" w:space="0" w:color="auto"/>
      </w:divBdr>
    </w:div>
    <w:div w:id="599141800">
      <w:bodyDiv w:val="1"/>
      <w:marLeft w:val="0"/>
      <w:marRight w:val="0"/>
      <w:marTop w:val="0"/>
      <w:marBottom w:val="0"/>
      <w:divBdr>
        <w:top w:val="none" w:sz="0" w:space="0" w:color="auto"/>
        <w:left w:val="none" w:sz="0" w:space="0" w:color="auto"/>
        <w:bottom w:val="none" w:sz="0" w:space="0" w:color="auto"/>
        <w:right w:val="none" w:sz="0" w:space="0" w:color="auto"/>
      </w:divBdr>
    </w:div>
    <w:div w:id="642344719">
      <w:bodyDiv w:val="1"/>
      <w:marLeft w:val="0"/>
      <w:marRight w:val="0"/>
      <w:marTop w:val="0"/>
      <w:marBottom w:val="0"/>
      <w:divBdr>
        <w:top w:val="none" w:sz="0" w:space="0" w:color="auto"/>
        <w:left w:val="none" w:sz="0" w:space="0" w:color="auto"/>
        <w:bottom w:val="none" w:sz="0" w:space="0" w:color="auto"/>
        <w:right w:val="none" w:sz="0" w:space="0" w:color="auto"/>
      </w:divBdr>
    </w:div>
    <w:div w:id="680089036">
      <w:bodyDiv w:val="1"/>
      <w:marLeft w:val="0"/>
      <w:marRight w:val="0"/>
      <w:marTop w:val="0"/>
      <w:marBottom w:val="0"/>
      <w:divBdr>
        <w:top w:val="none" w:sz="0" w:space="0" w:color="auto"/>
        <w:left w:val="none" w:sz="0" w:space="0" w:color="auto"/>
        <w:bottom w:val="none" w:sz="0" w:space="0" w:color="auto"/>
        <w:right w:val="none" w:sz="0" w:space="0" w:color="auto"/>
      </w:divBdr>
    </w:div>
    <w:div w:id="980578134">
      <w:bodyDiv w:val="1"/>
      <w:marLeft w:val="0"/>
      <w:marRight w:val="0"/>
      <w:marTop w:val="0"/>
      <w:marBottom w:val="0"/>
      <w:divBdr>
        <w:top w:val="none" w:sz="0" w:space="0" w:color="auto"/>
        <w:left w:val="none" w:sz="0" w:space="0" w:color="auto"/>
        <w:bottom w:val="none" w:sz="0" w:space="0" w:color="auto"/>
        <w:right w:val="none" w:sz="0" w:space="0" w:color="auto"/>
      </w:divBdr>
    </w:div>
    <w:div w:id="1013073555">
      <w:bodyDiv w:val="1"/>
      <w:marLeft w:val="0"/>
      <w:marRight w:val="0"/>
      <w:marTop w:val="0"/>
      <w:marBottom w:val="0"/>
      <w:divBdr>
        <w:top w:val="none" w:sz="0" w:space="0" w:color="auto"/>
        <w:left w:val="none" w:sz="0" w:space="0" w:color="auto"/>
        <w:bottom w:val="none" w:sz="0" w:space="0" w:color="auto"/>
        <w:right w:val="none" w:sz="0" w:space="0" w:color="auto"/>
      </w:divBdr>
    </w:div>
    <w:div w:id="1200362435">
      <w:bodyDiv w:val="1"/>
      <w:marLeft w:val="0"/>
      <w:marRight w:val="0"/>
      <w:marTop w:val="0"/>
      <w:marBottom w:val="0"/>
      <w:divBdr>
        <w:top w:val="none" w:sz="0" w:space="0" w:color="auto"/>
        <w:left w:val="none" w:sz="0" w:space="0" w:color="auto"/>
        <w:bottom w:val="none" w:sz="0" w:space="0" w:color="auto"/>
        <w:right w:val="none" w:sz="0" w:space="0" w:color="auto"/>
      </w:divBdr>
    </w:div>
    <w:div w:id="1278949655">
      <w:bodyDiv w:val="1"/>
      <w:marLeft w:val="0"/>
      <w:marRight w:val="0"/>
      <w:marTop w:val="0"/>
      <w:marBottom w:val="0"/>
      <w:divBdr>
        <w:top w:val="none" w:sz="0" w:space="0" w:color="auto"/>
        <w:left w:val="none" w:sz="0" w:space="0" w:color="auto"/>
        <w:bottom w:val="none" w:sz="0" w:space="0" w:color="auto"/>
        <w:right w:val="none" w:sz="0" w:space="0" w:color="auto"/>
      </w:divBdr>
    </w:div>
    <w:div w:id="1337001898">
      <w:bodyDiv w:val="1"/>
      <w:marLeft w:val="0"/>
      <w:marRight w:val="0"/>
      <w:marTop w:val="0"/>
      <w:marBottom w:val="0"/>
      <w:divBdr>
        <w:top w:val="none" w:sz="0" w:space="0" w:color="auto"/>
        <w:left w:val="none" w:sz="0" w:space="0" w:color="auto"/>
        <w:bottom w:val="none" w:sz="0" w:space="0" w:color="auto"/>
        <w:right w:val="none" w:sz="0" w:space="0" w:color="auto"/>
      </w:divBdr>
    </w:div>
    <w:div w:id="1511607458">
      <w:bodyDiv w:val="1"/>
      <w:marLeft w:val="0"/>
      <w:marRight w:val="0"/>
      <w:marTop w:val="0"/>
      <w:marBottom w:val="0"/>
      <w:divBdr>
        <w:top w:val="none" w:sz="0" w:space="0" w:color="auto"/>
        <w:left w:val="none" w:sz="0" w:space="0" w:color="auto"/>
        <w:bottom w:val="none" w:sz="0" w:space="0" w:color="auto"/>
        <w:right w:val="none" w:sz="0" w:space="0" w:color="auto"/>
      </w:divBdr>
    </w:div>
    <w:div w:id="1572617269">
      <w:bodyDiv w:val="1"/>
      <w:marLeft w:val="0"/>
      <w:marRight w:val="0"/>
      <w:marTop w:val="0"/>
      <w:marBottom w:val="0"/>
      <w:divBdr>
        <w:top w:val="none" w:sz="0" w:space="0" w:color="auto"/>
        <w:left w:val="none" w:sz="0" w:space="0" w:color="auto"/>
        <w:bottom w:val="none" w:sz="0" w:space="0" w:color="auto"/>
        <w:right w:val="none" w:sz="0" w:space="0" w:color="auto"/>
      </w:divBdr>
    </w:div>
    <w:div w:id="1760255577">
      <w:bodyDiv w:val="1"/>
      <w:marLeft w:val="0"/>
      <w:marRight w:val="0"/>
      <w:marTop w:val="0"/>
      <w:marBottom w:val="0"/>
      <w:divBdr>
        <w:top w:val="none" w:sz="0" w:space="0" w:color="auto"/>
        <w:left w:val="none" w:sz="0" w:space="0" w:color="auto"/>
        <w:bottom w:val="none" w:sz="0" w:space="0" w:color="auto"/>
        <w:right w:val="none" w:sz="0" w:space="0" w:color="auto"/>
      </w:divBdr>
    </w:div>
    <w:div w:id="1826123484">
      <w:bodyDiv w:val="1"/>
      <w:marLeft w:val="0"/>
      <w:marRight w:val="0"/>
      <w:marTop w:val="0"/>
      <w:marBottom w:val="0"/>
      <w:divBdr>
        <w:top w:val="none" w:sz="0" w:space="0" w:color="auto"/>
        <w:left w:val="none" w:sz="0" w:space="0" w:color="auto"/>
        <w:bottom w:val="none" w:sz="0" w:space="0" w:color="auto"/>
        <w:right w:val="none" w:sz="0" w:space="0" w:color="auto"/>
      </w:divBdr>
    </w:div>
    <w:div w:id="1892224390">
      <w:bodyDiv w:val="1"/>
      <w:marLeft w:val="0"/>
      <w:marRight w:val="0"/>
      <w:marTop w:val="0"/>
      <w:marBottom w:val="0"/>
      <w:divBdr>
        <w:top w:val="none" w:sz="0" w:space="0" w:color="auto"/>
        <w:left w:val="none" w:sz="0" w:space="0" w:color="auto"/>
        <w:bottom w:val="none" w:sz="0" w:space="0" w:color="auto"/>
        <w:right w:val="none" w:sz="0" w:space="0" w:color="auto"/>
      </w:divBdr>
    </w:div>
    <w:div w:id="1905019775">
      <w:bodyDiv w:val="1"/>
      <w:marLeft w:val="0"/>
      <w:marRight w:val="0"/>
      <w:marTop w:val="0"/>
      <w:marBottom w:val="0"/>
      <w:divBdr>
        <w:top w:val="none" w:sz="0" w:space="0" w:color="auto"/>
        <w:left w:val="none" w:sz="0" w:space="0" w:color="auto"/>
        <w:bottom w:val="none" w:sz="0" w:space="0" w:color="auto"/>
        <w:right w:val="none" w:sz="0" w:space="0" w:color="auto"/>
      </w:divBdr>
    </w:div>
    <w:div w:id="1991639515">
      <w:bodyDiv w:val="1"/>
      <w:marLeft w:val="0"/>
      <w:marRight w:val="0"/>
      <w:marTop w:val="0"/>
      <w:marBottom w:val="0"/>
      <w:divBdr>
        <w:top w:val="none" w:sz="0" w:space="0" w:color="auto"/>
        <w:left w:val="none" w:sz="0" w:space="0" w:color="auto"/>
        <w:bottom w:val="none" w:sz="0" w:space="0" w:color="auto"/>
        <w:right w:val="none" w:sz="0" w:space="0" w:color="auto"/>
      </w:divBdr>
    </w:div>
    <w:div w:id="2010793286">
      <w:bodyDiv w:val="1"/>
      <w:marLeft w:val="0"/>
      <w:marRight w:val="0"/>
      <w:marTop w:val="0"/>
      <w:marBottom w:val="0"/>
      <w:divBdr>
        <w:top w:val="none" w:sz="0" w:space="0" w:color="auto"/>
        <w:left w:val="none" w:sz="0" w:space="0" w:color="auto"/>
        <w:bottom w:val="none" w:sz="0" w:space="0" w:color="auto"/>
        <w:right w:val="none" w:sz="0" w:space="0" w:color="auto"/>
      </w:divBdr>
    </w:div>
    <w:div w:id="2026056582">
      <w:bodyDiv w:val="1"/>
      <w:marLeft w:val="0"/>
      <w:marRight w:val="0"/>
      <w:marTop w:val="0"/>
      <w:marBottom w:val="0"/>
      <w:divBdr>
        <w:top w:val="none" w:sz="0" w:space="0" w:color="auto"/>
        <w:left w:val="none" w:sz="0" w:space="0" w:color="auto"/>
        <w:bottom w:val="none" w:sz="0" w:space="0" w:color="auto"/>
        <w:right w:val="none" w:sz="0" w:space="0" w:color="auto"/>
      </w:divBdr>
    </w:div>
    <w:div w:id="2042822928">
      <w:bodyDiv w:val="1"/>
      <w:marLeft w:val="0"/>
      <w:marRight w:val="0"/>
      <w:marTop w:val="0"/>
      <w:marBottom w:val="0"/>
      <w:divBdr>
        <w:top w:val="none" w:sz="0" w:space="0" w:color="auto"/>
        <w:left w:val="none" w:sz="0" w:space="0" w:color="auto"/>
        <w:bottom w:val="none" w:sz="0" w:space="0" w:color="auto"/>
        <w:right w:val="none" w:sz="0" w:space="0" w:color="auto"/>
      </w:divBdr>
    </w:div>
    <w:div w:id="2103791455">
      <w:bodyDiv w:val="1"/>
      <w:marLeft w:val="0"/>
      <w:marRight w:val="0"/>
      <w:marTop w:val="0"/>
      <w:marBottom w:val="0"/>
      <w:divBdr>
        <w:top w:val="none" w:sz="0" w:space="0" w:color="auto"/>
        <w:left w:val="none" w:sz="0" w:space="0" w:color="auto"/>
        <w:bottom w:val="none" w:sz="0" w:space="0" w:color="auto"/>
        <w:right w:val="none" w:sz="0" w:space="0" w:color="auto"/>
      </w:divBdr>
    </w:div>
    <w:div w:id="211420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vestopedia.com/terms/o/optionscontract.asp"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524BB-8DF3-47D9-981C-48B3B01C4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13</Pages>
  <Words>2096</Words>
  <Characters>14543</Characters>
  <Application>Microsoft Office Word</Application>
  <DocSecurity>0</DocSecurity>
  <Lines>346</Lines>
  <Paragraphs>133</Paragraphs>
  <ScaleCrop>false</ScaleCrop>
  <Company/>
  <LinksUpToDate>false</LinksUpToDate>
  <CharactersWithSpaces>16506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Silvia Silvia</cp:lastModifiedBy>
  <cp:revision>114</cp:revision>
  <dcterms:created xsi:type="dcterms:W3CDTF">2024-07-09T10:32:00Z</dcterms:created>
  <dcterms:modified xsi:type="dcterms:W3CDTF">2024-08-21T08:58:00Z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7bcc956eafa75ff4eb7223c461575552db52ffc2825dc9ace3604b3dcfa5bfe3</vt:lpwstr>
  </property>
</Properties>
</file>