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FE96EB8" w:rsidR="00583709" w:rsidRDefault="0000504F">
            <w:pPr>
              <w:spacing w:before="120" w:after="120" w:line="360" w:lineRule="auto"/>
              <w:rPr>
                <w:rFonts w:ascii="Tahoma" w:eastAsia="Tahoma" w:hAnsi="Tahoma" w:cs="Tahoma"/>
                <w:sz w:val="32"/>
                <w:szCs w:val="32"/>
              </w:rPr>
            </w:pPr>
            <w:r>
              <w:rPr>
                <w:rFonts w:ascii="Tahoma" w:eastAsia="Tahoma" w:hAnsi="Tahoma" w:cs="Tahoma"/>
                <w:sz w:val="32"/>
                <w:szCs w:val="32"/>
              </w:rPr>
              <w:t>Leanne Thomas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6854782" w:rsidR="00583709" w:rsidRDefault="00851301">
            <w:pPr>
              <w:spacing w:before="120" w:after="120" w:line="360" w:lineRule="auto"/>
              <w:rPr>
                <w:rFonts w:ascii="Tahoma" w:eastAsia="Tahoma" w:hAnsi="Tahoma" w:cs="Tahoma"/>
                <w:sz w:val="32"/>
                <w:szCs w:val="32"/>
              </w:rPr>
            </w:pPr>
            <w:r>
              <w:rPr>
                <w:rFonts w:ascii="Tahoma" w:eastAsia="Tahoma" w:hAnsi="Tahoma" w:cs="Tahoma"/>
                <w:sz w:val="32"/>
                <w:szCs w:val="32"/>
              </w:rPr>
              <w:t>231</w:t>
            </w:r>
            <w:r w:rsidR="00DC51AD">
              <w:rPr>
                <w:rFonts w:ascii="Tahoma" w:eastAsia="Tahoma" w:hAnsi="Tahoma" w:cs="Tahoma"/>
                <w:sz w:val="32"/>
                <w:szCs w:val="32"/>
              </w:rPr>
              <w:t>8789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988BC96"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9013B4">
              <w:rPr>
                <w:rFonts w:ascii="Tahoma" w:eastAsia="Tahoma" w:hAnsi="Tahoma" w:cs="Tahoma"/>
                <w:color w:val="FF0000"/>
                <w:sz w:val="32"/>
                <w:szCs w:val="32"/>
              </w:rPr>
              <w:t>501</w:t>
            </w:r>
            <w:r w:rsidR="0000504F">
              <w:rPr>
                <w:rFonts w:ascii="Tahoma" w:eastAsia="Tahoma" w:hAnsi="Tahoma" w:cs="Tahoma"/>
                <w:color w:val="FF0000"/>
                <w:sz w:val="32"/>
                <w:szCs w:val="32"/>
              </w:rPr>
              <w:t>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5B92BB7" w:rsidR="00583709" w:rsidRDefault="0000504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Understanding </w:t>
            </w:r>
            <w:r w:rsidR="00A82442">
              <w:rPr>
                <w:rFonts w:ascii="Tahoma" w:eastAsia="Tahoma" w:hAnsi="Tahoma" w:cs="Tahoma"/>
                <w:color w:val="FF0000"/>
                <w:sz w:val="32"/>
                <w:szCs w:val="32"/>
              </w:rPr>
              <w:t xml:space="preserve">and Engaging </w:t>
            </w:r>
            <w:r w:rsidR="0009041E">
              <w:rPr>
                <w:rFonts w:ascii="Tahoma" w:eastAsia="Tahoma" w:hAnsi="Tahoma" w:cs="Tahoma"/>
                <w:color w:val="FF0000"/>
                <w:sz w:val="32"/>
                <w:szCs w:val="32"/>
              </w:rPr>
              <w:t xml:space="preserve">in the </w:t>
            </w:r>
            <w:r>
              <w:rPr>
                <w:rFonts w:ascii="Tahoma" w:eastAsia="Tahoma" w:hAnsi="Tahoma" w:cs="Tahoma"/>
                <w:color w:val="FF0000"/>
                <w:sz w:val="32"/>
                <w:szCs w:val="32"/>
              </w:rPr>
              <w:t>Customers</w:t>
            </w:r>
            <w:r w:rsidR="00A82442">
              <w:rPr>
                <w:rFonts w:ascii="Tahoma" w:eastAsia="Tahoma" w:hAnsi="Tahoma" w:cs="Tahoma"/>
                <w:color w:val="FF0000"/>
                <w:sz w:val="32"/>
                <w:szCs w:val="32"/>
              </w:rPr>
              <w:t xml:space="preserve"> Experience </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 xml:space="preserve">By the act of making this submission, the student declares that this is the work of the student named above. The work has not, in whole or in part, been knowingly presented elsewhere for </w:t>
      </w:r>
      <w:r w:rsidRPr="00E9304C">
        <w:rPr>
          <w:rFonts w:ascii="Tahoma" w:eastAsia="Tahoma" w:hAnsi="Tahoma" w:cs="Tahoma"/>
          <w:color w:val="000000"/>
          <w:sz w:val="24"/>
          <w:szCs w:val="24"/>
        </w:rPr>
        <w:t>assessment, or where</w:t>
      </w:r>
      <w:r w:rsidRPr="00F867C0">
        <w:rPr>
          <w:rFonts w:ascii="Tahoma" w:eastAsia="Tahoma" w:hAnsi="Tahoma" w:cs="Tahoma"/>
          <w:color w:val="000000"/>
        </w:rPr>
        <w:t xml:space="preserv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19AA3A45" w14:textId="58C1C0DD" w:rsidR="00183697" w:rsidRPr="00D655BA" w:rsidRDefault="00183697" w:rsidP="00755968">
      <w:pPr>
        <w:spacing w:after="0"/>
        <w:rPr>
          <w:rFonts w:asciiTheme="minorHAnsi" w:hAnsiTheme="minorHAnsi" w:cstheme="minorBidi"/>
        </w:rPr>
      </w:pPr>
      <w:r w:rsidRPr="00755968">
        <w:rPr>
          <w:rFonts w:ascii="Tahoma" w:hAnsi="Tahoma" w:cs="Tahoma"/>
          <w:b/>
          <w:bCs/>
          <w:u w:val="single"/>
        </w:rPr>
        <w:lastRenderedPageBreak/>
        <w:t xml:space="preserve">Index </w:t>
      </w:r>
    </w:p>
    <w:p w14:paraId="328A321F" w14:textId="77777777" w:rsidR="00183697" w:rsidRPr="00FE6602" w:rsidRDefault="00183697" w:rsidP="00183697">
      <w:pPr>
        <w:pStyle w:val="ListParagraph"/>
        <w:numPr>
          <w:ilvl w:val="0"/>
          <w:numId w:val="39"/>
        </w:numPr>
        <w:spacing w:after="0" w:line="259" w:lineRule="auto"/>
        <w:rPr>
          <w:rFonts w:ascii="Tahoma" w:hAnsi="Tahoma" w:cs="Tahoma"/>
        </w:rPr>
      </w:pPr>
      <w:r w:rsidRPr="00FE6602">
        <w:rPr>
          <w:rFonts w:ascii="Tahoma" w:hAnsi="Tahoma" w:cs="Tahoma"/>
        </w:rPr>
        <w:t>Introduction…………………………………………………………………………………………</w:t>
      </w:r>
      <w:r>
        <w:rPr>
          <w:rFonts w:ascii="Tahoma" w:hAnsi="Tahoma" w:cs="Tahoma"/>
        </w:rPr>
        <w:t>…P03</w:t>
      </w:r>
      <w:r w:rsidRPr="00FE6602">
        <w:rPr>
          <w:rFonts w:ascii="Tahoma" w:hAnsi="Tahoma" w:cs="Tahoma"/>
        </w:rPr>
        <w:t xml:space="preserve"> </w:t>
      </w:r>
    </w:p>
    <w:p w14:paraId="7AB1ACEB" w14:textId="77777777" w:rsidR="00183697" w:rsidRPr="00FE6602" w:rsidRDefault="00183697" w:rsidP="00183697">
      <w:pPr>
        <w:spacing w:after="0" w:line="278" w:lineRule="auto"/>
        <w:rPr>
          <w:rFonts w:ascii="Tahoma" w:hAnsi="Tahoma" w:cs="Tahoma"/>
        </w:rPr>
      </w:pPr>
      <w:r>
        <w:rPr>
          <w:rFonts w:ascii="Tahoma" w:hAnsi="Tahoma" w:cs="Tahoma"/>
        </w:rPr>
        <w:t xml:space="preserve">2.0 </w:t>
      </w:r>
      <w:r w:rsidRPr="00FE6602">
        <w:rPr>
          <w:rFonts w:ascii="Tahoma" w:hAnsi="Tahoma" w:cs="Tahoma"/>
        </w:rPr>
        <w:t>Who Are Your Customers……………………………………………………………………………</w:t>
      </w:r>
      <w:r>
        <w:rPr>
          <w:rFonts w:ascii="Tahoma" w:hAnsi="Tahoma" w:cs="Tahoma"/>
        </w:rPr>
        <w:t>……..</w:t>
      </w:r>
      <w:r w:rsidRPr="00FE6602">
        <w:rPr>
          <w:rFonts w:ascii="Tahoma" w:hAnsi="Tahoma" w:cs="Tahoma"/>
        </w:rPr>
        <w:t>P</w:t>
      </w:r>
      <w:r>
        <w:rPr>
          <w:rFonts w:ascii="Tahoma" w:hAnsi="Tahoma" w:cs="Tahoma"/>
        </w:rPr>
        <w:t>04</w:t>
      </w:r>
    </w:p>
    <w:p w14:paraId="0D43B586"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2.1 Critical Analysis of the Factors That Impact Customer Value</w:t>
      </w:r>
      <w:r>
        <w:rPr>
          <w:rFonts w:ascii="Tahoma" w:hAnsi="Tahoma" w:cs="Tahoma"/>
          <w:sz w:val="24"/>
          <w:szCs w:val="24"/>
        </w:rPr>
        <w:t>……………………….P06</w:t>
      </w:r>
    </w:p>
    <w:p w14:paraId="79979CC9"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2.2</w:t>
      </w:r>
      <w:r w:rsidRPr="00E9304C">
        <w:rPr>
          <w:rFonts w:ascii="Tahoma" w:eastAsia="Times New Roman" w:hAnsi="Tahoma" w:cs="Tahoma"/>
          <w:sz w:val="24"/>
          <w:szCs w:val="24"/>
          <w:lang w:eastAsia="en-GB"/>
        </w:rPr>
        <w:t xml:space="preserve"> </w:t>
      </w:r>
      <w:r w:rsidRPr="00E9304C">
        <w:rPr>
          <w:rFonts w:ascii="Tahoma" w:hAnsi="Tahoma" w:cs="Tahoma"/>
          <w:sz w:val="24"/>
          <w:szCs w:val="24"/>
        </w:rPr>
        <w:t>Understanding Customer Needs in Residential Mental</w:t>
      </w:r>
      <w:r w:rsidRPr="00E9304C">
        <w:rPr>
          <w:rFonts w:ascii="Tahoma" w:hAnsi="Tahoma" w:cs="Tahoma"/>
          <w:sz w:val="24"/>
          <w:szCs w:val="24"/>
        </w:rPr>
        <w:noBreakHyphen/>
        <w:t>Health Care</w:t>
      </w:r>
      <w:r>
        <w:rPr>
          <w:rFonts w:ascii="Tahoma" w:hAnsi="Tahoma" w:cs="Tahoma"/>
          <w:sz w:val="24"/>
          <w:szCs w:val="24"/>
        </w:rPr>
        <w:t>….………..…P08</w:t>
      </w:r>
    </w:p>
    <w:p w14:paraId="4866B352"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2.3 Quality Systems Used by Accomplish / Keys Group and Other Providers</w:t>
      </w:r>
      <w:r>
        <w:rPr>
          <w:rFonts w:ascii="Tahoma" w:hAnsi="Tahoma" w:cs="Tahoma"/>
          <w:sz w:val="24"/>
          <w:szCs w:val="24"/>
        </w:rPr>
        <w:t>….……P09</w:t>
      </w:r>
    </w:p>
    <w:p w14:paraId="26FA24A3"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2.4 How Do These Systems Work? Do They Work? Are They Effective?</w:t>
      </w:r>
      <w:r>
        <w:rPr>
          <w:rFonts w:ascii="Tahoma" w:hAnsi="Tahoma" w:cs="Tahoma"/>
          <w:sz w:val="24"/>
          <w:szCs w:val="24"/>
        </w:rPr>
        <w:t>...............P11</w:t>
      </w:r>
    </w:p>
    <w:p w14:paraId="655C3E81"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2.5 Do They Work and how effective are they?</w:t>
      </w:r>
      <w:r>
        <w:rPr>
          <w:rFonts w:ascii="Tahoma" w:hAnsi="Tahoma" w:cs="Tahoma"/>
          <w:sz w:val="24"/>
          <w:szCs w:val="24"/>
        </w:rPr>
        <w:t>..................................................P11</w:t>
      </w:r>
    </w:p>
    <w:p w14:paraId="1ED6CB09"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3.0 Where Accomplish / Keys Group Fits Within Customer Value Theory</w:t>
      </w:r>
      <w:r>
        <w:rPr>
          <w:rFonts w:ascii="Tahoma" w:hAnsi="Tahoma" w:cs="Tahoma"/>
          <w:sz w:val="24"/>
          <w:szCs w:val="24"/>
        </w:rPr>
        <w:t>………….…P13</w:t>
      </w:r>
    </w:p>
    <w:p w14:paraId="3137C886"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3.1 Customer Lifecycle Analysis</w:t>
      </w:r>
      <w:r>
        <w:rPr>
          <w:rFonts w:ascii="Tahoma" w:hAnsi="Tahoma" w:cs="Tahoma"/>
          <w:sz w:val="24"/>
          <w:szCs w:val="24"/>
        </w:rPr>
        <w:t>………………………………………………………………………P14</w:t>
      </w:r>
    </w:p>
    <w:p w14:paraId="4414959F"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3.2 Acquisition</w:t>
      </w:r>
      <w:r>
        <w:rPr>
          <w:rFonts w:ascii="Tahoma" w:hAnsi="Tahoma" w:cs="Tahoma"/>
          <w:sz w:val="24"/>
          <w:szCs w:val="24"/>
        </w:rPr>
        <w:t>……………………………………………………………………………………………...P14</w:t>
      </w:r>
    </w:p>
    <w:p w14:paraId="64BCBF8A"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3.3 Onboarding and Transition</w:t>
      </w:r>
      <w:r>
        <w:rPr>
          <w:rFonts w:ascii="Tahoma" w:hAnsi="Tahoma" w:cs="Tahoma"/>
          <w:sz w:val="24"/>
          <w:szCs w:val="24"/>
        </w:rPr>
        <w:t>…………………………………………………………………….…P14</w:t>
      </w:r>
    </w:p>
    <w:p w14:paraId="380CF59D"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3.4 Experience and Relationship Development</w:t>
      </w:r>
      <w:r>
        <w:rPr>
          <w:rFonts w:ascii="Tahoma" w:hAnsi="Tahoma" w:cs="Tahoma"/>
          <w:sz w:val="24"/>
          <w:szCs w:val="24"/>
        </w:rPr>
        <w:t>…………………………………………………P15</w:t>
      </w:r>
    </w:p>
    <w:p w14:paraId="643751C3"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3.5 Retention and Loyalty</w:t>
      </w:r>
      <w:r>
        <w:rPr>
          <w:rFonts w:ascii="Tahoma" w:hAnsi="Tahoma" w:cs="Tahoma"/>
          <w:sz w:val="24"/>
          <w:szCs w:val="24"/>
        </w:rPr>
        <w:t>……………………………………………………………………………..P15</w:t>
      </w:r>
    </w:p>
    <w:p w14:paraId="39489BDA"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3.6 Advocacy and Long Term Value</w:t>
      </w:r>
      <w:r>
        <w:rPr>
          <w:rFonts w:ascii="Tahoma" w:hAnsi="Tahoma" w:cs="Tahoma"/>
          <w:sz w:val="24"/>
          <w:szCs w:val="24"/>
        </w:rPr>
        <w:t>……………………………………………………………….P15</w:t>
      </w:r>
    </w:p>
    <w:p w14:paraId="318FD742"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4.0 CRM, Segmentation and Customer Centrality</w:t>
      </w:r>
      <w:r>
        <w:rPr>
          <w:rFonts w:ascii="Tahoma" w:hAnsi="Tahoma" w:cs="Tahoma"/>
          <w:sz w:val="24"/>
          <w:szCs w:val="24"/>
        </w:rPr>
        <w:t>…………………………………………….P16</w:t>
      </w:r>
    </w:p>
    <w:p w14:paraId="7641C961"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4.1 Segmentation</w:t>
      </w:r>
      <w:r>
        <w:rPr>
          <w:rFonts w:ascii="Tahoma" w:hAnsi="Tahoma" w:cs="Tahoma"/>
          <w:sz w:val="24"/>
          <w:szCs w:val="24"/>
        </w:rPr>
        <w:t>…………………………………………………………………………………………P16</w:t>
      </w:r>
    </w:p>
    <w:p w14:paraId="54D7763D"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4.2 Customer Centrality</w:t>
      </w:r>
      <w:r>
        <w:rPr>
          <w:rFonts w:ascii="Tahoma" w:hAnsi="Tahoma" w:cs="Tahoma"/>
          <w:sz w:val="24"/>
          <w:szCs w:val="24"/>
        </w:rPr>
        <w:t>………………………………………………………………………………..P16</w:t>
      </w:r>
    </w:p>
    <w:p w14:paraId="4207FEB6" w14:textId="77777777" w:rsidR="003B639F" w:rsidRDefault="00183697" w:rsidP="00183697">
      <w:pPr>
        <w:spacing w:after="0"/>
        <w:rPr>
          <w:rFonts w:ascii="Tahoma" w:hAnsi="Tahoma" w:cs="Tahoma"/>
          <w:sz w:val="24"/>
          <w:szCs w:val="24"/>
        </w:rPr>
      </w:pPr>
      <w:r w:rsidRPr="00E9304C">
        <w:rPr>
          <w:rFonts w:ascii="Tahoma" w:hAnsi="Tahoma" w:cs="Tahoma"/>
          <w:sz w:val="24"/>
          <w:szCs w:val="24"/>
        </w:rPr>
        <w:t>4.3 CRM Effectiveness</w:t>
      </w:r>
      <w:r>
        <w:rPr>
          <w:rFonts w:ascii="Tahoma" w:hAnsi="Tahoma" w:cs="Tahoma"/>
          <w:sz w:val="24"/>
          <w:szCs w:val="24"/>
        </w:rPr>
        <w:t xml:space="preserve">………………………………………………………………………………….P16 </w:t>
      </w:r>
    </w:p>
    <w:p w14:paraId="68DFE07E" w14:textId="2D81A14F" w:rsidR="00183697" w:rsidRPr="00E9304C" w:rsidRDefault="00183697" w:rsidP="00183697">
      <w:pPr>
        <w:spacing w:after="0"/>
        <w:rPr>
          <w:rFonts w:ascii="Tahoma" w:hAnsi="Tahoma" w:cs="Tahoma"/>
          <w:sz w:val="24"/>
          <w:szCs w:val="24"/>
        </w:rPr>
      </w:pPr>
      <w:r w:rsidRPr="00E9304C">
        <w:rPr>
          <w:rFonts w:ascii="Tahoma" w:hAnsi="Tahoma" w:cs="Tahoma"/>
          <w:sz w:val="24"/>
          <w:szCs w:val="24"/>
        </w:rPr>
        <w:t>5.0</w:t>
      </w:r>
      <w:r w:rsidRPr="00E9304C">
        <w:rPr>
          <w:rFonts w:ascii="Tahoma" w:eastAsia="Times New Roman" w:hAnsi="Tahoma" w:cs="Tahoma"/>
          <w:kern w:val="36"/>
          <w:sz w:val="24"/>
          <w:szCs w:val="24"/>
          <w:lang w:eastAsia="en-GB"/>
        </w:rPr>
        <w:t xml:space="preserve"> </w:t>
      </w:r>
      <w:r w:rsidRPr="00E9304C">
        <w:rPr>
          <w:rFonts w:ascii="Tahoma" w:hAnsi="Tahoma" w:cs="Tahoma"/>
          <w:sz w:val="24"/>
          <w:szCs w:val="24"/>
        </w:rPr>
        <w:t>Critical Understanding of Quality Processes and Their Effectiveness</w:t>
      </w:r>
      <w:r>
        <w:rPr>
          <w:rFonts w:ascii="Tahoma" w:hAnsi="Tahoma" w:cs="Tahoma"/>
          <w:sz w:val="24"/>
          <w:szCs w:val="24"/>
        </w:rPr>
        <w:t>………</w:t>
      </w:r>
      <w:r w:rsidR="003B639F">
        <w:rPr>
          <w:rFonts w:ascii="Tahoma" w:hAnsi="Tahoma" w:cs="Tahoma"/>
          <w:sz w:val="24"/>
          <w:szCs w:val="24"/>
        </w:rPr>
        <w:t>……</w:t>
      </w:r>
      <w:r>
        <w:rPr>
          <w:rFonts w:ascii="Tahoma" w:hAnsi="Tahoma" w:cs="Tahoma"/>
          <w:sz w:val="24"/>
          <w:szCs w:val="24"/>
        </w:rPr>
        <w:t>P17</w:t>
      </w:r>
    </w:p>
    <w:p w14:paraId="6FB435E9" w14:textId="77777777" w:rsidR="00183697" w:rsidRPr="00E9304C" w:rsidRDefault="00183697" w:rsidP="00183697">
      <w:pPr>
        <w:spacing w:after="0"/>
        <w:rPr>
          <w:rFonts w:ascii="Tahoma" w:hAnsi="Tahoma" w:cs="Tahoma"/>
          <w:b/>
          <w:bCs/>
          <w:sz w:val="24"/>
          <w:szCs w:val="24"/>
        </w:rPr>
      </w:pPr>
      <w:r w:rsidRPr="00E9304C">
        <w:rPr>
          <w:rFonts w:ascii="Tahoma" w:hAnsi="Tahoma" w:cs="Tahoma"/>
          <w:sz w:val="24"/>
          <w:szCs w:val="24"/>
        </w:rPr>
        <w:t>6.0 Conclusion</w:t>
      </w:r>
      <w:r>
        <w:rPr>
          <w:rFonts w:ascii="Tahoma" w:hAnsi="Tahoma" w:cs="Tahoma"/>
          <w:sz w:val="24"/>
          <w:szCs w:val="24"/>
        </w:rPr>
        <w:t>…………………………………………………………………………………………….P18</w:t>
      </w:r>
    </w:p>
    <w:p w14:paraId="6F851A50"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References</w:t>
      </w:r>
      <w:r>
        <w:rPr>
          <w:rFonts w:ascii="Tahoma" w:hAnsi="Tahoma" w:cs="Tahoma"/>
          <w:sz w:val="24"/>
          <w:szCs w:val="24"/>
        </w:rPr>
        <w:t>.…………………………………………………………………………………………………P19</w:t>
      </w:r>
    </w:p>
    <w:p w14:paraId="604F53D7"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Appendices</w:t>
      </w:r>
      <w:r>
        <w:rPr>
          <w:rFonts w:ascii="Tahoma" w:hAnsi="Tahoma" w:cs="Tahoma"/>
          <w:sz w:val="24"/>
          <w:szCs w:val="24"/>
        </w:rPr>
        <w:t>………………………………………………………………………………………………….P21</w:t>
      </w:r>
    </w:p>
    <w:p w14:paraId="5E5044C8"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A – Customer Segmentation Flowchar</w:t>
      </w:r>
      <w:r>
        <w:rPr>
          <w:rFonts w:ascii="Tahoma" w:hAnsi="Tahoma" w:cs="Tahoma"/>
          <w:sz w:val="24"/>
          <w:szCs w:val="24"/>
        </w:rPr>
        <w:t>t and Summary Table….…….…….P21</w:t>
      </w:r>
    </w:p>
    <w:p w14:paraId="486B9927"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B – RED Analysis</w:t>
      </w:r>
      <w:r>
        <w:rPr>
          <w:rFonts w:ascii="Tahoma" w:hAnsi="Tahoma" w:cs="Tahoma"/>
          <w:sz w:val="24"/>
          <w:szCs w:val="24"/>
        </w:rPr>
        <w:t xml:space="preserve"> and Analysis of Segmentation</w:t>
      </w:r>
      <w:r w:rsidRPr="00E9304C">
        <w:rPr>
          <w:rFonts w:ascii="Tahoma" w:hAnsi="Tahoma" w:cs="Tahoma"/>
          <w:sz w:val="24"/>
          <w:szCs w:val="24"/>
        </w:rPr>
        <w:t xml:space="preserve"> Framewor</w:t>
      </w:r>
      <w:r>
        <w:rPr>
          <w:rFonts w:ascii="Tahoma" w:hAnsi="Tahoma" w:cs="Tahoma"/>
          <w:sz w:val="24"/>
          <w:szCs w:val="24"/>
        </w:rPr>
        <w:t>k.……………...P23</w:t>
      </w:r>
    </w:p>
    <w:p w14:paraId="62DF479B"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C – Quality Systems Summary Table</w:t>
      </w:r>
      <w:r>
        <w:rPr>
          <w:rFonts w:ascii="Tahoma" w:hAnsi="Tahoma" w:cs="Tahoma"/>
          <w:sz w:val="24"/>
          <w:szCs w:val="24"/>
        </w:rPr>
        <w:t>………………………………………….…….P23</w:t>
      </w:r>
    </w:p>
    <w:p w14:paraId="2ACAE85E"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D – Customer Value Pyramid</w:t>
      </w:r>
      <w:r>
        <w:rPr>
          <w:rFonts w:ascii="Tahoma" w:hAnsi="Tahoma" w:cs="Tahoma"/>
          <w:sz w:val="24"/>
          <w:szCs w:val="24"/>
        </w:rPr>
        <w:t>………………………………………………………..…P24</w:t>
      </w:r>
    </w:p>
    <w:p w14:paraId="45411692"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E – Customer Lifecycle Diagram</w:t>
      </w:r>
      <w:r>
        <w:rPr>
          <w:rFonts w:ascii="Tahoma" w:hAnsi="Tahoma" w:cs="Tahoma"/>
          <w:sz w:val="24"/>
          <w:szCs w:val="24"/>
        </w:rPr>
        <w:t>……………………………………………………...P27</w:t>
      </w:r>
    </w:p>
    <w:p w14:paraId="6D0BB042"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F –</w:t>
      </w:r>
      <w:r>
        <w:rPr>
          <w:rFonts w:ascii="Tahoma" w:hAnsi="Tahoma" w:cs="Tahoma"/>
          <w:sz w:val="24"/>
          <w:szCs w:val="24"/>
        </w:rPr>
        <w:t xml:space="preserve"> CRM Stakeholder Map…………………..…………….………………………….…P29</w:t>
      </w:r>
    </w:p>
    <w:p w14:paraId="51937B13" w14:textId="77777777" w:rsidR="00183697" w:rsidRDefault="00183697" w:rsidP="0006173D">
      <w:pPr>
        <w:spacing w:after="0"/>
        <w:rPr>
          <w:rFonts w:ascii="Tahoma" w:hAnsi="Tahoma" w:cs="Tahoma"/>
          <w:sz w:val="24"/>
          <w:szCs w:val="24"/>
        </w:rPr>
      </w:pPr>
    </w:p>
    <w:p w14:paraId="43BAA99E" w14:textId="77777777" w:rsidR="003B639F" w:rsidRDefault="003B639F" w:rsidP="0006173D">
      <w:pPr>
        <w:spacing w:after="0"/>
        <w:rPr>
          <w:rFonts w:ascii="Tahoma" w:hAnsi="Tahoma" w:cs="Tahoma"/>
          <w:sz w:val="24"/>
          <w:szCs w:val="24"/>
        </w:rPr>
      </w:pPr>
    </w:p>
    <w:p w14:paraId="73BEF41A" w14:textId="77777777" w:rsidR="003B639F" w:rsidRDefault="003B639F" w:rsidP="0006173D">
      <w:pPr>
        <w:spacing w:after="0"/>
        <w:rPr>
          <w:rFonts w:ascii="Tahoma" w:hAnsi="Tahoma" w:cs="Tahoma"/>
          <w:sz w:val="24"/>
          <w:szCs w:val="24"/>
        </w:rPr>
      </w:pPr>
    </w:p>
    <w:p w14:paraId="56395B01" w14:textId="77777777" w:rsidR="003B639F" w:rsidRDefault="003B639F" w:rsidP="0006173D">
      <w:pPr>
        <w:spacing w:after="0"/>
        <w:rPr>
          <w:rFonts w:ascii="Tahoma" w:hAnsi="Tahoma" w:cs="Tahoma"/>
          <w:sz w:val="24"/>
          <w:szCs w:val="24"/>
        </w:rPr>
      </w:pPr>
    </w:p>
    <w:p w14:paraId="4D38CD3C" w14:textId="77777777" w:rsidR="003B639F" w:rsidRDefault="003B639F" w:rsidP="0006173D">
      <w:pPr>
        <w:spacing w:after="0"/>
        <w:rPr>
          <w:rFonts w:ascii="Tahoma" w:hAnsi="Tahoma" w:cs="Tahoma"/>
          <w:sz w:val="24"/>
          <w:szCs w:val="24"/>
        </w:rPr>
      </w:pPr>
    </w:p>
    <w:p w14:paraId="3440CB44" w14:textId="77777777" w:rsidR="003B639F" w:rsidRDefault="003B639F" w:rsidP="0006173D">
      <w:pPr>
        <w:spacing w:after="0"/>
        <w:rPr>
          <w:rFonts w:ascii="Tahoma" w:hAnsi="Tahoma" w:cs="Tahoma"/>
          <w:sz w:val="24"/>
          <w:szCs w:val="24"/>
        </w:rPr>
      </w:pPr>
    </w:p>
    <w:p w14:paraId="2F9DEC76" w14:textId="77777777" w:rsidR="003B639F" w:rsidRDefault="003B639F" w:rsidP="0006173D">
      <w:pPr>
        <w:spacing w:after="0"/>
        <w:rPr>
          <w:rFonts w:ascii="Tahoma" w:hAnsi="Tahoma" w:cs="Tahoma"/>
          <w:sz w:val="24"/>
          <w:szCs w:val="24"/>
        </w:rPr>
      </w:pPr>
    </w:p>
    <w:p w14:paraId="0C05A14A" w14:textId="77777777" w:rsidR="003B639F" w:rsidRDefault="003B639F" w:rsidP="0006173D">
      <w:pPr>
        <w:spacing w:after="0"/>
        <w:rPr>
          <w:rFonts w:ascii="Tahoma" w:hAnsi="Tahoma" w:cs="Tahoma"/>
          <w:sz w:val="24"/>
          <w:szCs w:val="24"/>
        </w:rPr>
      </w:pPr>
    </w:p>
    <w:p w14:paraId="352E01A0" w14:textId="77777777" w:rsidR="003B639F" w:rsidRDefault="003B639F" w:rsidP="0006173D">
      <w:pPr>
        <w:spacing w:after="0"/>
        <w:rPr>
          <w:rFonts w:ascii="Tahoma" w:hAnsi="Tahoma" w:cs="Tahoma"/>
          <w:b/>
          <w:bCs/>
          <w:sz w:val="24"/>
          <w:szCs w:val="24"/>
          <w:u w:val="single"/>
        </w:rPr>
      </w:pPr>
    </w:p>
    <w:p w14:paraId="79AF7300" w14:textId="77777777" w:rsidR="00183697" w:rsidRDefault="00183697" w:rsidP="0006173D">
      <w:pPr>
        <w:spacing w:after="0"/>
        <w:rPr>
          <w:rFonts w:ascii="Tahoma" w:hAnsi="Tahoma" w:cs="Tahoma"/>
          <w:b/>
          <w:bCs/>
          <w:sz w:val="24"/>
          <w:szCs w:val="24"/>
          <w:u w:val="single"/>
        </w:rPr>
      </w:pPr>
    </w:p>
    <w:p w14:paraId="3B50B4D4" w14:textId="77777777" w:rsidR="00183697" w:rsidRDefault="00183697" w:rsidP="0006173D">
      <w:pPr>
        <w:spacing w:after="0"/>
        <w:rPr>
          <w:rFonts w:ascii="Tahoma" w:hAnsi="Tahoma" w:cs="Tahoma"/>
          <w:b/>
          <w:bCs/>
          <w:sz w:val="24"/>
          <w:szCs w:val="24"/>
          <w:u w:val="single"/>
        </w:rPr>
      </w:pPr>
    </w:p>
    <w:p w14:paraId="0DD334D4" w14:textId="77777777" w:rsidR="00183697" w:rsidRDefault="00183697" w:rsidP="0006173D">
      <w:pPr>
        <w:spacing w:after="0"/>
        <w:rPr>
          <w:rFonts w:ascii="Tahoma" w:hAnsi="Tahoma" w:cs="Tahoma"/>
          <w:b/>
          <w:bCs/>
          <w:sz w:val="24"/>
          <w:szCs w:val="24"/>
          <w:u w:val="single"/>
        </w:rPr>
      </w:pPr>
    </w:p>
    <w:p w14:paraId="57A17344" w14:textId="223607BA" w:rsidR="00C23443" w:rsidRPr="0006173D" w:rsidRDefault="00C23443" w:rsidP="0006173D">
      <w:pPr>
        <w:spacing w:after="0"/>
        <w:rPr>
          <w:rFonts w:ascii="Tahoma" w:hAnsi="Tahoma" w:cs="Tahoma"/>
          <w:sz w:val="24"/>
          <w:szCs w:val="24"/>
        </w:rPr>
      </w:pPr>
      <w:r w:rsidRPr="00E9304C">
        <w:rPr>
          <w:rFonts w:ascii="Tahoma" w:hAnsi="Tahoma" w:cs="Tahoma"/>
          <w:b/>
          <w:bCs/>
          <w:sz w:val="24"/>
          <w:szCs w:val="24"/>
          <w:u w:val="single"/>
        </w:rPr>
        <w:lastRenderedPageBreak/>
        <w:t>1.0 Introduction</w:t>
      </w:r>
    </w:p>
    <w:p w14:paraId="67CFDB0E" w14:textId="77777777" w:rsidR="00C23443" w:rsidRPr="00E9304C" w:rsidRDefault="00C23443" w:rsidP="00C23443">
      <w:pPr>
        <w:rPr>
          <w:rFonts w:ascii="Tahoma" w:hAnsi="Tahoma" w:cs="Tahoma"/>
          <w:sz w:val="24"/>
          <w:szCs w:val="24"/>
        </w:rPr>
      </w:pPr>
      <w:r w:rsidRPr="00E9304C">
        <w:rPr>
          <w:rFonts w:ascii="Tahoma" w:hAnsi="Tahoma" w:cs="Tahoma"/>
          <w:sz w:val="24"/>
          <w:szCs w:val="24"/>
        </w:rPr>
        <w:t>Maximising customer value in residential mental health care requires organisations to regulatory frameworks shape residents' lived experiences. Within Accomplish / Keys Group, customer value is relational rather than transactional, centred on emotional safety, autonomy, trust, predictability, and meaningful engagement. Contemporary customer value theory (Woodruff, 1997; Almquist et al., 2016; Kotler, 2020; Kumar, 2020) suggests that value is created when perceived benefits outweigh emotional and psychological costs. Pearson's RED model provides the critical framework used to evaluate these organisational influences.</w:t>
      </w:r>
    </w:p>
    <w:p w14:paraId="2C13A2BF" w14:textId="6318D3F2" w:rsidR="00C23443" w:rsidRPr="00E9304C" w:rsidRDefault="00C23443" w:rsidP="00C23443">
      <w:pPr>
        <w:rPr>
          <w:rFonts w:ascii="Tahoma" w:hAnsi="Tahoma" w:cs="Tahoma"/>
          <w:sz w:val="24"/>
          <w:szCs w:val="24"/>
        </w:rPr>
      </w:pPr>
      <w:r w:rsidRPr="00E9304C">
        <w:rPr>
          <w:rFonts w:ascii="Tahoma" w:hAnsi="Tahoma" w:cs="Tahoma"/>
          <w:sz w:val="24"/>
          <w:szCs w:val="24"/>
        </w:rPr>
        <w:t>This report critically analyses the factors affecting Accomplish / Keys Group's ability to maximise customer value, examining organisational culture, communication, competence, resource allocation, quality systems, and regulatory requirements. It evaluates the organisation's customer lifecycle, CRM, segmentation, and customer centrality, assessing how these contribute to customer value and loyalty. Using Pearson's RED model, the report compares organisational policy with workplace practice to identify strengths, limitations, and opportunities for improving residents' lived experiences. Supporting diagrams are provided in the appendices (see Appendices A–</w:t>
      </w:r>
      <w:r w:rsidR="003B639F">
        <w:rPr>
          <w:rFonts w:ascii="Tahoma" w:hAnsi="Tahoma" w:cs="Tahoma"/>
          <w:sz w:val="24"/>
          <w:szCs w:val="24"/>
        </w:rPr>
        <w:t>F</w:t>
      </w:r>
      <w:r w:rsidRPr="00E9304C">
        <w:rPr>
          <w:rFonts w:ascii="Tahoma" w:hAnsi="Tahoma" w:cs="Tahoma"/>
          <w:sz w:val="24"/>
          <w:szCs w:val="24"/>
        </w:rPr>
        <w:t>).</w:t>
      </w:r>
    </w:p>
    <w:p w14:paraId="08573A21" w14:textId="77777777" w:rsidR="00C23443" w:rsidRPr="00E9304C" w:rsidRDefault="00C23443" w:rsidP="00C23443">
      <w:pPr>
        <w:rPr>
          <w:rFonts w:ascii="Tahoma" w:hAnsi="Tahoma" w:cs="Tahoma"/>
          <w:sz w:val="24"/>
          <w:szCs w:val="24"/>
        </w:rPr>
      </w:pPr>
    </w:p>
    <w:p w14:paraId="155DB512" w14:textId="77777777" w:rsidR="00C23443" w:rsidRPr="00E9304C" w:rsidRDefault="00C23443" w:rsidP="00C23443">
      <w:pPr>
        <w:rPr>
          <w:rFonts w:ascii="Tahoma" w:hAnsi="Tahoma" w:cs="Tahoma"/>
          <w:sz w:val="24"/>
          <w:szCs w:val="24"/>
        </w:rPr>
      </w:pPr>
    </w:p>
    <w:p w14:paraId="46F8260A" w14:textId="77777777" w:rsidR="00C23443" w:rsidRPr="00E9304C" w:rsidRDefault="00C23443" w:rsidP="00C23443">
      <w:pPr>
        <w:rPr>
          <w:rFonts w:ascii="Tahoma" w:hAnsi="Tahoma" w:cs="Tahoma"/>
          <w:sz w:val="24"/>
          <w:szCs w:val="24"/>
        </w:rPr>
      </w:pPr>
    </w:p>
    <w:p w14:paraId="38D837CF" w14:textId="77777777" w:rsidR="00C23443" w:rsidRPr="00E9304C" w:rsidRDefault="00C23443" w:rsidP="00C23443">
      <w:pPr>
        <w:rPr>
          <w:rFonts w:ascii="Tahoma" w:hAnsi="Tahoma" w:cs="Tahoma"/>
          <w:sz w:val="24"/>
          <w:szCs w:val="24"/>
        </w:rPr>
      </w:pPr>
    </w:p>
    <w:p w14:paraId="59E1C26F" w14:textId="77777777" w:rsidR="00C23443" w:rsidRPr="00E9304C" w:rsidRDefault="00C23443" w:rsidP="00C23443">
      <w:pPr>
        <w:rPr>
          <w:rFonts w:ascii="Tahoma" w:hAnsi="Tahoma" w:cs="Tahoma"/>
          <w:sz w:val="24"/>
          <w:szCs w:val="24"/>
        </w:rPr>
      </w:pPr>
    </w:p>
    <w:p w14:paraId="44ED0C0B" w14:textId="77777777" w:rsidR="00C23443" w:rsidRPr="00E9304C" w:rsidRDefault="00C23443" w:rsidP="00C23443">
      <w:pPr>
        <w:rPr>
          <w:rFonts w:ascii="Tahoma" w:hAnsi="Tahoma" w:cs="Tahoma"/>
          <w:sz w:val="24"/>
          <w:szCs w:val="24"/>
        </w:rPr>
      </w:pPr>
    </w:p>
    <w:p w14:paraId="54F3D52A" w14:textId="77777777" w:rsidR="00C23443" w:rsidRPr="00E9304C" w:rsidRDefault="00C23443" w:rsidP="00C23443">
      <w:pPr>
        <w:rPr>
          <w:rFonts w:ascii="Tahoma" w:hAnsi="Tahoma" w:cs="Tahoma"/>
          <w:sz w:val="24"/>
          <w:szCs w:val="24"/>
        </w:rPr>
      </w:pPr>
    </w:p>
    <w:p w14:paraId="29459DED" w14:textId="77777777" w:rsidR="00C23443" w:rsidRPr="00E9304C" w:rsidRDefault="00C23443" w:rsidP="00C23443">
      <w:pPr>
        <w:rPr>
          <w:rFonts w:ascii="Tahoma" w:hAnsi="Tahoma" w:cs="Tahoma"/>
          <w:sz w:val="24"/>
          <w:szCs w:val="24"/>
        </w:rPr>
      </w:pPr>
    </w:p>
    <w:p w14:paraId="6EC855A0" w14:textId="77777777" w:rsidR="00C23443" w:rsidRPr="00E9304C" w:rsidRDefault="00C23443" w:rsidP="00C23443">
      <w:pPr>
        <w:rPr>
          <w:rFonts w:ascii="Tahoma" w:hAnsi="Tahoma" w:cs="Tahoma"/>
          <w:sz w:val="24"/>
          <w:szCs w:val="24"/>
        </w:rPr>
      </w:pPr>
    </w:p>
    <w:p w14:paraId="1689D4BD" w14:textId="77777777" w:rsidR="00C23443" w:rsidRPr="00E9304C" w:rsidRDefault="00C23443" w:rsidP="00C23443">
      <w:pPr>
        <w:rPr>
          <w:rFonts w:ascii="Tahoma" w:hAnsi="Tahoma" w:cs="Tahoma"/>
          <w:sz w:val="24"/>
          <w:szCs w:val="24"/>
        </w:rPr>
      </w:pPr>
    </w:p>
    <w:p w14:paraId="40B302A5" w14:textId="77777777" w:rsidR="00C23443" w:rsidRPr="00E9304C" w:rsidRDefault="00C23443" w:rsidP="00C23443">
      <w:pPr>
        <w:rPr>
          <w:rFonts w:ascii="Tahoma" w:hAnsi="Tahoma" w:cs="Tahoma"/>
          <w:sz w:val="24"/>
          <w:szCs w:val="24"/>
        </w:rPr>
      </w:pPr>
    </w:p>
    <w:p w14:paraId="2E793F52" w14:textId="77777777" w:rsidR="00C23443" w:rsidRPr="00E9304C" w:rsidRDefault="00C23443" w:rsidP="00C23443">
      <w:pPr>
        <w:rPr>
          <w:rFonts w:ascii="Tahoma" w:hAnsi="Tahoma" w:cs="Tahoma"/>
          <w:sz w:val="24"/>
          <w:szCs w:val="24"/>
        </w:rPr>
      </w:pPr>
    </w:p>
    <w:p w14:paraId="5D3BB01D" w14:textId="77777777" w:rsidR="00A3673B" w:rsidRDefault="00A3673B" w:rsidP="00C23443">
      <w:pPr>
        <w:rPr>
          <w:rFonts w:ascii="Tahoma" w:hAnsi="Tahoma" w:cs="Tahoma"/>
          <w:b/>
          <w:bCs/>
          <w:sz w:val="24"/>
          <w:szCs w:val="24"/>
          <w:u w:val="single"/>
        </w:rPr>
      </w:pPr>
    </w:p>
    <w:p w14:paraId="123792B0" w14:textId="77777777" w:rsidR="00A3673B" w:rsidRDefault="00A3673B" w:rsidP="00C23443">
      <w:pPr>
        <w:rPr>
          <w:rFonts w:ascii="Tahoma" w:hAnsi="Tahoma" w:cs="Tahoma"/>
          <w:b/>
          <w:bCs/>
          <w:sz w:val="24"/>
          <w:szCs w:val="24"/>
          <w:u w:val="single"/>
        </w:rPr>
      </w:pPr>
    </w:p>
    <w:p w14:paraId="09FEE0FE" w14:textId="77777777" w:rsidR="00A3673B" w:rsidRDefault="00A3673B" w:rsidP="00C23443">
      <w:pPr>
        <w:rPr>
          <w:rFonts w:ascii="Tahoma" w:hAnsi="Tahoma" w:cs="Tahoma"/>
          <w:b/>
          <w:bCs/>
          <w:sz w:val="24"/>
          <w:szCs w:val="24"/>
          <w:u w:val="single"/>
        </w:rPr>
      </w:pPr>
    </w:p>
    <w:p w14:paraId="7C7EFC49" w14:textId="1C10C889"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 xml:space="preserve">2.0 Who Are Your Customers? </w:t>
      </w:r>
    </w:p>
    <w:p w14:paraId="2EA17202" w14:textId="77777777" w:rsidR="00C23443" w:rsidRPr="00E9304C" w:rsidRDefault="00C23443" w:rsidP="00C23443">
      <w:pPr>
        <w:rPr>
          <w:rFonts w:ascii="Tahoma" w:hAnsi="Tahoma" w:cs="Tahoma"/>
          <w:sz w:val="24"/>
          <w:szCs w:val="24"/>
        </w:rPr>
      </w:pPr>
      <w:r w:rsidRPr="00E9304C">
        <w:rPr>
          <w:rFonts w:ascii="Tahoma" w:hAnsi="Tahoma" w:cs="Tahoma"/>
          <w:sz w:val="24"/>
          <w:szCs w:val="24"/>
        </w:rPr>
        <w:t>In residential mental</w:t>
      </w:r>
      <w:r w:rsidRPr="00E9304C">
        <w:rPr>
          <w:rFonts w:ascii="Tahoma" w:hAnsi="Tahoma" w:cs="Tahoma"/>
          <w:sz w:val="24"/>
          <w:szCs w:val="24"/>
        </w:rPr>
        <w:noBreakHyphen/>
        <w:t>health care, customer identification must go beyond traditional commercial definitions. Contemporary customer value theory (Woodruff, 1997; Kotler, 2020; Kumar, 2020) emphasises that customers are those who receive value, experience outcomes, or depend on service quality. Within Accomplish / Keys Group, this includes residents, families, commissioners, regulators, MDT professionals, and internal staff teams. Each group defines value differently, and quality processes must respond to these differences.</w:t>
      </w:r>
    </w:p>
    <w:p w14:paraId="029F8960" w14:textId="77777777" w:rsidR="00C23443" w:rsidRPr="00A7597E" w:rsidRDefault="00C23443" w:rsidP="00C23443">
      <w:pPr>
        <w:rPr>
          <w:rFonts w:ascii="Tahoma" w:hAnsi="Tahoma" w:cs="Tahoma"/>
          <w:b/>
          <w:bCs/>
          <w:sz w:val="24"/>
          <w:szCs w:val="24"/>
          <w:u w:val="single"/>
        </w:rPr>
      </w:pPr>
      <w:r w:rsidRPr="00A7597E">
        <w:rPr>
          <w:rFonts w:ascii="Tahoma" w:hAnsi="Tahoma" w:cs="Tahoma"/>
          <w:b/>
          <w:bCs/>
          <w:sz w:val="24"/>
          <w:szCs w:val="24"/>
          <w:u w:val="single"/>
        </w:rPr>
        <w:t>1. Residents (Primary Customers)</w:t>
      </w:r>
    </w:p>
    <w:p w14:paraId="099F6639" w14:textId="611613B0" w:rsidR="00C23443" w:rsidRPr="00E9304C" w:rsidRDefault="00C23443" w:rsidP="00C23443">
      <w:pPr>
        <w:rPr>
          <w:rFonts w:ascii="Tahoma" w:hAnsi="Tahoma" w:cs="Tahoma"/>
          <w:sz w:val="24"/>
          <w:szCs w:val="24"/>
        </w:rPr>
      </w:pPr>
      <w:r w:rsidRPr="00E9304C">
        <w:rPr>
          <w:rFonts w:ascii="Tahoma" w:hAnsi="Tahoma" w:cs="Tahoma"/>
          <w:sz w:val="24"/>
          <w:szCs w:val="24"/>
        </w:rPr>
        <w:t>Residents are the central customers, as the organisation exists to meet their emotional, psychological, and functional needs. Trauma</w:t>
      </w:r>
      <w:r w:rsidRPr="00E9304C">
        <w:rPr>
          <w:rFonts w:ascii="Tahoma" w:hAnsi="Tahoma" w:cs="Tahoma"/>
          <w:sz w:val="24"/>
          <w:szCs w:val="24"/>
        </w:rPr>
        <w:noBreakHyphen/>
        <w:t>informed practice (Accomplish Trauma</w:t>
      </w:r>
      <w:r w:rsidRPr="00E9304C">
        <w:rPr>
          <w:rFonts w:ascii="Tahoma" w:hAnsi="Tahoma" w:cs="Tahoma"/>
          <w:sz w:val="24"/>
          <w:szCs w:val="24"/>
        </w:rPr>
        <w:noBreakHyphen/>
        <w:t>Informed Framework, 2023) and PBS principles (Accomplish PBS Policy, 2024) emphasise that residents prioritise</w:t>
      </w:r>
    </w:p>
    <w:p w14:paraId="432159F8" w14:textId="77777777" w:rsidR="00C23443" w:rsidRPr="00451DCE" w:rsidRDefault="00C23443" w:rsidP="00451DCE">
      <w:pPr>
        <w:pStyle w:val="ListParagraph"/>
        <w:numPr>
          <w:ilvl w:val="0"/>
          <w:numId w:val="37"/>
        </w:numPr>
        <w:rPr>
          <w:rFonts w:ascii="Tahoma" w:hAnsi="Tahoma" w:cs="Tahoma"/>
        </w:rPr>
      </w:pPr>
      <w:r w:rsidRPr="00451DCE">
        <w:rPr>
          <w:rFonts w:ascii="Tahoma" w:hAnsi="Tahoma" w:cs="Tahoma"/>
        </w:rPr>
        <w:t>Emotional safety</w:t>
      </w:r>
    </w:p>
    <w:p w14:paraId="718560F3" w14:textId="77777777" w:rsidR="00C23443" w:rsidRPr="00451DCE" w:rsidRDefault="00C23443" w:rsidP="00451DCE">
      <w:pPr>
        <w:pStyle w:val="ListParagraph"/>
        <w:numPr>
          <w:ilvl w:val="0"/>
          <w:numId w:val="37"/>
        </w:numPr>
        <w:rPr>
          <w:rFonts w:ascii="Tahoma" w:hAnsi="Tahoma" w:cs="Tahoma"/>
        </w:rPr>
      </w:pPr>
      <w:r w:rsidRPr="00451DCE">
        <w:rPr>
          <w:rFonts w:ascii="Tahoma" w:hAnsi="Tahoma" w:cs="Tahoma"/>
        </w:rPr>
        <w:t>Predictability and routine</w:t>
      </w:r>
    </w:p>
    <w:p w14:paraId="24E52CA9" w14:textId="77777777" w:rsidR="00C23443" w:rsidRPr="00451DCE" w:rsidRDefault="00C23443" w:rsidP="00451DCE">
      <w:pPr>
        <w:pStyle w:val="ListParagraph"/>
        <w:numPr>
          <w:ilvl w:val="0"/>
          <w:numId w:val="37"/>
        </w:numPr>
        <w:rPr>
          <w:rFonts w:ascii="Tahoma" w:hAnsi="Tahoma" w:cs="Tahoma"/>
        </w:rPr>
      </w:pPr>
      <w:r w:rsidRPr="00451DCE">
        <w:rPr>
          <w:rFonts w:ascii="Tahoma" w:hAnsi="Tahoma" w:cs="Tahoma"/>
        </w:rPr>
        <w:t>Autonomy and choice</w:t>
      </w:r>
    </w:p>
    <w:p w14:paraId="06EF15E8" w14:textId="77777777" w:rsidR="00C23443" w:rsidRPr="00451DCE" w:rsidRDefault="00C23443" w:rsidP="00451DCE">
      <w:pPr>
        <w:pStyle w:val="ListParagraph"/>
        <w:numPr>
          <w:ilvl w:val="0"/>
          <w:numId w:val="37"/>
        </w:numPr>
        <w:rPr>
          <w:rFonts w:ascii="Tahoma" w:hAnsi="Tahoma" w:cs="Tahoma"/>
        </w:rPr>
      </w:pPr>
      <w:r w:rsidRPr="00451DCE">
        <w:rPr>
          <w:rFonts w:ascii="Tahoma" w:hAnsi="Tahoma" w:cs="Tahoma"/>
        </w:rPr>
        <w:t>Trust and relational consistency</w:t>
      </w:r>
    </w:p>
    <w:p w14:paraId="1D2815D6" w14:textId="77777777" w:rsidR="00C23443" w:rsidRPr="00451DCE" w:rsidRDefault="00C23443" w:rsidP="00451DCE">
      <w:pPr>
        <w:pStyle w:val="ListParagraph"/>
        <w:numPr>
          <w:ilvl w:val="0"/>
          <w:numId w:val="37"/>
        </w:numPr>
        <w:rPr>
          <w:rFonts w:ascii="Tahoma" w:hAnsi="Tahoma" w:cs="Tahoma"/>
        </w:rPr>
      </w:pPr>
      <w:r w:rsidRPr="00451DCE">
        <w:rPr>
          <w:rFonts w:ascii="Tahoma" w:hAnsi="Tahoma" w:cs="Tahoma"/>
        </w:rPr>
        <w:t>Belonging and meaningful engagement</w:t>
      </w:r>
    </w:p>
    <w:p w14:paraId="25DA8132" w14:textId="26FE256D" w:rsidR="00C23443" w:rsidRPr="00E9304C" w:rsidRDefault="00C23443" w:rsidP="00C23443">
      <w:pPr>
        <w:rPr>
          <w:rFonts w:ascii="Tahoma" w:hAnsi="Tahoma" w:cs="Tahoma"/>
          <w:sz w:val="24"/>
          <w:szCs w:val="24"/>
        </w:rPr>
      </w:pPr>
      <w:r w:rsidRPr="00E9304C">
        <w:rPr>
          <w:rFonts w:ascii="Tahoma" w:hAnsi="Tahoma" w:cs="Tahoma"/>
          <w:sz w:val="24"/>
          <w:szCs w:val="24"/>
        </w:rPr>
        <w:t>Shaw &amp; Hamilton (2020) argue that emotional and subconscious cues shape customer experience more strongly than functional tasks, making residents’ emotional needs the highest</w:t>
      </w:r>
      <w:r w:rsidRPr="00E9304C">
        <w:rPr>
          <w:rFonts w:ascii="Tahoma" w:hAnsi="Tahoma" w:cs="Tahoma"/>
          <w:sz w:val="24"/>
          <w:szCs w:val="24"/>
        </w:rPr>
        <w:noBreakHyphen/>
        <w:t xml:space="preserve">impact value dimension. CIW inspection reports (2021–2026) consistently highlight emotional safety, communication quality, and predictability as core indicators of service quality. </w:t>
      </w:r>
    </w:p>
    <w:p w14:paraId="4A9B1575" w14:textId="77777777" w:rsidR="00C23443" w:rsidRPr="00A7597E" w:rsidRDefault="00C23443" w:rsidP="00C23443">
      <w:pPr>
        <w:rPr>
          <w:rFonts w:ascii="Tahoma" w:hAnsi="Tahoma" w:cs="Tahoma"/>
          <w:b/>
          <w:bCs/>
          <w:sz w:val="24"/>
          <w:szCs w:val="24"/>
          <w:u w:val="single"/>
        </w:rPr>
      </w:pPr>
      <w:r w:rsidRPr="00A7597E">
        <w:rPr>
          <w:rFonts w:ascii="Tahoma" w:hAnsi="Tahoma" w:cs="Tahoma"/>
          <w:b/>
          <w:bCs/>
          <w:sz w:val="24"/>
          <w:szCs w:val="24"/>
          <w:u w:val="single"/>
        </w:rPr>
        <w:t>2. Families and Carers</w:t>
      </w:r>
    </w:p>
    <w:p w14:paraId="3A930F7B" w14:textId="77777777" w:rsidR="00C23443" w:rsidRPr="00E9304C" w:rsidRDefault="00C23443" w:rsidP="00C23443">
      <w:pPr>
        <w:rPr>
          <w:rFonts w:ascii="Tahoma" w:hAnsi="Tahoma" w:cs="Tahoma"/>
          <w:sz w:val="24"/>
          <w:szCs w:val="24"/>
        </w:rPr>
      </w:pPr>
      <w:r w:rsidRPr="00E9304C">
        <w:rPr>
          <w:rFonts w:ascii="Tahoma" w:hAnsi="Tahoma" w:cs="Tahoma"/>
          <w:sz w:val="24"/>
          <w:szCs w:val="24"/>
        </w:rPr>
        <w:t>Families are secondary customers who influence placement stability, advocacy, and long</w:t>
      </w:r>
      <w:r w:rsidRPr="00E9304C">
        <w:rPr>
          <w:rFonts w:ascii="Tahoma" w:hAnsi="Tahoma" w:cs="Tahoma"/>
          <w:sz w:val="24"/>
          <w:szCs w:val="24"/>
        </w:rPr>
        <w:noBreakHyphen/>
        <w:t>term trust. They require:</w:t>
      </w:r>
    </w:p>
    <w:p w14:paraId="36C5C3B1" w14:textId="77777777" w:rsidR="00C23443" w:rsidRPr="00451DCE" w:rsidRDefault="00C23443" w:rsidP="00451DCE">
      <w:pPr>
        <w:pStyle w:val="ListParagraph"/>
        <w:numPr>
          <w:ilvl w:val="0"/>
          <w:numId w:val="36"/>
        </w:numPr>
        <w:rPr>
          <w:rFonts w:ascii="Tahoma" w:hAnsi="Tahoma" w:cs="Tahoma"/>
        </w:rPr>
      </w:pPr>
      <w:r w:rsidRPr="00451DCE">
        <w:rPr>
          <w:rFonts w:ascii="Tahoma" w:hAnsi="Tahoma" w:cs="Tahoma"/>
        </w:rPr>
        <w:t>Reassurance that their relative is emotionally safe</w:t>
      </w:r>
    </w:p>
    <w:p w14:paraId="5BF12741" w14:textId="77777777" w:rsidR="00C23443" w:rsidRPr="00451DCE" w:rsidRDefault="00C23443" w:rsidP="00451DCE">
      <w:pPr>
        <w:pStyle w:val="ListParagraph"/>
        <w:numPr>
          <w:ilvl w:val="0"/>
          <w:numId w:val="36"/>
        </w:numPr>
        <w:rPr>
          <w:rFonts w:ascii="Tahoma" w:hAnsi="Tahoma" w:cs="Tahoma"/>
        </w:rPr>
      </w:pPr>
      <w:r w:rsidRPr="00451DCE">
        <w:rPr>
          <w:rFonts w:ascii="Tahoma" w:hAnsi="Tahoma" w:cs="Tahoma"/>
        </w:rPr>
        <w:t>Transparency about incidents, progress, and wellbeing</w:t>
      </w:r>
    </w:p>
    <w:p w14:paraId="4D7BCD2B" w14:textId="77777777" w:rsidR="00C23443" w:rsidRPr="00451DCE" w:rsidRDefault="00C23443" w:rsidP="00451DCE">
      <w:pPr>
        <w:pStyle w:val="ListParagraph"/>
        <w:numPr>
          <w:ilvl w:val="0"/>
          <w:numId w:val="36"/>
        </w:numPr>
        <w:rPr>
          <w:rFonts w:ascii="Tahoma" w:hAnsi="Tahoma" w:cs="Tahoma"/>
        </w:rPr>
      </w:pPr>
      <w:r w:rsidRPr="00451DCE">
        <w:rPr>
          <w:rFonts w:ascii="Tahoma" w:hAnsi="Tahoma" w:cs="Tahoma"/>
        </w:rPr>
        <w:t>Involvement in decision</w:t>
      </w:r>
      <w:r w:rsidRPr="00451DCE">
        <w:rPr>
          <w:rFonts w:ascii="Tahoma" w:hAnsi="Tahoma" w:cs="Tahoma"/>
        </w:rPr>
        <w:noBreakHyphen/>
        <w:t>making</w:t>
      </w:r>
    </w:p>
    <w:p w14:paraId="217ABB52" w14:textId="77777777" w:rsidR="00C23443" w:rsidRPr="00451DCE" w:rsidRDefault="00C23443" w:rsidP="00451DCE">
      <w:pPr>
        <w:pStyle w:val="ListParagraph"/>
        <w:numPr>
          <w:ilvl w:val="0"/>
          <w:numId w:val="36"/>
        </w:numPr>
        <w:rPr>
          <w:rFonts w:ascii="Tahoma" w:hAnsi="Tahoma" w:cs="Tahoma"/>
        </w:rPr>
      </w:pPr>
      <w:r w:rsidRPr="00451DCE">
        <w:rPr>
          <w:rFonts w:ascii="Tahoma" w:hAnsi="Tahoma" w:cs="Tahoma"/>
        </w:rPr>
        <w:t>Clear communication from staff</w:t>
      </w:r>
    </w:p>
    <w:p w14:paraId="7C710450" w14:textId="77777777" w:rsidR="00C23443" w:rsidRPr="00E9304C" w:rsidRDefault="00C23443" w:rsidP="00C23443">
      <w:pPr>
        <w:rPr>
          <w:rFonts w:ascii="Tahoma" w:hAnsi="Tahoma" w:cs="Tahoma"/>
          <w:sz w:val="24"/>
          <w:szCs w:val="24"/>
        </w:rPr>
      </w:pPr>
      <w:r w:rsidRPr="00E9304C">
        <w:rPr>
          <w:rFonts w:ascii="Tahoma" w:hAnsi="Tahoma" w:cs="Tahoma"/>
          <w:sz w:val="24"/>
          <w:szCs w:val="24"/>
        </w:rPr>
        <w:t>This aligns with Blythe’s (2009) concept of customer centrality, where value is created when organisations prioritise customer needs above internal convenience. Workplace evidence from family feedback meetings and Accomplishes Resident Voice &amp; Engagement Framework (2024) shows that families define value through communication quality and involvement.</w:t>
      </w:r>
    </w:p>
    <w:p w14:paraId="16BF74DD" w14:textId="20701075" w:rsidR="00C23443" w:rsidRPr="00E9304C" w:rsidRDefault="00C23443" w:rsidP="00C23443">
      <w:pPr>
        <w:rPr>
          <w:rFonts w:ascii="Tahoma" w:hAnsi="Tahoma" w:cs="Tahoma"/>
          <w:sz w:val="24"/>
          <w:szCs w:val="24"/>
        </w:rPr>
      </w:pPr>
      <w:r w:rsidRPr="00E9304C">
        <w:rPr>
          <w:rFonts w:ascii="Tahoma" w:hAnsi="Tahoma" w:cs="Tahoma"/>
          <w:sz w:val="24"/>
          <w:szCs w:val="24"/>
        </w:rPr>
        <w:lastRenderedPageBreak/>
        <w:t>Accomplishes Resident Voice &amp; Engagement Framework (2024) strengthens emotional and relational value by ensuring residents are meaningfully involved in decisions, feedback processes, and personalised planning, supporting trauma</w:t>
      </w:r>
      <w:r w:rsidRPr="00E9304C">
        <w:rPr>
          <w:rFonts w:ascii="Tahoma" w:hAnsi="Tahoma" w:cs="Tahoma"/>
          <w:sz w:val="24"/>
          <w:szCs w:val="24"/>
        </w:rPr>
        <w:noBreakHyphen/>
        <w:t xml:space="preserve">informed practice and customer centrality </w:t>
      </w:r>
    </w:p>
    <w:p w14:paraId="49F3093E" w14:textId="77777777" w:rsidR="00C23443" w:rsidRPr="00A7597E" w:rsidRDefault="00C23443" w:rsidP="00C23443">
      <w:pPr>
        <w:rPr>
          <w:rFonts w:ascii="Tahoma" w:hAnsi="Tahoma" w:cs="Tahoma"/>
          <w:b/>
          <w:bCs/>
          <w:sz w:val="24"/>
          <w:szCs w:val="24"/>
          <w:u w:val="single"/>
        </w:rPr>
      </w:pPr>
      <w:r w:rsidRPr="00A7597E">
        <w:rPr>
          <w:rFonts w:ascii="Tahoma" w:hAnsi="Tahoma" w:cs="Tahoma"/>
          <w:b/>
          <w:bCs/>
          <w:sz w:val="24"/>
          <w:szCs w:val="24"/>
          <w:u w:val="single"/>
        </w:rPr>
        <w:t>3. Commissioners (Local Authorities / Health Boards)</w:t>
      </w:r>
    </w:p>
    <w:p w14:paraId="0BB669E4" w14:textId="77777777" w:rsidR="00C23443" w:rsidRPr="00E9304C" w:rsidRDefault="00C23443" w:rsidP="00C23443">
      <w:pPr>
        <w:rPr>
          <w:rFonts w:ascii="Tahoma" w:hAnsi="Tahoma" w:cs="Tahoma"/>
          <w:sz w:val="24"/>
          <w:szCs w:val="24"/>
        </w:rPr>
      </w:pPr>
      <w:r w:rsidRPr="00E9304C">
        <w:rPr>
          <w:rFonts w:ascii="Tahoma" w:hAnsi="Tahoma" w:cs="Tahoma"/>
          <w:sz w:val="24"/>
          <w:szCs w:val="24"/>
        </w:rPr>
        <w:t>Commissioners are financial customers who purchase placements and evaluate service effectiveness. They prioritise:</w:t>
      </w:r>
    </w:p>
    <w:p w14:paraId="7009058D" w14:textId="77777777" w:rsidR="00C23443" w:rsidRPr="00451DCE" w:rsidRDefault="00C23443" w:rsidP="00451DCE">
      <w:pPr>
        <w:pStyle w:val="ListParagraph"/>
        <w:numPr>
          <w:ilvl w:val="0"/>
          <w:numId w:val="35"/>
        </w:numPr>
        <w:rPr>
          <w:rFonts w:ascii="Tahoma" w:hAnsi="Tahoma" w:cs="Tahoma"/>
        </w:rPr>
      </w:pPr>
      <w:r w:rsidRPr="00451DCE">
        <w:rPr>
          <w:rFonts w:ascii="Tahoma" w:hAnsi="Tahoma" w:cs="Tahoma"/>
        </w:rPr>
        <w:t>CIW compliance</w:t>
      </w:r>
    </w:p>
    <w:p w14:paraId="2526D521" w14:textId="77777777" w:rsidR="00C23443" w:rsidRPr="00451DCE" w:rsidRDefault="00C23443" w:rsidP="00451DCE">
      <w:pPr>
        <w:pStyle w:val="ListParagraph"/>
        <w:numPr>
          <w:ilvl w:val="0"/>
          <w:numId w:val="35"/>
        </w:numPr>
        <w:rPr>
          <w:rFonts w:ascii="Tahoma" w:hAnsi="Tahoma" w:cs="Tahoma"/>
        </w:rPr>
      </w:pPr>
      <w:r w:rsidRPr="00451DCE">
        <w:rPr>
          <w:rFonts w:ascii="Tahoma" w:hAnsi="Tahoma" w:cs="Tahoma"/>
        </w:rPr>
        <w:t>Safeguarding assurance</w:t>
      </w:r>
    </w:p>
    <w:p w14:paraId="5DCB23D6" w14:textId="77777777" w:rsidR="00C23443" w:rsidRPr="00451DCE" w:rsidRDefault="00C23443" w:rsidP="00451DCE">
      <w:pPr>
        <w:pStyle w:val="ListParagraph"/>
        <w:numPr>
          <w:ilvl w:val="0"/>
          <w:numId w:val="35"/>
        </w:numPr>
        <w:rPr>
          <w:rFonts w:ascii="Tahoma" w:hAnsi="Tahoma" w:cs="Tahoma"/>
        </w:rPr>
      </w:pPr>
      <w:r w:rsidRPr="00451DCE">
        <w:rPr>
          <w:rFonts w:ascii="Tahoma" w:hAnsi="Tahoma" w:cs="Tahoma"/>
        </w:rPr>
        <w:t>Outcome data and progress</w:t>
      </w:r>
    </w:p>
    <w:p w14:paraId="552AA235" w14:textId="77777777" w:rsidR="00C23443" w:rsidRPr="00451DCE" w:rsidRDefault="00C23443" w:rsidP="00451DCE">
      <w:pPr>
        <w:pStyle w:val="ListParagraph"/>
        <w:numPr>
          <w:ilvl w:val="0"/>
          <w:numId w:val="35"/>
        </w:numPr>
        <w:rPr>
          <w:rFonts w:ascii="Tahoma" w:hAnsi="Tahoma" w:cs="Tahoma"/>
        </w:rPr>
      </w:pPr>
      <w:r w:rsidRPr="00451DCE">
        <w:rPr>
          <w:rFonts w:ascii="Tahoma" w:hAnsi="Tahoma" w:cs="Tahoma"/>
        </w:rPr>
        <w:t>Cost</w:t>
      </w:r>
      <w:r w:rsidRPr="00451DCE">
        <w:rPr>
          <w:rFonts w:ascii="Tahoma" w:hAnsi="Tahoma" w:cs="Tahoma"/>
        </w:rPr>
        <w:noBreakHyphen/>
        <w:t>effectiveness</w:t>
      </w:r>
    </w:p>
    <w:p w14:paraId="5F9DA072" w14:textId="77777777" w:rsidR="00C23443" w:rsidRPr="00451DCE" w:rsidRDefault="00C23443" w:rsidP="00451DCE">
      <w:pPr>
        <w:pStyle w:val="ListParagraph"/>
        <w:numPr>
          <w:ilvl w:val="0"/>
          <w:numId w:val="35"/>
        </w:numPr>
        <w:rPr>
          <w:rFonts w:ascii="Tahoma" w:hAnsi="Tahoma" w:cs="Tahoma"/>
        </w:rPr>
      </w:pPr>
      <w:r w:rsidRPr="00451DCE">
        <w:rPr>
          <w:rFonts w:ascii="Tahoma" w:hAnsi="Tahoma" w:cs="Tahoma"/>
        </w:rPr>
        <w:t>Predictable service delivery</w:t>
      </w:r>
    </w:p>
    <w:p w14:paraId="3D212369" w14:textId="77777777" w:rsidR="00C23443" w:rsidRPr="00E9304C" w:rsidRDefault="00C23443" w:rsidP="00C23443">
      <w:pPr>
        <w:rPr>
          <w:rFonts w:ascii="Tahoma" w:hAnsi="Tahoma" w:cs="Tahoma"/>
          <w:sz w:val="24"/>
          <w:szCs w:val="24"/>
        </w:rPr>
      </w:pPr>
      <w:r w:rsidRPr="00E9304C">
        <w:rPr>
          <w:rFonts w:ascii="Tahoma" w:hAnsi="Tahoma" w:cs="Tahoma"/>
          <w:sz w:val="24"/>
          <w:szCs w:val="24"/>
        </w:rPr>
        <w:t>Kotler’s (2020) value equation (benefits minus costs) applies strongly here: commissioners assess whether the service delivers measurable outcomes that justify financial investment. Workplace evidence from commissioner reviews and KPI dashboards shows that commissioners define value through functional reliability and governance.</w:t>
      </w:r>
    </w:p>
    <w:p w14:paraId="3B583F7F" w14:textId="77777777" w:rsidR="00C23443" w:rsidRPr="00A7597E" w:rsidRDefault="00C23443" w:rsidP="00C23443">
      <w:pPr>
        <w:rPr>
          <w:rFonts w:ascii="Tahoma" w:hAnsi="Tahoma" w:cs="Tahoma"/>
          <w:b/>
          <w:bCs/>
          <w:sz w:val="24"/>
          <w:szCs w:val="24"/>
          <w:u w:val="single"/>
        </w:rPr>
      </w:pPr>
      <w:r w:rsidRPr="00A7597E">
        <w:rPr>
          <w:rFonts w:ascii="Tahoma" w:hAnsi="Tahoma" w:cs="Tahoma"/>
          <w:b/>
          <w:bCs/>
          <w:sz w:val="24"/>
          <w:szCs w:val="24"/>
          <w:u w:val="single"/>
        </w:rPr>
        <w:t>4. Regulators (CIW)</w:t>
      </w:r>
    </w:p>
    <w:p w14:paraId="4388C87F" w14:textId="77777777" w:rsidR="00C23443" w:rsidRPr="00E9304C" w:rsidRDefault="00C23443" w:rsidP="00C23443">
      <w:pPr>
        <w:rPr>
          <w:rFonts w:ascii="Tahoma" w:hAnsi="Tahoma" w:cs="Tahoma"/>
          <w:sz w:val="24"/>
          <w:szCs w:val="24"/>
        </w:rPr>
      </w:pPr>
      <w:r w:rsidRPr="00E9304C">
        <w:rPr>
          <w:rFonts w:ascii="Tahoma" w:hAnsi="Tahoma" w:cs="Tahoma"/>
          <w:sz w:val="24"/>
          <w:szCs w:val="24"/>
        </w:rPr>
        <w:t>CIW are governance customers who ensure safety, quality, and compliance. They require:</w:t>
      </w:r>
    </w:p>
    <w:p w14:paraId="71809669" w14:textId="77777777" w:rsidR="00C23443" w:rsidRPr="00451DCE" w:rsidRDefault="00C23443" w:rsidP="00451DCE">
      <w:pPr>
        <w:pStyle w:val="ListParagraph"/>
        <w:numPr>
          <w:ilvl w:val="0"/>
          <w:numId w:val="34"/>
        </w:numPr>
        <w:rPr>
          <w:rFonts w:ascii="Tahoma" w:hAnsi="Tahoma" w:cs="Tahoma"/>
        </w:rPr>
      </w:pPr>
      <w:r w:rsidRPr="00451DCE">
        <w:rPr>
          <w:rFonts w:ascii="Tahoma" w:hAnsi="Tahoma" w:cs="Tahoma"/>
        </w:rPr>
        <w:t>Accurate documentation</w:t>
      </w:r>
    </w:p>
    <w:p w14:paraId="6D173806" w14:textId="77777777" w:rsidR="00C23443" w:rsidRPr="00451DCE" w:rsidRDefault="00C23443" w:rsidP="00451DCE">
      <w:pPr>
        <w:pStyle w:val="ListParagraph"/>
        <w:numPr>
          <w:ilvl w:val="0"/>
          <w:numId w:val="34"/>
        </w:numPr>
        <w:rPr>
          <w:rFonts w:ascii="Tahoma" w:hAnsi="Tahoma" w:cs="Tahoma"/>
        </w:rPr>
      </w:pPr>
      <w:r w:rsidRPr="00451DCE">
        <w:rPr>
          <w:rFonts w:ascii="Tahoma" w:hAnsi="Tahoma" w:cs="Tahoma"/>
        </w:rPr>
        <w:t>Governance and risk management</w:t>
      </w:r>
    </w:p>
    <w:p w14:paraId="2ECD1E04" w14:textId="77777777" w:rsidR="00C23443" w:rsidRPr="00451DCE" w:rsidRDefault="00C23443" w:rsidP="00451DCE">
      <w:pPr>
        <w:pStyle w:val="ListParagraph"/>
        <w:numPr>
          <w:ilvl w:val="0"/>
          <w:numId w:val="34"/>
        </w:numPr>
        <w:rPr>
          <w:rFonts w:ascii="Tahoma" w:hAnsi="Tahoma" w:cs="Tahoma"/>
        </w:rPr>
      </w:pPr>
      <w:r w:rsidRPr="00451DCE">
        <w:rPr>
          <w:rFonts w:ascii="Tahoma" w:hAnsi="Tahoma" w:cs="Tahoma"/>
        </w:rPr>
        <w:t>Evidence of trauma</w:t>
      </w:r>
      <w:r w:rsidRPr="00451DCE">
        <w:rPr>
          <w:rFonts w:ascii="Tahoma" w:hAnsi="Tahoma" w:cs="Tahoma"/>
        </w:rPr>
        <w:noBreakHyphen/>
        <w:t>informed and PBS practice</w:t>
      </w:r>
    </w:p>
    <w:p w14:paraId="0E053F38" w14:textId="77777777" w:rsidR="00C23443" w:rsidRPr="00451DCE" w:rsidRDefault="00C23443" w:rsidP="00451DCE">
      <w:pPr>
        <w:pStyle w:val="ListParagraph"/>
        <w:numPr>
          <w:ilvl w:val="0"/>
          <w:numId w:val="34"/>
        </w:numPr>
        <w:rPr>
          <w:rFonts w:ascii="Tahoma" w:hAnsi="Tahoma" w:cs="Tahoma"/>
        </w:rPr>
      </w:pPr>
      <w:r w:rsidRPr="00451DCE">
        <w:rPr>
          <w:rFonts w:ascii="Tahoma" w:hAnsi="Tahoma" w:cs="Tahoma"/>
        </w:rPr>
        <w:t>Safe staffing levels</w:t>
      </w:r>
    </w:p>
    <w:p w14:paraId="7A5710EC" w14:textId="77777777" w:rsidR="00C23443" w:rsidRPr="00451DCE" w:rsidRDefault="00C23443" w:rsidP="00451DCE">
      <w:pPr>
        <w:pStyle w:val="ListParagraph"/>
        <w:numPr>
          <w:ilvl w:val="0"/>
          <w:numId w:val="34"/>
        </w:numPr>
        <w:rPr>
          <w:rFonts w:ascii="Tahoma" w:hAnsi="Tahoma" w:cs="Tahoma"/>
        </w:rPr>
      </w:pPr>
      <w:r w:rsidRPr="00451DCE">
        <w:rPr>
          <w:rFonts w:ascii="Tahoma" w:hAnsi="Tahoma" w:cs="Tahoma"/>
        </w:rPr>
        <w:t>Quality assurance systems</w:t>
      </w:r>
    </w:p>
    <w:p w14:paraId="793115CE" w14:textId="77777777" w:rsidR="00C23443" w:rsidRPr="00E9304C" w:rsidRDefault="00C23443" w:rsidP="00C23443">
      <w:pPr>
        <w:rPr>
          <w:rFonts w:ascii="Tahoma" w:hAnsi="Tahoma" w:cs="Tahoma"/>
          <w:sz w:val="24"/>
          <w:szCs w:val="24"/>
        </w:rPr>
      </w:pPr>
      <w:r w:rsidRPr="00E9304C">
        <w:rPr>
          <w:rFonts w:ascii="Tahoma" w:hAnsi="Tahoma" w:cs="Tahoma"/>
          <w:sz w:val="24"/>
          <w:szCs w:val="24"/>
        </w:rPr>
        <w:t>Regulators define functional value, focusing on safety, reliability, and governance (CIW Inspection Framework, 2021–2026). Their expectations align with Garvin’s (1987) dimensions of quality, particularly conformance, reliability, and assurance. (see Appendix A: Customer Segmentation Flowchart).</w:t>
      </w:r>
    </w:p>
    <w:p w14:paraId="6B1E8B93" w14:textId="77777777" w:rsidR="00C23443" w:rsidRPr="00A7597E" w:rsidRDefault="00C23443" w:rsidP="00C23443">
      <w:pPr>
        <w:rPr>
          <w:rFonts w:ascii="Tahoma" w:hAnsi="Tahoma" w:cs="Tahoma"/>
          <w:b/>
          <w:bCs/>
          <w:sz w:val="24"/>
          <w:szCs w:val="24"/>
          <w:u w:val="single"/>
        </w:rPr>
      </w:pPr>
      <w:r w:rsidRPr="00A7597E">
        <w:rPr>
          <w:rFonts w:ascii="Tahoma" w:hAnsi="Tahoma" w:cs="Tahoma"/>
          <w:b/>
          <w:bCs/>
          <w:sz w:val="24"/>
          <w:szCs w:val="24"/>
          <w:u w:val="single"/>
        </w:rPr>
        <w:t>5. MDT Professionals (Psychologists, Social Workers, Advocates)</w:t>
      </w:r>
    </w:p>
    <w:p w14:paraId="0DDD7D77" w14:textId="77777777" w:rsidR="00C23443" w:rsidRPr="00E9304C" w:rsidRDefault="00C23443" w:rsidP="00C23443">
      <w:pPr>
        <w:rPr>
          <w:rFonts w:ascii="Tahoma" w:hAnsi="Tahoma" w:cs="Tahoma"/>
          <w:sz w:val="24"/>
          <w:szCs w:val="24"/>
        </w:rPr>
      </w:pPr>
      <w:r w:rsidRPr="00E9304C">
        <w:rPr>
          <w:rFonts w:ascii="Tahoma" w:hAnsi="Tahoma" w:cs="Tahoma"/>
          <w:sz w:val="24"/>
          <w:szCs w:val="24"/>
        </w:rPr>
        <w:t>MDT professionals are collaborative customers who support clinical decision</w:t>
      </w:r>
      <w:r w:rsidRPr="00E9304C">
        <w:rPr>
          <w:rFonts w:ascii="Tahoma" w:hAnsi="Tahoma" w:cs="Tahoma"/>
          <w:sz w:val="24"/>
          <w:szCs w:val="24"/>
        </w:rPr>
        <w:noBreakHyphen/>
        <w:t>making. They require:</w:t>
      </w:r>
    </w:p>
    <w:p w14:paraId="052309D6" w14:textId="77777777" w:rsidR="00C23443" w:rsidRPr="00451DCE" w:rsidRDefault="00C23443" w:rsidP="00451DCE">
      <w:pPr>
        <w:pStyle w:val="ListParagraph"/>
        <w:numPr>
          <w:ilvl w:val="0"/>
          <w:numId w:val="33"/>
        </w:numPr>
        <w:rPr>
          <w:rFonts w:ascii="Tahoma" w:hAnsi="Tahoma" w:cs="Tahoma"/>
        </w:rPr>
      </w:pPr>
      <w:r w:rsidRPr="00451DCE">
        <w:rPr>
          <w:rFonts w:ascii="Tahoma" w:hAnsi="Tahoma" w:cs="Tahoma"/>
        </w:rPr>
        <w:t>Clear communication</w:t>
      </w:r>
    </w:p>
    <w:p w14:paraId="2C3D14C9" w14:textId="77777777" w:rsidR="00C23443" w:rsidRPr="00451DCE" w:rsidRDefault="00C23443" w:rsidP="00451DCE">
      <w:pPr>
        <w:pStyle w:val="ListParagraph"/>
        <w:numPr>
          <w:ilvl w:val="0"/>
          <w:numId w:val="33"/>
        </w:numPr>
        <w:rPr>
          <w:rFonts w:ascii="Tahoma" w:hAnsi="Tahoma" w:cs="Tahoma"/>
        </w:rPr>
      </w:pPr>
      <w:r w:rsidRPr="00451DCE">
        <w:rPr>
          <w:rFonts w:ascii="Tahoma" w:hAnsi="Tahoma" w:cs="Tahoma"/>
        </w:rPr>
        <w:t>Consistency across staff teams</w:t>
      </w:r>
    </w:p>
    <w:p w14:paraId="3E5325C8" w14:textId="77777777" w:rsidR="00C23443" w:rsidRPr="00451DCE" w:rsidRDefault="00C23443" w:rsidP="00451DCE">
      <w:pPr>
        <w:pStyle w:val="ListParagraph"/>
        <w:numPr>
          <w:ilvl w:val="0"/>
          <w:numId w:val="33"/>
        </w:numPr>
        <w:rPr>
          <w:rFonts w:ascii="Tahoma" w:hAnsi="Tahoma" w:cs="Tahoma"/>
        </w:rPr>
      </w:pPr>
      <w:r w:rsidRPr="00451DCE">
        <w:rPr>
          <w:rFonts w:ascii="Tahoma" w:hAnsi="Tahoma" w:cs="Tahoma"/>
        </w:rPr>
        <w:lastRenderedPageBreak/>
        <w:t>Accurate information</w:t>
      </w:r>
    </w:p>
    <w:p w14:paraId="16DD3D6E" w14:textId="77777777" w:rsidR="00C23443" w:rsidRPr="00451DCE" w:rsidRDefault="00C23443" w:rsidP="00451DCE">
      <w:pPr>
        <w:pStyle w:val="ListParagraph"/>
        <w:numPr>
          <w:ilvl w:val="0"/>
          <w:numId w:val="33"/>
        </w:numPr>
        <w:rPr>
          <w:rFonts w:ascii="Tahoma" w:hAnsi="Tahoma" w:cs="Tahoma"/>
        </w:rPr>
      </w:pPr>
      <w:r w:rsidRPr="00451DCE">
        <w:rPr>
          <w:rFonts w:ascii="Tahoma" w:hAnsi="Tahoma" w:cs="Tahoma"/>
        </w:rPr>
        <w:t>Shared planning and professional collaboration</w:t>
      </w:r>
    </w:p>
    <w:p w14:paraId="408A5B49" w14:textId="77777777" w:rsidR="00C23443" w:rsidRPr="00E9304C" w:rsidRDefault="00C23443" w:rsidP="00C23443">
      <w:pPr>
        <w:rPr>
          <w:rFonts w:ascii="Tahoma" w:hAnsi="Tahoma" w:cs="Tahoma"/>
          <w:sz w:val="24"/>
          <w:szCs w:val="24"/>
        </w:rPr>
      </w:pPr>
      <w:r w:rsidRPr="00E9304C">
        <w:rPr>
          <w:rFonts w:ascii="Tahoma" w:hAnsi="Tahoma" w:cs="Tahoma"/>
          <w:sz w:val="24"/>
          <w:szCs w:val="24"/>
        </w:rPr>
        <w:t>This aligns with Kumar’s (2020) concept of engagement value, where value is created through collaborative relationships and shared knowledge. Workplace evidence from MDT reviews shows that MDT professionals rely on predictable communication and accurate documentation.</w:t>
      </w:r>
    </w:p>
    <w:p w14:paraId="16DCCD73" w14:textId="77777777" w:rsidR="00C23443" w:rsidRPr="009A2930" w:rsidRDefault="00C23443" w:rsidP="00C23443">
      <w:pPr>
        <w:rPr>
          <w:rFonts w:ascii="Tahoma" w:hAnsi="Tahoma" w:cs="Tahoma"/>
          <w:b/>
          <w:bCs/>
          <w:sz w:val="24"/>
          <w:szCs w:val="24"/>
          <w:u w:val="single"/>
        </w:rPr>
      </w:pPr>
      <w:r w:rsidRPr="009A2930">
        <w:rPr>
          <w:rFonts w:ascii="Tahoma" w:hAnsi="Tahoma" w:cs="Tahoma"/>
          <w:b/>
          <w:bCs/>
          <w:sz w:val="24"/>
          <w:szCs w:val="24"/>
          <w:u w:val="single"/>
        </w:rPr>
        <w:t>6. Internal Customers (Staff &amp; Managers)</w:t>
      </w:r>
    </w:p>
    <w:p w14:paraId="2FC264A8" w14:textId="77777777" w:rsidR="00C23443" w:rsidRPr="00E9304C" w:rsidRDefault="00C23443" w:rsidP="00C23443">
      <w:pPr>
        <w:rPr>
          <w:rFonts w:ascii="Tahoma" w:hAnsi="Tahoma" w:cs="Tahoma"/>
          <w:sz w:val="24"/>
          <w:szCs w:val="24"/>
        </w:rPr>
      </w:pPr>
      <w:r w:rsidRPr="00E9304C">
        <w:rPr>
          <w:rFonts w:ascii="Tahoma" w:hAnsi="Tahoma" w:cs="Tahoma"/>
          <w:sz w:val="24"/>
          <w:szCs w:val="24"/>
        </w:rPr>
        <w:t>Although often overlooked, staff are internal customers because quality systems must support their ability to deliver trauma</w:t>
      </w:r>
      <w:r w:rsidRPr="00E9304C">
        <w:rPr>
          <w:rFonts w:ascii="Tahoma" w:hAnsi="Tahoma" w:cs="Tahoma"/>
          <w:sz w:val="24"/>
          <w:szCs w:val="24"/>
        </w:rPr>
        <w:noBreakHyphen/>
        <w:t>informed care. They require:</w:t>
      </w:r>
    </w:p>
    <w:p w14:paraId="4F9C5D7E" w14:textId="77777777" w:rsidR="00C23443" w:rsidRPr="00451DCE" w:rsidRDefault="00C23443" w:rsidP="00451DCE">
      <w:pPr>
        <w:pStyle w:val="ListParagraph"/>
        <w:numPr>
          <w:ilvl w:val="0"/>
          <w:numId w:val="32"/>
        </w:numPr>
        <w:rPr>
          <w:rFonts w:ascii="Tahoma" w:hAnsi="Tahoma" w:cs="Tahoma"/>
        </w:rPr>
      </w:pPr>
      <w:r w:rsidRPr="00451DCE">
        <w:rPr>
          <w:rFonts w:ascii="Tahoma" w:hAnsi="Tahoma" w:cs="Tahoma"/>
        </w:rPr>
        <w:t>Clear processes and expectations</w:t>
      </w:r>
    </w:p>
    <w:p w14:paraId="3CBB8A28" w14:textId="77777777" w:rsidR="00C23443" w:rsidRPr="00451DCE" w:rsidRDefault="00C23443" w:rsidP="00451DCE">
      <w:pPr>
        <w:pStyle w:val="ListParagraph"/>
        <w:numPr>
          <w:ilvl w:val="0"/>
          <w:numId w:val="32"/>
        </w:numPr>
        <w:rPr>
          <w:rFonts w:ascii="Tahoma" w:hAnsi="Tahoma" w:cs="Tahoma"/>
        </w:rPr>
      </w:pPr>
      <w:r w:rsidRPr="00451DCE">
        <w:rPr>
          <w:rFonts w:ascii="Tahoma" w:hAnsi="Tahoma" w:cs="Tahoma"/>
        </w:rPr>
        <w:t>Effective communication systems</w:t>
      </w:r>
    </w:p>
    <w:p w14:paraId="01B00324" w14:textId="77777777" w:rsidR="00C23443" w:rsidRPr="00451DCE" w:rsidRDefault="00C23443" w:rsidP="00451DCE">
      <w:pPr>
        <w:pStyle w:val="ListParagraph"/>
        <w:numPr>
          <w:ilvl w:val="0"/>
          <w:numId w:val="32"/>
        </w:numPr>
        <w:rPr>
          <w:rFonts w:ascii="Tahoma" w:hAnsi="Tahoma" w:cs="Tahoma"/>
        </w:rPr>
      </w:pPr>
      <w:r w:rsidRPr="00451DCE">
        <w:rPr>
          <w:rFonts w:ascii="Tahoma" w:hAnsi="Tahoma" w:cs="Tahoma"/>
        </w:rPr>
        <w:t>Supportive supervision and reflective practice</w:t>
      </w:r>
    </w:p>
    <w:p w14:paraId="5875310D" w14:textId="77777777" w:rsidR="00C23443" w:rsidRPr="00451DCE" w:rsidRDefault="00C23443" w:rsidP="00451DCE">
      <w:pPr>
        <w:pStyle w:val="ListParagraph"/>
        <w:numPr>
          <w:ilvl w:val="0"/>
          <w:numId w:val="32"/>
        </w:numPr>
        <w:rPr>
          <w:rFonts w:ascii="Tahoma" w:hAnsi="Tahoma" w:cs="Tahoma"/>
        </w:rPr>
      </w:pPr>
      <w:r w:rsidRPr="00451DCE">
        <w:rPr>
          <w:rFonts w:ascii="Tahoma" w:hAnsi="Tahoma" w:cs="Tahoma"/>
        </w:rPr>
        <w:t>Safe staffing levels</w:t>
      </w:r>
    </w:p>
    <w:p w14:paraId="22E7A9AD" w14:textId="77777777" w:rsidR="00C23443" w:rsidRPr="00451DCE" w:rsidRDefault="00C23443" w:rsidP="00451DCE">
      <w:pPr>
        <w:pStyle w:val="ListParagraph"/>
        <w:numPr>
          <w:ilvl w:val="0"/>
          <w:numId w:val="32"/>
        </w:numPr>
        <w:rPr>
          <w:rFonts w:ascii="Tahoma" w:hAnsi="Tahoma" w:cs="Tahoma"/>
        </w:rPr>
      </w:pPr>
      <w:r w:rsidRPr="00451DCE">
        <w:rPr>
          <w:rFonts w:ascii="Tahoma" w:hAnsi="Tahoma" w:cs="Tahoma"/>
        </w:rPr>
        <w:t>Access to training and development</w:t>
      </w:r>
    </w:p>
    <w:p w14:paraId="2C65162F" w14:textId="77777777" w:rsidR="00C23443" w:rsidRPr="00E9304C" w:rsidRDefault="00C23443" w:rsidP="00C23443">
      <w:pPr>
        <w:rPr>
          <w:rFonts w:ascii="Tahoma" w:hAnsi="Tahoma" w:cs="Tahoma"/>
          <w:sz w:val="24"/>
          <w:szCs w:val="24"/>
        </w:rPr>
      </w:pPr>
      <w:r w:rsidRPr="00E9304C">
        <w:rPr>
          <w:rFonts w:ascii="Tahoma" w:hAnsi="Tahoma" w:cs="Tahoma"/>
          <w:sz w:val="24"/>
          <w:szCs w:val="24"/>
        </w:rPr>
        <w:t>Deming (1982) and Juran (1988) emphasise that internal customers are essential for quality improvement, as staff must be supported to deliver consistent, emotionally attuned care. Workplace evidence from supervision notes and incident reviews shows that staff define value through clarity, support, and manageable workloads.</w:t>
      </w:r>
    </w:p>
    <w:p w14:paraId="3D10D5BA"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2.1 Critical Analysis of the Factors That Impact Customer Value</w:t>
      </w:r>
    </w:p>
    <w:p w14:paraId="49E41371" w14:textId="77777777" w:rsidR="00C23443" w:rsidRPr="00E9304C" w:rsidRDefault="00C23443" w:rsidP="00C23443">
      <w:pPr>
        <w:rPr>
          <w:rFonts w:ascii="Tahoma" w:hAnsi="Tahoma" w:cs="Tahoma"/>
          <w:sz w:val="24"/>
          <w:szCs w:val="24"/>
        </w:rPr>
      </w:pPr>
      <w:r w:rsidRPr="00E9304C">
        <w:rPr>
          <w:rFonts w:ascii="Tahoma" w:hAnsi="Tahoma" w:cs="Tahoma"/>
          <w:sz w:val="24"/>
          <w:szCs w:val="24"/>
        </w:rPr>
        <w:t>Customer value in residential mental</w:t>
      </w:r>
      <w:r w:rsidRPr="00E9304C">
        <w:rPr>
          <w:rFonts w:ascii="Tahoma" w:hAnsi="Tahoma" w:cs="Tahoma"/>
          <w:sz w:val="24"/>
          <w:szCs w:val="24"/>
        </w:rPr>
        <w:noBreakHyphen/>
        <w:t xml:space="preserve">health care is shaped by organisational, cultural, regulatory, and relational factors that influence how residents experience safety, autonomy, trust, and emotional wellbeing. Applying criticality, the disciplined interrogation of assumptions, evidence, and contradictions enables leaders to evaluate how these factors support or undermine value. Pearson’s RED model provides a structured lens for recognising assumptions, evaluating evidence, and drawing conclusions about organisational effectiveness, ensuring decisions are grounded in lived experience rather than organisational convenience. </w:t>
      </w:r>
    </w:p>
    <w:p w14:paraId="4DCAABD8" w14:textId="77777777" w:rsidR="00C23443" w:rsidRPr="00E9304C" w:rsidRDefault="00C23443" w:rsidP="00C23443">
      <w:pPr>
        <w:rPr>
          <w:rFonts w:ascii="Tahoma" w:hAnsi="Tahoma" w:cs="Tahoma"/>
          <w:sz w:val="24"/>
          <w:szCs w:val="24"/>
        </w:rPr>
      </w:pPr>
      <w:r w:rsidRPr="00E9304C">
        <w:rPr>
          <w:rFonts w:ascii="Tahoma" w:hAnsi="Tahoma" w:cs="Tahoma"/>
          <w:sz w:val="24"/>
          <w:szCs w:val="24"/>
        </w:rPr>
        <w:t>A critical evaluation of organisational culture shows that trauma</w:t>
      </w:r>
      <w:r w:rsidRPr="00E9304C">
        <w:rPr>
          <w:rFonts w:ascii="Tahoma" w:hAnsi="Tahoma" w:cs="Tahoma"/>
          <w:sz w:val="24"/>
          <w:szCs w:val="24"/>
        </w:rPr>
        <w:noBreakHyphen/>
        <w:t>informed values, PBS principles, and reflective practice maximise value only when consistently modelled by staff. CIW inspections (2021–2026) highlight that emotional safety and predictability underpin wellbeing, supporting Shaw and Hamilton’s (2020) argument that emotional and subconscious cues shape customer experience more strongly than functional tasks. RED analysis exposes a contradiction: under staffing pressure, culture often shifts toward task</w:t>
      </w:r>
      <w:r w:rsidRPr="00E9304C">
        <w:rPr>
          <w:rFonts w:ascii="Tahoma" w:hAnsi="Tahoma" w:cs="Tahoma"/>
          <w:sz w:val="24"/>
          <w:szCs w:val="24"/>
        </w:rPr>
        <w:noBreakHyphen/>
        <w:t>driven routines, increasing emotional “costs” such as anxiety and reduced autonomy (Kotler, 2020). Culture is effective only when lived consistently, not simply stated in policy.</w:t>
      </w:r>
    </w:p>
    <w:p w14:paraId="732F567B" w14:textId="77777777" w:rsidR="00C23443" w:rsidRPr="00E9304C" w:rsidRDefault="00C23443" w:rsidP="00C23443">
      <w:pPr>
        <w:rPr>
          <w:rFonts w:ascii="Tahoma" w:hAnsi="Tahoma" w:cs="Tahoma"/>
          <w:sz w:val="24"/>
          <w:szCs w:val="24"/>
        </w:rPr>
      </w:pPr>
      <w:r w:rsidRPr="00E9304C">
        <w:rPr>
          <w:rFonts w:ascii="Tahoma" w:hAnsi="Tahoma" w:cs="Tahoma"/>
          <w:sz w:val="24"/>
          <w:szCs w:val="24"/>
        </w:rPr>
        <w:lastRenderedPageBreak/>
        <w:t>Staff competence and emotional intelligence further determine whether organisational systems work in practice. Workforce development policies emphasise trauma</w:t>
      </w:r>
      <w:r w:rsidRPr="00E9304C">
        <w:rPr>
          <w:rFonts w:ascii="Tahoma" w:hAnsi="Tahoma" w:cs="Tahoma"/>
          <w:sz w:val="24"/>
          <w:szCs w:val="24"/>
        </w:rPr>
        <w:noBreakHyphen/>
        <w:t>informed practice and de</w:t>
      </w:r>
      <w:r w:rsidRPr="00E9304C">
        <w:rPr>
          <w:rFonts w:ascii="Tahoma" w:hAnsi="Tahoma" w:cs="Tahoma"/>
          <w:sz w:val="24"/>
          <w:szCs w:val="24"/>
        </w:rPr>
        <w:noBreakHyphen/>
        <w:t>escalation, yet supervision notes and incident trends show variability in how staff apply these skills. This reveals a gap between training and lived practice. Kumar (2020) argues that emotional intelligence — not training alone — drives relational value, reinforcing the need for reflective supervision and continuous competence development. RED analysis shows that the assumption “training equals competence” is flawed.</w:t>
      </w:r>
    </w:p>
    <w:p w14:paraId="7A15A4CA" w14:textId="77777777" w:rsidR="00C23443" w:rsidRPr="00E9304C" w:rsidRDefault="00C23443" w:rsidP="00C23443">
      <w:pPr>
        <w:rPr>
          <w:rFonts w:ascii="Tahoma" w:hAnsi="Tahoma" w:cs="Tahoma"/>
          <w:sz w:val="24"/>
          <w:szCs w:val="24"/>
        </w:rPr>
      </w:pPr>
      <w:r w:rsidRPr="00E9304C">
        <w:rPr>
          <w:rFonts w:ascii="Tahoma" w:hAnsi="Tahoma" w:cs="Tahoma"/>
          <w:sz w:val="24"/>
          <w:szCs w:val="24"/>
        </w:rPr>
        <w:t>Communication quality is another critical determinant of customer value. CIW feedback, resident voice, and handover audits consistently show that inconsistent communication increases anxiety and reduces trust. Toulmin’s argument model demonstrates that emotional safety depends on clarity and predictability. While documentation pressures are a counterargument, digital systems such as Access Care Planning (2025 rollout) can improve clarity. RED analysis reinforces that communication is therapeutic, not procedural, and emotionally attuned communication is central to trauma</w:t>
      </w:r>
      <w:r w:rsidRPr="00E9304C">
        <w:rPr>
          <w:rFonts w:ascii="Tahoma" w:hAnsi="Tahoma" w:cs="Tahoma"/>
          <w:sz w:val="24"/>
          <w:szCs w:val="24"/>
        </w:rPr>
        <w:noBreakHyphen/>
        <w:t>informed practice.</w:t>
      </w:r>
    </w:p>
    <w:p w14:paraId="2B5FE02E" w14:textId="06342C21" w:rsidR="00C23443" w:rsidRPr="00E9304C" w:rsidRDefault="00C23443" w:rsidP="00C23443">
      <w:pPr>
        <w:rPr>
          <w:rFonts w:ascii="Tahoma" w:hAnsi="Tahoma" w:cs="Tahoma"/>
          <w:sz w:val="24"/>
          <w:szCs w:val="24"/>
        </w:rPr>
      </w:pPr>
      <w:r w:rsidRPr="00E9304C">
        <w:rPr>
          <w:rFonts w:ascii="Tahoma" w:hAnsi="Tahoma" w:cs="Tahoma"/>
          <w:sz w:val="24"/>
          <w:szCs w:val="24"/>
        </w:rPr>
        <w:t>Resource allocation significantly shapes relational care. Staffing shortages, turnover, and reliance on unfamiliar agency workers disrupt continuity and reduce opportunities for meaningful engagement — core components of emotional and life</w:t>
      </w:r>
      <w:r w:rsidRPr="00E9304C">
        <w:rPr>
          <w:rFonts w:ascii="Tahoma" w:hAnsi="Tahoma" w:cs="Tahoma"/>
          <w:sz w:val="24"/>
          <w:szCs w:val="24"/>
        </w:rPr>
        <w:noBreakHyphen/>
        <w:t xml:space="preserve">changing value (Almquist, Senior &amp; Bloch, 2016). Critical analysis exposes tensions between regulatory compliance and relational care: safeguarding, GDPR, and CIW documentation ensure safety, yet excessive administrative load reduces time for personalised interaction. RED analysis shows that “minimum staffing is adequate” is contradicted by evidence of increased incidents and heightened anxiety during pressured shifts. </w:t>
      </w:r>
    </w:p>
    <w:p w14:paraId="182815DC" w14:textId="44CEB70B" w:rsidR="00C23443" w:rsidRPr="00E9304C" w:rsidRDefault="00C23443" w:rsidP="00C23443">
      <w:pPr>
        <w:rPr>
          <w:rFonts w:ascii="Tahoma" w:hAnsi="Tahoma" w:cs="Tahoma"/>
          <w:sz w:val="24"/>
          <w:szCs w:val="24"/>
        </w:rPr>
      </w:pPr>
      <w:r w:rsidRPr="00E9304C">
        <w:rPr>
          <w:rFonts w:ascii="Tahoma" w:hAnsi="Tahoma" w:cs="Tahoma"/>
          <w:sz w:val="24"/>
          <w:szCs w:val="24"/>
        </w:rPr>
        <w:t>Quality systems such as audits, risk assessments, and incident reviews aim to support improvement, but without critical oversight they risk becoming procedural rather than reflective. Juran, Deming, and Garvin emphasise meaningful quality, yet care plans often meet regulatory standards while failing to capture tacit knowledge essential for personalised support. RED analysis shows that quality systems maximise value only when leaders interrogate the evidence they produce and ensure processes reflect lived experience rather than regulatory formality</w:t>
      </w:r>
      <w:r w:rsidR="00EF1B39">
        <w:rPr>
          <w:rFonts w:ascii="Tahoma" w:hAnsi="Tahoma" w:cs="Tahoma"/>
          <w:sz w:val="24"/>
          <w:szCs w:val="24"/>
        </w:rPr>
        <w:t>.</w:t>
      </w:r>
    </w:p>
    <w:p w14:paraId="54DB67E5" w14:textId="77777777" w:rsidR="00C23443" w:rsidRPr="00E9304C" w:rsidRDefault="00C23443" w:rsidP="00C23443">
      <w:pPr>
        <w:rPr>
          <w:rFonts w:ascii="Tahoma" w:hAnsi="Tahoma" w:cs="Tahoma"/>
          <w:sz w:val="24"/>
          <w:szCs w:val="24"/>
        </w:rPr>
      </w:pPr>
      <w:r w:rsidRPr="00E9304C">
        <w:rPr>
          <w:rFonts w:ascii="Tahoma" w:hAnsi="Tahoma" w:cs="Tahoma"/>
          <w:sz w:val="24"/>
          <w:szCs w:val="24"/>
        </w:rPr>
        <w:t xml:space="preserve">Customer value is also shaped by how organisations understand and respond to different customer groups. Segmentation theory (Porter, 2021; Pollack, 2022) shows that residents prioritise emotional safety and predictability; families prioritise reassurance; commissioners prioritise outcomes; regulators prioritise compliance. Customer centrality requires prioritising resident wellbeing above organisational convenience, yet commissioning KPIs and audit cycles can shift focus toward efficiency rather than personalised care. Critical evaluation ensures frameworks such as the </w:t>
      </w:r>
      <w:r w:rsidRPr="00E9304C">
        <w:rPr>
          <w:rFonts w:ascii="Tahoma" w:hAnsi="Tahoma" w:cs="Tahoma"/>
          <w:sz w:val="24"/>
          <w:szCs w:val="24"/>
        </w:rPr>
        <w:lastRenderedPageBreak/>
        <w:t>Resident Voice &amp; Engagement Framework (2024) are applied meaningfully rather than symbolically.</w:t>
      </w:r>
    </w:p>
    <w:p w14:paraId="002DA745" w14:textId="77777777" w:rsidR="00C23443" w:rsidRPr="00E9304C" w:rsidRDefault="00C23443" w:rsidP="00C23443">
      <w:pPr>
        <w:rPr>
          <w:rFonts w:ascii="Tahoma" w:hAnsi="Tahoma" w:cs="Tahoma"/>
          <w:sz w:val="24"/>
          <w:szCs w:val="24"/>
        </w:rPr>
      </w:pPr>
      <w:r w:rsidRPr="00E9304C">
        <w:rPr>
          <w:rFonts w:ascii="Tahoma" w:hAnsi="Tahoma" w:cs="Tahoma"/>
          <w:sz w:val="24"/>
          <w:szCs w:val="24"/>
        </w:rPr>
        <w:t>Contemporary customer value theory reinforces these findings. Woodruff (1997) defines value as the achievement of personal goals — highly relevant in mental</w:t>
      </w:r>
      <w:r w:rsidRPr="00E9304C">
        <w:rPr>
          <w:rFonts w:ascii="Tahoma" w:hAnsi="Tahoma" w:cs="Tahoma"/>
          <w:sz w:val="24"/>
          <w:szCs w:val="24"/>
        </w:rPr>
        <w:noBreakHyphen/>
        <w:t>health settings where goals relate to stability, autonomy, and psychological safety. The Value Pyramid (Almquist et al., 2016) shows that functional value (safety, reliability) forms the foundation, but emotional and life</w:t>
      </w:r>
      <w:r w:rsidRPr="00E9304C">
        <w:rPr>
          <w:rFonts w:ascii="Tahoma" w:hAnsi="Tahoma" w:cs="Tahoma"/>
          <w:sz w:val="24"/>
          <w:szCs w:val="24"/>
        </w:rPr>
        <w:noBreakHyphen/>
        <w:t>changing value (hope, belonging, autonomy) depend on staff competence, emotional intelligence, and organisational culture. Kotler’s (2020) value equation highlights that emotional “costs” such as anxiety or unpredictability can outweigh functional benefits when communication is inconsistent or staffing unstable. Kumar’s (2020) concepts of Customer Lifetime Value, Engagement Value, and Knowledge Value emphasise the importance of trust, relational consistency, and staff understanding of residents’ histories and triggers. Reichheld’s (2003) loyalty theory further shows that loyalty is built through emotional engagement, not compliance tasks.</w:t>
      </w:r>
    </w:p>
    <w:p w14:paraId="4E1CA59D" w14:textId="10B6572E" w:rsidR="00845D0C" w:rsidRPr="009A2930" w:rsidRDefault="00C23443" w:rsidP="00C23443">
      <w:pPr>
        <w:rPr>
          <w:rFonts w:ascii="Tahoma" w:hAnsi="Tahoma" w:cs="Tahoma"/>
          <w:sz w:val="24"/>
          <w:szCs w:val="24"/>
        </w:rPr>
      </w:pPr>
      <w:r w:rsidRPr="00E9304C">
        <w:rPr>
          <w:rFonts w:ascii="Tahoma" w:hAnsi="Tahoma" w:cs="Tahoma"/>
          <w:sz w:val="24"/>
          <w:szCs w:val="24"/>
        </w:rPr>
        <w:t>Overall, customer value in mental</w:t>
      </w:r>
      <w:r w:rsidRPr="00E9304C">
        <w:rPr>
          <w:rFonts w:ascii="Tahoma" w:hAnsi="Tahoma" w:cs="Tahoma"/>
          <w:sz w:val="24"/>
          <w:szCs w:val="24"/>
        </w:rPr>
        <w:noBreakHyphen/>
        <w:t>health residential care is multidimensional, subjective, and relational. It is maximised when organisational culture, staff competence, communication quality, resource allocation, quality systems, CRM, segmentation, and regulatory interpretation align with residents’ lived experiences. RED analysis reinforces that functional processes ensure safety, but emotional interactions and personalised, trauma</w:t>
      </w:r>
      <w:r w:rsidRPr="00E9304C">
        <w:rPr>
          <w:rFonts w:ascii="Tahoma" w:hAnsi="Tahoma" w:cs="Tahoma"/>
          <w:sz w:val="24"/>
          <w:szCs w:val="24"/>
        </w:rPr>
        <w:noBreakHyphen/>
        <w:t>informed practice create higher</w:t>
      </w:r>
      <w:r w:rsidRPr="00E9304C">
        <w:rPr>
          <w:rFonts w:ascii="Tahoma" w:hAnsi="Tahoma" w:cs="Tahoma"/>
          <w:sz w:val="24"/>
          <w:szCs w:val="24"/>
        </w:rPr>
        <w:noBreakHyphen/>
        <w:t>level value. When these elements do not align, customer value declines despite procedural compliance.</w:t>
      </w:r>
    </w:p>
    <w:p w14:paraId="4C9E6402" w14:textId="2A7E99D1"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2.</w:t>
      </w:r>
      <w:r w:rsidR="00845D0C">
        <w:rPr>
          <w:rFonts w:ascii="Tahoma" w:hAnsi="Tahoma" w:cs="Tahoma"/>
          <w:b/>
          <w:bCs/>
          <w:sz w:val="24"/>
          <w:szCs w:val="24"/>
          <w:u w:val="single"/>
        </w:rPr>
        <w:t>2</w:t>
      </w:r>
      <w:r w:rsidR="00845D0C" w:rsidRPr="00845D0C">
        <w:rPr>
          <w:rFonts w:ascii="Tahoma" w:eastAsia="Times New Roman" w:hAnsi="Tahoma" w:cs="Tahoma"/>
          <w:b/>
          <w:bCs/>
          <w:sz w:val="24"/>
          <w:szCs w:val="24"/>
          <w:u w:val="single"/>
          <w:lang w:eastAsia="en-GB"/>
        </w:rPr>
        <w:t xml:space="preserve"> </w:t>
      </w:r>
      <w:r w:rsidRPr="00E9304C">
        <w:rPr>
          <w:rFonts w:ascii="Tahoma" w:hAnsi="Tahoma" w:cs="Tahoma"/>
          <w:b/>
          <w:bCs/>
          <w:sz w:val="24"/>
          <w:szCs w:val="24"/>
          <w:u w:val="single"/>
        </w:rPr>
        <w:t>Understanding Customer Needs in Residential Mental</w:t>
      </w:r>
      <w:r w:rsidRPr="00E9304C">
        <w:rPr>
          <w:rFonts w:ascii="Tahoma" w:hAnsi="Tahoma" w:cs="Tahoma"/>
          <w:b/>
          <w:bCs/>
          <w:sz w:val="24"/>
          <w:szCs w:val="24"/>
          <w:u w:val="single"/>
        </w:rPr>
        <w:noBreakHyphen/>
        <w:t>Health Care</w:t>
      </w:r>
    </w:p>
    <w:p w14:paraId="736F86DA" w14:textId="77777777" w:rsidR="00C23443" w:rsidRPr="00E9304C" w:rsidRDefault="00C23443" w:rsidP="00C23443">
      <w:pPr>
        <w:rPr>
          <w:rFonts w:ascii="Tahoma" w:hAnsi="Tahoma" w:cs="Tahoma"/>
          <w:sz w:val="24"/>
          <w:szCs w:val="24"/>
        </w:rPr>
      </w:pPr>
      <w:r w:rsidRPr="00E9304C">
        <w:rPr>
          <w:rFonts w:ascii="Tahoma" w:hAnsi="Tahoma" w:cs="Tahoma"/>
          <w:sz w:val="24"/>
          <w:szCs w:val="24"/>
        </w:rPr>
        <w:t>Before critically analysing organisational factors, it is essential to establish what customers actually need and value in residential mental</w:t>
      </w:r>
      <w:r w:rsidRPr="00E9304C">
        <w:rPr>
          <w:rFonts w:ascii="Tahoma" w:hAnsi="Tahoma" w:cs="Tahoma"/>
          <w:sz w:val="24"/>
          <w:szCs w:val="24"/>
        </w:rPr>
        <w:noBreakHyphen/>
        <w:t>health care. In this context, “customers” include residents, families, commissioners, regulators, and MDT professionals, each with distinct expectations that shape how value is defined.</w:t>
      </w:r>
    </w:p>
    <w:p w14:paraId="18954924" w14:textId="77777777" w:rsidR="00C23443" w:rsidRPr="00E9304C" w:rsidRDefault="00C23443" w:rsidP="00C23443">
      <w:pPr>
        <w:rPr>
          <w:rFonts w:ascii="Tahoma" w:hAnsi="Tahoma" w:cs="Tahoma"/>
          <w:sz w:val="24"/>
          <w:szCs w:val="24"/>
        </w:rPr>
      </w:pPr>
      <w:r w:rsidRPr="00E9304C">
        <w:rPr>
          <w:rFonts w:ascii="Tahoma" w:hAnsi="Tahoma" w:cs="Tahoma"/>
          <w:sz w:val="24"/>
          <w:szCs w:val="24"/>
        </w:rPr>
        <w:t>Residents prioritise emotional and psychological value:</w:t>
      </w:r>
    </w:p>
    <w:p w14:paraId="3223ABF1"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Emotional safety through calm environments and attuned communication</w:t>
      </w:r>
    </w:p>
    <w:p w14:paraId="1D88096E"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Predictability via consistent routines and stable staffing</w:t>
      </w:r>
    </w:p>
    <w:p w14:paraId="06DE8261"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Autonomy and involvement in decision</w:t>
      </w:r>
      <w:r w:rsidRPr="00451DCE">
        <w:rPr>
          <w:rFonts w:ascii="Tahoma" w:hAnsi="Tahoma" w:cs="Tahoma"/>
        </w:rPr>
        <w:noBreakHyphen/>
        <w:t>making</w:t>
      </w:r>
    </w:p>
    <w:p w14:paraId="213C664F"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Trust built through relational consistency</w:t>
      </w:r>
    </w:p>
    <w:p w14:paraId="252D987A"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Belonging and meaningful engagement</w:t>
      </w:r>
    </w:p>
    <w:p w14:paraId="613F4780"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Reduced distress through PBS strategies and co</w:t>
      </w:r>
      <w:r w:rsidRPr="00451DCE">
        <w:rPr>
          <w:rFonts w:ascii="Tahoma" w:hAnsi="Tahoma" w:cs="Tahoma"/>
        </w:rPr>
        <w:noBreakHyphen/>
        <w:t>regulation</w:t>
      </w:r>
    </w:p>
    <w:p w14:paraId="53A6E8C5"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needs align with trauma</w:t>
      </w:r>
      <w:r w:rsidRPr="00E9304C">
        <w:rPr>
          <w:rFonts w:ascii="Tahoma" w:hAnsi="Tahoma" w:cs="Tahoma"/>
          <w:sz w:val="24"/>
          <w:szCs w:val="24"/>
        </w:rPr>
        <w:noBreakHyphen/>
        <w:t>informed practice and the higher</w:t>
      </w:r>
      <w:r w:rsidRPr="00E9304C">
        <w:rPr>
          <w:rFonts w:ascii="Tahoma" w:hAnsi="Tahoma" w:cs="Tahoma"/>
          <w:sz w:val="24"/>
          <w:szCs w:val="24"/>
        </w:rPr>
        <w:noBreakHyphen/>
        <w:t>level emotional and life</w:t>
      </w:r>
      <w:r w:rsidRPr="00E9304C">
        <w:rPr>
          <w:rFonts w:ascii="Tahoma" w:hAnsi="Tahoma" w:cs="Tahoma"/>
          <w:sz w:val="24"/>
          <w:szCs w:val="24"/>
        </w:rPr>
        <w:noBreakHyphen/>
        <w:t>changing value described by Almquist et al. (2016).</w:t>
      </w:r>
    </w:p>
    <w:p w14:paraId="453C9D4A" w14:textId="77777777" w:rsidR="00C23443" w:rsidRPr="00E9304C" w:rsidRDefault="00C23443" w:rsidP="00C23443">
      <w:pPr>
        <w:rPr>
          <w:rFonts w:ascii="Tahoma" w:hAnsi="Tahoma" w:cs="Tahoma"/>
          <w:sz w:val="24"/>
          <w:szCs w:val="24"/>
        </w:rPr>
      </w:pPr>
      <w:r w:rsidRPr="00E9304C">
        <w:rPr>
          <w:rFonts w:ascii="Tahoma" w:hAnsi="Tahoma" w:cs="Tahoma"/>
          <w:sz w:val="24"/>
          <w:szCs w:val="24"/>
        </w:rPr>
        <w:lastRenderedPageBreak/>
        <w:t>Families want reassurance, transparency, and involvement. Their perception of value is shaped by communication quality, trust, and evidence that their relative is emotionally safe and supported.</w:t>
      </w:r>
    </w:p>
    <w:p w14:paraId="416B03EA" w14:textId="77777777" w:rsidR="00C23443" w:rsidRPr="00E9304C" w:rsidRDefault="00C23443" w:rsidP="00C23443">
      <w:pPr>
        <w:rPr>
          <w:rFonts w:ascii="Tahoma" w:hAnsi="Tahoma" w:cs="Tahoma"/>
          <w:sz w:val="24"/>
          <w:szCs w:val="24"/>
        </w:rPr>
      </w:pPr>
      <w:r w:rsidRPr="00E9304C">
        <w:rPr>
          <w:rFonts w:ascii="Tahoma" w:hAnsi="Tahoma" w:cs="Tahoma"/>
          <w:sz w:val="24"/>
          <w:szCs w:val="24"/>
        </w:rPr>
        <w:t>Commissioners define value through functional outcomes: CIW compliance, safeguarding assurance, cost</w:t>
      </w:r>
      <w:r w:rsidRPr="00E9304C">
        <w:rPr>
          <w:rFonts w:ascii="Tahoma" w:hAnsi="Tahoma" w:cs="Tahoma"/>
          <w:sz w:val="24"/>
          <w:szCs w:val="24"/>
        </w:rPr>
        <w:noBreakHyphen/>
        <w:t>effectiveness, and predictable service delivery. Their needs reflect Kotler’s value equation, where functional reliability must outweigh perceived risks.</w:t>
      </w:r>
    </w:p>
    <w:p w14:paraId="4181EE4A" w14:textId="77777777" w:rsidR="00C23443" w:rsidRPr="00E9304C" w:rsidRDefault="00C23443" w:rsidP="00C23443">
      <w:pPr>
        <w:rPr>
          <w:rFonts w:ascii="Tahoma" w:hAnsi="Tahoma" w:cs="Tahoma"/>
          <w:sz w:val="24"/>
          <w:szCs w:val="24"/>
        </w:rPr>
      </w:pPr>
      <w:r w:rsidRPr="00E9304C">
        <w:rPr>
          <w:rFonts w:ascii="Tahoma" w:hAnsi="Tahoma" w:cs="Tahoma"/>
          <w:sz w:val="24"/>
          <w:szCs w:val="24"/>
        </w:rPr>
        <w:t>Regulators (CIW) focus on governance, documentation accuracy, safety, and quality assurance. Their needs emphasise functional value and compliance.</w:t>
      </w:r>
    </w:p>
    <w:p w14:paraId="309F7542" w14:textId="77777777" w:rsidR="00C23443" w:rsidRPr="00E9304C" w:rsidRDefault="00C23443" w:rsidP="00C23443">
      <w:pPr>
        <w:rPr>
          <w:rFonts w:ascii="Tahoma" w:hAnsi="Tahoma" w:cs="Tahoma"/>
          <w:sz w:val="24"/>
          <w:szCs w:val="24"/>
        </w:rPr>
      </w:pPr>
      <w:r w:rsidRPr="00E9304C">
        <w:rPr>
          <w:rFonts w:ascii="Tahoma" w:hAnsi="Tahoma" w:cs="Tahoma"/>
          <w:sz w:val="24"/>
          <w:szCs w:val="24"/>
        </w:rPr>
        <w:t>MDT professionals and advocates require collaboration, clarity, and consistency to support clinical decision</w:t>
      </w:r>
      <w:r w:rsidRPr="00E9304C">
        <w:rPr>
          <w:rFonts w:ascii="Tahoma" w:hAnsi="Tahoma" w:cs="Tahoma"/>
          <w:sz w:val="24"/>
          <w:szCs w:val="24"/>
        </w:rPr>
        <w:noBreakHyphen/>
        <w:t>making and ensure continuity of care.</w:t>
      </w:r>
    </w:p>
    <w:p w14:paraId="043607EC" w14:textId="38CCB356" w:rsidR="00C23443" w:rsidRPr="009A2930" w:rsidRDefault="00C23443" w:rsidP="00C23443">
      <w:pPr>
        <w:rPr>
          <w:rFonts w:ascii="Tahoma" w:hAnsi="Tahoma" w:cs="Tahoma"/>
          <w:sz w:val="24"/>
          <w:szCs w:val="24"/>
        </w:rPr>
      </w:pPr>
      <w:r w:rsidRPr="00E9304C">
        <w:rPr>
          <w:rFonts w:ascii="Tahoma" w:hAnsi="Tahoma" w:cs="Tahoma"/>
          <w:sz w:val="24"/>
          <w:szCs w:val="24"/>
        </w:rPr>
        <w:t>Critically, RED analysis shows that residents’ emotional and psychological needs must remain central, as they represent the highest</w:t>
      </w:r>
      <w:r w:rsidRPr="00E9304C">
        <w:rPr>
          <w:rFonts w:ascii="Tahoma" w:hAnsi="Tahoma" w:cs="Tahoma"/>
          <w:sz w:val="24"/>
          <w:szCs w:val="24"/>
        </w:rPr>
        <w:noBreakHyphen/>
        <w:t>impact value dimension. When organisational convenience overrides these needs, emotional value declines even if compliance remains strong. Therefore, organisational culture, communication, competence, resource allocation, and quality systems must be evaluated against their ability to meet these diverse customer requirements — particularly the trauma</w:t>
      </w:r>
      <w:r w:rsidRPr="00E9304C">
        <w:rPr>
          <w:rFonts w:ascii="Tahoma" w:hAnsi="Tahoma" w:cs="Tahoma"/>
          <w:sz w:val="24"/>
          <w:szCs w:val="24"/>
        </w:rPr>
        <w:noBreakHyphen/>
        <w:t>informed needs of residents. (see Appendix B: RED Analysis Framework).</w:t>
      </w:r>
    </w:p>
    <w:p w14:paraId="27DA8CA0" w14:textId="62C72103"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2.</w:t>
      </w:r>
      <w:r w:rsidR="00845D0C">
        <w:rPr>
          <w:rFonts w:ascii="Tahoma" w:hAnsi="Tahoma" w:cs="Tahoma"/>
          <w:b/>
          <w:bCs/>
          <w:sz w:val="24"/>
          <w:szCs w:val="24"/>
          <w:u w:val="single"/>
        </w:rPr>
        <w:t xml:space="preserve">3 </w:t>
      </w:r>
      <w:r w:rsidRPr="00E9304C">
        <w:rPr>
          <w:rFonts w:ascii="Tahoma" w:hAnsi="Tahoma" w:cs="Tahoma"/>
          <w:b/>
          <w:bCs/>
          <w:sz w:val="24"/>
          <w:szCs w:val="24"/>
          <w:u w:val="single"/>
        </w:rPr>
        <w:t>Quality Systems Used by Accomplish / Keys Group and Other Providers</w:t>
      </w:r>
    </w:p>
    <w:p w14:paraId="0651B031" w14:textId="19AA6D4A" w:rsidR="00C23443" w:rsidRPr="00E9304C" w:rsidRDefault="00C23443" w:rsidP="00C23443">
      <w:pPr>
        <w:rPr>
          <w:rFonts w:ascii="Tahoma" w:hAnsi="Tahoma" w:cs="Tahoma"/>
          <w:sz w:val="24"/>
          <w:szCs w:val="24"/>
        </w:rPr>
      </w:pPr>
      <w:r w:rsidRPr="00E9304C">
        <w:rPr>
          <w:rFonts w:ascii="Tahoma" w:hAnsi="Tahoma" w:cs="Tahoma"/>
          <w:sz w:val="24"/>
          <w:szCs w:val="24"/>
        </w:rPr>
        <w:t>Residential mental health organisations use a range of quality assurance systems to ensure safety, regulatory compliance, continuous improvement, and person-centred care. Accomplish / Keys Group employs audits, supervision, Positive Behaviour Support (PBS), incident reviews, resident feedback, and CIW inspection processes. These quality systems are consistent with those used by other leading providers operating within CIW/CQC regulatory frameworks and support positive outcomes by promoting safe, effective, and personalised care. The Quality Systems Summary Table provides an overview of these processes and their contribution to customer value</w:t>
      </w:r>
      <w:r w:rsidR="00EF1B39">
        <w:rPr>
          <w:rFonts w:ascii="Tahoma" w:hAnsi="Tahoma" w:cs="Tahoma"/>
          <w:sz w:val="24"/>
          <w:szCs w:val="24"/>
        </w:rPr>
        <w:t xml:space="preserve">. </w:t>
      </w:r>
      <w:r w:rsidRPr="00E9304C">
        <w:rPr>
          <w:rFonts w:ascii="Tahoma" w:hAnsi="Tahoma" w:cs="Tahoma"/>
          <w:sz w:val="24"/>
          <w:szCs w:val="24"/>
        </w:rPr>
        <w:t>The organisational documents that underpin these quality systems, including the Positive Behaviour Support (PBS) Policy, Trauma-Informed Framework, Resident Voice Framework, and Quality Assurance Framework.</w:t>
      </w:r>
    </w:p>
    <w:p w14:paraId="06E10805" w14:textId="77777777" w:rsidR="00C23443" w:rsidRPr="00E9304C" w:rsidRDefault="00C23443" w:rsidP="00C23443">
      <w:pPr>
        <w:rPr>
          <w:rFonts w:ascii="Tahoma" w:hAnsi="Tahoma" w:cs="Tahoma"/>
          <w:sz w:val="24"/>
          <w:szCs w:val="24"/>
        </w:rPr>
      </w:pPr>
      <w:r w:rsidRPr="00E9304C">
        <w:rPr>
          <w:rFonts w:ascii="Tahoma" w:hAnsi="Tahoma" w:cs="Tahoma"/>
          <w:sz w:val="24"/>
          <w:szCs w:val="24"/>
        </w:rPr>
        <w:t>Regulatory Quality Systems</w:t>
      </w:r>
    </w:p>
    <w:p w14:paraId="01FD4E7C" w14:textId="77777777" w:rsidR="00C23443" w:rsidRPr="00451DCE" w:rsidRDefault="00C23443" w:rsidP="00451DCE">
      <w:pPr>
        <w:pStyle w:val="ListParagraph"/>
        <w:numPr>
          <w:ilvl w:val="0"/>
          <w:numId w:val="30"/>
        </w:numPr>
        <w:rPr>
          <w:rFonts w:ascii="Tahoma" w:hAnsi="Tahoma" w:cs="Tahoma"/>
        </w:rPr>
      </w:pPr>
      <w:r w:rsidRPr="00451DCE">
        <w:rPr>
          <w:rFonts w:ascii="Tahoma" w:hAnsi="Tahoma" w:cs="Tahoma"/>
        </w:rPr>
        <w:t>CIW Standards &amp; Inspection Framework (2021–2026) – provides external assurance of safety, governance, and documentation quality.</w:t>
      </w:r>
    </w:p>
    <w:p w14:paraId="6DB89408" w14:textId="21D22C8D" w:rsidR="00C23443" w:rsidRPr="00451DCE" w:rsidRDefault="00C23443" w:rsidP="00451DCE">
      <w:pPr>
        <w:pStyle w:val="ListParagraph"/>
        <w:numPr>
          <w:ilvl w:val="0"/>
          <w:numId w:val="30"/>
        </w:numPr>
        <w:rPr>
          <w:rFonts w:ascii="Tahoma" w:hAnsi="Tahoma" w:cs="Tahoma"/>
        </w:rPr>
      </w:pPr>
      <w:r w:rsidRPr="00451DCE">
        <w:rPr>
          <w:rFonts w:ascii="Tahoma" w:hAnsi="Tahoma" w:cs="Tahoma"/>
        </w:rPr>
        <w:t xml:space="preserve">Safeguarding Procedures (Safeguarding Board Wales, 2020–2026) – ensures protection from harm and compliance with statutory duties. </w:t>
      </w:r>
    </w:p>
    <w:p w14:paraId="5D13DE75" w14:textId="77777777" w:rsidR="00C23443" w:rsidRPr="00451DCE" w:rsidRDefault="00C23443" w:rsidP="00451DCE">
      <w:pPr>
        <w:pStyle w:val="ListParagraph"/>
        <w:numPr>
          <w:ilvl w:val="0"/>
          <w:numId w:val="30"/>
        </w:numPr>
        <w:rPr>
          <w:rFonts w:ascii="Tahoma" w:hAnsi="Tahoma" w:cs="Tahoma"/>
        </w:rPr>
      </w:pPr>
      <w:r w:rsidRPr="00451DCE">
        <w:rPr>
          <w:rFonts w:ascii="Tahoma" w:hAnsi="Tahoma" w:cs="Tahoma"/>
        </w:rPr>
        <w:t>GDPR and Information Governance Systems – protect confidentiality and data accuracy.</w:t>
      </w:r>
    </w:p>
    <w:p w14:paraId="5E4A2078" w14:textId="77777777" w:rsidR="00C23443" w:rsidRPr="00451DCE" w:rsidRDefault="00C23443" w:rsidP="00451DCE">
      <w:pPr>
        <w:pStyle w:val="ListParagraph"/>
        <w:numPr>
          <w:ilvl w:val="0"/>
          <w:numId w:val="30"/>
        </w:numPr>
        <w:rPr>
          <w:rFonts w:ascii="Tahoma" w:hAnsi="Tahoma" w:cs="Tahoma"/>
        </w:rPr>
      </w:pPr>
      <w:r w:rsidRPr="00451DCE">
        <w:rPr>
          <w:rFonts w:ascii="Tahoma" w:hAnsi="Tahoma" w:cs="Tahoma"/>
        </w:rPr>
        <w:lastRenderedPageBreak/>
        <w:t>Health &amp; Safety Compliance (HSE) – ensures safe environments and risk</w:t>
      </w:r>
      <w:r w:rsidRPr="00451DCE">
        <w:rPr>
          <w:rFonts w:ascii="Tahoma" w:hAnsi="Tahoma" w:cs="Tahoma"/>
        </w:rPr>
        <w:noBreakHyphen/>
        <w:t>controlled practice.</w:t>
      </w:r>
    </w:p>
    <w:p w14:paraId="5CCC7FFF"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systems align with Garvin’s (1987) dimensions of quality — particularly conformance, reliability, and assurance — and provide the functional foundation for customer value.</w:t>
      </w:r>
    </w:p>
    <w:p w14:paraId="2C5742C3" w14:textId="77777777" w:rsidR="00C23443" w:rsidRPr="00E9304C" w:rsidRDefault="00C23443" w:rsidP="00C23443">
      <w:pPr>
        <w:rPr>
          <w:rFonts w:ascii="Tahoma" w:hAnsi="Tahoma" w:cs="Tahoma"/>
          <w:sz w:val="24"/>
          <w:szCs w:val="24"/>
        </w:rPr>
      </w:pPr>
      <w:r w:rsidRPr="00E9304C">
        <w:rPr>
          <w:rFonts w:ascii="Tahoma" w:hAnsi="Tahoma" w:cs="Tahoma"/>
          <w:sz w:val="24"/>
          <w:szCs w:val="24"/>
        </w:rPr>
        <w:t>Clinical &amp; Practice Quality Systems</w:t>
      </w:r>
    </w:p>
    <w:p w14:paraId="2AA9069C" w14:textId="77777777" w:rsidR="00C23443" w:rsidRPr="00451DCE" w:rsidRDefault="00C23443" w:rsidP="00451DCE">
      <w:pPr>
        <w:pStyle w:val="ListParagraph"/>
        <w:numPr>
          <w:ilvl w:val="0"/>
          <w:numId w:val="29"/>
        </w:numPr>
        <w:rPr>
          <w:rFonts w:ascii="Tahoma" w:hAnsi="Tahoma" w:cs="Tahoma"/>
        </w:rPr>
      </w:pPr>
      <w:r w:rsidRPr="00451DCE">
        <w:rPr>
          <w:rFonts w:ascii="Tahoma" w:hAnsi="Tahoma" w:cs="Tahoma"/>
        </w:rPr>
        <w:t>Trauma</w:t>
      </w:r>
      <w:r w:rsidRPr="00451DCE">
        <w:rPr>
          <w:rFonts w:ascii="Tahoma" w:hAnsi="Tahoma" w:cs="Tahoma"/>
        </w:rPr>
        <w:noBreakHyphen/>
        <w:t>Informed Practice Framework (Accomplish, 2023)</w:t>
      </w:r>
    </w:p>
    <w:p w14:paraId="316F6B5C" w14:textId="77777777" w:rsidR="00C23443" w:rsidRPr="00451DCE" w:rsidRDefault="00C23443" w:rsidP="00451DCE">
      <w:pPr>
        <w:pStyle w:val="ListParagraph"/>
        <w:numPr>
          <w:ilvl w:val="0"/>
          <w:numId w:val="29"/>
        </w:numPr>
        <w:rPr>
          <w:rFonts w:ascii="Tahoma" w:hAnsi="Tahoma" w:cs="Tahoma"/>
        </w:rPr>
      </w:pPr>
      <w:r w:rsidRPr="00451DCE">
        <w:rPr>
          <w:rFonts w:ascii="Tahoma" w:hAnsi="Tahoma" w:cs="Tahoma"/>
        </w:rPr>
        <w:t>PBS Policy (Accomplish, 2024)</w:t>
      </w:r>
    </w:p>
    <w:p w14:paraId="1A76765A" w14:textId="77777777" w:rsidR="00C23443" w:rsidRPr="00451DCE" w:rsidRDefault="00C23443" w:rsidP="00451DCE">
      <w:pPr>
        <w:pStyle w:val="ListParagraph"/>
        <w:numPr>
          <w:ilvl w:val="0"/>
          <w:numId w:val="29"/>
        </w:numPr>
        <w:rPr>
          <w:rFonts w:ascii="Tahoma" w:hAnsi="Tahoma" w:cs="Tahoma"/>
        </w:rPr>
      </w:pPr>
      <w:r w:rsidRPr="00451DCE">
        <w:rPr>
          <w:rFonts w:ascii="Tahoma" w:hAnsi="Tahoma" w:cs="Tahoma"/>
        </w:rPr>
        <w:t>Medication Governance Systems</w:t>
      </w:r>
    </w:p>
    <w:p w14:paraId="4DA70A93" w14:textId="77777777" w:rsidR="00C23443" w:rsidRPr="00451DCE" w:rsidRDefault="00C23443" w:rsidP="00451DCE">
      <w:pPr>
        <w:pStyle w:val="ListParagraph"/>
        <w:numPr>
          <w:ilvl w:val="0"/>
          <w:numId w:val="29"/>
        </w:numPr>
        <w:rPr>
          <w:rFonts w:ascii="Tahoma" w:hAnsi="Tahoma" w:cs="Tahoma"/>
        </w:rPr>
      </w:pPr>
      <w:r w:rsidRPr="00451DCE">
        <w:rPr>
          <w:rFonts w:ascii="Tahoma" w:hAnsi="Tahoma" w:cs="Tahoma"/>
        </w:rPr>
        <w:t>Risk Assessment Frameworks (daily, weekly, dynamic)</w:t>
      </w:r>
    </w:p>
    <w:p w14:paraId="1C4D85DE" w14:textId="76F704BC" w:rsidR="00C23443" w:rsidRPr="00451DCE" w:rsidRDefault="00C23443" w:rsidP="00451DCE">
      <w:pPr>
        <w:pStyle w:val="ListParagraph"/>
        <w:numPr>
          <w:ilvl w:val="0"/>
          <w:numId w:val="29"/>
        </w:numPr>
        <w:rPr>
          <w:rFonts w:ascii="Tahoma" w:hAnsi="Tahoma" w:cs="Tahoma"/>
        </w:rPr>
      </w:pPr>
      <w:r w:rsidRPr="00451DCE">
        <w:rPr>
          <w:rFonts w:ascii="Tahoma" w:hAnsi="Tahoma" w:cs="Tahoma"/>
        </w:rPr>
        <w:t xml:space="preserve">Incident Reporting &amp; Review Systems (ABC charts, debriefs) </w:t>
      </w:r>
    </w:p>
    <w:p w14:paraId="65154EAB"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systems reflect contemporary trauma</w:t>
      </w:r>
      <w:r w:rsidRPr="00E9304C">
        <w:rPr>
          <w:rFonts w:ascii="Tahoma" w:hAnsi="Tahoma" w:cs="Tahoma"/>
          <w:sz w:val="24"/>
          <w:szCs w:val="24"/>
        </w:rPr>
        <w:noBreakHyphen/>
        <w:t>informed theory (SAMHSA, 2014) and PBS best practice (Gore et al., 2013), ensuring emotional safety, predictability, and personalised support.</w:t>
      </w:r>
    </w:p>
    <w:p w14:paraId="7D77D8B9" w14:textId="77777777" w:rsidR="00C23443" w:rsidRPr="00E9304C" w:rsidRDefault="00C23443" w:rsidP="00C23443">
      <w:pPr>
        <w:rPr>
          <w:rFonts w:ascii="Tahoma" w:hAnsi="Tahoma" w:cs="Tahoma"/>
          <w:sz w:val="24"/>
          <w:szCs w:val="24"/>
        </w:rPr>
      </w:pPr>
      <w:r w:rsidRPr="00E9304C">
        <w:rPr>
          <w:rFonts w:ascii="Tahoma" w:hAnsi="Tahoma" w:cs="Tahoma"/>
          <w:sz w:val="24"/>
          <w:szCs w:val="24"/>
        </w:rPr>
        <w:t>Operational Quality Systems</w:t>
      </w:r>
    </w:p>
    <w:p w14:paraId="79C232E8" w14:textId="1703DE30" w:rsidR="00C23443" w:rsidRPr="00C34E00" w:rsidRDefault="00C23443" w:rsidP="00C34E00">
      <w:pPr>
        <w:pStyle w:val="ListParagraph"/>
        <w:numPr>
          <w:ilvl w:val="0"/>
          <w:numId w:val="40"/>
        </w:numPr>
        <w:rPr>
          <w:rFonts w:ascii="Tahoma" w:hAnsi="Tahoma" w:cs="Tahoma"/>
        </w:rPr>
      </w:pPr>
      <w:r w:rsidRPr="00C34E00">
        <w:rPr>
          <w:rFonts w:ascii="Tahoma" w:hAnsi="Tahoma" w:cs="Tahoma"/>
        </w:rPr>
        <w:t xml:space="preserve">Quality Assurance Framework (Accomplish, 2026) </w:t>
      </w:r>
    </w:p>
    <w:p w14:paraId="2A27D84E" w14:textId="77777777" w:rsidR="00C23443" w:rsidRPr="00C34E00" w:rsidRDefault="00C23443" w:rsidP="00C34E00">
      <w:pPr>
        <w:pStyle w:val="ListParagraph"/>
        <w:numPr>
          <w:ilvl w:val="0"/>
          <w:numId w:val="40"/>
        </w:numPr>
        <w:rPr>
          <w:rFonts w:ascii="Tahoma" w:hAnsi="Tahoma" w:cs="Tahoma"/>
        </w:rPr>
      </w:pPr>
      <w:r w:rsidRPr="00C34E00">
        <w:rPr>
          <w:rFonts w:ascii="Tahoma" w:hAnsi="Tahoma" w:cs="Tahoma"/>
        </w:rPr>
        <w:t>Internal Audits (care plans, MAR charts, handovers, documentation)</w:t>
      </w:r>
    </w:p>
    <w:p w14:paraId="55A20313" w14:textId="77777777" w:rsidR="00C23443" w:rsidRPr="00C34E00" w:rsidRDefault="00C23443" w:rsidP="00C34E00">
      <w:pPr>
        <w:pStyle w:val="ListParagraph"/>
        <w:numPr>
          <w:ilvl w:val="0"/>
          <w:numId w:val="40"/>
        </w:numPr>
        <w:rPr>
          <w:rFonts w:ascii="Tahoma" w:hAnsi="Tahoma" w:cs="Tahoma"/>
        </w:rPr>
      </w:pPr>
      <w:r w:rsidRPr="00C34E00">
        <w:rPr>
          <w:rFonts w:ascii="Tahoma" w:hAnsi="Tahoma" w:cs="Tahoma"/>
        </w:rPr>
        <w:t>Supervision &amp; Appraisal Cycles</w:t>
      </w:r>
    </w:p>
    <w:p w14:paraId="435CC878" w14:textId="77777777" w:rsidR="00C23443" w:rsidRPr="00C34E00" w:rsidRDefault="00C23443" w:rsidP="00C34E00">
      <w:pPr>
        <w:pStyle w:val="ListParagraph"/>
        <w:numPr>
          <w:ilvl w:val="0"/>
          <w:numId w:val="40"/>
        </w:numPr>
        <w:rPr>
          <w:rFonts w:ascii="Tahoma" w:hAnsi="Tahoma" w:cs="Tahoma"/>
        </w:rPr>
      </w:pPr>
      <w:r w:rsidRPr="00C34E00">
        <w:rPr>
          <w:rFonts w:ascii="Tahoma" w:hAnsi="Tahoma" w:cs="Tahoma"/>
        </w:rPr>
        <w:t>Training Compliance Monitoring (Workforce Development Strategy 2024–2026)</w:t>
      </w:r>
    </w:p>
    <w:p w14:paraId="598371E5" w14:textId="77777777" w:rsidR="00C23443" w:rsidRPr="00E9304C" w:rsidRDefault="00C23443" w:rsidP="00C23443">
      <w:pPr>
        <w:rPr>
          <w:rFonts w:ascii="Tahoma" w:hAnsi="Tahoma" w:cs="Tahoma"/>
          <w:sz w:val="24"/>
          <w:szCs w:val="24"/>
        </w:rPr>
      </w:pPr>
      <w:r w:rsidRPr="00E9304C">
        <w:rPr>
          <w:rFonts w:ascii="Tahoma" w:hAnsi="Tahoma" w:cs="Tahoma"/>
          <w:sz w:val="24"/>
          <w:szCs w:val="24"/>
        </w:rPr>
        <w:t>Deming’s (1982) continuous improvement cycle and Juran’s (1988) “fitness for use” principle underpin these systems, ensuring that operational processes support consistent, high</w:t>
      </w:r>
      <w:r w:rsidRPr="00E9304C">
        <w:rPr>
          <w:rFonts w:ascii="Tahoma" w:hAnsi="Tahoma" w:cs="Tahoma"/>
          <w:sz w:val="24"/>
          <w:szCs w:val="24"/>
        </w:rPr>
        <w:noBreakHyphen/>
        <w:t>quality care. (see Appendix C: Quality Systems Summary).</w:t>
      </w:r>
    </w:p>
    <w:p w14:paraId="22B530EA" w14:textId="77777777" w:rsidR="00C23443" w:rsidRPr="00E9304C" w:rsidRDefault="00C23443" w:rsidP="00C23443">
      <w:pPr>
        <w:rPr>
          <w:rFonts w:ascii="Tahoma" w:hAnsi="Tahoma" w:cs="Tahoma"/>
          <w:sz w:val="24"/>
          <w:szCs w:val="24"/>
        </w:rPr>
      </w:pPr>
      <w:r w:rsidRPr="00E9304C">
        <w:rPr>
          <w:rFonts w:ascii="Tahoma" w:hAnsi="Tahoma" w:cs="Tahoma"/>
          <w:sz w:val="24"/>
          <w:szCs w:val="24"/>
        </w:rPr>
        <w:t>Relational &amp; Engagement Quality Systems</w:t>
      </w:r>
    </w:p>
    <w:p w14:paraId="1C2248DE" w14:textId="77777777" w:rsidR="00C23443" w:rsidRPr="00451DCE" w:rsidRDefault="00C23443" w:rsidP="00451DCE">
      <w:pPr>
        <w:pStyle w:val="ListParagraph"/>
        <w:numPr>
          <w:ilvl w:val="0"/>
          <w:numId w:val="27"/>
        </w:numPr>
        <w:rPr>
          <w:rFonts w:ascii="Tahoma" w:hAnsi="Tahoma" w:cs="Tahoma"/>
        </w:rPr>
      </w:pPr>
      <w:r w:rsidRPr="00451DCE">
        <w:rPr>
          <w:rFonts w:ascii="Tahoma" w:hAnsi="Tahoma" w:cs="Tahoma"/>
        </w:rPr>
        <w:t>Resident Voice &amp; Engagement Framework (Accomplish, 2024)</w:t>
      </w:r>
    </w:p>
    <w:p w14:paraId="6A52278A" w14:textId="77777777" w:rsidR="00C23443" w:rsidRPr="00451DCE" w:rsidRDefault="00C23443" w:rsidP="00451DCE">
      <w:pPr>
        <w:pStyle w:val="ListParagraph"/>
        <w:numPr>
          <w:ilvl w:val="0"/>
          <w:numId w:val="27"/>
        </w:numPr>
        <w:rPr>
          <w:rFonts w:ascii="Tahoma" w:hAnsi="Tahoma" w:cs="Tahoma"/>
        </w:rPr>
      </w:pPr>
      <w:r w:rsidRPr="00451DCE">
        <w:rPr>
          <w:rFonts w:ascii="Tahoma" w:hAnsi="Tahoma" w:cs="Tahoma"/>
        </w:rPr>
        <w:t>Family Engagement Procedures</w:t>
      </w:r>
    </w:p>
    <w:p w14:paraId="6CC3D07E" w14:textId="77777777" w:rsidR="00C23443" w:rsidRPr="00451DCE" w:rsidRDefault="00C23443" w:rsidP="00451DCE">
      <w:pPr>
        <w:pStyle w:val="ListParagraph"/>
        <w:numPr>
          <w:ilvl w:val="0"/>
          <w:numId w:val="27"/>
        </w:numPr>
        <w:rPr>
          <w:rFonts w:ascii="Tahoma" w:hAnsi="Tahoma" w:cs="Tahoma"/>
        </w:rPr>
      </w:pPr>
      <w:r w:rsidRPr="00451DCE">
        <w:rPr>
          <w:rFonts w:ascii="Tahoma" w:hAnsi="Tahoma" w:cs="Tahoma"/>
        </w:rPr>
        <w:t>Commissioner Reporting &amp; KPI Dashboards</w:t>
      </w:r>
    </w:p>
    <w:p w14:paraId="2F22592D" w14:textId="77777777" w:rsidR="00C23443" w:rsidRPr="00451DCE" w:rsidRDefault="00C23443" w:rsidP="00451DCE">
      <w:pPr>
        <w:pStyle w:val="ListParagraph"/>
        <w:numPr>
          <w:ilvl w:val="0"/>
          <w:numId w:val="27"/>
        </w:numPr>
        <w:rPr>
          <w:rFonts w:ascii="Tahoma" w:hAnsi="Tahoma" w:cs="Tahoma"/>
        </w:rPr>
      </w:pPr>
      <w:r w:rsidRPr="00451DCE">
        <w:rPr>
          <w:rFonts w:ascii="Tahoma" w:hAnsi="Tahoma" w:cs="Tahoma"/>
        </w:rPr>
        <w:t>MDT Collaboration Processes</w:t>
      </w:r>
    </w:p>
    <w:p w14:paraId="53C3E04C" w14:textId="301B140C" w:rsidR="00C23443" w:rsidRPr="00E9304C" w:rsidRDefault="00C23443" w:rsidP="00C23443">
      <w:pPr>
        <w:rPr>
          <w:rFonts w:ascii="Tahoma" w:hAnsi="Tahoma" w:cs="Tahoma"/>
          <w:sz w:val="24"/>
          <w:szCs w:val="24"/>
        </w:rPr>
      </w:pPr>
      <w:r w:rsidRPr="00E9304C">
        <w:rPr>
          <w:rFonts w:ascii="Tahoma" w:hAnsi="Tahoma" w:cs="Tahoma"/>
          <w:sz w:val="24"/>
          <w:szCs w:val="24"/>
        </w:rPr>
        <w:t>These systems reflect Shaw &amp; Hamilton’s (2020) argument that emotional and subconscious cues shape customer experience more strongly than functional tasks. They ensure relational consistency, transparency, and involvement</w:t>
      </w:r>
      <w:r w:rsidR="00C50C3F">
        <w:rPr>
          <w:rFonts w:ascii="Tahoma" w:hAnsi="Tahoma" w:cs="Tahoma"/>
          <w:sz w:val="24"/>
          <w:szCs w:val="24"/>
        </w:rPr>
        <w:t xml:space="preserve">, </w:t>
      </w:r>
      <w:r w:rsidRPr="00E9304C">
        <w:rPr>
          <w:rFonts w:ascii="Tahoma" w:hAnsi="Tahoma" w:cs="Tahoma"/>
          <w:sz w:val="24"/>
          <w:szCs w:val="24"/>
        </w:rPr>
        <w:t>core components of emotional and life</w:t>
      </w:r>
      <w:r w:rsidRPr="00E9304C">
        <w:rPr>
          <w:rFonts w:ascii="Tahoma" w:hAnsi="Tahoma" w:cs="Tahoma"/>
          <w:sz w:val="24"/>
          <w:szCs w:val="24"/>
        </w:rPr>
        <w:noBreakHyphen/>
        <w:t>changing value.</w:t>
      </w:r>
    </w:p>
    <w:p w14:paraId="497F0A4E" w14:textId="77777777" w:rsidR="00C50C3F" w:rsidRDefault="00C50C3F" w:rsidP="00C23443">
      <w:pPr>
        <w:rPr>
          <w:rFonts w:ascii="Tahoma" w:hAnsi="Tahoma" w:cs="Tahoma"/>
          <w:b/>
          <w:bCs/>
          <w:sz w:val="24"/>
          <w:szCs w:val="24"/>
          <w:u w:val="single"/>
        </w:rPr>
      </w:pPr>
    </w:p>
    <w:p w14:paraId="0CC2CA36" w14:textId="77777777" w:rsidR="00C50C3F" w:rsidRDefault="00C50C3F" w:rsidP="00C23443">
      <w:pPr>
        <w:rPr>
          <w:rFonts w:ascii="Tahoma" w:hAnsi="Tahoma" w:cs="Tahoma"/>
          <w:b/>
          <w:bCs/>
          <w:sz w:val="24"/>
          <w:szCs w:val="24"/>
          <w:u w:val="single"/>
        </w:rPr>
      </w:pPr>
    </w:p>
    <w:p w14:paraId="1C80B25B" w14:textId="29BB2D3A"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2.</w:t>
      </w:r>
      <w:r w:rsidR="00845D0C">
        <w:rPr>
          <w:rFonts w:ascii="Tahoma" w:hAnsi="Tahoma" w:cs="Tahoma"/>
          <w:b/>
          <w:bCs/>
          <w:sz w:val="24"/>
          <w:szCs w:val="24"/>
          <w:u w:val="single"/>
        </w:rPr>
        <w:t>4</w:t>
      </w:r>
      <w:r w:rsidRPr="00E9304C">
        <w:rPr>
          <w:rFonts w:ascii="Tahoma" w:hAnsi="Tahoma" w:cs="Tahoma"/>
          <w:b/>
          <w:bCs/>
          <w:sz w:val="24"/>
          <w:szCs w:val="24"/>
          <w:u w:val="single"/>
        </w:rPr>
        <w:t xml:space="preserve"> How Do These Systems Work? Do They Work? Are They Effective? </w:t>
      </w:r>
    </w:p>
    <w:p w14:paraId="1047125F" w14:textId="77777777" w:rsidR="00C23443" w:rsidRPr="00E9304C" w:rsidRDefault="00C23443" w:rsidP="00C23443">
      <w:pPr>
        <w:rPr>
          <w:rFonts w:ascii="Tahoma" w:hAnsi="Tahoma" w:cs="Tahoma"/>
          <w:sz w:val="24"/>
          <w:szCs w:val="24"/>
        </w:rPr>
      </w:pPr>
      <w:r w:rsidRPr="00E9304C">
        <w:rPr>
          <w:rFonts w:ascii="Tahoma" w:hAnsi="Tahoma" w:cs="Tahoma"/>
          <w:sz w:val="24"/>
          <w:szCs w:val="24"/>
        </w:rPr>
        <w:t>Quality systems operate through continuous monitoring, documentation, review, and feedback loops, consistent with Deming’s Plan</w:t>
      </w:r>
      <w:r w:rsidRPr="00E9304C">
        <w:rPr>
          <w:rFonts w:ascii="Tahoma" w:hAnsi="Tahoma" w:cs="Tahoma"/>
          <w:sz w:val="24"/>
          <w:szCs w:val="24"/>
        </w:rPr>
        <w:noBreakHyphen/>
        <w:t>Do</w:t>
      </w:r>
      <w:r w:rsidRPr="00E9304C">
        <w:rPr>
          <w:rFonts w:ascii="Tahoma" w:hAnsi="Tahoma" w:cs="Tahoma"/>
          <w:sz w:val="24"/>
          <w:szCs w:val="24"/>
        </w:rPr>
        <w:noBreakHyphen/>
        <w:t>Check</w:t>
      </w:r>
      <w:r w:rsidRPr="00E9304C">
        <w:rPr>
          <w:rFonts w:ascii="Tahoma" w:hAnsi="Tahoma" w:cs="Tahoma"/>
          <w:sz w:val="24"/>
          <w:szCs w:val="24"/>
        </w:rPr>
        <w:noBreakHyphen/>
        <w:t>Act cycle and contemporary quality assurance theory.</w:t>
      </w:r>
    </w:p>
    <w:p w14:paraId="11987AAA"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Audits check compliance with CIW standards, medication safety, care</w:t>
      </w:r>
      <w:r w:rsidRPr="00451DCE">
        <w:rPr>
          <w:rFonts w:ascii="Tahoma" w:hAnsi="Tahoma" w:cs="Tahoma"/>
        </w:rPr>
        <w:noBreakHyphen/>
        <w:t>plan accuracy, and documentation quality.</w:t>
      </w:r>
    </w:p>
    <w:p w14:paraId="21A68F6C"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Risk assessments identify triggers, vulnerabilities, and required controls, reflecting trauma</w:t>
      </w:r>
      <w:r w:rsidRPr="00451DCE">
        <w:rPr>
          <w:rFonts w:ascii="Tahoma" w:hAnsi="Tahoma" w:cs="Tahoma"/>
        </w:rPr>
        <w:noBreakHyphen/>
        <w:t>informed and PBS principles.</w:t>
      </w:r>
    </w:p>
    <w:p w14:paraId="0DD8D68A"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Incident reviews analyse patterns, root causes, and learning opportunities, supporting reflective practice.</w:t>
      </w:r>
    </w:p>
    <w:p w14:paraId="52AB175E"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Care plans translate trauma</w:t>
      </w:r>
      <w:r w:rsidRPr="00451DCE">
        <w:rPr>
          <w:rFonts w:ascii="Tahoma" w:hAnsi="Tahoma" w:cs="Tahoma"/>
        </w:rPr>
        <w:noBreakHyphen/>
        <w:t>informed and PBS strategies into personalised support.</w:t>
      </w:r>
    </w:p>
    <w:p w14:paraId="08AC4393"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Supervision cycles monitor competence, emotional intelligence, and reflective practice (Kumar, 2020).</w:t>
      </w:r>
    </w:p>
    <w:p w14:paraId="53A90A62"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Regulatory inspections provide external validation of safety, governance, and quality.</w:t>
      </w:r>
    </w:p>
    <w:p w14:paraId="17004358"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systems are designed to ensure consistency, safety, predictability, and continuous improvement, aligning with Woodruff’s (1997) customer value model.</w:t>
      </w:r>
    </w:p>
    <w:p w14:paraId="00245679" w14:textId="1BDF8AB0"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2.</w:t>
      </w:r>
      <w:r w:rsidR="00845D0C">
        <w:rPr>
          <w:rFonts w:ascii="Tahoma" w:hAnsi="Tahoma" w:cs="Tahoma"/>
          <w:b/>
          <w:bCs/>
          <w:sz w:val="24"/>
          <w:szCs w:val="24"/>
          <w:u w:val="single"/>
        </w:rPr>
        <w:t>5</w:t>
      </w:r>
      <w:r w:rsidRPr="00E9304C">
        <w:rPr>
          <w:rFonts w:ascii="Tahoma" w:hAnsi="Tahoma" w:cs="Tahoma"/>
          <w:b/>
          <w:bCs/>
          <w:sz w:val="24"/>
          <w:szCs w:val="24"/>
          <w:u w:val="single"/>
        </w:rPr>
        <w:t xml:space="preserve"> Do They Work and how effective are they? </w:t>
      </w:r>
    </w:p>
    <w:p w14:paraId="0D1608B9" w14:textId="77777777" w:rsidR="00C23443" w:rsidRPr="00E9304C" w:rsidRDefault="00C23443" w:rsidP="00C23443">
      <w:pPr>
        <w:rPr>
          <w:rFonts w:ascii="Tahoma" w:hAnsi="Tahoma" w:cs="Tahoma"/>
          <w:sz w:val="24"/>
          <w:szCs w:val="24"/>
        </w:rPr>
      </w:pPr>
      <w:r w:rsidRPr="00E9304C">
        <w:rPr>
          <w:rFonts w:ascii="Tahoma" w:hAnsi="Tahoma" w:cs="Tahoma"/>
          <w:sz w:val="24"/>
          <w:szCs w:val="24"/>
        </w:rPr>
        <w:t>Strengths</w:t>
      </w:r>
    </w:p>
    <w:p w14:paraId="21594D7E" w14:textId="6B0E2B92" w:rsidR="00C23443" w:rsidRPr="00451DCE" w:rsidRDefault="00C23443" w:rsidP="00451DCE">
      <w:pPr>
        <w:pStyle w:val="ListParagraph"/>
        <w:numPr>
          <w:ilvl w:val="0"/>
          <w:numId w:val="25"/>
        </w:numPr>
        <w:rPr>
          <w:rFonts w:ascii="Tahoma" w:hAnsi="Tahoma" w:cs="Tahoma"/>
        </w:rPr>
      </w:pPr>
      <w:r w:rsidRPr="00451DCE">
        <w:rPr>
          <w:rFonts w:ascii="Tahoma" w:hAnsi="Tahoma" w:cs="Tahoma"/>
        </w:rPr>
        <w:t xml:space="preserve">CIW inspections confirm strong compliance with safeguarding, medication governance, and documentation. </w:t>
      </w:r>
    </w:p>
    <w:p w14:paraId="79FEAA09" w14:textId="77777777" w:rsidR="00C23443" w:rsidRPr="00451DCE" w:rsidRDefault="00C23443" w:rsidP="00451DCE">
      <w:pPr>
        <w:pStyle w:val="ListParagraph"/>
        <w:numPr>
          <w:ilvl w:val="0"/>
          <w:numId w:val="25"/>
        </w:numPr>
        <w:rPr>
          <w:rFonts w:ascii="Tahoma" w:hAnsi="Tahoma" w:cs="Tahoma"/>
        </w:rPr>
      </w:pPr>
      <w:r w:rsidRPr="00451DCE">
        <w:rPr>
          <w:rFonts w:ascii="Tahoma" w:hAnsi="Tahoma" w:cs="Tahoma"/>
        </w:rPr>
        <w:t>Trauma</w:t>
      </w:r>
      <w:r w:rsidRPr="00451DCE">
        <w:rPr>
          <w:rFonts w:ascii="Tahoma" w:hAnsi="Tahoma" w:cs="Tahoma"/>
        </w:rPr>
        <w:noBreakHyphen/>
        <w:t>informed and PBS frameworks provide clear guidance for emotional safety and relational practice (SAMHSA, 2014; Gore et al., 2013).</w:t>
      </w:r>
    </w:p>
    <w:p w14:paraId="39CE12F8" w14:textId="77777777" w:rsidR="00C23443" w:rsidRPr="00451DCE" w:rsidRDefault="00C23443" w:rsidP="00451DCE">
      <w:pPr>
        <w:pStyle w:val="ListParagraph"/>
        <w:numPr>
          <w:ilvl w:val="0"/>
          <w:numId w:val="25"/>
        </w:numPr>
        <w:rPr>
          <w:rFonts w:ascii="Tahoma" w:hAnsi="Tahoma" w:cs="Tahoma"/>
        </w:rPr>
      </w:pPr>
      <w:r w:rsidRPr="00451DCE">
        <w:rPr>
          <w:rFonts w:ascii="Tahoma" w:hAnsi="Tahoma" w:cs="Tahoma"/>
        </w:rPr>
        <w:t>Audits and incident reviews identify patterns and drive improvement, consistent with Deming’s continuous improvement cycle.</w:t>
      </w:r>
    </w:p>
    <w:p w14:paraId="31BA8159" w14:textId="77777777" w:rsidR="00C23443" w:rsidRPr="00451DCE" w:rsidRDefault="00C23443" w:rsidP="00451DCE">
      <w:pPr>
        <w:pStyle w:val="ListParagraph"/>
        <w:numPr>
          <w:ilvl w:val="0"/>
          <w:numId w:val="25"/>
        </w:numPr>
        <w:rPr>
          <w:rFonts w:ascii="Tahoma" w:hAnsi="Tahoma" w:cs="Tahoma"/>
        </w:rPr>
      </w:pPr>
      <w:r w:rsidRPr="00451DCE">
        <w:rPr>
          <w:rFonts w:ascii="Tahoma" w:hAnsi="Tahoma" w:cs="Tahoma"/>
        </w:rPr>
        <w:t>Resident Voice systems increase autonomy, involvement, and personalised value.</w:t>
      </w:r>
    </w:p>
    <w:p w14:paraId="5B00F139" w14:textId="77777777" w:rsidR="00C23443" w:rsidRPr="00451DCE" w:rsidRDefault="00C23443" w:rsidP="00451DCE">
      <w:pPr>
        <w:pStyle w:val="ListParagraph"/>
        <w:numPr>
          <w:ilvl w:val="0"/>
          <w:numId w:val="25"/>
        </w:numPr>
        <w:rPr>
          <w:rFonts w:ascii="Tahoma" w:hAnsi="Tahoma" w:cs="Tahoma"/>
        </w:rPr>
      </w:pPr>
      <w:r w:rsidRPr="00451DCE">
        <w:rPr>
          <w:rFonts w:ascii="Tahoma" w:hAnsi="Tahoma" w:cs="Tahoma"/>
        </w:rPr>
        <w:t>Commissioner reporting ensures accountability, transparency, and outcome</w:t>
      </w:r>
      <w:r w:rsidRPr="00451DCE">
        <w:rPr>
          <w:rFonts w:ascii="Tahoma" w:hAnsi="Tahoma" w:cs="Tahoma"/>
        </w:rPr>
        <w:noBreakHyphen/>
        <w:t>focused practice.</w:t>
      </w:r>
    </w:p>
    <w:p w14:paraId="4E32F2E5"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strengths reflect Garvin’s (1987) dimensions of quality — particularly performance, reliability, and empathy.</w:t>
      </w:r>
    </w:p>
    <w:p w14:paraId="139D1735" w14:textId="77777777" w:rsidR="00C23443" w:rsidRPr="00E9304C" w:rsidRDefault="00C23443" w:rsidP="00C23443">
      <w:pPr>
        <w:rPr>
          <w:rFonts w:ascii="Tahoma" w:hAnsi="Tahoma" w:cs="Tahoma"/>
          <w:sz w:val="24"/>
          <w:szCs w:val="24"/>
        </w:rPr>
      </w:pPr>
      <w:r w:rsidRPr="00E9304C">
        <w:rPr>
          <w:rFonts w:ascii="Tahoma" w:hAnsi="Tahoma" w:cs="Tahoma"/>
          <w:sz w:val="24"/>
          <w:szCs w:val="24"/>
        </w:rPr>
        <w:t>Critical Weaknesses</w:t>
      </w:r>
    </w:p>
    <w:p w14:paraId="0C9001D5" w14:textId="77777777" w:rsidR="00C23443" w:rsidRPr="00E9304C" w:rsidRDefault="00C23443" w:rsidP="00C23443">
      <w:pPr>
        <w:rPr>
          <w:rFonts w:ascii="Tahoma" w:hAnsi="Tahoma" w:cs="Tahoma"/>
          <w:sz w:val="24"/>
          <w:szCs w:val="24"/>
        </w:rPr>
      </w:pPr>
      <w:r w:rsidRPr="00E9304C">
        <w:rPr>
          <w:rFonts w:ascii="Tahoma" w:hAnsi="Tahoma" w:cs="Tahoma"/>
          <w:sz w:val="24"/>
          <w:szCs w:val="24"/>
        </w:rPr>
        <w:t>Pearson’s RED model exposes contradictions between policy and lived practice:</w:t>
      </w:r>
    </w:p>
    <w:p w14:paraId="0BA2F6FD"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lastRenderedPageBreak/>
        <w:t>Staffing shortages reduce relational time, weakening emotional safety despite strong documentation (Shaw &amp; Hamilton, 2020).</w:t>
      </w:r>
    </w:p>
    <w:p w14:paraId="05E9FAA4"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t>Care plans often lack tacit knowledge (triggers, sensory needs), limiting trauma</w:t>
      </w:r>
      <w:r w:rsidRPr="00451DCE">
        <w:rPr>
          <w:rFonts w:ascii="Tahoma" w:hAnsi="Tahoma" w:cs="Tahoma"/>
        </w:rPr>
        <w:noBreakHyphen/>
        <w:t>informed effectiveness (SAMHSA, 2014).</w:t>
      </w:r>
    </w:p>
    <w:p w14:paraId="7C4117ED"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t>Training compliance ≠ competence — incident trends show inconsistent application of PBS and de</w:t>
      </w:r>
      <w:r w:rsidRPr="00451DCE">
        <w:rPr>
          <w:rFonts w:ascii="Tahoma" w:hAnsi="Tahoma" w:cs="Tahoma"/>
        </w:rPr>
        <w:noBreakHyphen/>
        <w:t>escalation skills (Kumar, 2020).</w:t>
      </w:r>
    </w:p>
    <w:p w14:paraId="683FE1B2"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t>Documentation pressures shift practice from relational to task</w:t>
      </w:r>
      <w:r w:rsidRPr="00451DCE">
        <w:rPr>
          <w:rFonts w:ascii="Tahoma" w:hAnsi="Tahoma" w:cs="Tahoma"/>
        </w:rPr>
        <w:noBreakHyphen/>
        <w:t>driven, increasing emotional “costs” such as anxiety and unpredictability (Kotler, 2020).</w:t>
      </w:r>
    </w:p>
    <w:p w14:paraId="75C25A94"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t>Agency staff disrupt continuity, reducing predictability and trust — key components of emotional value (Almquist et al., 2016).</w:t>
      </w:r>
    </w:p>
    <w:p w14:paraId="3C19D5B4"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t>Audits can become procedural, focusing on form rather than lived experience, contradicting Juran’s (1988) “fitness for use” principle.</w:t>
      </w:r>
    </w:p>
    <w:p w14:paraId="462830A2"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weaknesses demonstrate that quality systems can meet regulatory requirements while failing to meet emotional and psychological customer needs.</w:t>
      </w:r>
    </w:p>
    <w:p w14:paraId="0EDE9351" w14:textId="77777777" w:rsidR="00C23443" w:rsidRPr="00E9304C" w:rsidRDefault="00C23443" w:rsidP="00C23443">
      <w:pPr>
        <w:rPr>
          <w:rFonts w:ascii="Tahoma" w:hAnsi="Tahoma" w:cs="Tahoma"/>
          <w:sz w:val="24"/>
          <w:szCs w:val="24"/>
        </w:rPr>
      </w:pPr>
      <w:r w:rsidRPr="00E9304C">
        <w:rPr>
          <w:rFonts w:ascii="Tahoma" w:hAnsi="Tahoma" w:cs="Tahoma"/>
          <w:sz w:val="24"/>
          <w:szCs w:val="24"/>
        </w:rPr>
        <w:t>Overall Effectiveness</w:t>
      </w:r>
    </w:p>
    <w:p w14:paraId="0BC64373" w14:textId="77777777" w:rsidR="00C23443" w:rsidRPr="00E9304C" w:rsidRDefault="00C23443" w:rsidP="00C23443">
      <w:pPr>
        <w:rPr>
          <w:rFonts w:ascii="Tahoma" w:hAnsi="Tahoma" w:cs="Tahoma"/>
          <w:sz w:val="24"/>
          <w:szCs w:val="24"/>
        </w:rPr>
      </w:pPr>
      <w:r w:rsidRPr="00E9304C">
        <w:rPr>
          <w:rFonts w:ascii="Tahoma" w:hAnsi="Tahoma" w:cs="Tahoma"/>
          <w:sz w:val="24"/>
          <w:szCs w:val="24"/>
        </w:rPr>
        <w:t>Quality systems at Accomplish / Keys Group are functionally strong and meet CIW regulatory requirements. However, their effectiveness in meeting customer requirements depends on:</w:t>
      </w:r>
    </w:p>
    <w:p w14:paraId="50164F05" w14:textId="77777777" w:rsidR="00C23443" w:rsidRPr="00451DCE" w:rsidRDefault="00C23443" w:rsidP="00451DCE">
      <w:pPr>
        <w:pStyle w:val="ListParagraph"/>
        <w:numPr>
          <w:ilvl w:val="0"/>
          <w:numId w:val="22"/>
        </w:numPr>
        <w:rPr>
          <w:rFonts w:ascii="Tahoma" w:hAnsi="Tahoma" w:cs="Tahoma"/>
        </w:rPr>
      </w:pPr>
      <w:r w:rsidRPr="00451DCE">
        <w:rPr>
          <w:rFonts w:ascii="Tahoma" w:hAnsi="Tahoma" w:cs="Tahoma"/>
        </w:rPr>
        <w:t>Staff competence and emotional intelligence</w:t>
      </w:r>
    </w:p>
    <w:p w14:paraId="02E24E28" w14:textId="77777777" w:rsidR="00C23443" w:rsidRPr="00451DCE" w:rsidRDefault="00C23443" w:rsidP="00451DCE">
      <w:pPr>
        <w:pStyle w:val="ListParagraph"/>
        <w:numPr>
          <w:ilvl w:val="0"/>
          <w:numId w:val="22"/>
        </w:numPr>
        <w:rPr>
          <w:rFonts w:ascii="Tahoma" w:hAnsi="Tahoma" w:cs="Tahoma"/>
        </w:rPr>
      </w:pPr>
      <w:r w:rsidRPr="00451DCE">
        <w:rPr>
          <w:rFonts w:ascii="Tahoma" w:hAnsi="Tahoma" w:cs="Tahoma"/>
        </w:rPr>
        <w:t>Communication consistency</w:t>
      </w:r>
    </w:p>
    <w:p w14:paraId="3EDD181E" w14:textId="77777777" w:rsidR="00C23443" w:rsidRPr="00451DCE" w:rsidRDefault="00C23443" w:rsidP="00451DCE">
      <w:pPr>
        <w:pStyle w:val="ListParagraph"/>
        <w:numPr>
          <w:ilvl w:val="0"/>
          <w:numId w:val="22"/>
        </w:numPr>
        <w:rPr>
          <w:rFonts w:ascii="Tahoma" w:hAnsi="Tahoma" w:cs="Tahoma"/>
        </w:rPr>
      </w:pPr>
      <w:r w:rsidRPr="00451DCE">
        <w:rPr>
          <w:rFonts w:ascii="Tahoma" w:hAnsi="Tahoma" w:cs="Tahoma"/>
        </w:rPr>
        <w:t>Stable staffing and relational capacity</w:t>
      </w:r>
    </w:p>
    <w:p w14:paraId="42F30A99" w14:textId="77777777" w:rsidR="00C23443" w:rsidRPr="00451DCE" w:rsidRDefault="00C23443" w:rsidP="00451DCE">
      <w:pPr>
        <w:pStyle w:val="ListParagraph"/>
        <w:numPr>
          <w:ilvl w:val="0"/>
          <w:numId w:val="22"/>
        </w:numPr>
        <w:rPr>
          <w:rFonts w:ascii="Tahoma" w:hAnsi="Tahoma" w:cs="Tahoma"/>
        </w:rPr>
      </w:pPr>
      <w:r w:rsidRPr="00451DCE">
        <w:rPr>
          <w:rFonts w:ascii="Tahoma" w:hAnsi="Tahoma" w:cs="Tahoma"/>
        </w:rPr>
        <w:t>Reflective leadership</w:t>
      </w:r>
    </w:p>
    <w:p w14:paraId="00EA55F2" w14:textId="77777777" w:rsidR="00C23443" w:rsidRPr="00451DCE" w:rsidRDefault="00C23443" w:rsidP="00451DCE">
      <w:pPr>
        <w:pStyle w:val="ListParagraph"/>
        <w:numPr>
          <w:ilvl w:val="0"/>
          <w:numId w:val="22"/>
        </w:numPr>
        <w:rPr>
          <w:rFonts w:ascii="Tahoma" w:hAnsi="Tahoma" w:cs="Tahoma"/>
        </w:rPr>
      </w:pPr>
      <w:r w:rsidRPr="00451DCE">
        <w:rPr>
          <w:rFonts w:ascii="Tahoma" w:hAnsi="Tahoma" w:cs="Tahoma"/>
        </w:rPr>
        <w:t>Trauma</w:t>
      </w:r>
      <w:r w:rsidRPr="00451DCE">
        <w:rPr>
          <w:rFonts w:ascii="Tahoma" w:hAnsi="Tahoma" w:cs="Tahoma"/>
        </w:rPr>
        <w:noBreakHyphen/>
        <w:t>informed culture being lived, not stated</w:t>
      </w:r>
    </w:p>
    <w:p w14:paraId="38EFC788" w14:textId="77777777" w:rsidR="00C23443" w:rsidRPr="00E9304C" w:rsidRDefault="00C23443" w:rsidP="00C23443">
      <w:pPr>
        <w:rPr>
          <w:rFonts w:ascii="Tahoma" w:hAnsi="Tahoma" w:cs="Tahoma"/>
          <w:sz w:val="24"/>
          <w:szCs w:val="24"/>
        </w:rPr>
      </w:pPr>
      <w:r w:rsidRPr="00E9304C">
        <w:rPr>
          <w:rFonts w:ascii="Tahoma" w:hAnsi="Tahoma" w:cs="Tahoma"/>
          <w:sz w:val="24"/>
          <w:szCs w:val="24"/>
        </w:rPr>
        <w:t>When these conditions are present, quality systems enhance emotional safety, autonomy, predictability, and wellbeing — the highest</w:t>
      </w:r>
      <w:r w:rsidRPr="00E9304C">
        <w:rPr>
          <w:rFonts w:ascii="Tahoma" w:hAnsi="Tahoma" w:cs="Tahoma"/>
          <w:sz w:val="24"/>
          <w:szCs w:val="24"/>
        </w:rPr>
        <w:noBreakHyphen/>
        <w:t>impact value dimensions (Almquist et al., 2016). When they are not, customer value declines despite procedural compliance, demonstrating Kotler’s (2020) argument that emotional costs can outweigh functional benefits.</w:t>
      </w:r>
    </w:p>
    <w:p w14:paraId="61C68319" w14:textId="77777777" w:rsidR="00C23443" w:rsidRPr="00E9304C" w:rsidRDefault="00C23443" w:rsidP="00C23443">
      <w:pPr>
        <w:rPr>
          <w:rFonts w:ascii="Tahoma" w:hAnsi="Tahoma" w:cs="Tahoma"/>
          <w:sz w:val="24"/>
          <w:szCs w:val="24"/>
        </w:rPr>
      </w:pPr>
    </w:p>
    <w:p w14:paraId="17A04175" w14:textId="77777777" w:rsidR="00C23443" w:rsidRPr="00E9304C" w:rsidRDefault="00C23443" w:rsidP="00C23443">
      <w:pPr>
        <w:rPr>
          <w:rFonts w:ascii="Tahoma" w:hAnsi="Tahoma" w:cs="Tahoma"/>
          <w:sz w:val="24"/>
          <w:szCs w:val="24"/>
        </w:rPr>
      </w:pPr>
    </w:p>
    <w:p w14:paraId="197F6FD3" w14:textId="77777777" w:rsidR="00B67DAF" w:rsidRDefault="00B67DAF" w:rsidP="00C23443">
      <w:pPr>
        <w:rPr>
          <w:rFonts w:ascii="Tahoma" w:hAnsi="Tahoma" w:cs="Tahoma"/>
          <w:b/>
          <w:bCs/>
          <w:sz w:val="24"/>
          <w:szCs w:val="24"/>
          <w:u w:val="single"/>
        </w:rPr>
      </w:pPr>
    </w:p>
    <w:p w14:paraId="3371CD61" w14:textId="77777777" w:rsidR="00C50C3F" w:rsidRDefault="00C50C3F" w:rsidP="00C23443">
      <w:pPr>
        <w:rPr>
          <w:rFonts w:ascii="Tahoma" w:hAnsi="Tahoma" w:cs="Tahoma"/>
          <w:b/>
          <w:bCs/>
          <w:sz w:val="24"/>
          <w:szCs w:val="24"/>
          <w:u w:val="single"/>
        </w:rPr>
      </w:pPr>
    </w:p>
    <w:p w14:paraId="7D6F0595" w14:textId="77777777" w:rsidR="00B67DAF" w:rsidRDefault="00B67DAF" w:rsidP="00C23443">
      <w:pPr>
        <w:rPr>
          <w:rFonts w:ascii="Tahoma" w:hAnsi="Tahoma" w:cs="Tahoma"/>
          <w:b/>
          <w:bCs/>
          <w:sz w:val="24"/>
          <w:szCs w:val="24"/>
          <w:u w:val="single"/>
        </w:rPr>
      </w:pPr>
    </w:p>
    <w:p w14:paraId="4F6C3396" w14:textId="48F1C06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3.0 Where Accomplish / Keys Group Fits Within Customer Value Theory</w:t>
      </w:r>
    </w:p>
    <w:p w14:paraId="0503DABC" w14:textId="77777777" w:rsidR="00C23443" w:rsidRPr="00E9304C" w:rsidRDefault="00C23443" w:rsidP="00C23443">
      <w:pPr>
        <w:rPr>
          <w:rFonts w:ascii="Tahoma" w:hAnsi="Tahoma" w:cs="Tahoma"/>
          <w:sz w:val="24"/>
          <w:szCs w:val="24"/>
        </w:rPr>
      </w:pPr>
      <w:r w:rsidRPr="00E9304C">
        <w:rPr>
          <w:rFonts w:ascii="Tahoma" w:hAnsi="Tahoma" w:cs="Tahoma"/>
          <w:sz w:val="24"/>
          <w:szCs w:val="24"/>
        </w:rPr>
        <w:t xml:space="preserve">Accomplish / Keys Group shows </w:t>
      </w:r>
      <w:r w:rsidRPr="00A7597E">
        <w:rPr>
          <w:rFonts w:ascii="Tahoma" w:hAnsi="Tahoma" w:cs="Tahoma"/>
          <w:sz w:val="24"/>
          <w:szCs w:val="24"/>
        </w:rPr>
        <w:t>strong</w:t>
      </w:r>
      <w:r w:rsidRPr="00E9304C">
        <w:rPr>
          <w:rFonts w:ascii="Tahoma" w:hAnsi="Tahoma" w:cs="Tahoma"/>
          <w:b/>
          <w:bCs/>
          <w:sz w:val="24"/>
          <w:szCs w:val="24"/>
        </w:rPr>
        <w:t xml:space="preserve"> </w:t>
      </w:r>
      <w:r w:rsidRPr="00A7597E">
        <w:rPr>
          <w:rFonts w:ascii="Tahoma" w:hAnsi="Tahoma" w:cs="Tahoma"/>
          <w:sz w:val="24"/>
          <w:szCs w:val="24"/>
        </w:rPr>
        <w:t>alignment</w:t>
      </w:r>
      <w:r w:rsidRPr="00E9304C">
        <w:rPr>
          <w:rFonts w:ascii="Tahoma" w:hAnsi="Tahoma" w:cs="Tahoma"/>
          <w:sz w:val="24"/>
          <w:szCs w:val="24"/>
        </w:rPr>
        <w:t xml:space="preserve"> with contemporary </w:t>
      </w:r>
      <w:r w:rsidRPr="00A7597E">
        <w:rPr>
          <w:rFonts w:ascii="Tahoma" w:hAnsi="Tahoma" w:cs="Tahoma"/>
          <w:sz w:val="24"/>
          <w:szCs w:val="24"/>
        </w:rPr>
        <w:t>customer value theory</w:t>
      </w:r>
      <w:r w:rsidRPr="00E9304C">
        <w:rPr>
          <w:rFonts w:ascii="Tahoma" w:hAnsi="Tahoma" w:cs="Tahoma"/>
          <w:sz w:val="24"/>
          <w:szCs w:val="24"/>
        </w:rPr>
        <w:t>, particularly through trauma</w:t>
      </w:r>
      <w:r w:rsidRPr="00E9304C">
        <w:rPr>
          <w:rFonts w:ascii="Tahoma" w:hAnsi="Tahoma" w:cs="Tahoma"/>
          <w:sz w:val="24"/>
          <w:szCs w:val="24"/>
        </w:rPr>
        <w:noBreakHyphen/>
        <w:t xml:space="preserve">informed practice, personalised support, and emotional safety. Pearson’s </w:t>
      </w:r>
      <w:r w:rsidRPr="00A7597E">
        <w:rPr>
          <w:rFonts w:ascii="Tahoma" w:hAnsi="Tahoma" w:cs="Tahoma"/>
          <w:sz w:val="24"/>
          <w:szCs w:val="24"/>
        </w:rPr>
        <w:t>RED model</w:t>
      </w:r>
      <w:r w:rsidRPr="00E9304C">
        <w:rPr>
          <w:rFonts w:ascii="Tahoma" w:hAnsi="Tahoma" w:cs="Tahoma"/>
          <w:sz w:val="24"/>
          <w:szCs w:val="24"/>
        </w:rPr>
        <w:t xml:space="preserve"> demonstrates how organisational policies translate into practice by exposing assumptions, evaluating evidence, and identifying contradictions. Core frameworks — Trauma</w:t>
      </w:r>
      <w:r w:rsidRPr="00E9304C">
        <w:rPr>
          <w:rFonts w:ascii="Tahoma" w:hAnsi="Tahoma" w:cs="Tahoma"/>
          <w:sz w:val="24"/>
          <w:szCs w:val="24"/>
        </w:rPr>
        <w:noBreakHyphen/>
        <w:t>Informed Practice (2023), PBS Policy (2024), Resident Voice &amp; Engagement (2024), Safeguarding (2025), and Quality Assurance (2026) — map closely onto the functional, emotional, and life</w:t>
      </w:r>
      <w:r w:rsidRPr="00E9304C">
        <w:rPr>
          <w:rFonts w:ascii="Tahoma" w:hAnsi="Tahoma" w:cs="Tahoma"/>
          <w:sz w:val="24"/>
          <w:szCs w:val="24"/>
        </w:rPr>
        <w:noBreakHyphen/>
        <w:t>changing value dimensions described by Woodruff, Almquist, Shaw &amp; Hamilton, Kotler, and Kumar.</w:t>
      </w:r>
    </w:p>
    <w:p w14:paraId="7FEB1E95" w14:textId="77777777" w:rsidR="00C23443" w:rsidRPr="00E9304C" w:rsidRDefault="00C23443" w:rsidP="00C23443">
      <w:pPr>
        <w:rPr>
          <w:rFonts w:ascii="Tahoma" w:hAnsi="Tahoma" w:cs="Tahoma"/>
          <w:sz w:val="24"/>
          <w:szCs w:val="24"/>
        </w:rPr>
      </w:pPr>
      <w:r w:rsidRPr="00E9304C">
        <w:rPr>
          <w:rFonts w:ascii="Tahoma" w:hAnsi="Tahoma" w:cs="Tahoma"/>
          <w:sz w:val="24"/>
          <w:szCs w:val="24"/>
        </w:rPr>
        <w:t>Functionally, Accomplishes CIW compliance, safeguarding systems, GDPR adherence, medication governance, and structured routines create reliability and predictability, reducing functional “costs” such as risk and inconsistency. However, RED analysis highlights tensions: documentation and audit demands can limit relational engagement, supporting Kotler’s argument that emotional costs (anxiety, unpredictability, reduced autonomy) may outweigh functional benefits when processes become overly procedural.</w:t>
      </w:r>
    </w:p>
    <w:p w14:paraId="7A01347C" w14:textId="77777777" w:rsidR="00C23443" w:rsidRPr="00E9304C" w:rsidRDefault="00C23443" w:rsidP="00C23443">
      <w:pPr>
        <w:rPr>
          <w:rFonts w:ascii="Tahoma" w:hAnsi="Tahoma" w:cs="Tahoma"/>
          <w:sz w:val="24"/>
          <w:szCs w:val="24"/>
        </w:rPr>
      </w:pPr>
      <w:r w:rsidRPr="00E9304C">
        <w:rPr>
          <w:rFonts w:ascii="Tahoma" w:hAnsi="Tahoma" w:cs="Tahoma"/>
          <w:sz w:val="24"/>
          <w:szCs w:val="24"/>
        </w:rPr>
        <w:t>Emotionally, Accomplish aligns well with trauma</w:t>
      </w:r>
      <w:r w:rsidRPr="00E9304C">
        <w:rPr>
          <w:rFonts w:ascii="Tahoma" w:hAnsi="Tahoma" w:cs="Tahoma"/>
          <w:sz w:val="24"/>
          <w:szCs w:val="24"/>
        </w:rPr>
        <w:noBreakHyphen/>
        <w:t>informed and PBS</w:t>
      </w:r>
      <w:r w:rsidRPr="00E9304C">
        <w:rPr>
          <w:rFonts w:ascii="Tahoma" w:hAnsi="Tahoma" w:cs="Tahoma"/>
          <w:sz w:val="24"/>
          <w:szCs w:val="24"/>
        </w:rPr>
        <w:noBreakHyphen/>
        <w:t>based value creation. Evidence from CIW inspections, resident voice, and incident trends shows that attuned communication, predictability, and emotional regulation increase emotional value. RED analysis challenges assumptions such as “training equals competence”, reinforcing Kumar’s view that emotional intelligence and relational engagement — not training alone — sustain value.</w:t>
      </w:r>
    </w:p>
    <w:p w14:paraId="1B476AB7" w14:textId="77777777" w:rsidR="00C23443" w:rsidRPr="00E9304C" w:rsidRDefault="00C23443" w:rsidP="00C23443">
      <w:pPr>
        <w:rPr>
          <w:rFonts w:ascii="Tahoma" w:hAnsi="Tahoma" w:cs="Tahoma"/>
          <w:sz w:val="24"/>
          <w:szCs w:val="24"/>
        </w:rPr>
      </w:pPr>
      <w:r w:rsidRPr="00E9304C">
        <w:rPr>
          <w:rFonts w:ascii="Tahoma" w:hAnsi="Tahoma" w:cs="Tahoma"/>
          <w:sz w:val="24"/>
          <w:szCs w:val="24"/>
        </w:rPr>
        <w:t>Life</w:t>
      </w:r>
      <w:r w:rsidRPr="00E9304C">
        <w:rPr>
          <w:rFonts w:ascii="Tahoma" w:hAnsi="Tahoma" w:cs="Tahoma"/>
          <w:sz w:val="24"/>
          <w:szCs w:val="24"/>
        </w:rPr>
        <w:noBreakHyphen/>
        <w:t>changing value is reflected in personalised care plans, PBS strategies, and resident involvement, aligning with Woodruff’s goal</w:t>
      </w:r>
      <w:r w:rsidRPr="00E9304C">
        <w:rPr>
          <w:rFonts w:ascii="Tahoma" w:hAnsi="Tahoma" w:cs="Tahoma"/>
          <w:sz w:val="24"/>
          <w:szCs w:val="24"/>
        </w:rPr>
        <w:noBreakHyphen/>
        <w:t>achievement model and Kumar’s Engagement Value. Yet staffing shortages, reliance on agency workers, and documentation pressures weaken consistency, revealing contradictions between policy intentions and lived practice.</w:t>
      </w:r>
    </w:p>
    <w:p w14:paraId="1DD5B717" w14:textId="77777777" w:rsidR="00C23443" w:rsidRPr="00E9304C" w:rsidRDefault="00C23443" w:rsidP="00C23443">
      <w:pPr>
        <w:rPr>
          <w:rFonts w:ascii="Tahoma" w:hAnsi="Tahoma" w:cs="Tahoma"/>
          <w:sz w:val="24"/>
          <w:szCs w:val="24"/>
        </w:rPr>
      </w:pPr>
      <w:r w:rsidRPr="00E9304C">
        <w:rPr>
          <w:rFonts w:ascii="Tahoma" w:hAnsi="Tahoma" w:cs="Tahoma"/>
          <w:sz w:val="24"/>
          <w:szCs w:val="24"/>
        </w:rPr>
        <w:t>Segmentation theory clarifies organisational fit: residents, families, commissioners, advocates, and regulators define value differently. Accomplishes CRM processes, family engagement, commissioner reporting, and CIW compliance show strong alignment with customer centrality. RED analysis indicates that personalised value increases when customer centrality is applied meaningfully, but can shift toward organisational convenience when KPIs or audit cycles dominate.</w:t>
      </w:r>
    </w:p>
    <w:p w14:paraId="2ADDA135" w14:textId="77777777" w:rsidR="00C23443" w:rsidRPr="00E9304C" w:rsidRDefault="00C23443" w:rsidP="00C23443">
      <w:pPr>
        <w:rPr>
          <w:rFonts w:ascii="Tahoma" w:hAnsi="Tahoma" w:cs="Tahoma"/>
          <w:sz w:val="24"/>
          <w:szCs w:val="24"/>
        </w:rPr>
      </w:pPr>
      <w:r w:rsidRPr="00E9304C">
        <w:rPr>
          <w:rFonts w:ascii="Tahoma" w:hAnsi="Tahoma" w:cs="Tahoma"/>
          <w:sz w:val="24"/>
          <w:szCs w:val="24"/>
        </w:rPr>
        <w:t>Finally, Accomplish aligns with loyalty theory: trust, emotional engagement, and consistent relational care support stable placements, reduced incidents, and positive feedback. Trauma</w:t>
      </w:r>
      <w:r w:rsidRPr="00E9304C">
        <w:rPr>
          <w:rFonts w:ascii="Tahoma" w:hAnsi="Tahoma" w:cs="Tahoma"/>
          <w:sz w:val="24"/>
          <w:szCs w:val="24"/>
        </w:rPr>
        <w:noBreakHyphen/>
        <w:t>informed practice and resident voice strengthen loyalty, though inconsistent communication and staffing instability can weaken trust and long</w:t>
      </w:r>
      <w:r w:rsidRPr="00E9304C">
        <w:rPr>
          <w:rFonts w:ascii="Tahoma" w:hAnsi="Tahoma" w:cs="Tahoma"/>
          <w:sz w:val="24"/>
          <w:szCs w:val="24"/>
        </w:rPr>
        <w:noBreakHyphen/>
        <w:t>term value.</w:t>
      </w:r>
    </w:p>
    <w:p w14:paraId="137E3C68" w14:textId="77777777" w:rsidR="00C23443" w:rsidRPr="00E9304C" w:rsidRDefault="00C23443" w:rsidP="00C23443">
      <w:pPr>
        <w:rPr>
          <w:rFonts w:ascii="Tahoma" w:hAnsi="Tahoma" w:cs="Tahoma"/>
          <w:sz w:val="24"/>
          <w:szCs w:val="24"/>
        </w:rPr>
      </w:pPr>
      <w:r w:rsidRPr="00A7597E">
        <w:rPr>
          <w:rFonts w:ascii="Tahoma" w:hAnsi="Tahoma" w:cs="Tahoma"/>
          <w:sz w:val="24"/>
          <w:szCs w:val="24"/>
        </w:rPr>
        <w:lastRenderedPageBreak/>
        <w:t>Overall</w:t>
      </w:r>
      <w:r w:rsidRPr="00E9304C">
        <w:rPr>
          <w:rFonts w:ascii="Tahoma" w:hAnsi="Tahoma" w:cs="Tahoma"/>
          <w:sz w:val="24"/>
          <w:szCs w:val="24"/>
        </w:rPr>
        <w:t>, Accomplish / Keys Group fits strongly within contemporary customer value theory, delivering functional, emotional, and life</w:t>
      </w:r>
      <w:r w:rsidRPr="00E9304C">
        <w:rPr>
          <w:rFonts w:ascii="Tahoma" w:hAnsi="Tahoma" w:cs="Tahoma"/>
          <w:sz w:val="24"/>
          <w:szCs w:val="24"/>
        </w:rPr>
        <w:noBreakHyphen/>
        <w:t>changing value. However, operational contradictions — staffing pressures, documentation demands, and variability in competence — can reduce emotional and psychological value. Sustained alignment requires continuous critical evaluation, reflective leadership, and coherence between policy and lived practice.</w:t>
      </w:r>
    </w:p>
    <w:p w14:paraId="6CE02690"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3.1 Customer Lifecycle Analysis</w:t>
      </w:r>
    </w:p>
    <w:p w14:paraId="6E3458C6" w14:textId="77777777" w:rsidR="00C23443" w:rsidRPr="00E9304C" w:rsidRDefault="00C23443" w:rsidP="00C23443">
      <w:pPr>
        <w:rPr>
          <w:rFonts w:ascii="Tahoma" w:hAnsi="Tahoma" w:cs="Tahoma"/>
          <w:sz w:val="24"/>
          <w:szCs w:val="24"/>
        </w:rPr>
      </w:pPr>
      <w:r w:rsidRPr="00E9304C">
        <w:rPr>
          <w:rFonts w:ascii="Tahoma" w:hAnsi="Tahoma" w:cs="Tahoma"/>
          <w:sz w:val="24"/>
          <w:szCs w:val="24"/>
        </w:rPr>
        <w:t>Understanding the customer lifecycle is essential for evaluating how Accomplish / Keys Group acquires, supports, retains, and sustains relationships with residents, families, commissioners, and regulators. Unlike commercial sectors, acquisition in mental health residential care is shaped by referral pathways, multiagency assessment, and regulatory reputation rather than marketing. Kotler’s (2020) value equation and Kumar’s (2020) engagement value model demonstrate that value is created at each stage of the lifecycle through emotional safety, predictability, and relational consistency. RED analysis challenges assumptions such as “placement equals loyalty”, showing that loyalty is built through trust, stability, and trauma informed relational care. (see Appendix E: Customer Lifecycle Diagram)</w:t>
      </w:r>
    </w:p>
    <w:p w14:paraId="693E8483"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3.2 Acquisition</w:t>
      </w:r>
    </w:p>
    <w:p w14:paraId="1E6E74AD" w14:textId="77777777" w:rsidR="00C23443" w:rsidRPr="00E9304C" w:rsidRDefault="00C23443" w:rsidP="00C23443">
      <w:pPr>
        <w:rPr>
          <w:rFonts w:ascii="Tahoma" w:hAnsi="Tahoma" w:cs="Tahoma"/>
          <w:sz w:val="24"/>
          <w:szCs w:val="24"/>
        </w:rPr>
      </w:pPr>
      <w:r w:rsidRPr="00E9304C">
        <w:rPr>
          <w:rFonts w:ascii="Tahoma" w:hAnsi="Tahoma" w:cs="Tahoma"/>
          <w:sz w:val="24"/>
          <w:szCs w:val="24"/>
        </w:rPr>
        <w:t>Acquisition begins when commissioners, social workers, or MDT professionals identify Accomplish / Keys Group as a potential provider. The organisation’s Trauma Informed Practice Framework (2023), PBS Policy (2024), CIW inspection history (2021–2026), and reputation for personalised support influence acquisition decisions. Porter’s segmentation theory shows that commissioners prioritise compliance, outcomes, and cost effectiveness, while families prioritise emotional safety and transparency. RED analysis exposes a tension: commissioners may emphasise efficiency and budget constraints, whereas families emphasise relational care. This tension shapes acquisition decisions and requires Accomplish to balance regulatory expectations with personalised engagement.</w:t>
      </w:r>
    </w:p>
    <w:p w14:paraId="0E7ED795"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3.3 Onboarding and Transition</w:t>
      </w:r>
    </w:p>
    <w:p w14:paraId="33213497" w14:textId="77777777" w:rsidR="00C23443" w:rsidRPr="00E9304C" w:rsidRDefault="00C23443" w:rsidP="00C23443">
      <w:pPr>
        <w:rPr>
          <w:rFonts w:ascii="Tahoma" w:hAnsi="Tahoma" w:cs="Tahoma"/>
          <w:sz w:val="24"/>
          <w:szCs w:val="24"/>
        </w:rPr>
      </w:pPr>
      <w:r w:rsidRPr="00E9304C">
        <w:rPr>
          <w:rFonts w:ascii="Tahoma" w:hAnsi="Tahoma" w:cs="Tahoma"/>
          <w:sz w:val="24"/>
          <w:szCs w:val="24"/>
        </w:rPr>
        <w:t>Onboarding involves assessment, transition planning, risk management, and personalised care planning. Woodruff’s (1997) goal based value theory shows that value is created when onboarding supports emotional stability, autonomy, and predictability. RED analysis challenges assumptions such as “documentation equals understanding”, demonstrating that tacit knowledge — triggers, communication preferences, sensory needs — is often missing from initial assessments. Effective onboarding requires emotionally attuned communication, trauma informed practice, and collaboration with families and MDT professionals. When onboarding is rushed due to commissioning pressure or staffing constraints, emotional costs increase, reducing perceived value.</w:t>
      </w:r>
    </w:p>
    <w:p w14:paraId="1BEB46F2"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3.4 Experience and Relationship Development</w:t>
      </w:r>
    </w:p>
    <w:p w14:paraId="2C0D6D55" w14:textId="77777777" w:rsidR="00C23443" w:rsidRPr="00E9304C" w:rsidRDefault="00C23443" w:rsidP="00C23443">
      <w:pPr>
        <w:rPr>
          <w:rFonts w:ascii="Tahoma" w:hAnsi="Tahoma" w:cs="Tahoma"/>
          <w:sz w:val="24"/>
          <w:szCs w:val="24"/>
        </w:rPr>
      </w:pPr>
      <w:r w:rsidRPr="00E9304C">
        <w:rPr>
          <w:rFonts w:ascii="Tahoma" w:hAnsi="Tahoma" w:cs="Tahoma"/>
          <w:sz w:val="24"/>
          <w:szCs w:val="24"/>
        </w:rPr>
        <w:t>The experience stage is where most customer value is created. Shaw and Hamilton (2020) argue that emotional and subconscious cues shape customer experience more strongly than functional tasks. Accomplishes daily routines, communication practices, PBS strategies, and trauma-informed interactions determine whether residents experience emotional safety, trust, and autonomy. Critical analysis shows that inconsistent communication, staffing shortages, and documentation pressures can undermine relational value despite strong organisational policies. This reflects Kotler’s (2020) argument that emotional costs — anxiety, unpredictability, loss of autonomy — can outweigh functional benefits when processes become overly procedural.</w:t>
      </w:r>
    </w:p>
    <w:p w14:paraId="1A28314B"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3.5 Retention and Loyalty</w:t>
      </w:r>
    </w:p>
    <w:p w14:paraId="12F7D4CE" w14:textId="77777777" w:rsidR="00C23443" w:rsidRPr="00E9304C" w:rsidRDefault="00C23443" w:rsidP="00C23443">
      <w:pPr>
        <w:rPr>
          <w:rFonts w:ascii="Tahoma" w:hAnsi="Tahoma" w:cs="Tahoma"/>
          <w:sz w:val="24"/>
          <w:szCs w:val="24"/>
        </w:rPr>
      </w:pPr>
      <w:r w:rsidRPr="00E9304C">
        <w:rPr>
          <w:rFonts w:ascii="Tahoma" w:hAnsi="Tahoma" w:cs="Tahoma"/>
          <w:sz w:val="24"/>
          <w:szCs w:val="24"/>
        </w:rPr>
        <w:t>Retention in mental health residential care is expressed through stable placements, reduced incidents, positive feedback, and continued engagement. Reichheld’s loyalty theory shows that loyalty is built through trust and emotional engagement, not compliance tasks. Accomplishes Resident Voice &amp; Engagement Framework (2024) and Quality Assurance Framework (2026) support retention by promoting personalised support, involvement, and continuous improvement. However, RED analysis shows that inconsistent staff competence, communication failures, and resource constraints can weaken loyalty. Commissioners may reconsider placements if outcomes decline, demonstrating that loyalty is contingent on sustained relational value.</w:t>
      </w:r>
    </w:p>
    <w:p w14:paraId="48AB8C0C"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3.6 Advocacy and Long Term Value</w:t>
      </w:r>
    </w:p>
    <w:p w14:paraId="78287E73" w14:textId="77777777" w:rsidR="00C23443" w:rsidRPr="00E9304C" w:rsidRDefault="00C23443" w:rsidP="00C23443">
      <w:pPr>
        <w:rPr>
          <w:rFonts w:ascii="Tahoma" w:hAnsi="Tahoma" w:cs="Tahoma"/>
          <w:sz w:val="24"/>
          <w:szCs w:val="24"/>
        </w:rPr>
      </w:pPr>
      <w:r w:rsidRPr="00E9304C">
        <w:rPr>
          <w:rFonts w:ascii="Tahoma" w:hAnsi="Tahoma" w:cs="Tahoma"/>
          <w:sz w:val="24"/>
          <w:szCs w:val="24"/>
        </w:rPr>
        <w:t>Advocacy occurs when families, commissioners, or MDT professionals recommend Accomplish based on positive experiences. Kumar’s (2020) knowledge value and engagement value models show that advocacy is created through trust, transparency, and consistent relational care. Critical analysis shows that advocacy is strongest when organisational culture aligns with lived experience; however, operational pressures can weaken advocacy if relational value declines. Advocacy is therefore a dynamic indicator of long term customer value.</w:t>
      </w:r>
    </w:p>
    <w:p w14:paraId="4487F6AA" w14:textId="77777777" w:rsidR="00C23443" w:rsidRPr="00E9304C" w:rsidRDefault="00C23443" w:rsidP="00C23443">
      <w:pPr>
        <w:rPr>
          <w:rFonts w:ascii="Tahoma" w:hAnsi="Tahoma" w:cs="Tahoma"/>
          <w:b/>
          <w:bCs/>
          <w:sz w:val="24"/>
          <w:szCs w:val="24"/>
          <w:u w:val="single"/>
        </w:rPr>
      </w:pPr>
    </w:p>
    <w:p w14:paraId="2F0EBF63" w14:textId="77777777" w:rsidR="00C23443" w:rsidRPr="00E9304C" w:rsidRDefault="00C23443" w:rsidP="00C23443">
      <w:pPr>
        <w:rPr>
          <w:rFonts w:ascii="Tahoma" w:hAnsi="Tahoma" w:cs="Tahoma"/>
          <w:b/>
          <w:bCs/>
          <w:sz w:val="24"/>
          <w:szCs w:val="24"/>
          <w:u w:val="single"/>
        </w:rPr>
      </w:pPr>
    </w:p>
    <w:p w14:paraId="63D0F475" w14:textId="77777777" w:rsidR="00C23443" w:rsidRPr="00E9304C" w:rsidRDefault="00C23443" w:rsidP="00C23443">
      <w:pPr>
        <w:rPr>
          <w:rFonts w:ascii="Tahoma" w:hAnsi="Tahoma" w:cs="Tahoma"/>
          <w:b/>
          <w:bCs/>
          <w:sz w:val="24"/>
          <w:szCs w:val="24"/>
          <w:u w:val="single"/>
        </w:rPr>
      </w:pPr>
    </w:p>
    <w:p w14:paraId="623F0EE2" w14:textId="77777777" w:rsidR="00C23443" w:rsidRPr="00E9304C" w:rsidRDefault="00C23443" w:rsidP="00C23443">
      <w:pPr>
        <w:rPr>
          <w:rFonts w:ascii="Tahoma" w:hAnsi="Tahoma" w:cs="Tahoma"/>
          <w:b/>
          <w:bCs/>
          <w:sz w:val="24"/>
          <w:szCs w:val="24"/>
          <w:u w:val="single"/>
        </w:rPr>
      </w:pPr>
    </w:p>
    <w:p w14:paraId="282AE0E6" w14:textId="77777777" w:rsidR="00C23443" w:rsidRPr="00E9304C" w:rsidRDefault="00C23443" w:rsidP="00C23443">
      <w:pPr>
        <w:rPr>
          <w:rFonts w:ascii="Tahoma" w:hAnsi="Tahoma" w:cs="Tahoma"/>
          <w:b/>
          <w:bCs/>
          <w:sz w:val="24"/>
          <w:szCs w:val="24"/>
          <w:u w:val="single"/>
        </w:rPr>
      </w:pPr>
    </w:p>
    <w:p w14:paraId="1002A782" w14:textId="77777777" w:rsidR="00C23443" w:rsidRPr="00E9304C" w:rsidRDefault="00C23443" w:rsidP="00C23443">
      <w:pPr>
        <w:rPr>
          <w:rFonts w:ascii="Tahoma" w:hAnsi="Tahoma" w:cs="Tahoma"/>
          <w:b/>
          <w:bCs/>
          <w:sz w:val="24"/>
          <w:szCs w:val="24"/>
          <w:u w:val="single"/>
        </w:rPr>
      </w:pPr>
    </w:p>
    <w:p w14:paraId="4E2A8162" w14:textId="77777777" w:rsidR="006638FA" w:rsidRDefault="006638FA" w:rsidP="00C23443">
      <w:pPr>
        <w:rPr>
          <w:rFonts w:ascii="Tahoma" w:hAnsi="Tahoma" w:cs="Tahoma"/>
          <w:b/>
          <w:bCs/>
          <w:sz w:val="24"/>
          <w:szCs w:val="24"/>
          <w:u w:val="single"/>
        </w:rPr>
      </w:pPr>
    </w:p>
    <w:p w14:paraId="04773C4D" w14:textId="221E3EC2"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4.0 CRM Segmentation and Customer Centrality</w:t>
      </w:r>
    </w:p>
    <w:p w14:paraId="484DE0DE" w14:textId="5FE2F29C" w:rsidR="00D37F59" w:rsidRDefault="00D37F59" w:rsidP="00C23443">
      <w:pPr>
        <w:rPr>
          <w:rFonts w:ascii="Tahoma" w:hAnsi="Tahoma" w:cs="Tahoma"/>
          <w:sz w:val="24"/>
          <w:szCs w:val="24"/>
        </w:rPr>
      </w:pPr>
      <w:r w:rsidRPr="00D37F59">
        <w:rPr>
          <w:rFonts w:ascii="Tahoma" w:hAnsi="Tahoma" w:cs="Tahoma"/>
          <w:sz w:val="24"/>
          <w:szCs w:val="24"/>
        </w:rPr>
        <w:t>CRM in mental</w:t>
      </w:r>
      <w:r w:rsidRPr="00D37F59">
        <w:rPr>
          <w:rFonts w:ascii="Tahoma" w:hAnsi="Tahoma" w:cs="Tahoma"/>
          <w:sz w:val="24"/>
          <w:szCs w:val="24"/>
        </w:rPr>
        <w:noBreakHyphen/>
        <w:t>health residential care is a relational framework that supports personalised engagement, transparency, and trust. Accomplish applies CRM principles through commissioner reporting, family engagement, resident voice processes, MDT collaboration, and CIW compliance. Segmentation theory (Porter, 2021; Pollack, 2022) shows that value must be tailored to each customer group, and RED analysis demonstrates that assumptions such as “all customers want the same information” are flawed. A stakeholder map strengthens this analysis by visually clarifying the relationships, expectations, and influence of residents, families, commissioners, regulators, MDT professionals, and internal staff. It highlights where communication gaps or relational pressures may occur and reinforces customer centrality by ensuring trauma</w:t>
      </w:r>
      <w:r w:rsidR="00B5295E">
        <w:rPr>
          <w:rFonts w:ascii="Tahoma" w:hAnsi="Tahoma" w:cs="Tahoma"/>
          <w:sz w:val="24"/>
          <w:szCs w:val="24"/>
        </w:rPr>
        <w:t>-</w:t>
      </w:r>
      <w:r w:rsidRPr="00D37F59">
        <w:rPr>
          <w:rFonts w:ascii="Tahoma" w:hAnsi="Tahoma" w:cs="Tahoma"/>
          <w:sz w:val="24"/>
          <w:szCs w:val="24"/>
        </w:rPr>
        <w:t>informed practice, PBS principles, and quality systems remain aligned with the needs of those who experience, purchase, regulate, or deliver care. Together, CRM, segmentation, and stakeholder mapping provide a coherent framework for understanding how Accomplish / Keys Group creates functional, emotional, and regulatory value while prioritising residents’ lived experience.</w:t>
      </w:r>
      <w:r w:rsidR="00B5295E">
        <w:rPr>
          <w:rFonts w:ascii="Tahoma" w:hAnsi="Tahoma" w:cs="Tahoma"/>
          <w:sz w:val="24"/>
          <w:szCs w:val="24"/>
        </w:rPr>
        <w:t xml:space="preserve"> (See Appendix </w:t>
      </w:r>
      <w:r w:rsidR="00277965">
        <w:rPr>
          <w:rFonts w:ascii="Tahoma" w:hAnsi="Tahoma" w:cs="Tahoma"/>
          <w:sz w:val="24"/>
          <w:szCs w:val="24"/>
        </w:rPr>
        <w:t>F CRM Stakeholders Map)</w:t>
      </w:r>
    </w:p>
    <w:p w14:paraId="56800DFF" w14:textId="73E8E2B3"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4.1 Segmentation</w:t>
      </w:r>
    </w:p>
    <w:p w14:paraId="09A5C489" w14:textId="77777777" w:rsidR="00C23443" w:rsidRPr="00E9304C" w:rsidRDefault="00C23443" w:rsidP="00C23443">
      <w:pPr>
        <w:rPr>
          <w:rFonts w:ascii="Tahoma" w:hAnsi="Tahoma" w:cs="Tahoma"/>
          <w:sz w:val="24"/>
          <w:szCs w:val="24"/>
        </w:rPr>
      </w:pPr>
      <w:r w:rsidRPr="00E9304C">
        <w:rPr>
          <w:rFonts w:ascii="Tahoma" w:hAnsi="Tahoma" w:cs="Tahoma"/>
          <w:sz w:val="24"/>
          <w:szCs w:val="24"/>
        </w:rPr>
        <w:t>Segmentation identifies customer groups and tailors communication and support accordingly:</w:t>
      </w:r>
    </w:p>
    <w:p w14:paraId="37716787" w14:textId="77777777" w:rsidR="00C23443" w:rsidRPr="00451DCE" w:rsidRDefault="00C23443" w:rsidP="00451DCE">
      <w:pPr>
        <w:pStyle w:val="ListParagraph"/>
        <w:numPr>
          <w:ilvl w:val="0"/>
          <w:numId w:val="21"/>
        </w:numPr>
        <w:rPr>
          <w:rFonts w:ascii="Tahoma" w:hAnsi="Tahoma" w:cs="Tahoma"/>
        </w:rPr>
      </w:pPr>
      <w:r w:rsidRPr="00451DCE">
        <w:rPr>
          <w:rFonts w:ascii="Tahoma" w:hAnsi="Tahoma" w:cs="Tahoma"/>
        </w:rPr>
        <w:t>Residents — emotional safety, autonomy, predictability, personalised support</w:t>
      </w:r>
    </w:p>
    <w:p w14:paraId="149D82E2" w14:textId="77777777" w:rsidR="00C23443" w:rsidRPr="00451DCE" w:rsidRDefault="00C23443" w:rsidP="00451DCE">
      <w:pPr>
        <w:pStyle w:val="ListParagraph"/>
        <w:numPr>
          <w:ilvl w:val="0"/>
          <w:numId w:val="21"/>
        </w:numPr>
        <w:rPr>
          <w:rFonts w:ascii="Tahoma" w:hAnsi="Tahoma" w:cs="Tahoma"/>
        </w:rPr>
      </w:pPr>
      <w:r w:rsidRPr="00451DCE">
        <w:rPr>
          <w:rFonts w:ascii="Tahoma" w:hAnsi="Tahoma" w:cs="Tahoma"/>
        </w:rPr>
        <w:t>Families — reassurance, involvement, transparency</w:t>
      </w:r>
    </w:p>
    <w:p w14:paraId="79B2CD99" w14:textId="77777777" w:rsidR="00C23443" w:rsidRPr="00451DCE" w:rsidRDefault="00C23443" w:rsidP="00451DCE">
      <w:pPr>
        <w:pStyle w:val="ListParagraph"/>
        <w:numPr>
          <w:ilvl w:val="0"/>
          <w:numId w:val="21"/>
        </w:numPr>
        <w:rPr>
          <w:rFonts w:ascii="Tahoma" w:hAnsi="Tahoma" w:cs="Tahoma"/>
        </w:rPr>
      </w:pPr>
      <w:r w:rsidRPr="00451DCE">
        <w:rPr>
          <w:rFonts w:ascii="Tahoma" w:hAnsi="Tahoma" w:cs="Tahoma"/>
        </w:rPr>
        <w:t>Commissioners — compliance, outcomes, cost effectiveness</w:t>
      </w:r>
    </w:p>
    <w:p w14:paraId="5B865AF2" w14:textId="77777777" w:rsidR="00C23443" w:rsidRPr="00451DCE" w:rsidRDefault="00C23443" w:rsidP="00451DCE">
      <w:pPr>
        <w:pStyle w:val="ListParagraph"/>
        <w:numPr>
          <w:ilvl w:val="0"/>
          <w:numId w:val="21"/>
        </w:numPr>
        <w:rPr>
          <w:rFonts w:ascii="Tahoma" w:hAnsi="Tahoma" w:cs="Tahoma"/>
        </w:rPr>
      </w:pPr>
      <w:r w:rsidRPr="00451DCE">
        <w:rPr>
          <w:rFonts w:ascii="Tahoma" w:hAnsi="Tahoma" w:cs="Tahoma"/>
        </w:rPr>
        <w:t>Regulators — safety, governance, documentation</w:t>
      </w:r>
    </w:p>
    <w:p w14:paraId="4C5BD333" w14:textId="77777777" w:rsidR="00C23443" w:rsidRPr="00451DCE" w:rsidRDefault="00C23443" w:rsidP="00451DCE">
      <w:pPr>
        <w:pStyle w:val="ListParagraph"/>
        <w:numPr>
          <w:ilvl w:val="0"/>
          <w:numId w:val="21"/>
        </w:numPr>
        <w:rPr>
          <w:rFonts w:ascii="Tahoma" w:hAnsi="Tahoma" w:cs="Tahoma"/>
        </w:rPr>
      </w:pPr>
      <w:r w:rsidRPr="00451DCE">
        <w:rPr>
          <w:rFonts w:ascii="Tahoma" w:hAnsi="Tahoma" w:cs="Tahoma"/>
        </w:rPr>
        <w:t>MDT / Advocates — collaboration, consistency, clarity</w:t>
      </w:r>
    </w:p>
    <w:p w14:paraId="79C22AD5" w14:textId="3A2F5D11" w:rsidR="00C23443" w:rsidRPr="00E9304C" w:rsidRDefault="00C23443" w:rsidP="00C23443">
      <w:pPr>
        <w:rPr>
          <w:rFonts w:ascii="Tahoma" w:hAnsi="Tahoma" w:cs="Tahoma"/>
          <w:sz w:val="24"/>
          <w:szCs w:val="24"/>
        </w:rPr>
      </w:pPr>
      <w:r w:rsidRPr="00E9304C">
        <w:rPr>
          <w:rFonts w:ascii="Tahoma" w:hAnsi="Tahoma" w:cs="Tahoma"/>
          <w:sz w:val="24"/>
          <w:szCs w:val="24"/>
        </w:rPr>
        <w:t xml:space="preserve">Critical analysis shows that segmentation is effective when staff understand the differing needs of each group. However, documentation pressures and staffing constraints can lead to generic communication, reducing perceived value. </w:t>
      </w:r>
    </w:p>
    <w:p w14:paraId="6E107BC5"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4.2 Customer Centrality</w:t>
      </w:r>
    </w:p>
    <w:p w14:paraId="0969251D" w14:textId="77777777" w:rsidR="00C23443" w:rsidRPr="00E9304C" w:rsidRDefault="00C23443" w:rsidP="00C23443">
      <w:pPr>
        <w:rPr>
          <w:rFonts w:ascii="Tahoma" w:hAnsi="Tahoma" w:cs="Tahoma"/>
          <w:sz w:val="24"/>
          <w:szCs w:val="24"/>
        </w:rPr>
      </w:pPr>
      <w:r w:rsidRPr="00E9304C">
        <w:rPr>
          <w:rFonts w:ascii="Tahoma" w:hAnsi="Tahoma" w:cs="Tahoma"/>
          <w:sz w:val="24"/>
          <w:szCs w:val="24"/>
        </w:rPr>
        <w:t>Customer centrality requires placing resident needs at the centre of decision making (Blythe, 2009). Accomplishes care plans, PBS strategies, trauma informed practice, and resident voice processes demonstrate strong alignment with customer centrality. However, RED analysis shows that commissioning KPIs, audit cycles, and regulatory demands can shift focus toward organisational convenience rather than personalised care. This tension reduces emotional and psychological value when not managed effectively.</w:t>
      </w:r>
    </w:p>
    <w:p w14:paraId="21C1766B"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4.3 CRM Effectiveness</w:t>
      </w:r>
    </w:p>
    <w:p w14:paraId="1B2A393F" w14:textId="77777777" w:rsidR="00451DCE" w:rsidRDefault="00C23443" w:rsidP="00C23443">
      <w:pPr>
        <w:rPr>
          <w:rFonts w:ascii="Tahoma" w:hAnsi="Tahoma" w:cs="Tahoma"/>
          <w:sz w:val="24"/>
          <w:szCs w:val="24"/>
        </w:rPr>
      </w:pPr>
      <w:r w:rsidRPr="00E9304C">
        <w:rPr>
          <w:rFonts w:ascii="Tahoma" w:hAnsi="Tahoma" w:cs="Tahoma"/>
          <w:sz w:val="24"/>
          <w:szCs w:val="24"/>
        </w:rPr>
        <w:lastRenderedPageBreak/>
        <w:t>CRM is effective when communication is predictable, transparent, and emotionally attuned. Critical analysis shows that CRM processes work well when staffing is stable and communication is consistent. However, inconsistent handovers, rushed documentation, and staffing shortages weaken CRM effectiveness. This supports Shaw and Hamilton’s (2020) argument that emotional cues shape customer experience more strongly than functional processes.</w:t>
      </w:r>
    </w:p>
    <w:p w14:paraId="1C1384DA" w14:textId="24A2F8A9" w:rsidR="00C23443" w:rsidRPr="00451DCE" w:rsidRDefault="00C23443" w:rsidP="00C23443">
      <w:pPr>
        <w:rPr>
          <w:rFonts w:ascii="Tahoma" w:hAnsi="Tahoma" w:cs="Tahoma"/>
          <w:sz w:val="24"/>
          <w:szCs w:val="24"/>
        </w:rPr>
      </w:pPr>
      <w:r w:rsidRPr="00E9304C">
        <w:rPr>
          <w:rFonts w:ascii="Tahoma" w:hAnsi="Tahoma" w:cs="Tahoma"/>
          <w:b/>
          <w:bCs/>
          <w:sz w:val="24"/>
          <w:szCs w:val="24"/>
          <w:u w:val="single"/>
        </w:rPr>
        <w:t>5.0</w:t>
      </w:r>
      <w:r w:rsidRPr="00451DCE">
        <w:rPr>
          <w:rFonts w:ascii="Tahoma" w:eastAsia="Times New Roman" w:hAnsi="Tahoma" w:cs="Tahoma"/>
          <w:b/>
          <w:bCs/>
          <w:kern w:val="36"/>
          <w:sz w:val="24"/>
          <w:szCs w:val="24"/>
          <w:u w:val="single"/>
          <w:lang w:eastAsia="en-GB"/>
        </w:rPr>
        <w:t xml:space="preserve"> </w:t>
      </w:r>
      <w:r w:rsidRPr="00E9304C">
        <w:rPr>
          <w:rFonts w:ascii="Tahoma" w:hAnsi="Tahoma" w:cs="Tahoma"/>
          <w:b/>
          <w:bCs/>
          <w:sz w:val="24"/>
          <w:szCs w:val="24"/>
          <w:u w:val="single"/>
        </w:rPr>
        <w:t>Critical Understanding of Quality Processes and Their Effectiveness</w:t>
      </w:r>
    </w:p>
    <w:p w14:paraId="33DC72D1" w14:textId="77777777" w:rsidR="00C23443" w:rsidRPr="00E9304C" w:rsidRDefault="00C23443" w:rsidP="00C23443">
      <w:pPr>
        <w:rPr>
          <w:rFonts w:ascii="Tahoma" w:hAnsi="Tahoma" w:cs="Tahoma"/>
          <w:sz w:val="24"/>
          <w:szCs w:val="24"/>
        </w:rPr>
      </w:pPr>
      <w:r w:rsidRPr="00E9304C">
        <w:rPr>
          <w:rFonts w:ascii="Tahoma" w:hAnsi="Tahoma" w:cs="Tahoma"/>
          <w:sz w:val="24"/>
          <w:szCs w:val="24"/>
        </w:rPr>
        <w:t>Accomplish / Keys Group’s quality processes demonstrate strong structural compliance, but critical understanding requires evaluating how effectively they meet residents’ emotional, psychological, and functional needs. Quality in residential mental</w:t>
      </w:r>
      <w:r w:rsidRPr="00E9304C">
        <w:rPr>
          <w:rFonts w:ascii="Tahoma" w:hAnsi="Tahoma" w:cs="Tahoma"/>
          <w:sz w:val="24"/>
          <w:szCs w:val="24"/>
        </w:rPr>
        <w:noBreakHyphen/>
        <w:t xml:space="preserve">health care must move beyond procedural compliance to enhance emotional safety, predictability, autonomy, and wellbeing. Pearson’s </w:t>
      </w:r>
      <w:r w:rsidRPr="00513E58">
        <w:rPr>
          <w:rFonts w:ascii="Tahoma" w:hAnsi="Tahoma" w:cs="Tahoma"/>
          <w:sz w:val="24"/>
          <w:szCs w:val="24"/>
        </w:rPr>
        <w:t>RED model</w:t>
      </w:r>
      <w:r w:rsidRPr="00E9304C">
        <w:rPr>
          <w:rFonts w:ascii="Tahoma" w:hAnsi="Tahoma" w:cs="Tahoma"/>
          <w:sz w:val="24"/>
          <w:szCs w:val="24"/>
        </w:rPr>
        <w:t xml:space="preserve"> supports this by exposing assumptions and highlighting gaps between policy and lived experience.</w:t>
      </w:r>
    </w:p>
    <w:p w14:paraId="2B2D8AAD" w14:textId="4DBC9324" w:rsidR="00C23443" w:rsidRPr="00E9304C" w:rsidRDefault="00C23443" w:rsidP="00C23443">
      <w:pPr>
        <w:rPr>
          <w:rFonts w:ascii="Tahoma" w:hAnsi="Tahoma" w:cs="Tahoma"/>
          <w:sz w:val="24"/>
          <w:szCs w:val="24"/>
        </w:rPr>
      </w:pPr>
      <w:r w:rsidRPr="00E9304C">
        <w:rPr>
          <w:rFonts w:ascii="Tahoma" w:hAnsi="Tahoma" w:cs="Tahoma"/>
          <w:sz w:val="24"/>
          <w:szCs w:val="24"/>
        </w:rPr>
        <w:t>Core quality systems</w:t>
      </w:r>
      <w:r w:rsidR="006460EA">
        <w:rPr>
          <w:rFonts w:ascii="Tahoma" w:hAnsi="Tahoma" w:cs="Tahoma"/>
          <w:sz w:val="24"/>
          <w:szCs w:val="24"/>
        </w:rPr>
        <w:t>,</w:t>
      </w:r>
      <w:r w:rsidRPr="00E9304C">
        <w:rPr>
          <w:rFonts w:ascii="Tahoma" w:hAnsi="Tahoma" w:cs="Tahoma"/>
          <w:sz w:val="24"/>
          <w:szCs w:val="24"/>
        </w:rPr>
        <w:t xml:space="preserve"> audits, risk assessments, incident reviews, care</w:t>
      </w:r>
      <w:r w:rsidRPr="00E9304C">
        <w:rPr>
          <w:rFonts w:ascii="Tahoma" w:hAnsi="Tahoma" w:cs="Tahoma"/>
          <w:sz w:val="24"/>
          <w:szCs w:val="24"/>
        </w:rPr>
        <w:noBreakHyphen/>
        <w:t>plan evaluations, supervision cycles, and CIW inspections — align with Deming’s continuous improvement principles and Garvin’s dimensions of quality. CIW reports (2021–2026) confirm robust safeguarding, medication governance, and documentation, evidencing strong functional reliability. Yet RED analysis shows that compliance does not automatically create customer value: documentation demands can reduce relational time, increasing emotional “costs” such as anxiety, unpredictability, and reduced autonomy, consistent with Kotler’s argument that emotional costs can outweigh functional benefits.</w:t>
      </w:r>
    </w:p>
    <w:p w14:paraId="0D2DE505" w14:textId="77777777" w:rsidR="00C23443" w:rsidRPr="00E9304C" w:rsidRDefault="00C23443" w:rsidP="00C23443">
      <w:pPr>
        <w:rPr>
          <w:rFonts w:ascii="Tahoma" w:hAnsi="Tahoma" w:cs="Tahoma"/>
          <w:sz w:val="24"/>
          <w:szCs w:val="24"/>
        </w:rPr>
      </w:pPr>
      <w:r w:rsidRPr="00E9304C">
        <w:rPr>
          <w:rFonts w:ascii="Tahoma" w:hAnsi="Tahoma" w:cs="Tahoma"/>
          <w:sz w:val="24"/>
          <w:szCs w:val="24"/>
        </w:rPr>
        <w:t>Care plans and PBS strategies aim to personalise support, but RED evaluation reveals gaps in tacit knowledge — sensory triggers, communication preferences, trauma histories — essential for trauma</w:t>
      </w:r>
      <w:r w:rsidRPr="00E9304C">
        <w:rPr>
          <w:rFonts w:ascii="Tahoma" w:hAnsi="Tahoma" w:cs="Tahoma"/>
          <w:sz w:val="24"/>
          <w:szCs w:val="24"/>
        </w:rPr>
        <w:noBreakHyphen/>
        <w:t>informed practice. Juran’s “fitness for use” highlights that quality systems must reflect real</w:t>
      </w:r>
      <w:r w:rsidRPr="00E9304C">
        <w:rPr>
          <w:rFonts w:ascii="Tahoma" w:hAnsi="Tahoma" w:cs="Tahoma"/>
          <w:sz w:val="24"/>
          <w:szCs w:val="24"/>
        </w:rPr>
        <w:noBreakHyphen/>
        <w:t>world needs; generic or reactive care</w:t>
      </w:r>
      <w:r w:rsidRPr="00E9304C">
        <w:rPr>
          <w:rFonts w:ascii="Tahoma" w:hAnsi="Tahoma" w:cs="Tahoma"/>
          <w:sz w:val="24"/>
          <w:szCs w:val="24"/>
        </w:rPr>
        <w:noBreakHyphen/>
        <w:t>plan updates undermine predictability and emotional safety.</w:t>
      </w:r>
    </w:p>
    <w:p w14:paraId="34B79FF3" w14:textId="77777777" w:rsidR="00C23443" w:rsidRPr="00E9304C" w:rsidRDefault="00C23443" w:rsidP="00C23443">
      <w:pPr>
        <w:rPr>
          <w:rFonts w:ascii="Tahoma" w:hAnsi="Tahoma" w:cs="Tahoma"/>
          <w:sz w:val="24"/>
          <w:szCs w:val="24"/>
        </w:rPr>
      </w:pPr>
      <w:r w:rsidRPr="00E9304C">
        <w:rPr>
          <w:rFonts w:ascii="Tahoma" w:hAnsi="Tahoma" w:cs="Tahoma"/>
          <w:sz w:val="24"/>
          <w:szCs w:val="24"/>
        </w:rPr>
        <w:t>Incident reviews and supervision cycles offer reflective learning, yet incident trends show variability in staff application of de</w:t>
      </w:r>
      <w:r w:rsidRPr="00E9304C">
        <w:rPr>
          <w:rFonts w:ascii="Tahoma" w:hAnsi="Tahoma" w:cs="Tahoma"/>
          <w:sz w:val="24"/>
          <w:szCs w:val="24"/>
        </w:rPr>
        <w:noBreakHyphen/>
        <w:t>escalation, trauma</w:t>
      </w:r>
      <w:r w:rsidRPr="00E9304C">
        <w:rPr>
          <w:rFonts w:ascii="Tahoma" w:hAnsi="Tahoma" w:cs="Tahoma"/>
          <w:sz w:val="24"/>
          <w:szCs w:val="24"/>
        </w:rPr>
        <w:noBreakHyphen/>
        <w:t>informed communication, and PBS principles. This supports Kumar’s view that emotional intelligence and relational competence — not training alone — drive quality. Effective processes require reflective supervision, coaching, and emotionally attuned leadership.</w:t>
      </w:r>
    </w:p>
    <w:p w14:paraId="037FEA6C" w14:textId="77777777" w:rsidR="00C23443" w:rsidRPr="00E9304C" w:rsidRDefault="00C23443" w:rsidP="00C23443">
      <w:pPr>
        <w:rPr>
          <w:rFonts w:ascii="Tahoma" w:hAnsi="Tahoma" w:cs="Tahoma"/>
          <w:sz w:val="24"/>
          <w:szCs w:val="24"/>
        </w:rPr>
      </w:pPr>
      <w:r w:rsidRPr="00E9304C">
        <w:rPr>
          <w:rFonts w:ascii="Tahoma" w:hAnsi="Tahoma" w:cs="Tahoma"/>
          <w:sz w:val="24"/>
          <w:szCs w:val="24"/>
        </w:rPr>
        <w:t>Resource pressures further shape quality effectiveness. Staffing shortages, turnover, and reliance on agency workers reduce continuity and relational safety. RED analysis challenges assumptions such as “minimum staffing is adequate”, showing increased incidents and reduced engagement during pressured shifts. Quality systems cannot compensate for insufficient relational capacity.</w:t>
      </w:r>
    </w:p>
    <w:p w14:paraId="5D50ED1A" w14:textId="1AE32CCF" w:rsidR="00C23443" w:rsidRPr="00E9304C" w:rsidRDefault="00C23443" w:rsidP="00C23443">
      <w:pPr>
        <w:rPr>
          <w:rFonts w:ascii="Tahoma" w:hAnsi="Tahoma" w:cs="Tahoma"/>
          <w:sz w:val="24"/>
          <w:szCs w:val="24"/>
        </w:rPr>
      </w:pPr>
      <w:r w:rsidRPr="00E9304C">
        <w:rPr>
          <w:rFonts w:ascii="Tahoma" w:hAnsi="Tahoma" w:cs="Tahoma"/>
          <w:sz w:val="24"/>
          <w:szCs w:val="24"/>
        </w:rPr>
        <w:lastRenderedPageBreak/>
        <w:t xml:space="preserve">Overall, </w:t>
      </w:r>
      <w:r w:rsidR="00513E58" w:rsidRPr="00E9304C">
        <w:rPr>
          <w:rFonts w:ascii="Tahoma" w:hAnsi="Tahoma" w:cs="Tahoma"/>
          <w:sz w:val="24"/>
          <w:szCs w:val="24"/>
        </w:rPr>
        <w:t>Accomplishes</w:t>
      </w:r>
      <w:r w:rsidRPr="00E9304C">
        <w:rPr>
          <w:rFonts w:ascii="Tahoma" w:hAnsi="Tahoma" w:cs="Tahoma"/>
          <w:sz w:val="24"/>
          <w:szCs w:val="24"/>
        </w:rPr>
        <w:t xml:space="preserve"> quality processes are structurally strong and CIW</w:t>
      </w:r>
      <w:r w:rsidRPr="00E9304C">
        <w:rPr>
          <w:rFonts w:ascii="Tahoma" w:hAnsi="Tahoma" w:cs="Tahoma"/>
          <w:sz w:val="24"/>
          <w:szCs w:val="24"/>
        </w:rPr>
        <w:noBreakHyphen/>
        <w:t>compliant, but their effectiveness depends on consistent, relational implementation. Quality is maximised when systems capture tacit knowledge, support trauma</w:t>
      </w:r>
      <w:r w:rsidRPr="00E9304C">
        <w:rPr>
          <w:rFonts w:ascii="Tahoma" w:hAnsi="Tahoma" w:cs="Tahoma"/>
          <w:sz w:val="24"/>
          <w:szCs w:val="24"/>
        </w:rPr>
        <w:noBreakHyphen/>
        <w:t>informed interactions, and protect relational time. When operational pressures undermine these elements, emotional and psychological value declines despite procedural compliance. A critical understanding therefore recognises quality as relational, dynamic, and dependent on culture, competence, communication, and reflective leadership.</w:t>
      </w:r>
    </w:p>
    <w:p w14:paraId="04A4DD4F"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Conclusion</w:t>
      </w:r>
    </w:p>
    <w:p w14:paraId="43CAD187" w14:textId="77777777" w:rsidR="00C23443" w:rsidRPr="00E9304C" w:rsidRDefault="00C23443" w:rsidP="00C23443">
      <w:pPr>
        <w:rPr>
          <w:rFonts w:ascii="Tahoma" w:hAnsi="Tahoma" w:cs="Tahoma"/>
          <w:sz w:val="24"/>
          <w:szCs w:val="24"/>
        </w:rPr>
      </w:pPr>
      <w:r w:rsidRPr="00E9304C">
        <w:rPr>
          <w:rFonts w:ascii="Tahoma" w:hAnsi="Tahoma" w:cs="Tahoma"/>
          <w:sz w:val="24"/>
          <w:szCs w:val="24"/>
        </w:rPr>
        <w:t>This report demonstrates that Accomplish / Keys Group's ability to maximise customer value is influenced by organisational culture, staff competence, communication, resource allocation, quality systems, regulatory requirements, and CRM practices. Critical analysis using Pearson's RED model shows that although the organisation has strong trauma-informed frameworks, Positive Behaviour Support (PBS), and effective quality systems, operational pressures such as staffing shortages, documentation demands, and inconsistent communication can reduce emotional and psychological value despite achieving regulatory compliance.</w:t>
      </w:r>
    </w:p>
    <w:p w14:paraId="56D4F9DD" w14:textId="77777777" w:rsidR="00C23443" w:rsidRPr="00E9304C" w:rsidRDefault="00C23443" w:rsidP="00C23443">
      <w:pPr>
        <w:rPr>
          <w:rFonts w:ascii="Tahoma" w:hAnsi="Tahoma" w:cs="Tahoma"/>
          <w:sz w:val="24"/>
          <w:szCs w:val="24"/>
        </w:rPr>
      </w:pPr>
      <w:r w:rsidRPr="00E9304C">
        <w:rPr>
          <w:rFonts w:ascii="Tahoma" w:hAnsi="Tahoma" w:cs="Tahoma"/>
          <w:sz w:val="24"/>
          <w:szCs w:val="24"/>
        </w:rPr>
        <w:t>The analysis confirms that customer value is created throughout the customer lifecycle and strengthened through effective CRM, segmentation, and customer-centred practice. Overall, Accomplish aligns well with contemporary customer value theory; however, sustaining high-quality customer relationships requires reflective leadership, consistent communication, ongoing workforce development, and continuous evaluation to ensure organisational policy is translated into person-centred practice and improves residents' lived experiences.</w:t>
      </w:r>
    </w:p>
    <w:p w14:paraId="43827A9D" w14:textId="77777777" w:rsidR="00C23443" w:rsidRPr="00E9304C" w:rsidRDefault="00C23443" w:rsidP="00C23443">
      <w:pPr>
        <w:rPr>
          <w:rFonts w:ascii="Tahoma" w:hAnsi="Tahoma" w:cs="Tahoma"/>
          <w:b/>
          <w:bCs/>
          <w:sz w:val="24"/>
          <w:szCs w:val="24"/>
        </w:rPr>
      </w:pPr>
    </w:p>
    <w:p w14:paraId="7FA69F04" w14:textId="77777777" w:rsidR="00C23443" w:rsidRPr="00E9304C" w:rsidRDefault="00C23443" w:rsidP="00C23443">
      <w:pPr>
        <w:rPr>
          <w:rFonts w:ascii="Tahoma" w:hAnsi="Tahoma" w:cs="Tahoma"/>
          <w:b/>
          <w:bCs/>
          <w:sz w:val="24"/>
          <w:szCs w:val="24"/>
        </w:rPr>
      </w:pPr>
    </w:p>
    <w:p w14:paraId="362F4F52" w14:textId="77777777" w:rsidR="00C23443" w:rsidRPr="00E9304C" w:rsidRDefault="00C23443" w:rsidP="00C23443">
      <w:pPr>
        <w:rPr>
          <w:rFonts w:ascii="Tahoma" w:hAnsi="Tahoma" w:cs="Tahoma"/>
          <w:b/>
          <w:bCs/>
          <w:sz w:val="24"/>
          <w:szCs w:val="24"/>
        </w:rPr>
      </w:pPr>
    </w:p>
    <w:p w14:paraId="5002C1CC" w14:textId="77777777" w:rsidR="00C23443" w:rsidRPr="00E9304C" w:rsidRDefault="00C23443" w:rsidP="00C23443">
      <w:pPr>
        <w:rPr>
          <w:rFonts w:ascii="Tahoma" w:hAnsi="Tahoma" w:cs="Tahoma"/>
          <w:b/>
          <w:bCs/>
          <w:sz w:val="24"/>
          <w:szCs w:val="24"/>
        </w:rPr>
      </w:pPr>
    </w:p>
    <w:p w14:paraId="14D1941E" w14:textId="77777777" w:rsidR="00C23443" w:rsidRPr="00E9304C" w:rsidRDefault="00C23443" w:rsidP="00C23443">
      <w:pPr>
        <w:rPr>
          <w:rFonts w:ascii="Tahoma" w:hAnsi="Tahoma" w:cs="Tahoma"/>
          <w:sz w:val="24"/>
          <w:szCs w:val="24"/>
        </w:rPr>
      </w:pPr>
    </w:p>
    <w:p w14:paraId="472BF0AE" w14:textId="77777777" w:rsidR="00C23443" w:rsidRPr="00E9304C" w:rsidRDefault="00C23443" w:rsidP="00C23443">
      <w:pPr>
        <w:rPr>
          <w:rFonts w:ascii="Tahoma" w:hAnsi="Tahoma" w:cs="Tahoma"/>
          <w:sz w:val="24"/>
          <w:szCs w:val="24"/>
        </w:rPr>
      </w:pPr>
    </w:p>
    <w:p w14:paraId="7BBD1C5F" w14:textId="77777777" w:rsidR="00C23443" w:rsidRPr="00E9304C" w:rsidRDefault="00C23443" w:rsidP="00C23443">
      <w:pPr>
        <w:rPr>
          <w:rFonts w:ascii="Tahoma" w:hAnsi="Tahoma" w:cs="Tahoma"/>
          <w:sz w:val="24"/>
          <w:szCs w:val="24"/>
        </w:rPr>
      </w:pPr>
    </w:p>
    <w:p w14:paraId="20F66E90" w14:textId="77777777" w:rsidR="00C23443" w:rsidRPr="00E9304C" w:rsidRDefault="00C23443" w:rsidP="00C23443">
      <w:pPr>
        <w:rPr>
          <w:rFonts w:ascii="Tahoma" w:hAnsi="Tahoma" w:cs="Tahoma"/>
          <w:sz w:val="24"/>
          <w:szCs w:val="24"/>
        </w:rPr>
      </w:pPr>
    </w:p>
    <w:p w14:paraId="28FC3C24" w14:textId="77777777" w:rsidR="00C23443" w:rsidRPr="00E9304C" w:rsidRDefault="00C23443" w:rsidP="00C23443">
      <w:pPr>
        <w:rPr>
          <w:rFonts w:ascii="Tahoma" w:hAnsi="Tahoma" w:cs="Tahoma"/>
          <w:sz w:val="24"/>
          <w:szCs w:val="24"/>
        </w:rPr>
      </w:pPr>
    </w:p>
    <w:p w14:paraId="0A488A96" w14:textId="77777777" w:rsidR="005D161A" w:rsidRDefault="005D161A" w:rsidP="00C23443">
      <w:pPr>
        <w:rPr>
          <w:rFonts w:ascii="Tahoma" w:hAnsi="Tahoma" w:cs="Tahoma"/>
          <w:sz w:val="24"/>
          <w:szCs w:val="24"/>
        </w:rPr>
      </w:pPr>
    </w:p>
    <w:p w14:paraId="1827A524" w14:textId="77777777" w:rsidR="006C6CE7" w:rsidRDefault="006C6CE7" w:rsidP="00C23443">
      <w:pPr>
        <w:rPr>
          <w:rFonts w:ascii="Tahoma" w:hAnsi="Tahoma" w:cs="Tahoma"/>
          <w:b/>
          <w:bCs/>
          <w:sz w:val="24"/>
          <w:szCs w:val="24"/>
          <w:u w:val="single"/>
        </w:rPr>
      </w:pPr>
    </w:p>
    <w:p w14:paraId="0B0A2AF7" w14:textId="6136B19C"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 xml:space="preserve">References </w:t>
      </w:r>
    </w:p>
    <w:p w14:paraId="5FFA9009"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Accomplish PBS Policy. (2024). Retrieved from Accomplish internal policy documents.</w:t>
      </w:r>
    </w:p>
    <w:p w14:paraId="2A7493D2"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Accomplish Quality Assurance Framework. (2026). Retrieved from Accomplish internal framework.</w:t>
      </w:r>
    </w:p>
    <w:p w14:paraId="55579E01"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Accomplish Resident Voice &amp; Engagement Framework. (2024). Retrieved from Accomplish internal framework.</w:t>
      </w:r>
    </w:p>
    <w:p w14:paraId="1D55677B"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Accomplish Safeguarding Policy. (2025). Retrieved from Accomplish internal policy documents.</w:t>
      </w:r>
    </w:p>
    <w:p w14:paraId="706F885C"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Accomplish Trauma-Informed Practice Framework. (2023). Retrieved from Accomplish internal framework.</w:t>
      </w:r>
    </w:p>
    <w:p w14:paraId="01CF37D9"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Access Care Planning System. (2025). Retrieved from Accomplish care planning system documentation.</w:t>
      </w:r>
    </w:p>
    <w:p w14:paraId="059E2E37"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Almquist, E., Senior, J., &amp; Bloch, N. (2016). </w:t>
      </w:r>
      <w:r w:rsidRPr="005D161A">
        <w:rPr>
          <w:rFonts w:ascii="Tahoma" w:hAnsi="Tahoma" w:cs="Tahoma"/>
          <w:i/>
          <w:iCs/>
        </w:rPr>
        <w:t>The elements of value</w:t>
      </w:r>
      <w:r w:rsidRPr="005D161A">
        <w:rPr>
          <w:rFonts w:ascii="Tahoma" w:hAnsi="Tahoma" w:cs="Tahoma"/>
        </w:rPr>
        <w:t xml:space="preserve">. Harvard Business Review. Retrieved from </w:t>
      </w:r>
      <w:hyperlink r:id="rId9" w:history="1">
        <w:r w:rsidRPr="005D161A">
          <w:rPr>
            <w:rStyle w:val="Hyperlink"/>
            <w:rFonts w:ascii="Tahoma" w:hAnsi="Tahoma" w:cs="Tahoma"/>
          </w:rPr>
          <w:t>https://hbr.org/2016/09/the-elements-of-value</w:t>
        </w:r>
      </w:hyperlink>
    </w:p>
    <w:p w14:paraId="205FB82B"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Blythe, J. (2009). </w:t>
      </w:r>
      <w:r w:rsidRPr="005D161A">
        <w:rPr>
          <w:rFonts w:ascii="Tahoma" w:hAnsi="Tahoma" w:cs="Tahoma"/>
          <w:i/>
          <w:iCs/>
        </w:rPr>
        <w:t>Essentials of marketing</w:t>
      </w:r>
      <w:r w:rsidRPr="005D161A">
        <w:rPr>
          <w:rFonts w:ascii="Tahoma" w:hAnsi="Tahoma" w:cs="Tahoma"/>
        </w:rPr>
        <w:t xml:space="preserve">. Pearson Education. Retrieved from </w:t>
      </w:r>
      <w:hyperlink r:id="rId10" w:history="1">
        <w:r w:rsidRPr="005D161A">
          <w:rPr>
            <w:rStyle w:val="Hyperlink"/>
            <w:rFonts w:ascii="Tahoma" w:hAnsi="Tahoma" w:cs="Tahoma"/>
          </w:rPr>
          <w:t>https://www.pearson.com</w:t>
        </w:r>
      </w:hyperlink>
    </w:p>
    <w:p w14:paraId="13291F55"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Care Inspectorate Wales (CIW) Inspection Framework. (2021–2026). Retrieved from </w:t>
      </w:r>
      <w:hyperlink r:id="rId11" w:history="1">
        <w:r w:rsidRPr="005D161A">
          <w:rPr>
            <w:rStyle w:val="Hyperlink"/>
            <w:rFonts w:ascii="Tahoma" w:hAnsi="Tahoma" w:cs="Tahoma"/>
          </w:rPr>
          <w:t>https://careinspectorate.wales</w:t>
        </w:r>
      </w:hyperlink>
    </w:p>
    <w:p w14:paraId="2BA3C2AE"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Commissioner KPI dashboards. Retrieved from Accomplish organisational performance data.</w:t>
      </w:r>
    </w:p>
    <w:p w14:paraId="44705149"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Deming, W. E. (1982). </w:t>
      </w:r>
      <w:r w:rsidRPr="005D161A">
        <w:rPr>
          <w:rFonts w:ascii="Tahoma" w:hAnsi="Tahoma" w:cs="Tahoma"/>
          <w:i/>
          <w:iCs/>
        </w:rPr>
        <w:t>Quality, productivity, and competitive position</w:t>
      </w:r>
      <w:r w:rsidRPr="005D161A">
        <w:rPr>
          <w:rFonts w:ascii="Tahoma" w:hAnsi="Tahoma" w:cs="Tahoma"/>
        </w:rPr>
        <w:t xml:space="preserve">. MIT Center for Advanced Engineering Study. Retrieved from </w:t>
      </w:r>
      <w:hyperlink r:id="rId12" w:history="1">
        <w:r w:rsidRPr="005D161A">
          <w:rPr>
            <w:rStyle w:val="Hyperlink"/>
            <w:rFonts w:ascii="Tahoma" w:hAnsi="Tahoma" w:cs="Tahoma"/>
          </w:rPr>
          <w:t>https://mitpress.mit.edu/books/quality-productivity-and-competitive-position</w:t>
        </w:r>
      </w:hyperlink>
    </w:p>
    <w:p w14:paraId="23EB24F7"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Garvin, D. A. (1987). Competing on the eight dimensions of quality. </w:t>
      </w:r>
      <w:r w:rsidRPr="005D161A">
        <w:rPr>
          <w:rFonts w:ascii="Tahoma" w:hAnsi="Tahoma" w:cs="Tahoma"/>
          <w:i/>
          <w:iCs/>
        </w:rPr>
        <w:t>Harvard Business Review</w:t>
      </w:r>
      <w:r w:rsidRPr="005D161A">
        <w:rPr>
          <w:rFonts w:ascii="Tahoma" w:hAnsi="Tahoma" w:cs="Tahoma"/>
        </w:rPr>
        <w:t xml:space="preserve">, 65(6), 101-109. Retrieved from </w:t>
      </w:r>
      <w:hyperlink r:id="rId13" w:history="1">
        <w:r w:rsidRPr="005D161A">
          <w:rPr>
            <w:rStyle w:val="Hyperlink"/>
            <w:rFonts w:ascii="Tahoma" w:hAnsi="Tahoma" w:cs="Tahoma"/>
          </w:rPr>
          <w:t>https://hbr.org/1987/11/competing-on-the-eight-dimensions-of-quality</w:t>
        </w:r>
      </w:hyperlink>
    </w:p>
    <w:p w14:paraId="0EF5E5CF"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General Data Protection Regulation (UK GDPR). Retrieved from </w:t>
      </w:r>
      <w:hyperlink r:id="rId14" w:history="1">
        <w:r w:rsidRPr="005D161A">
          <w:rPr>
            <w:rStyle w:val="Hyperlink"/>
            <w:rFonts w:ascii="Tahoma" w:hAnsi="Tahoma" w:cs="Tahoma"/>
          </w:rPr>
          <w:t>https://gdpr-info.eu</w:t>
        </w:r>
      </w:hyperlink>
    </w:p>
    <w:p w14:paraId="0A7DF405"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lang w:val="fr-FR"/>
        </w:rPr>
        <w:t xml:space="preserve">Gore, R., et al. (2013). [Article title]. </w:t>
      </w:r>
      <w:r w:rsidRPr="005D161A">
        <w:rPr>
          <w:rFonts w:ascii="Tahoma" w:hAnsi="Tahoma" w:cs="Tahoma"/>
          <w:i/>
          <w:iCs/>
        </w:rPr>
        <w:t>Journal of Service Research</w:t>
      </w:r>
      <w:r w:rsidRPr="005D161A">
        <w:rPr>
          <w:rFonts w:ascii="Tahoma" w:hAnsi="Tahoma" w:cs="Tahoma"/>
        </w:rPr>
        <w:t xml:space="preserve">. Retrieved from </w:t>
      </w:r>
      <w:hyperlink r:id="rId15" w:history="1">
        <w:r w:rsidRPr="005D161A">
          <w:rPr>
            <w:rStyle w:val="Hyperlink"/>
            <w:rFonts w:ascii="Tahoma" w:hAnsi="Tahoma" w:cs="Tahoma"/>
          </w:rPr>
          <w:t>https://journals.sagepub.com/home/jsr</w:t>
        </w:r>
      </w:hyperlink>
    </w:p>
    <w:p w14:paraId="1D0711AD"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Harvard Business Review articles. (n.d.). Various authors. Retrieved from </w:t>
      </w:r>
      <w:hyperlink r:id="rId16" w:history="1">
        <w:r w:rsidRPr="005D161A">
          <w:rPr>
            <w:rStyle w:val="Hyperlink"/>
            <w:rFonts w:ascii="Tahoma" w:hAnsi="Tahoma" w:cs="Tahoma"/>
          </w:rPr>
          <w:t>https://hbr.org</w:t>
        </w:r>
      </w:hyperlink>
    </w:p>
    <w:p w14:paraId="333DD39E"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Health &amp; Safety Executive. Retrieved from </w:t>
      </w:r>
      <w:hyperlink r:id="rId17" w:history="1">
        <w:r w:rsidRPr="005D161A">
          <w:rPr>
            <w:rStyle w:val="Hyperlink"/>
            <w:rFonts w:ascii="Tahoma" w:hAnsi="Tahoma" w:cs="Tahoma"/>
          </w:rPr>
          <w:t>https://www.hse.gov.uk</w:t>
        </w:r>
      </w:hyperlink>
    </w:p>
    <w:p w14:paraId="65EC2FF5"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Incident reviews. Retrieved from Accomplish internal quality assurance records.</w:t>
      </w:r>
    </w:p>
    <w:p w14:paraId="30F8C8DC"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Internal audits. Retrieved from Accomplish internal audit reports.</w:t>
      </w:r>
    </w:p>
    <w:p w14:paraId="533E6741"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lastRenderedPageBreak/>
        <w:t xml:space="preserve">Juran, J. M. (1988). </w:t>
      </w:r>
      <w:r w:rsidRPr="005D161A">
        <w:rPr>
          <w:rFonts w:ascii="Tahoma" w:hAnsi="Tahoma" w:cs="Tahoma"/>
          <w:i/>
          <w:iCs/>
        </w:rPr>
        <w:t>Juran on planning for quality</w:t>
      </w:r>
      <w:r w:rsidRPr="005D161A">
        <w:rPr>
          <w:rFonts w:ascii="Tahoma" w:hAnsi="Tahoma" w:cs="Tahoma"/>
        </w:rPr>
        <w:t xml:space="preserve">. Free Press. Retrieved from </w:t>
      </w:r>
      <w:hyperlink r:id="rId18" w:history="1">
        <w:r w:rsidRPr="005D161A">
          <w:rPr>
            <w:rStyle w:val="Hyperlink"/>
            <w:rFonts w:ascii="Tahoma" w:hAnsi="Tahoma" w:cs="Tahoma"/>
          </w:rPr>
          <w:t>https://www.freepress.com</w:t>
        </w:r>
      </w:hyperlink>
    </w:p>
    <w:p w14:paraId="1C0BFF75"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Keys Group Workforce Development Strategy. (2024–2026). Retrieved from Keys Group internal strategy documents.</w:t>
      </w:r>
    </w:p>
    <w:p w14:paraId="1353F2FD"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Kotler, P. (2020). </w:t>
      </w:r>
      <w:r w:rsidRPr="005D161A">
        <w:rPr>
          <w:rFonts w:ascii="Tahoma" w:hAnsi="Tahoma" w:cs="Tahoma"/>
          <w:i/>
          <w:iCs/>
        </w:rPr>
        <w:t>Marketing management</w:t>
      </w:r>
      <w:r w:rsidRPr="005D161A">
        <w:rPr>
          <w:rFonts w:ascii="Tahoma" w:hAnsi="Tahoma" w:cs="Tahoma"/>
        </w:rPr>
        <w:t xml:space="preserve"> (15th ed.). Pearson. Retrieved from </w:t>
      </w:r>
      <w:hyperlink r:id="rId19" w:history="1">
        <w:r w:rsidRPr="005D161A">
          <w:rPr>
            <w:rStyle w:val="Hyperlink"/>
            <w:rFonts w:ascii="Tahoma" w:hAnsi="Tahoma" w:cs="Tahoma"/>
          </w:rPr>
          <w:t>https://www.pearson.com</w:t>
        </w:r>
      </w:hyperlink>
    </w:p>
    <w:p w14:paraId="169D9254"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Kumar, V. (2013). </w:t>
      </w:r>
      <w:r w:rsidRPr="005D161A">
        <w:rPr>
          <w:rFonts w:ascii="Tahoma" w:hAnsi="Tahoma" w:cs="Tahoma"/>
          <w:i/>
          <w:iCs/>
        </w:rPr>
        <w:t>Customer relationship management</w:t>
      </w:r>
      <w:r w:rsidRPr="005D161A">
        <w:rPr>
          <w:rFonts w:ascii="Tahoma" w:hAnsi="Tahoma" w:cs="Tahoma"/>
        </w:rPr>
        <w:t xml:space="preserve">. Wiley. Retrieved from </w:t>
      </w:r>
      <w:hyperlink r:id="rId20" w:history="1">
        <w:r w:rsidRPr="005D161A">
          <w:rPr>
            <w:rStyle w:val="Hyperlink"/>
            <w:rFonts w:ascii="Tahoma" w:hAnsi="Tahoma" w:cs="Tahoma"/>
          </w:rPr>
          <w:t>https://www.wiley.com</w:t>
        </w:r>
      </w:hyperlink>
    </w:p>
    <w:p w14:paraId="36035FC2"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Kumar, V. (2020). </w:t>
      </w:r>
      <w:r w:rsidRPr="005D161A">
        <w:rPr>
          <w:rFonts w:ascii="Tahoma" w:hAnsi="Tahoma" w:cs="Tahoma"/>
          <w:i/>
          <w:iCs/>
        </w:rPr>
        <w:t>Marketing research</w:t>
      </w:r>
      <w:r w:rsidRPr="005D161A">
        <w:rPr>
          <w:rFonts w:ascii="Tahoma" w:hAnsi="Tahoma" w:cs="Tahoma"/>
        </w:rPr>
        <w:t xml:space="preserve">. Wiley. Retrieved from </w:t>
      </w:r>
      <w:hyperlink r:id="rId21" w:history="1">
        <w:r w:rsidRPr="005D161A">
          <w:rPr>
            <w:rStyle w:val="Hyperlink"/>
            <w:rFonts w:ascii="Tahoma" w:hAnsi="Tahoma" w:cs="Tahoma"/>
          </w:rPr>
          <w:t>https://www.wiley.com</w:t>
        </w:r>
      </w:hyperlink>
    </w:p>
    <w:p w14:paraId="3A7D54A4"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National safeguarding procedures. Retrieved from Welsh Government official publications.</w:t>
      </w:r>
    </w:p>
    <w:p w14:paraId="7524F622"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Pearson, [RED Model]. (n.d.). Retrieved from Accomplish internal documentation.</w:t>
      </w:r>
    </w:p>
    <w:p w14:paraId="26037F66"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PBS strategies. Retrieved from Accomplish behavioural support plans.</w:t>
      </w:r>
    </w:p>
    <w:p w14:paraId="6F3B2812"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Pollack, J. (2022). [Article title]. </w:t>
      </w:r>
      <w:r w:rsidRPr="005D161A">
        <w:rPr>
          <w:rFonts w:ascii="Tahoma" w:hAnsi="Tahoma" w:cs="Tahoma"/>
          <w:i/>
          <w:iCs/>
        </w:rPr>
        <w:t>Journal of Marketing Theory</w:t>
      </w:r>
      <w:r w:rsidRPr="005D161A">
        <w:rPr>
          <w:rFonts w:ascii="Tahoma" w:hAnsi="Tahoma" w:cs="Tahoma"/>
        </w:rPr>
        <w:t xml:space="preserve">. Retrieved from </w:t>
      </w:r>
      <w:hyperlink r:id="rId22" w:history="1">
        <w:r w:rsidRPr="005D161A">
          <w:rPr>
            <w:rStyle w:val="Hyperlink"/>
            <w:rFonts w:ascii="Tahoma" w:hAnsi="Tahoma" w:cs="Tahoma"/>
          </w:rPr>
          <w:t>https://journals.sagepub.com/home/jmt</w:t>
        </w:r>
      </w:hyperlink>
    </w:p>
    <w:p w14:paraId="4B7D2756"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Porter, M. E. (2021). </w:t>
      </w:r>
      <w:r w:rsidRPr="005D161A">
        <w:rPr>
          <w:rFonts w:ascii="Tahoma" w:hAnsi="Tahoma" w:cs="Tahoma"/>
          <w:i/>
          <w:iCs/>
        </w:rPr>
        <w:t>Competitive strategy</w:t>
      </w:r>
      <w:r w:rsidRPr="005D161A">
        <w:rPr>
          <w:rFonts w:ascii="Tahoma" w:hAnsi="Tahoma" w:cs="Tahoma"/>
        </w:rPr>
        <w:t xml:space="preserve">. Free Press. Retrieved from </w:t>
      </w:r>
      <w:hyperlink r:id="rId23" w:history="1">
        <w:r w:rsidRPr="005D161A">
          <w:rPr>
            <w:rStyle w:val="Hyperlink"/>
            <w:rFonts w:ascii="Tahoma" w:hAnsi="Tahoma" w:cs="Tahoma"/>
          </w:rPr>
          <w:t>https://www.freepress.com</w:t>
        </w:r>
      </w:hyperlink>
    </w:p>
    <w:p w14:paraId="1B5ADE31"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Reichheld, F. F. (2003). The one number you need to grow. </w:t>
      </w:r>
      <w:r w:rsidRPr="005D161A">
        <w:rPr>
          <w:rFonts w:ascii="Tahoma" w:hAnsi="Tahoma" w:cs="Tahoma"/>
          <w:i/>
          <w:iCs/>
        </w:rPr>
        <w:t>Harvard Business Review</w:t>
      </w:r>
      <w:r w:rsidRPr="005D161A">
        <w:rPr>
          <w:rFonts w:ascii="Tahoma" w:hAnsi="Tahoma" w:cs="Tahoma"/>
        </w:rPr>
        <w:t xml:space="preserve">. Retrieved from </w:t>
      </w:r>
      <w:hyperlink r:id="rId24" w:history="1">
        <w:r w:rsidRPr="005D161A">
          <w:rPr>
            <w:rStyle w:val="Hyperlink"/>
            <w:rFonts w:ascii="Tahoma" w:hAnsi="Tahoma" w:cs="Tahoma"/>
          </w:rPr>
          <w:t>https://hbr.org/2003/12/the-one-number-you-need-to-grow</w:t>
        </w:r>
      </w:hyperlink>
    </w:p>
    <w:p w14:paraId="080AD060"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Resident voice feedback. Retrieved from Accomplish resident engagement reports.</w:t>
      </w:r>
    </w:p>
    <w:p w14:paraId="21E8ACCC"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Safeguarding Board Wales. (2020–2026). Retrieved from </w:t>
      </w:r>
      <w:hyperlink r:id="rId25" w:history="1">
        <w:r w:rsidRPr="005D161A">
          <w:rPr>
            <w:rStyle w:val="Hyperlink"/>
            <w:rFonts w:ascii="Tahoma" w:hAnsi="Tahoma" w:cs="Tahoma"/>
          </w:rPr>
          <w:t>https://safeguardingboard.wales</w:t>
        </w:r>
      </w:hyperlink>
    </w:p>
    <w:p w14:paraId="7639D13E"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SAMHSA. (2014). </w:t>
      </w:r>
      <w:r w:rsidRPr="005D161A">
        <w:rPr>
          <w:rFonts w:ascii="Tahoma" w:hAnsi="Tahoma" w:cs="Tahoma"/>
          <w:i/>
          <w:iCs/>
        </w:rPr>
        <w:t>Trauma-informed care in behavioural health services</w:t>
      </w:r>
      <w:r w:rsidRPr="005D161A">
        <w:rPr>
          <w:rFonts w:ascii="Tahoma" w:hAnsi="Tahoma" w:cs="Tahoma"/>
        </w:rPr>
        <w:t xml:space="preserve">. Substance Abuse and Mental Health Services Administration. Retrieved from </w:t>
      </w:r>
      <w:hyperlink r:id="rId26" w:history="1">
        <w:r w:rsidRPr="005D161A">
          <w:rPr>
            <w:rStyle w:val="Hyperlink"/>
            <w:rFonts w:ascii="Tahoma" w:hAnsi="Tahoma" w:cs="Tahoma"/>
          </w:rPr>
          <w:t>https://www.samhsa.gov</w:t>
        </w:r>
      </w:hyperlink>
    </w:p>
    <w:p w14:paraId="231D2E23"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Shaw, R., &amp; Hamilton, R. (2016). [Article title]. </w:t>
      </w:r>
      <w:r w:rsidRPr="005D161A">
        <w:rPr>
          <w:rFonts w:ascii="Tahoma" w:hAnsi="Tahoma" w:cs="Tahoma"/>
          <w:i/>
          <w:iCs/>
        </w:rPr>
        <w:t>Journal of Academy of Marketing Science</w:t>
      </w:r>
      <w:r w:rsidRPr="005D161A">
        <w:rPr>
          <w:rFonts w:ascii="Tahoma" w:hAnsi="Tahoma" w:cs="Tahoma"/>
        </w:rPr>
        <w:t xml:space="preserve">. Retrieved from </w:t>
      </w:r>
      <w:hyperlink r:id="rId27" w:history="1">
        <w:r w:rsidRPr="005D161A">
          <w:rPr>
            <w:rStyle w:val="Hyperlink"/>
            <w:rFonts w:ascii="Tahoma" w:hAnsi="Tahoma" w:cs="Tahoma"/>
          </w:rPr>
          <w:t>https://journals.sagepub.com/home/jams</w:t>
        </w:r>
      </w:hyperlink>
    </w:p>
    <w:p w14:paraId="317FBCDF"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Shaw, R., &amp; Hamilton, R. (2020). [Article title]. </w:t>
      </w:r>
      <w:r w:rsidRPr="005D161A">
        <w:rPr>
          <w:rFonts w:ascii="Tahoma" w:hAnsi="Tahoma" w:cs="Tahoma"/>
          <w:i/>
          <w:iCs/>
        </w:rPr>
        <w:t>Journal of Academy of Marketing Science</w:t>
      </w:r>
      <w:r w:rsidRPr="005D161A">
        <w:rPr>
          <w:rFonts w:ascii="Tahoma" w:hAnsi="Tahoma" w:cs="Tahoma"/>
        </w:rPr>
        <w:t xml:space="preserve">. Retrieved from </w:t>
      </w:r>
      <w:hyperlink r:id="rId28" w:history="1">
        <w:r w:rsidRPr="005D161A">
          <w:rPr>
            <w:rStyle w:val="Hyperlink"/>
            <w:rFonts w:ascii="Tahoma" w:hAnsi="Tahoma" w:cs="Tahoma"/>
          </w:rPr>
          <w:t>https://journals.sagepub.com/home/jams</w:t>
        </w:r>
      </w:hyperlink>
    </w:p>
    <w:p w14:paraId="0C7D8DC8"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Supervision cycles. Retrieved from Accomplish internal supervision records.</w:t>
      </w:r>
    </w:p>
    <w:p w14:paraId="47B4F22B"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Toulmin, S. (1958). </w:t>
      </w:r>
      <w:r w:rsidRPr="005D161A">
        <w:rPr>
          <w:rFonts w:ascii="Tahoma" w:hAnsi="Tahoma" w:cs="Tahoma"/>
          <w:i/>
          <w:iCs/>
        </w:rPr>
        <w:t>The uses of argument</w:t>
      </w:r>
      <w:r w:rsidRPr="005D161A">
        <w:rPr>
          <w:rFonts w:ascii="Tahoma" w:hAnsi="Tahoma" w:cs="Tahoma"/>
        </w:rPr>
        <w:t xml:space="preserve">. Cambridge University Press. Retrieved from </w:t>
      </w:r>
      <w:hyperlink r:id="rId29" w:history="1">
        <w:r w:rsidRPr="005D161A">
          <w:rPr>
            <w:rStyle w:val="Hyperlink"/>
            <w:rFonts w:ascii="Tahoma" w:hAnsi="Tahoma" w:cs="Tahoma"/>
          </w:rPr>
          <w:t>https://www.cambridge.org</w:t>
        </w:r>
      </w:hyperlink>
    </w:p>
    <w:p w14:paraId="2FF58B97" w14:textId="77777777" w:rsidR="00391E52" w:rsidRDefault="00C23443" w:rsidP="00C23443">
      <w:pPr>
        <w:pStyle w:val="ListParagraph"/>
        <w:numPr>
          <w:ilvl w:val="0"/>
          <w:numId w:val="38"/>
        </w:numPr>
        <w:rPr>
          <w:rFonts w:ascii="Tahoma" w:hAnsi="Tahoma" w:cs="Tahoma"/>
        </w:rPr>
      </w:pPr>
      <w:r w:rsidRPr="005D161A">
        <w:rPr>
          <w:rFonts w:ascii="Tahoma" w:hAnsi="Tahoma" w:cs="Tahoma"/>
        </w:rPr>
        <w:t xml:space="preserve">Welsh Government CIW reports. Retrieved from </w:t>
      </w:r>
      <w:hyperlink r:id="rId30" w:history="1">
        <w:r w:rsidRPr="005D161A">
          <w:rPr>
            <w:rStyle w:val="Hyperlink"/>
            <w:rFonts w:ascii="Tahoma" w:hAnsi="Tahoma" w:cs="Tahoma"/>
          </w:rPr>
          <w:t>https://gov.wales/care-inspectorate-wales-reports</w:t>
        </w:r>
      </w:hyperlink>
    </w:p>
    <w:p w14:paraId="29FA1EF8" w14:textId="2651AD03" w:rsidR="00BA5C9B" w:rsidRPr="00391E52" w:rsidRDefault="00BA5C9B" w:rsidP="00391E52">
      <w:pPr>
        <w:rPr>
          <w:rFonts w:ascii="Tahoma" w:hAnsi="Tahoma" w:cs="Tahoma"/>
          <w:sz w:val="24"/>
          <w:szCs w:val="24"/>
        </w:rPr>
      </w:pPr>
      <w:r w:rsidRPr="00391E52">
        <w:rPr>
          <w:rFonts w:ascii="Tahoma" w:hAnsi="Tahoma" w:cs="Tahoma"/>
          <w:b/>
          <w:bCs/>
          <w:sz w:val="24"/>
          <w:szCs w:val="24"/>
          <w:u w:val="single"/>
        </w:rPr>
        <w:lastRenderedPageBreak/>
        <w:t>Appendi</w:t>
      </w:r>
      <w:r w:rsidR="00391E52" w:rsidRPr="00391E52">
        <w:rPr>
          <w:rFonts w:ascii="Tahoma" w:hAnsi="Tahoma" w:cs="Tahoma"/>
          <w:b/>
          <w:bCs/>
          <w:sz w:val="24"/>
          <w:szCs w:val="24"/>
          <w:u w:val="single"/>
        </w:rPr>
        <w:t>ces</w:t>
      </w:r>
    </w:p>
    <w:p w14:paraId="1623FFD1" w14:textId="39165CFD" w:rsidR="00C23443" w:rsidRPr="005D161A" w:rsidRDefault="00C23443" w:rsidP="00C23443">
      <w:pPr>
        <w:rPr>
          <w:rFonts w:ascii="Tahoma" w:hAnsi="Tahoma" w:cs="Tahoma"/>
          <w:sz w:val="24"/>
          <w:szCs w:val="24"/>
        </w:rPr>
      </w:pPr>
      <w:r w:rsidRPr="005D161A">
        <w:rPr>
          <w:rFonts w:ascii="Tahoma" w:hAnsi="Tahoma" w:cs="Tahoma"/>
          <w:b/>
          <w:bCs/>
          <w:sz w:val="24"/>
          <w:szCs w:val="24"/>
          <w:u w:val="single"/>
        </w:rPr>
        <w:t>Appendix A: Customer Segmentation Flowchart Analysis</w:t>
      </w:r>
      <w:r w:rsidR="005D161A" w:rsidRPr="005D161A">
        <w:rPr>
          <w:rFonts w:ascii="Tahoma" w:hAnsi="Tahoma" w:cs="Tahoma"/>
          <w:sz w:val="24"/>
          <w:szCs w:val="24"/>
          <w:u w:val="single"/>
        </w:rPr>
        <w:t xml:space="preserve"> </w:t>
      </w:r>
      <w:r w:rsidRPr="005D161A">
        <w:rPr>
          <w:rFonts w:ascii="Tahoma" w:hAnsi="Tahoma" w:cs="Tahoma"/>
          <w:b/>
          <w:bCs/>
          <w:sz w:val="24"/>
          <w:szCs w:val="24"/>
          <w:u w:val="single"/>
        </w:rPr>
        <w:t>in Residential Mental</w:t>
      </w:r>
      <w:r w:rsidRPr="005D161A">
        <w:rPr>
          <w:rFonts w:ascii="Tahoma" w:hAnsi="Tahoma" w:cs="Tahoma"/>
          <w:b/>
          <w:bCs/>
          <w:sz w:val="24"/>
          <w:szCs w:val="24"/>
          <w:u w:val="single"/>
        </w:rPr>
        <w:noBreakHyphen/>
        <w:t>Health Care</w:t>
      </w:r>
    </w:p>
    <w:p w14:paraId="7E19BFC7" w14:textId="77777777" w:rsidR="00C23443" w:rsidRPr="00E9304C" w:rsidRDefault="00C23443" w:rsidP="00C23443">
      <w:pPr>
        <w:rPr>
          <w:rFonts w:ascii="Tahoma" w:hAnsi="Tahoma" w:cs="Tahoma"/>
          <w:sz w:val="24"/>
          <w:szCs w:val="24"/>
        </w:rPr>
      </w:pPr>
      <w:r w:rsidRPr="00E9304C">
        <w:rPr>
          <w:rFonts w:ascii="Tahoma" w:hAnsi="Tahoma" w:cs="Tahoma"/>
          <w:sz w:val="24"/>
          <w:szCs w:val="24"/>
        </w:rPr>
        <w:t>Segmentation helps Accomplish / Keys Group identify distinct customer groups and tailor communication, expectations, and value creation to each group’s needs. This ensures customer centrality, predictability, and emotional safety, while supporting regulatory compliance and personalised care.</w:t>
      </w:r>
    </w:p>
    <w:p w14:paraId="6DB7D678" w14:textId="77777777" w:rsidR="00BA5C9B" w:rsidRPr="00E9304C" w:rsidRDefault="00BA5C9B" w:rsidP="00BA5C9B">
      <w:pPr>
        <w:rPr>
          <w:rFonts w:ascii="Tahoma" w:hAnsi="Tahoma" w:cs="Tahoma"/>
          <w:b/>
          <w:bCs/>
          <w:sz w:val="24"/>
          <w:szCs w:val="24"/>
          <w:u w:val="single"/>
        </w:rPr>
      </w:pPr>
      <w:r w:rsidRPr="00E9304C">
        <w:rPr>
          <w:rFonts w:ascii="Tahoma" w:hAnsi="Tahoma" w:cs="Tahoma"/>
          <w:b/>
          <w:bCs/>
          <w:sz w:val="24"/>
          <w:szCs w:val="24"/>
          <w:u w:val="single"/>
        </w:rPr>
        <w:t>Segmentation Flowchart</w:t>
      </w:r>
    </w:p>
    <w:p w14:paraId="40AB9F1F" w14:textId="77777777" w:rsidR="00BA5C9B" w:rsidRPr="00E9304C" w:rsidRDefault="00BA5C9B" w:rsidP="00BA5C9B">
      <w:pPr>
        <w:rPr>
          <w:rFonts w:ascii="Tahoma" w:hAnsi="Tahoma" w:cs="Tahoma"/>
          <w:sz w:val="24"/>
          <w:szCs w:val="24"/>
        </w:rPr>
      </w:pPr>
      <w:r w:rsidRPr="00E9304C">
        <w:rPr>
          <w:rFonts w:ascii="Tahoma" w:hAnsi="Tahoma" w:cs="Tahoma"/>
          <w:sz w:val="24"/>
          <w:szCs w:val="24"/>
        </w:rPr>
        <w:t>Below is a clear segmentation flowchart showing how Accomplish / Keys Group identifies and responds to each customer group.</w:t>
      </w:r>
    </w:p>
    <w:tbl>
      <w:tblPr>
        <w:tblStyle w:val="TableGrid"/>
        <w:tblW w:w="0" w:type="auto"/>
        <w:tblLook w:val="04A0" w:firstRow="1" w:lastRow="0" w:firstColumn="1" w:lastColumn="0" w:noHBand="0" w:noVBand="1"/>
      </w:tblPr>
      <w:tblGrid>
        <w:gridCol w:w="9016"/>
      </w:tblGrid>
      <w:tr w:rsidR="00BA5C9B" w:rsidRPr="00E9304C" w14:paraId="2620A8D8" w14:textId="77777777" w:rsidTr="009F7401">
        <w:tc>
          <w:tcPr>
            <w:tcW w:w="9016" w:type="dxa"/>
          </w:tcPr>
          <w:p w14:paraId="130446E6"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Customer and Stakeholders Segmentation</w:t>
            </w:r>
          </w:p>
        </w:tc>
      </w:tr>
    </w:tbl>
    <w:p w14:paraId="0F68E317" w14:textId="40E2E808" w:rsidR="00BA5C9B" w:rsidRPr="00E9304C" w:rsidRDefault="00BA5C9B" w:rsidP="00BA5C9B">
      <w:pPr>
        <w:rPr>
          <w:rFonts w:ascii="Tahoma" w:hAnsi="Tahoma" w:cs="Tahoma"/>
          <w:sz w:val="24"/>
          <w:szCs w:val="24"/>
        </w:rPr>
      </w:pPr>
      <w:r w:rsidRPr="00E9304C">
        <w:rPr>
          <w:rFonts w:ascii="Tahoma" w:hAnsi="Tahoma" w:cs="Tahoma"/>
          <w:sz w:val="24"/>
          <w:szCs w:val="24"/>
        </w:rPr>
        <w:t xml:space="preserve">     </w:t>
      </w:r>
      <w:r>
        <w:rPr>
          <w:rFonts w:ascii="Tahoma" w:hAnsi="Tahoma" w:cs="Tahoma"/>
          <w:sz w:val="24"/>
          <w:szCs w:val="24"/>
        </w:rPr>
        <w:t xml:space="preserve"> </w:t>
      </w:r>
      <w:r w:rsidRPr="00E9304C">
        <w:rPr>
          <w:rFonts w:ascii="Tahoma" w:hAnsi="Tahoma" w:cs="Tahoma"/>
          <w:sz w:val="24"/>
          <w:szCs w:val="24"/>
        </w:rPr>
        <w:t xml:space="preserve">  ▼                     </w:t>
      </w:r>
      <w:r>
        <w:rPr>
          <w:rFonts w:ascii="Tahoma" w:hAnsi="Tahoma" w:cs="Tahoma"/>
          <w:sz w:val="24"/>
          <w:szCs w:val="24"/>
        </w:rPr>
        <w:t xml:space="preserve"> </w:t>
      </w:r>
      <w:r w:rsidRPr="00E9304C">
        <w:rPr>
          <w:rFonts w:ascii="Tahoma" w:hAnsi="Tahoma" w:cs="Tahoma"/>
          <w:sz w:val="24"/>
          <w:szCs w:val="24"/>
        </w:rPr>
        <w:t xml:space="preserve">▼             </w:t>
      </w:r>
      <w:r>
        <w:rPr>
          <w:rFonts w:ascii="Tahoma" w:hAnsi="Tahoma" w:cs="Tahoma"/>
          <w:sz w:val="24"/>
          <w:szCs w:val="24"/>
        </w:rPr>
        <w:t xml:space="preserve">        </w:t>
      </w:r>
      <w:r w:rsidRPr="00E9304C">
        <w:rPr>
          <w:rFonts w:ascii="Tahoma" w:hAnsi="Tahoma" w:cs="Tahoma"/>
          <w:sz w:val="24"/>
          <w:szCs w:val="24"/>
        </w:rPr>
        <w:t xml:space="preserve">▼                      ▼                     ▼          </w:t>
      </w:r>
      <w:r>
        <w:rPr>
          <w:rFonts w:ascii="Tahoma" w:hAnsi="Tahoma" w:cs="Tahoma"/>
          <w:sz w:val="24"/>
          <w:szCs w:val="24"/>
        </w:rPr>
        <w:t xml:space="preserve"> </w:t>
      </w:r>
      <w:r w:rsidRPr="00E9304C">
        <w:rPr>
          <w:rFonts w:ascii="Tahoma" w:hAnsi="Tahoma" w:cs="Tahoma"/>
          <w:sz w:val="24"/>
          <w:szCs w:val="24"/>
        </w:rPr>
        <w:t xml:space="preserve">                                 </w:t>
      </w:r>
    </w:p>
    <w:tbl>
      <w:tblPr>
        <w:tblStyle w:val="TableGrid"/>
        <w:tblW w:w="0" w:type="auto"/>
        <w:tblLook w:val="04A0" w:firstRow="1" w:lastRow="0" w:firstColumn="1" w:lastColumn="0" w:noHBand="0" w:noVBand="1"/>
      </w:tblPr>
      <w:tblGrid>
        <w:gridCol w:w="1803"/>
        <w:gridCol w:w="1803"/>
        <w:gridCol w:w="1803"/>
        <w:gridCol w:w="1803"/>
        <w:gridCol w:w="1873"/>
      </w:tblGrid>
      <w:tr w:rsidR="00BA5C9B" w:rsidRPr="00E9304C" w14:paraId="2A0329CD" w14:textId="77777777" w:rsidTr="009F7401">
        <w:tc>
          <w:tcPr>
            <w:tcW w:w="1803" w:type="dxa"/>
          </w:tcPr>
          <w:p w14:paraId="45DC938A" w14:textId="77777777" w:rsidR="00BA5C9B" w:rsidRPr="00E9304C" w:rsidRDefault="00BA5C9B" w:rsidP="009F7401">
            <w:pPr>
              <w:rPr>
                <w:rFonts w:ascii="Tahoma" w:hAnsi="Tahoma" w:cs="Tahoma"/>
                <w:sz w:val="24"/>
                <w:szCs w:val="24"/>
              </w:rPr>
            </w:pPr>
            <w:r w:rsidRPr="00E9304C">
              <w:rPr>
                <w:rFonts w:ascii="Tahoma" w:hAnsi="Tahoma" w:cs="Tahoma"/>
                <w:sz w:val="24"/>
                <w:szCs w:val="24"/>
              </w:rPr>
              <w:t>Residents</w:t>
            </w:r>
          </w:p>
        </w:tc>
        <w:tc>
          <w:tcPr>
            <w:tcW w:w="1803" w:type="dxa"/>
          </w:tcPr>
          <w:p w14:paraId="3A14F916" w14:textId="77777777" w:rsidR="00BA5C9B" w:rsidRPr="00E9304C" w:rsidRDefault="00BA5C9B" w:rsidP="009F7401">
            <w:pPr>
              <w:rPr>
                <w:rFonts w:ascii="Tahoma" w:hAnsi="Tahoma" w:cs="Tahoma"/>
                <w:sz w:val="24"/>
                <w:szCs w:val="24"/>
              </w:rPr>
            </w:pPr>
            <w:r w:rsidRPr="00E9304C">
              <w:rPr>
                <w:rFonts w:ascii="Tahoma" w:hAnsi="Tahoma" w:cs="Tahoma"/>
                <w:sz w:val="24"/>
                <w:szCs w:val="24"/>
              </w:rPr>
              <w:t>Families</w:t>
            </w:r>
          </w:p>
        </w:tc>
        <w:tc>
          <w:tcPr>
            <w:tcW w:w="1803" w:type="dxa"/>
          </w:tcPr>
          <w:p w14:paraId="51A4A6AB" w14:textId="77777777" w:rsidR="00BA5C9B" w:rsidRPr="00E9304C" w:rsidRDefault="00BA5C9B" w:rsidP="009F7401">
            <w:pPr>
              <w:rPr>
                <w:rFonts w:ascii="Tahoma" w:hAnsi="Tahoma" w:cs="Tahoma"/>
                <w:sz w:val="24"/>
                <w:szCs w:val="24"/>
              </w:rPr>
            </w:pPr>
            <w:r w:rsidRPr="00E9304C">
              <w:rPr>
                <w:rFonts w:ascii="Tahoma" w:hAnsi="Tahoma" w:cs="Tahoma"/>
                <w:sz w:val="24"/>
                <w:szCs w:val="24"/>
              </w:rPr>
              <w:t>Commissioners</w:t>
            </w:r>
          </w:p>
        </w:tc>
        <w:tc>
          <w:tcPr>
            <w:tcW w:w="1803" w:type="dxa"/>
          </w:tcPr>
          <w:p w14:paraId="349ADA9E" w14:textId="77777777" w:rsidR="00BA5C9B" w:rsidRPr="00E9304C" w:rsidRDefault="00BA5C9B" w:rsidP="009F7401">
            <w:pPr>
              <w:rPr>
                <w:rFonts w:ascii="Tahoma" w:hAnsi="Tahoma" w:cs="Tahoma"/>
                <w:sz w:val="24"/>
                <w:szCs w:val="24"/>
              </w:rPr>
            </w:pPr>
            <w:r w:rsidRPr="00E9304C">
              <w:rPr>
                <w:rFonts w:ascii="Tahoma" w:hAnsi="Tahoma" w:cs="Tahoma"/>
                <w:sz w:val="24"/>
                <w:szCs w:val="24"/>
              </w:rPr>
              <w:t>Regulators</w:t>
            </w:r>
          </w:p>
        </w:tc>
        <w:tc>
          <w:tcPr>
            <w:tcW w:w="1804" w:type="dxa"/>
          </w:tcPr>
          <w:p w14:paraId="33C1B9D7" w14:textId="77777777" w:rsidR="00BA5C9B" w:rsidRPr="00E9304C" w:rsidRDefault="00BA5C9B" w:rsidP="009F7401">
            <w:pPr>
              <w:rPr>
                <w:rFonts w:ascii="Tahoma" w:hAnsi="Tahoma" w:cs="Tahoma"/>
                <w:sz w:val="24"/>
                <w:szCs w:val="24"/>
              </w:rPr>
            </w:pPr>
            <w:r w:rsidRPr="00E9304C">
              <w:rPr>
                <w:rFonts w:ascii="Tahoma" w:hAnsi="Tahoma" w:cs="Tahoma"/>
                <w:sz w:val="24"/>
                <w:szCs w:val="24"/>
              </w:rPr>
              <w:t>MDT/Advocates</w:t>
            </w:r>
          </w:p>
        </w:tc>
      </w:tr>
    </w:tbl>
    <w:p w14:paraId="5557036A" w14:textId="6D0EF72A" w:rsidR="00BA5C9B" w:rsidRPr="00E9304C" w:rsidRDefault="00BA5C9B" w:rsidP="00BA5C9B">
      <w:pPr>
        <w:rPr>
          <w:rFonts w:ascii="Tahoma" w:hAnsi="Tahoma" w:cs="Tahoma"/>
          <w:sz w:val="24"/>
          <w:szCs w:val="24"/>
        </w:rPr>
      </w:pPr>
      <w:r>
        <w:rPr>
          <w:rFonts w:ascii="Tahoma" w:hAnsi="Tahoma" w:cs="Tahoma"/>
          <w:sz w:val="24"/>
          <w:szCs w:val="24"/>
        </w:rPr>
        <w:t xml:space="preserve">     </w:t>
      </w:r>
      <w:r w:rsidRPr="00E9304C">
        <w:rPr>
          <w:rFonts w:ascii="Tahoma" w:hAnsi="Tahoma" w:cs="Tahoma"/>
          <w:sz w:val="24"/>
          <w:szCs w:val="24"/>
        </w:rPr>
        <w:t xml:space="preserve">  ▼                        ▼                 </w:t>
      </w:r>
      <w:r>
        <w:rPr>
          <w:rFonts w:ascii="Tahoma" w:hAnsi="Tahoma" w:cs="Tahoma"/>
          <w:sz w:val="24"/>
          <w:szCs w:val="24"/>
        </w:rPr>
        <w:t xml:space="preserve">   </w:t>
      </w:r>
      <w:r w:rsidRPr="00E9304C">
        <w:rPr>
          <w:rFonts w:ascii="Tahoma" w:hAnsi="Tahoma" w:cs="Tahoma"/>
          <w:sz w:val="24"/>
          <w:szCs w:val="24"/>
        </w:rPr>
        <w:t xml:space="preserve"> ▼                      ▼                    ▼         </w:t>
      </w:r>
    </w:p>
    <w:tbl>
      <w:tblPr>
        <w:tblStyle w:val="TableGrid"/>
        <w:tblW w:w="0" w:type="auto"/>
        <w:tblLook w:val="04A0" w:firstRow="1" w:lastRow="0" w:firstColumn="1" w:lastColumn="0" w:noHBand="0" w:noVBand="1"/>
      </w:tblPr>
      <w:tblGrid>
        <w:gridCol w:w="1899"/>
        <w:gridCol w:w="1779"/>
        <w:gridCol w:w="1779"/>
        <w:gridCol w:w="1821"/>
        <w:gridCol w:w="1780"/>
      </w:tblGrid>
      <w:tr w:rsidR="00BA5C9B" w:rsidRPr="00E9304C" w14:paraId="10EF6344" w14:textId="77777777" w:rsidTr="009F7401">
        <w:tc>
          <w:tcPr>
            <w:tcW w:w="1899" w:type="dxa"/>
          </w:tcPr>
          <w:p w14:paraId="062ACF74"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Key Need                      </w:t>
            </w:r>
          </w:p>
        </w:tc>
        <w:tc>
          <w:tcPr>
            <w:tcW w:w="1779" w:type="dxa"/>
          </w:tcPr>
          <w:p w14:paraId="336555BB"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Key Need                      </w:t>
            </w:r>
          </w:p>
        </w:tc>
        <w:tc>
          <w:tcPr>
            <w:tcW w:w="1779" w:type="dxa"/>
          </w:tcPr>
          <w:p w14:paraId="5196B070"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Key Need                      </w:t>
            </w:r>
          </w:p>
        </w:tc>
        <w:tc>
          <w:tcPr>
            <w:tcW w:w="1779" w:type="dxa"/>
          </w:tcPr>
          <w:p w14:paraId="1CFB99CC"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Key Need                      </w:t>
            </w:r>
          </w:p>
        </w:tc>
        <w:tc>
          <w:tcPr>
            <w:tcW w:w="1780" w:type="dxa"/>
          </w:tcPr>
          <w:p w14:paraId="7B47EA2B"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Key Need                      </w:t>
            </w:r>
          </w:p>
        </w:tc>
      </w:tr>
      <w:tr w:rsidR="00BA5C9B" w:rsidRPr="00E9304C" w14:paraId="6FFC5031" w14:textId="77777777" w:rsidTr="009F7401">
        <w:tc>
          <w:tcPr>
            <w:tcW w:w="1899" w:type="dxa"/>
          </w:tcPr>
          <w:p w14:paraId="4ABFF40E" w14:textId="77777777" w:rsidR="00BA5C9B" w:rsidRPr="00E9304C" w:rsidRDefault="00BA5C9B" w:rsidP="009F7401">
            <w:pPr>
              <w:rPr>
                <w:rFonts w:ascii="Tahoma" w:hAnsi="Tahoma" w:cs="Tahoma"/>
                <w:sz w:val="24"/>
                <w:szCs w:val="24"/>
              </w:rPr>
            </w:pPr>
            <w:r w:rsidRPr="00E9304C">
              <w:rPr>
                <w:rFonts w:ascii="Tahoma" w:hAnsi="Tahoma" w:cs="Tahoma"/>
                <w:sz w:val="24"/>
                <w:szCs w:val="24"/>
              </w:rPr>
              <w:t>Emotional  -safety</w:t>
            </w:r>
          </w:p>
          <w:p w14:paraId="41029A72" w14:textId="77777777" w:rsidR="00BA5C9B" w:rsidRPr="00E9304C" w:rsidRDefault="00BA5C9B" w:rsidP="009F7401">
            <w:pPr>
              <w:rPr>
                <w:rFonts w:ascii="Tahoma" w:hAnsi="Tahoma" w:cs="Tahoma"/>
                <w:sz w:val="24"/>
                <w:szCs w:val="24"/>
              </w:rPr>
            </w:pPr>
            <w:r w:rsidRPr="00E9304C">
              <w:rPr>
                <w:rFonts w:ascii="Tahoma" w:hAnsi="Tahoma" w:cs="Tahoma"/>
                <w:sz w:val="24"/>
                <w:szCs w:val="24"/>
              </w:rPr>
              <w:t>Needs</w:t>
            </w:r>
          </w:p>
          <w:p w14:paraId="1BEBEDB2" w14:textId="77777777" w:rsidR="00BA5C9B" w:rsidRPr="00E9304C" w:rsidRDefault="00BA5C9B" w:rsidP="009F7401">
            <w:pPr>
              <w:rPr>
                <w:rFonts w:ascii="Tahoma" w:hAnsi="Tahoma" w:cs="Tahoma"/>
                <w:sz w:val="24"/>
                <w:szCs w:val="24"/>
              </w:rPr>
            </w:pPr>
            <w:r w:rsidRPr="00E9304C">
              <w:rPr>
                <w:rFonts w:ascii="Tahoma" w:hAnsi="Tahoma" w:cs="Tahoma"/>
                <w:sz w:val="24"/>
                <w:szCs w:val="24"/>
              </w:rPr>
              <w:t xml:space="preserve">Reassurance  </w:t>
            </w:r>
          </w:p>
          <w:p w14:paraId="450A76D1" w14:textId="77777777" w:rsidR="00BA5C9B" w:rsidRPr="00E9304C" w:rsidRDefault="00BA5C9B" w:rsidP="009F7401">
            <w:pPr>
              <w:rPr>
                <w:rFonts w:ascii="Tahoma" w:hAnsi="Tahoma" w:cs="Tahoma"/>
                <w:sz w:val="24"/>
                <w:szCs w:val="24"/>
              </w:rPr>
            </w:pPr>
            <w:r w:rsidRPr="00E9304C">
              <w:rPr>
                <w:rFonts w:ascii="Tahoma" w:hAnsi="Tahoma" w:cs="Tahoma"/>
                <w:sz w:val="24"/>
                <w:szCs w:val="24"/>
              </w:rPr>
              <w:t xml:space="preserve">Stability    </w:t>
            </w:r>
          </w:p>
          <w:p w14:paraId="3D7D0FC2" w14:textId="77777777" w:rsidR="00BA5C9B" w:rsidRPr="00E9304C" w:rsidRDefault="00BA5C9B" w:rsidP="009F7401">
            <w:pPr>
              <w:rPr>
                <w:rFonts w:ascii="Tahoma" w:hAnsi="Tahoma" w:cs="Tahoma"/>
                <w:sz w:val="24"/>
                <w:szCs w:val="24"/>
              </w:rPr>
            </w:pPr>
            <w:r w:rsidRPr="00E9304C">
              <w:rPr>
                <w:rFonts w:ascii="Tahoma" w:hAnsi="Tahoma" w:cs="Tahoma"/>
                <w:sz w:val="24"/>
                <w:szCs w:val="24"/>
              </w:rPr>
              <w:t>Transparency</w:t>
            </w:r>
          </w:p>
          <w:p w14:paraId="01D26B88" w14:textId="77777777" w:rsidR="00BA5C9B" w:rsidRPr="00E9304C" w:rsidRDefault="00BA5C9B" w:rsidP="009F7401">
            <w:pPr>
              <w:rPr>
                <w:rFonts w:ascii="Tahoma" w:hAnsi="Tahoma" w:cs="Tahoma"/>
                <w:sz w:val="24"/>
                <w:szCs w:val="24"/>
              </w:rPr>
            </w:pPr>
            <w:r w:rsidRPr="00E9304C">
              <w:rPr>
                <w:rFonts w:ascii="Tahoma" w:hAnsi="Tahoma" w:cs="Tahoma"/>
                <w:sz w:val="24"/>
                <w:szCs w:val="24"/>
              </w:rPr>
              <w:t>Goals</w:t>
            </w:r>
          </w:p>
        </w:tc>
        <w:tc>
          <w:tcPr>
            <w:tcW w:w="1779" w:type="dxa"/>
          </w:tcPr>
          <w:p w14:paraId="00740306"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Transparency </w:t>
            </w:r>
          </w:p>
          <w:p w14:paraId="7DA49CA6"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 Reassurance  Involvement</w:t>
            </w:r>
          </w:p>
          <w:p w14:paraId="2F1A883B" w14:textId="77777777" w:rsidR="00BA5C9B" w:rsidRPr="00E9304C" w:rsidRDefault="00BA5C9B" w:rsidP="009F7401">
            <w:pPr>
              <w:jc w:val="center"/>
              <w:rPr>
                <w:rFonts w:ascii="Tahoma" w:hAnsi="Tahoma" w:cs="Tahoma"/>
                <w:sz w:val="24"/>
                <w:szCs w:val="24"/>
              </w:rPr>
            </w:pPr>
          </w:p>
        </w:tc>
        <w:tc>
          <w:tcPr>
            <w:tcW w:w="1779" w:type="dxa"/>
          </w:tcPr>
          <w:p w14:paraId="27E916E0"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KPI’s</w:t>
            </w:r>
          </w:p>
          <w:p w14:paraId="341F683E"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Compliance</w:t>
            </w:r>
          </w:p>
          <w:p w14:paraId="33EED656"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Outcomes </w:t>
            </w:r>
          </w:p>
        </w:tc>
        <w:tc>
          <w:tcPr>
            <w:tcW w:w="1779" w:type="dxa"/>
          </w:tcPr>
          <w:p w14:paraId="6CA1637A" w14:textId="77777777" w:rsidR="00BA5C9B" w:rsidRPr="00E9304C" w:rsidRDefault="00BA5C9B" w:rsidP="009F7401">
            <w:pPr>
              <w:rPr>
                <w:rFonts w:ascii="Tahoma" w:hAnsi="Tahoma" w:cs="Tahoma"/>
                <w:sz w:val="24"/>
                <w:szCs w:val="24"/>
              </w:rPr>
            </w:pPr>
            <w:r w:rsidRPr="00E9304C">
              <w:rPr>
                <w:rFonts w:ascii="Tahoma" w:hAnsi="Tahoma" w:cs="Tahoma"/>
                <w:sz w:val="24"/>
                <w:szCs w:val="24"/>
              </w:rPr>
              <w:t xml:space="preserve">Governance  Compliance </w:t>
            </w:r>
          </w:p>
          <w:p w14:paraId="06722F0B"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Evidence </w:t>
            </w:r>
          </w:p>
          <w:p w14:paraId="658365E0"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Documentation  Governance   Partnership </w:t>
            </w:r>
          </w:p>
          <w:p w14:paraId="7CE83B02"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Safety </w:t>
            </w:r>
          </w:p>
        </w:tc>
        <w:tc>
          <w:tcPr>
            <w:tcW w:w="1780" w:type="dxa"/>
          </w:tcPr>
          <w:p w14:paraId="742CA67F"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Emotional   Reassurance  Compliance    Governance   Partnership </w:t>
            </w:r>
          </w:p>
        </w:tc>
      </w:tr>
      <w:tr w:rsidR="00BA5C9B" w:rsidRPr="00E9304C" w14:paraId="3332B45A" w14:textId="77777777" w:rsidTr="009F7401">
        <w:tc>
          <w:tcPr>
            <w:tcW w:w="1899" w:type="dxa"/>
          </w:tcPr>
          <w:p w14:paraId="3D9D63F5" w14:textId="77777777" w:rsidR="00BA5C9B" w:rsidRPr="00E9304C" w:rsidRDefault="00BA5C9B" w:rsidP="009F7401">
            <w:pPr>
              <w:rPr>
                <w:rFonts w:ascii="Tahoma" w:hAnsi="Tahoma" w:cs="Tahoma"/>
                <w:sz w:val="24"/>
                <w:szCs w:val="24"/>
                <w:lang w:val="fr-FR"/>
              </w:rPr>
            </w:pPr>
            <w:r w:rsidRPr="00E9304C">
              <w:rPr>
                <w:rFonts w:ascii="Tahoma" w:hAnsi="Tahoma" w:cs="Tahoma"/>
                <w:sz w:val="24"/>
                <w:szCs w:val="24"/>
                <w:lang w:val="fr-FR"/>
              </w:rPr>
              <w:t xml:space="preserve">Service response  </w:t>
            </w:r>
          </w:p>
        </w:tc>
        <w:tc>
          <w:tcPr>
            <w:tcW w:w="1779" w:type="dxa"/>
          </w:tcPr>
          <w:p w14:paraId="5A108718" w14:textId="77777777" w:rsidR="00BA5C9B" w:rsidRPr="00E9304C" w:rsidRDefault="00BA5C9B" w:rsidP="009F7401">
            <w:pPr>
              <w:rPr>
                <w:rFonts w:ascii="Tahoma" w:hAnsi="Tahoma" w:cs="Tahoma"/>
                <w:sz w:val="24"/>
                <w:szCs w:val="24"/>
              </w:rPr>
            </w:pPr>
            <w:r w:rsidRPr="00E9304C">
              <w:rPr>
                <w:rFonts w:ascii="Tahoma" w:hAnsi="Tahoma" w:cs="Tahoma"/>
                <w:sz w:val="24"/>
                <w:szCs w:val="24"/>
                <w:lang w:val="fr-FR"/>
              </w:rPr>
              <w:t>Service response</w:t>
            </w:r>
          </w:p>
        </w:tc>
        <w:tc>
          <w:tcPr>
            <w:tcW w:w="1779" w:type="dxa"/>
          </w:tcPr>
          <w:p w14:paraId="471B7C6F"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lang w:val="fr-FR"/>
              </w:rPr>
              <w:t>Service response</w:t>
            </w:r>
          </w:p>
        </w:tc>
        <w:tc>
          <w:tcPr>
            <w:tcW w:w="1779" w:type="dxa"/>
          </w:tcPr>
          <w:p w14:paraId="04818A91"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lang w:val="fr-FR"/>
              </w:rPr>
              <w:t xml:space="preserve">Service response  </w:t>
            </w:r>
          </w:p>
        </w:tc>
        <w:tc>
          <w:tcPr>
            <w:tcW w:w="1780" w:type="dxa"/>
          </w:tcPr>
          <w:p w14:paraId="78AD80CA"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lang w:val="fr-FR"/>
              </w:rPr>
              <w:t xml:space="preserve">Service response  </w:t>
            </w:r>
          </w:p>
        </w:tc>
      </w:tr>
      <w:tr w:rsidR="00BA5C9B" w:rsidRPr="00E9304C" w14:paraId="428D4C19" w14:textId="77777777" w:rsidTr="009F7401">
        <w:tc>
          <w:tcPr>
            <w:tcW w:w="1899" w:type="dxa"/>
          </w:tcPr>
          <w:p w14:paraId="3B3DBAFC" w14:textId="77777777" w:rsidR="00BA5C9B" w:rsidRPr="00E9304C" w:rsidRDefault="00BA5C9B" w:rsidP="009F7401">
            <w:pPr>
              <w:rPr>
                <w:rFonts w:ascii="Tahoma" w:hAnsi="Tahoma" w:cs="Tahoma"/>
                <w:sz w:val="24"/>
                <w:szCs w:val="24"/>
              </w:rPr>
            </w:pPr>
            <w:r w:rsidRPr="00E9304C">
              <w:rPr>
                <w:rFonts w:ascii="Tahoma" w:hAnsi="Tahoma" w:cs="Tahoma"/>
                <w:sz w:val="24"/>
                <w:szCs w:val="24"/>
              </w:rPr>
              <w:t>Trauma-informed</w:t>
            </w:r>
          </w:p>
          <w:p w14:paraId="4A3B2AAA" w14:textId="77777777" w:rsidR="00BA5C9B" w:rsidRPr="00E9304C" w:rsidRDefault="00BA5C9B" w:rsidP="009F7401">
            <w:pPr>
              <w:rPr>
                <w:rFonts w:ascii="Tahoma" w:hAnsi="Tahoma" w:cs="Tahoma"/>
                <w:sz w:val="24"/>
                <w:szCs w:val="24"/>
              </w:rPr>
            </w:pPr>
            <w:r w:rsidRPr="00E9304C">
              <w:rPr>
                <w:rFonts w:ascii="Tahoma" w:hAnsi="Tahoma" w:cs="Tahoma"/>
                <w:sz w:val="24"/>
                <w:szCs w:val="24"/>
              </w:rPr>
              <w:t>Communication PBS Plans</w:t>
            </w:r>
          </w:p>
          <w:p w14:paraId="5AE0A2C8" w14:textId="77777777" w:rsidR="00BA5C9B" w:rsidRPr="00E9304C" w:rsidRDefault="00BA5C9B" w:rsidP="009F7401">
            <w:pPr>
              <w:rPr>
                <w:rFonts w:ascii="Tahoma" w:hAnsi="Tahoma" w:cs="Tahoma"/>
                <w:sz w:val="24"/>
                <w:szCs w:val="24"/>
              </w:rPr>
            </w:pPr>
            <w:r w:rsidRPr="00E9304C">
              <w:rPr>
                <w:rFonts w:ascii="Tahoma" w:hAnsi="Tahoma" w:cs="Tahoma"/>
                <w:sz w:val="24"/>
                <w:szCs w:val="24"/>
              </w:rPr>
              <w:t>Positive -outcomes</w:t>
            </w:r>
          </w:p>
        </w:tc>
        <w:tc>
          <w:tcPr>
            <w:tcW w:w="1779" w:type="dxa"/>
          </w:tcPr>
          <w:p w14:paraId="76D1C97D" w14:textId="77777777" w:rsidR="00BA5C9B" w:rsidRPr="00E9304C" w:rsidRDefault="00BA5C9B" w:rsidP="009F7401">
            <w:pPr>
              <w:rPr>
                <w:rFonts w:ascii="Tahoma" w:hAnsi="Tahoma" w:cs="Tahoma"/>
                <w:sz w:val="24"/>
                <w:szCs w:val="24"/>
              </w:rPr>
            </w:pPr>
            <w:r w:rsidRPr="00E9304C">
              <w:rPr>
                <w:rFonts w:ascii="Tahoma" w:hAnsi="Tahoma" w:cs="Tahoma"/>
                <w:sz w:val="24"/>
                <w:szCs w:val="24"/>
              </w:rPr>
              <w:t>Scheduled updates</w:t>
            </w:r>
          </w:p>
          <w:p w14:paraId="692BC3C2" w14:textId="77777777" w:rsidR="00BA5C9B" w:rsidRPr="00E9304C" w:rsidRDefault="00BA5C9B" w:rsidP="009F7401">
            <w:pPr>
              <w:rPr>
                <w:rFonts w:ascii="Tahoma" w:hAnsi="Tahoma" w:cs="Tahoma"/>
                <w:sz w:val="24"/>
                <w:szCs w:val="24"/>
              </w:rPr>
            </w:pPr>
            <w:r w:rsidRPr="00E9304C">
              <w:rPr>
                <w:rFonts w:ascii="Tahoma" w:hAnsi="Tahoma" w:cs="Tahoma"/>
                <w:sz w:val="24"/>
                <w:szCs w:val="24"/>
              </w:rPr>
              <w:t xml:space="preserve">Family Meetings </w:t>
            </w:r>
          </w:p>
          <w:p w14:paraId="4F01D35A" w14:textId="77777777" w:rsidR="00BA5C9B" w:rsidRPr="00E9304C" w:rsidRDefault="00BA5C9B" w:rsidP="009F7401">
            <w:pPr>
              <w:rPr>
                <w:rFonts w:ascii="Tahoma" w:hAnsi="Tahoma" w:cs="Tahoma"/>
                <w:sz w:val="24"/>
                <w:szCs w:val="24"/>
              </w:rPr>
            </w:pPr>
          </w:p>
        </w:tc>
        <w:tc>
          <w:tcPr>
            <w:tcW w:w="1779" w:type="dxa"/>
          </w:tcPr>
          <w:p w14:paraId="1415F06D"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Reporting</w:t>
            </w:r>
          </w:p>
          <w:p w14:paraId="28B53913"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Monitoring </w:t>
            </w:r>
          </w:p>
          <w:p w14:paraId="4B5B5F93"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Quality Monitoring </w:t>
            </w:r>
          </w:p>
          <w:p w14:paraId="0B6E63CC"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Inspections</w:t>
            </w:r>
          </w:p>
        </w:tc>
        <w:tc>
          <w:tcPr>
            <w:tcW w:w="1779" w:type="dxa"/>
          </w:tcPr>
          <w:p w14:paraId="24F730F9" w14:textId="77777777" w:rsidR="00BA5C9B" w:rsidRPr="00E9304C" w:rsidRDefault="00BA5C9B" w:rsidP="009F7401">
            <w:pPr>
              <w:jc w:val="center"/>
              <w:rPr>
                <w:rFonts w:ascii="Tahoma" w:hAnsi="Tahoma" w:cs="Tahoma"/>
                <w:sz w:val="24"/>
                <w:szCs w:val="24"/>
                <w:lang w:val="fr-FR"/>
              </w:rPr>
            </w:pPr>
            <w:r w:rsidRPr="00E9304C">
              <w:rPr>
                <w:rFonts w:ascii="Tahoma" w:hAnsi="Tahoma" w:cs="Tahoma"/>
                <w:sz w:val="24"/>
                <w:szCs w:val="24"/>
                <w:lang w:val="fr-FR"/>
              </w:rPr>
              <w:t>Audits</w:t>
            </w:r>
          </w:p>
          <w:p w14:paraId="3A1E8C36" w14:textId="77777777" w:rsidR="00BA5C9B" w:rsidRPr="00E9304C" w:rsidRDefault="00BA5C9B" w:rsidP="009F7401">
            <w:pPr>
              <w:jc w:val="center"/>
              <w:rPr>
                <w:rFonts w:ascii="Tahoma" w:hAnsi="Tahoma" w:cs="Tahoma"/>
                <w:sz w:val="24"/>
                <w:szCs w:val="24"/>
                <w:lang w:val="fr-FR"/>
              </w:rPr>
            </w:pPr>
            <w:r w:rsidRPr="00E9304C">
              <w:rPr>
                <w:rFonts w:ascii="Tahoma" w:hAnsi="Tahoma" w:cs="Tahoma"/>
                <w:sz w:val="24"/>
                <w:szCs w:val="24"/>
                <w:lang w:val="fr-FR"/>
              </w:rPr>
              <w:t xml:space="preserve">Inspections </w:t>
            </w:r>
          </w:p>
          <w:p w14:paraId="40F5BF98" w14:textId="77777777" w:rsidR="00BA5C9B" w:rsidRPr="00E9304C" w:rsidRDefault="00BA5C9B" w:rsidP="009F7401">
            <w:pPr>
              <w:jc w:val="center"/>
              <w:rPr>
                <w:rFonts w:ascii="Tahoma" w:hAnsi="Tahoma" w:cs="Tahoma"/>
                <w:sz w:val="24"/>
                <w:szCs w:val="24"/>
                <w:lang w:val="fr-FR"/>
              </w:rPr>
            </w:pPr>
            <w:r w:rsidRPr="00E9304C">
              <w:rPr>
                <w:rFonts w:ascii="Tahoma" w:hAnsi="Tahoma" w:cs="Tahoma"/>
                <w:sz w:val="24"/>
                <w:szCs w:val="24"/>
                <w:lang w:val="fr-FR"/>
              </w:rPr>
              <w:t>Compliance</w:t>
            </w:r>
          </w:p>
          <w:p w14:paraId="2EC40B1A" w14:textId="77777777" w:rsidR="00BA5C9B" w:rsidRPr="00E9304C" w:rsidRDefault="00BA5C9B" w:rsidP="009F7401">
            <w:pPr>
              <w:jc w:val="center"/>
              <w:rPr>
                <w:rFonts w:ascii="Tahoma" w:hAnsi="Tahoma" w:cs="Tahoma"/>
                <w:sz w:val="24"/>
                <w:szCs w:val="24"/>
                <w:lang w:val="fr-FR"/>
              </w:rPr>
            </w:pPr>
            <w:r w:rsidRPr="00E9304C">
              <w:rPr>
                <w:rFonts w:ascii="Tahoma" w:hAnsi="Tahoma" w:cs="Tahoma"/>
                <w:sz w:val="24"/>
                <w:szCs w:val="24"/>
                <w:lang w:val="fr-FR"/>
              </w:rPr>
              <w:t>Gouvernance</w:t>
            </w:r>
          </w:p>
          <w:p w14:paraId="31EAB8F7" w14:textId="77777777" w:rsidR="00BA5C9B" w:rsidRPr="00E9304C" w:rsidRDefault="00BA5C9B" w:rsidP="009F7401">
            <w:pPr>
              <w:jc w:val="center"/>
              <w:rPr>
                <w:rFonts w:ascii="Tahoma" w:hAnsi="Tahoma" w:cs="Tahoma"/>
                <w:sz w:val="24"/>
                <w:szCs w:val="24"/>
                <w:lang w:val="fr-FR"/>
              </w:rPr>
            </w:pPr>
            <w:r w:rsidRPr="00E9304C">
              <w:rPr>
                <w:rFonts w:ascii="Tahoma" w:hAnsi="Tahoma" w:cs="Tahoma"/>
                <w:sz w:val="24"/>
                <w:szCs w:val="24"/>
                <w:lang w:val="fr-FR"/>
              </w:rPr>
              <w:t>Documentation</w:t>
            </w:r>
          </w:p>
        </w:tc>
        <w:tc>
          <w:tcPr>
            <w:tcW w:w="1780" w:type="dxa"/>
          </w:tcPr>
          <w:p w14:paraId="14C6B160"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Multi -Disciplinary - Meetings,</w:t>
            </w:r>
          </w:p>
          <w:p w14:paraId="258F7AF5"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Information -Sharing</w:t>
            </w:r>
          </w:p>
          <w:p w14:paraId="0C6CBCA2"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Individuals -Voice</w:t>
            </w:r>
          </w:p>
        </w:tc>
      </w:tr>
    </w:tbl>
    <w:p w14:paraId="2B86A269" w14:textId="76372D9C" w:rsidR="00BA5C9B" w:rsidRPr="00E9304C" w:rsidRDefault="00BA5C9B" w:rsidP="00BA5C9B">
      <w:pPr>
        <w:rPr>
          <w:rFonts w:ascii="Tahoma" w:hAnsi="Tahoma" w:cs="Tahoma"/>
          <w:sz w:val="24"/>
          <w:szCs w:val="24"/>
        </w:rPr>
      </w:pPr>
      <w:r>
        <w:rPr>
          <w:rFonts w:ascii="Tahoma" w:hAnsi="Tahoma" w:cs="Tahoma"/>
          <w:sz w:val="24"/>
          <w:szCs w:val="24"/>
        </w:rPr>
        <w:t xml:space="preserve">   </w:t>
      </w:r>
      <w:r w:rsidR="00391E52">
        <w:rPr>
          <w:rFonts w:ascii="Tahoma" w:hAnsi="Tahoma" w:cs="Tahoma"/>
          <w:sz w:val="24"/>
          <w:szCs w:val="24"/>
        </w:rPr>
        <w:t xml:space="preserve">                                               </w:t>
      </w:r>
      <w:r>
        <w:rPr>
          <w:rFonts w:ascii="Tahoma" w:hAnsi="Tahoma" w:cs="Tahoma"/>
          <w:sz w:val="24"/>
          <w:szCs w:val="24"/>
        </w:rPr>
        <w:t xml:space="preserve">         </w:t>
      </w:r>
      <w:r w:rsidRPr="00E9304C">
        <w:rPr>
          <w:rFonts w:ascii="Tahoma" w:hAnsi="Tahoma" w:cs="Tahoma"/>
          <w:sz w:val="24"/>
          <w:szCs w:val="24"/>
        </w:rPr>
        <w:t>▼</w:t>
      </w:r>
    </w:p>
    <w:tbl>
      <w:tblPr>
        <w:tblStyle w:val="TableGrid"/>
        <w:tblW w:w="0" w:type="auto"/>
        <w:tblLook w:val="04A0" w:firstRow="1" w:lastRow="0" w:firstColumn="1" w:lastColumn="0" w:noHBand="0" w:noVBand="1"/>
      </w:tblPr>
      <w:tblGrid>
        <w:gridCol w:w="9016"/>
      </w:tblGrid>
      <w:tr w:rsidR="00BA5C9B" w:rsidRPr="00E9304C" w14:paraId="1FD74CB1" w14:textId="77777777" w:rsidTr="009F7401">
        <w:tc>
          <w:tcPr>
            <w:tcW w:w="9016" w:type="dxa"/>
          </w:tcPr>
          <w:p w14:paraId="67115ADA"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ORGANISATIONAL OUTCOMES</w:t>
            </w:r>
          </w:p>
        </w:tc>
      </w:tr>
      <w:tr w:rsidR="00BA5C9B" w:rsidRPr="00E9304C" w14:paraId="1611FF20" w14:textId="77777777" w:rsidTr="009F7401">
        <w:tc>
          <w:tcPr>
            <w:tcW w:w="9016" w:type="dxa"/>
          </w:tcPr>
          <w:p w14:paraId="21A5E092" w14:textId="77777777" w:rsidR="00BA5C9B" w:rsidRPr="00391E52" w:rsidRDefault="00BA5C9B" w:rsidP="009F7401">
            <w:pPr>
              <w:jc w:val="center"/>
              <w:rPr>
                <w:rFonts w:ascii="Tahoma" w:hAnsi="Tahoma" w:cs="Tahoma"/>
                <w:sz w:val="24"/>
                <w:szCs w:val="24"/>
              </w:rPr>
            </w:pPr>
            <w:r w:rsidRPr="00391E52">
              <w:rPr>
                <w:rFonts w:ascii="Tahoma" w:hAnsi="Tahoma" w:cs="Tahoma"/>
                <w:sz w:val="24"/>
                <w:szCs w:val="24"/>
              </w:rPr>
              <w:t>Improved quality of life for residents</w:t>
            </w:r>
          </w:p>
          <w:p w14:paraId="73A4F257" w14:textId="77777777" w:rsidR="00BA5C9B" w:rsidRPr="00391E52" w:rsidRDefault="00BA5C9B" w:rsidP="009F7401">
            <w:pPr>
              <w:jc w:val="center"/>
              <w:rPr>
                <w:rFonts w:ascii="Tahoma" w:hAnsi="Tahoma" w:cs="Tahoma"/>
                <w:sz w:val="24"/>
                <w:szCs w:val="24"/>
              </w:rPr>
            </w:pPr>
            <w:r w:rsidRPr="00391E52">
              <w:rPr>
                <w:rFonts w:ascii="Tahoma" w:hAnsi="Tahoma" w:cs="Tahoma"/>
                <w:sz w:val="24"/>
                <w:szCs w:val="24"/>
              </w:rPr>
              <w:t>Increased family confidence and satisfaction</w:t>
            </w:r>
          </w:p>
          <w:p w14:paraId="19F1E161" w14:textId="77777777" w:rsidR="00BA5C9B" w:rsidRPr="00391E52" w:rsidRDefault="00BA5C9B" w:rsidP="009F7401">
            <w:pPr>
              <w:jc w:val="center"/>
              <w:rPr>
                <w:rFonts w:ascii="Tahoma" w:hAnsi="Tahoma" w:cs="Tahoma"/>
                <w:sz w:val="24"/>
                <w:szCs w:val="24"/>
              </w:rPr>
            </w:pPr>
            <w:r w:rsidRPr="00391E52">
              <w:rPr>
                <w:rFonts w:ascii="Tahoma" w:hAnsi="Tahoma" w:cs="Tahoma"/>
                <w:sz w:val="24"/>
                <w:szCs w:val="24"/>
              </w:rPr>
              <w:t>Stable placements and positive outcomes</w:t>
            </w:r>
          </w:p>
          <w:p w14:paraId="6F5FFDC2" w14:textId="77777777" w:rsidR="00BA5C9B" w:rsidRPr="00391E52" w:rsidRDefault="00BA5C9B" w:rsidP="009F7401">
            <w:pPr>
              <w:jc w:val="center"/>
              <w:rPr>
                <w:rFonts w:ascii="Tahoma" w:hAnsi="Tahoma" w:cs="Tahoma"/>
                <w:sz w:val="24"/>
                <w:szCs w:val="24"/>
              </w:rPr>
            </w:pPr>
            <w:r w:rsidRPr="00391E52">
              <w:rPr>
                <w:rFonts w:ascii="Tahoma" w:hAnsi="Tahoma" w:cs="Tahoma"/>
                <w:sz w:val="24"/>
                <w:szCs w:val="24"/>
              </w:rPr>
              <w:t>Full CIW compliance and effective governance</w:t>
            </w:r>
          </w:p>
          <w:p w14:paraId="5096EC2B" w14:textId="77777777" w:rsidR="00BA5C9B" w:rsidRPr="00391E52" w:rsidRDefault="00BA5C9B" w:rsidP="009F7401">
            <w:pPr>
              <w:jc w:val="center"/>
              <w:rPr>
                <w:rFonts w:ascii="Tahoma" w:hAnsi="Tahoma" w:cs="Tahoma"/>
                <w:sz w:val="24"/>
                <w:szCs w:val="24"/>
              </w:rPr>
            </w:pPr>
            <w:r w:rsidRPr="00391E52">
              <w:rPr>
                <w:rFonts w:ascii="Tahoma" w:hAnsi="Tahoma" w:cs="Tahoma"/>
                <w:sz w:val="24"/>
                <w:szCs w:val="24"/>
              </w:rPr>
              <w:t>Strong multidisciplinary partnerships</w:t>
            </w:r>
          </w:p>
          <w:p w14:paraId="48EF0EA7" w14:textId="77777777" w:rsidR="00BA5C9B" w:rsidRPr="00E9304C" w:rsidRDefault="00BA5C9B" w:rsidP="009F7401">
            <w:pPr>
              <w:jc w:val="center"/>
              <w:rPr>
                <w:rFonts w:ascii="Tahoma" w:hAnsi="Tahoma" w:cs="Tahoma"/>
                <w:b/>
                <w:bCs/>
                <w:sz w:val="24"/>
                <w:szCs w:val="24"/>
              </w:rPr>
            </w:pPr>
            <w:r w:rsidRPr="00391E52">
              <w:rPr>
                <w:rFonts w:ascii="Tahoma" w:hAnsi="Tahoma" w:cs="Tahoma"/>
                <w:sz w:val="24"/>
                <w:szCs w:val="24"/>
              </w:rPr>
              <w:lastRenderedPageBreak/>
              <w:t>Continuous improvement and service excellence</w:t>
            </w:r>
          </w:p>
        </w:tc>
      </w:tr>
    </w:tbl>
    <w:p w14:paraId="7FEC917B" w14:textId="77777777" w:rsidR="00391E52" w:rsidRDefault="00391E52" w:rsidP="00C23443">
      <w:pPr>
        <w:rPr>
          <w:rFonts w:ascii="Tahoma" w:hAnsi="Tahoma" w:cs="Tahoma"/>
          <w:b/>
          <w:bCs/>
          <w:sz w:val="24"/>
          <w:szCs w:val="24"/>
          <w:u w:val="single"/>
        </w:rPr>
      </w:pPr>
    </w:p>
    <w:p w14:paraId="3254AC51" w14:textId="70AB8A7B"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Segmentation Summary Table</w:t>
      </w:r>
    </w:p>
    <w:tbl>
      <w:tblPr>
        <w:tblStyle w:val="TableGrid"/>
        <w:tblW w:w="0" w:type="auto"/>
        <w:tblLook w:val="04A0" w:firstRow="1" w:lastRow="0" w:firstColumn="1" w:lastColumn="0" w:noHBand="0" w:noVBand="1"/>
      </w:tblPr>
      <w:tblGrid>
        <w:gridCol w:w="2254"/>
        <w:gridCol w:w="2254"/>
        <w:gridCol w:w="2254"/>
        <w:gridCol w:w="2254"/>
      </w:tblGrid>
      <w:tr w:rsidR="00C23443" w:rsidRPr="00E9304C" w14:paraId="7047A3AE" w14:textId="77777777" w:rsidTr="00130D10">
        <w:tc>
          <w:tcPr>
            <w:tcW w:w="2254" w:type="dxa"/>
            <w:vAlign w:val="center"/>
          </w:tcPr>
          <w:p w14:paraId="75638015"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Segment</w:t>
            </w:r>
          </w:p>
        </w:tc>
        <w:tc>
          <w:tcPr>
            <w:tcW w:w="2254" w:type="dxa"/>
            <w:vAlign w:val="center"/>
          </w:tcPr>
          <w:p w14:paraId="05358B9C"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Primary Needs</w:t>
            </w:r>
          </w:p>
        </w:tc>
        <w:tc>
          <w:tcPr>
            <w:tcW w:w="2254" w:type="dxa"/>
            <w:vAlign w:val="center"/>
          </w:tcPr>
          <w:p w14:paraId="72399B63"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Communication Style Required</w:t>
            </w:r>
          </w:p>
        </w:tc>
        <w:tc>
          <w:tcPr>
            <w:tcW w:w="2254" w:type="dxa"/>
            <w:vAlign w:val="center"/>
          </w:tcPr>
          <w:p w14:paraId="270B1C41"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Value Delivered</w:t>
            </w:r>
          </w:p>
        </w:tc>
      </w:tr>
      <w:tr w:rsidR="00C23443" w:rsidRPr="00E9304C" w14:paraId="6D6CA735" w14:textId="77777777" w:rsidTr="00130D10">
        <w:tc>
          <w:tcPr>
            <w:tcW w:w="2254" w:type="dxa"/>
            <w:vAlign w:val="center"/>
          </w:tcPr>
          <w:p w14:paraId="075F41A7"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Residents</w:t>
            </w:r>
          </w:p>
        </w:tc>
        <w:tc>
          <w:tcPr>
            <w:tcW w:w="2254" w:type="dxa"/>
            <w:vAlign w:val="center"/>
          </w:tcPr>
          <w:p w14:paraId="6C664575" w14:textId="77777777" w:rsidR="00C23443" w:rsidRPr="00E9304C" w:rsidRDefault="00C23443" w:rsidP="00130D10">
            <w:pPr>
              <w:rPr>
                <w:rFonts w:ascii="Tahoma" w:hAnsi="Tahoma" w:cs="Tahoma"/>
                <w:sz w:val="24"/>
                <w:szCs w:val="24"/>
              </w:rPr>
            </w:pPr>
            <w:r w:rsidRPr="00E9304C">
              <w:rPr>
                <w:rFonts w:ascii="Tahoma" w:hAnsi="Tahoma" w:cs="Tahoma"/>
                <w:sz w:val="24"/>
                <w:szCs w:val="24"/>
              </w:rPr>
              <w:t>Emotional safety, predictability, autonomy</w:t>
            </w:r>
          </w:p>
        </w:tc>
        <w:tc>
          <w:tcPr>
            <w:tcW w:w="2254" w:type="dxa"/>
            <w:vAlign w:val="center"/>
          </w:tcPr>
          <w:p w14:paraId="2A8396A3" w14:textId="77777777" w:rsidR="00C23443" w:rsidRPr="00E9304C" w:rsidRDefault="00C23443" w:rsidP="00130D10">
            <w:pPr>
              <w:rPr>
                <w:rFonts w:ascii="Tahoma" w:hAnsi="Tahoma" w:cs="Tahoma"/>
                <w:sz w:val="24"/>
                <w:szCs w:val="24"/>
              </w:rPr>
            </w:pPr>
            <w:r w:rsidRPr="00E9304C">
              <w:rPr>
                <w:rFonts w:ascii="Tahoma" w:hAnsi="Tahoma" w:cs="Tahoma"/>
                <w:sz w:val="24"/>
                <w:szCs w:val="24"/>
              </w:rPr>
              <w:t>Attuned, consistent, trauma</w:t>
            </w:r>
            <w:r w:rsidRPr="00E9304C">
              <w:rPr>
                <w:rFonts w:ascii="Tahoma" w:hAnsi="Tahoma" w:cs="Tahoma"/>
                <w:sz w:val="24"/>
                <w:szCs w:val="24"/>
              </w:rPr>
              <w:noBreakHyphen/>
              <w:t>informed</w:t>
            </w:r>
          </w:p>
        </w:tc>
        <w:tc>
          <w:tcPr>
            <w:tcW w:w="2254" w:type="dxa"/>
            <w:vAlign w:val="center"/>
          </w:tcPr>
          <w:p w14:paraId="1536ABE2" w14:textId="77777777" w:rsidR="00C23443" w:rsidRPr="00E9304C" w:rsidRDefault="00C23443" w:rsidP="00130D10">
            <w:pPr>
              <w:rPr>
                <w:rFonts w:ascii="Tahoma" w:hAnsi="Tahoma" w:cs="Tahoma"/>
                <w:sz w:val="24"/>
                <w:szCs w:val="24"/>
              </w:rPr>
            </w:pPr>
            <w:r w:rsidRPr="00E9304C">
              <w:rPr>
                <w:rFonts w:ascii="Tahoma" w:hAnsi="Tahoma" w:cs="Tahoma"/>
                <w:sz w:val="24"/>
                <w:szCs w:val="24"/>
              </w:rPr>
              <w:t>Emotional &amp; life</w:t>
            </w:r>
            <w:r w:rsidRPr="00E9304C">
              <w:rPr>
                <w:rFonts w:ascii="Tahoma" w:hAnsi="Tahoma" w:cs="Tahoma"/>
                <w:sz w:val="24"/>
                <w:szCs w:val="24"/>
              </w:rPr>
              <w:noBreakHyphen/>
              <w:t>changing value</w:t>
            </w:r>
          </w:p>
        </w:tc>
      </w:tr>
      <w:tr w:rsidR="00C23443" w:rsidRPr="00E9304C" w14:paraId="2CE42CCF" w14:textId="77777777" w:rsidTr="00130D10">
        <w:tc>
          <w:tcPr>
            <w:tcW w:w="2254" w:type="dxa"/>
            <w:vAlign w:val="center"/>
          </w:tcPr>
          <w:p w14:paraId="7C579F9A"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Families</w:t>
            </w:r>
          </w:p>
        </w:tc>
        <w:tc>
          <w:tcPr>
            <w:tcW w:w="2254" w:type="dxa"/>
            <w:vAlign w:val="center"/>
          </w:tcPr>
          <w:p w14:paraId="4892C0D2" w14:textId="77777777" w:rsidR="00C23443" w:rsidRPr="00E9304C" w:rsidRDefault="00C23443" w:rsidP="00130D10">
            <w:pPr>
              <w:rPr>
                <w:rFonts w:ascii="Tahoma" w:hAnsi="Tahoma" w:cs="Tahoma"/>
                <w:sz w:val="24"/>
                <w:szCs w:val="24"/>
              </w:rPr>
            </w:pPr>
            <w:r w:rsidRPr="00E9304C">
              <w:rPr>
                <w:rFonts w:ascii="Tahoma" w:hAnsi="Tahoma" w:cs="Tahoma"/>
                <w:sz w:val="24"/>
                <w:szCs w:val="24"/>
              </w:rPr>
              <w:t>Reassurance, involvement, transparency</w:t>
            </w:r>
          </w:p>
        </w:tc>
        <w:tc>
          <w:tcPr>
            <w:tcW w:w="2254" w:type="dxa"/>
            <w:vAlign w:val="center"/>
          </w:tcPr>
          <w:p w14:paraId="40FC0517" w14:textId="77777777" w:rsidR="00C23443" w:rsidRPr="00E9304C" w:rsidRDefault="00C23443" w:rsidP="00130D10">
            <w:pPr>
              <w:rPr>
                <w:rFonts w:ascii="Tahoma" w:hAnsi="Tahoma" w:cs="Tahoma"/>
                <w:sz w:val="24"/>
                <w:szCs w:val="24"/>
              </w:rPr>
            </w:pPr>
            <w:r w:rsidRPr="00E9304C">
              <w:rPr>
                <w:rFonts w:ascii="Tahoma" w:hAnsi="Tahoma" w:cs="Tahoma"/>
                <w:sz w:val="24"/>
                <w:szCs w:val="24"/>
              </w:rPr>
              <w:t>Clear, regular, supportive</w:t>
            </w:r>
          </w:p>
        </w:tc>
        <w:tc>
          <w:tcPr>
            <w:tcW w:w="2254" w:type="dxa"/>
            <w:vAlign w:val="center"/>
          </w:tcPr>
          <w:p w14:paraId="1F5C242A" w14:textId="77777777" w:rsidR="00C23443" w:rsidRPr="00E9304C" w:rsidRDefault="00C23443" w:rsidP="00130D10">
            <w:pPr>
              <w:rPr>
                <w:rFonts w:ascii="Tahoma" w:hAnsi="Tahoma" w:cs="Tahoma"/>
                <w:sz w:val="24"/>
                <w:szCs w:val="24"/>
              </w:rPr>
            </w:pPr>
            <w:r w:rsidRPr="00E9304C">
              <w:rPr>
                <w:rFonts w:ascii="Tahoma" w:hAnsi="Tahoma" w:cs="Tahoma"/>
                <w:sz w:val="24"/>
                <w:szCs w:val="24"/>
              </w:rPr>
              <w:t>Trust, advocacy</w:t>
            </w:r>
          </w:p>
        </w:tc>
      </w:tr>
      <w:tr w:rsidR="00C23443" w:rsidRPr="00E9304C" w14:paraId="4D0E507E" w14:textId="77777777" w:rsidTr="00130D10">
        <w:tc>
          <w:tcPr>
            <w:tcW w:w="2254" w:type="dxa"/>
            <w:vAlign w:val="center"/>
          </w:tcPr>
          <w:p w14:paraId="4897DAF7"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Commissioners</w:t>
            </w:r>
          </w:p>
        </w:tc>
        <w:tc>
          <w:tcPr>
            <w:tcW w:w="2254" w:type="dxa"/>
            <w:vAlign w:val="center"/>
          </w:tcPr>
          <w:p w14:paraId="04B80070" w14:textId="77777777" w:rsidR="00C23443" w:rsidRPr="00E9304C" w:rsidRDefault="00C23443" w:rsidP="00130D10">
            <w:pPr>
              <w:rPr>
                <w:rFonts w:ascii="Tahoma" w:hAnsi="Tahoma" w:cs="Tahoma"/>
                <w:sz w:val="24"/>
                <w:szCs w:val="24"/>
              </w:rPr>
            </w:pPr>
            <w:r w:rsidRPr="00E9304C">
              <w:rPr>
                <w:rFonts w:ascii="Tahoma" w:hAnsi="Tahoma" w:cs="Tahoma"/>
                <w:sz w:val="24"/>
                <w:szCs w:val="24"/>
              </w:rPr>
              <w:t>Compliance, outcomes, cost</w:t>
            </w:r>
            <w:r w:rsidRPr="00E9304C">
              <w:rPr>
                <w:rFonts w:ascii="Tahoma" w:hAnsi="Tahoma" w:cs="Tahoma"/>
                <w:sz w:val="24"/>
                <w:szCs w:val="24"/>
              </w:rPr>
              <w:noBreakHyphen/>
              <w:t>effectiveness</w:t>
            </w:r>
          </w:p>
        </w:tc>
        <w:tc>
          <w:tcPr>
            <w:tcW w:w="2254" w:type="dxa"/>
            <w:vAlign w:val="center"/>
          </w:tcPr>
          <w:p w14:paraId="21F57FD6" w14:textId="77777777" w:rsidR="00C23443" w:rsidRPr="00E9304C" w:rsidRDefault="00C23443" w:rsidP="00130D10">
            <w:pPr>
              <w:rPr>
                <w:rFonts w:ascii="Tahoma" w:hAnsi="Tahoma" w:cs="Tahoma"/>
                <w:sz w:val="24"/>
                <w:szCs w:val="24"/>
              </w:rPr>
            </w:pPr>
            <w:r w:rsidRPr="00E9304C">
              <w:rPr>
                <w:rFonts w:ascii="Tahoma" w:hAnsi="Tahoma" w:cs="Tahoma"/>
                <w:sz w:val="24"/>
                <w:szCs w:val="24"/>
              </w:rPr>
              <w:t>Structured, evidence</w:t>
            </w:r>
            <w:r w:rsidRPr="00E9304C">
              <w:rPr>
                <w:rFonts w:ascii="Tahoma" w:hAnsi="Tahoma" w:cs="Tahoma"/>
                <w:sz w:val="24"/>
                <w:szCs w:val="24"/>
              </w:rPr>
              <w:noBreakHyphen/>
              <w:t>based</w:t>
            </w:r>
          </w:p>
        </w:tc>
        <w:tc>
          <w:tcPr>
            <w:tcW w:w="2254" w:type="dxa"/>
            <w:vAlign w:val="center"/>
          </w:tcPr>
          <w:p w14:paraId="62360297" w14:textId="77777777" w:rsidR="00C23443" w:rsidRPr="00E9304C" w:rsidRDefault="00C23443" w:rsidP="00130D10">
            <w:pPr>
              <w:rPr>
                <w:rFonts w:ascii="Tahoma" w:hAnsi="Tahoma" w:cs="Tahoma"/>
                <w:sz w:val="24"/>
                <w:szCs w:val="24"/>
              </w:rPr>
            </w:pPr>
            <w:r w:rsidRPr="00E9304C">
              <w:rPr>
                <w:rFonts w:ascii="Tahoma" w:hAnsi="Tahoma" w:cs="Tahoma"/>
                <w:sz w:val="24"/>
                <w:szCs w:val="24"/>
              </w:rPr>
              <w:t>Functional value, retention</w:t>
            </w:r>
          </w:p>
        </w:tc>
      </w:tr>
      <w:tr w:rsidR="00C23443" w:rsidRPr="00E9304C" w14:paraId="11674C08" w14:textId="77777777" w:rsidTr="00130D10">
        <w:tc>
          <w:tcPr>
            <w:tcW w:w="2254" w:type="dxa"/>
            <w:vAlign w:val="center"/>
          </w:tcPr>
          <w:p w14:paraId="3932D25B"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Regulators (CIW)</w:t>
            </w:r>
          </w:p>
        </w:tc>
        <w:tc>
          <w:tcPr>
            <w:tcW w:w="2254" w:type="dxa"/>
            <w:vAlign w:val="center"/>
          </w:tcPr>
          <w:p w14:paraId="6DBCCC11" w14:textId="77777777" w:rsidR="00C23443" w:rsidRPr="00E9304C" w:rsidRDefault="00C23443" w:rsidP="00130D10">
            <w:pPr>
              <w:rPr>
                <w:rFonts w:ascii="Tahoma" w:hAnsi="Tahoma" w:cs="Tahoma"/>
                <w:sz w:val="24"/>
                <w:szCs w:val="24"/>
              </w:rPr>
            </w:pPr>
            <w:r w:rsidRPr="00E9304C">
              <w:rPr>
                <w:rFonts w:ascii="Tahoma" w:hAnsi="Tahoma" w:cs="Tahoma"/>
                <w:sz w:val="24"/>
                <w:szCs w:val="24"/>
              </w:rPr>
              <w:t>Safety, governance, documentation</w:t>
            </w:r>
          </w:p>
        </w:tc>
        <w:tc>
          <w:tcPr>
            <w:tcW w:w="2254" w:type="dxa"/>
            <w:vAlign w:val="center"/>
          </w:tcPr>
          <w:p w14:paraId="7EED8E4D" w14:textId="77777777" w:rsidR="00C23443" w:rsidRPr="00E9304C" w:rsidRDefault="00C23443" w:rsidP="00130D10">
            <w:pPr>
              <w:rPr>
                <w:rFonts w:ascii="Tahoma" w:hAnsi="Tahoma" w:cs="Tahoma"/>
                <w:sz w:val="24"/>
                <w:szCs w:val="24"/>
              </w:rPr>
            </w:pPr>
            <w:r w:rsidRPr="00E9304C">
              <w:rPr>
                <w:rFonts w:ascii="Tahoma" w:hAnsi="Tahoma" w:cs="Tahoma"/>
                <w:sz w:val="24"/>
                <w:szCs w:val="24"/>
              </w:rPr>
              <w:t>Accurate, timely, compliant</w:t>
            </w:r>
          </w:p>
        </w:tc>
        <w:tc>
          <w:tcPr>
            <w:tcW w:w="2254" w:type="dxa"/>
            <w:vAlign w:val="center"/>
          </w:tcPr>
          <w:p w14:paraId="7A790FFD" w14:textId="77777777" w:rsidR="00C23443" w:rsidRPr="00E9304C" w:rsidRDefault="00C23443" w:rsidP="00130D10">
            <w:pPr>
              <w:rPr>
                <w:rFonts w:ascii="Tahoma" w:hAnsi="Tahoma" w:cs="Tahoma"/>
                <w:sz w:val="24"/>
                <w:szCs w:val="24"/>
              </w:rPr>
            </w:pPr>
            <w:r w:rsidRPr="00E9304C">
              <w:rPr>
                <w:rFonts w:ascii="Tahoma" w:hAnsi="Tahoma" w:cs="Tahoma"/>
                <w:sz w:val="24"/>
                <w:szCs w:val="24"/>
              </w:rPr>
              <w:t>Assurance, regulatory value</w:t>
            </w:r>
          </w:p>
        </w:tc>
      </w:tr>
    </w:tbl>
    <w:p w14:paraId="2134273E" w14:textId="77777777" w:rsidR="000D1D97" w:rsidRDefault="000D1D97" w:rsidP="00C23443">
      <w:pPr>
        <w:rPr>
          <w:rFonts w:ascii="Tahoma" w:hAnsi="Tahoma" w:cs="Tahoma"/>
          <w:b/>
          <w:bCs/>
          <w:sz w:val="24"/>
          <w:szCs w:val="24"/>
          <w:u w:val="single"/>
        </w:rPr>
      </w:pPr>
    </w:p>
    <w:p w14:paraId="6469F4EA" w14:textId="77777777" w:rsidR="000D1D97" w:rsidRDefault="000D1D97" w:rsidP="00C23443">
      <w:pPr>
        <w:rPr>
          <w:rFonts w:ascii="Tahoma" w:hAnsi="Tahoma" w:cs="Tahoma"/>
          <w:b/>
          <w:bCs/>
          <w:sz w:val="24"/>
          <w:szCs w:val="24"/>
          <w:u w:val="single"/>
        </w:rPr>
      </w:pPr>
    </w:p>
    <w:p w14:paraId="3A1DCD86" w14:textId="77777777" w:rsidR="000D1D97" w:rsidRDefault="000D1D97" w:rsidP="00C23443">
      <w:pPr>
        <w:rPr>
          <w:rFonts w:ascii="Tahoma" w:hAnsi="Tahoma" w:cs="Tahoma"/>
          <w:b/>
          <w:bCs/>
          <w:sz w:val="24"/>
          <w:szCs w:val="24"/>
          <w:u w:val="single"/>
        </w:rPr>
      </w:pPr>
    </w:p>
    <w:p w14:paraId="6C4A2095" w14:textId="77777777" w:rsidR="000D1D97" w:rsidRDefault="000D1D97" w:rsidP="00C23443">
      <w:pPr>
        <w:rPr>
          <w:rFonts w:ascii="Tahoma" w:hAnsi="Tahoma" w:cs="Tahoma"/>
          <w:b/>
          <w:bCs/>
          <w:sz w:val="24"/>
          <w:szCs w:val="24"/>
          <w:u w:val="single"/>
        </w:rPr>
      </w:pPr>
    </w:p>
    <w:p w14:paraId="54CFD77C" w14:textId="77777777" w:rsidR="000D1D97" w:rsidRDefault="000D1D97" w:rsidP="00C23443">
      <w:pPr>
        <w:rPr>
          <w:rFonts w:ascii="Tahoma" w:hAnsi="Tahoma" w:cs="Tahoma"/>
          <w:b/>
          <w:bCs/>
          <w:sz w:val="24"/>
          <w:szCs w:val="24"/>
          <w:u w:val="single"/>
        </w:rPr>
      </w:pPr>
    </w:p>
    <w:p w14:paraId="13BB856A" w14:textId="77777777" w:rsidR="000D1D97" w:rsidRDefault="000D1D97" w:rsidP="00C23443">
      <w:pPr>
        <w:rPr>
          <w:rFonts w:ascii="Tahoma" w:hAnsi="Tahoma" w:cs="Tahoma"/>
          <w:b/>
          <w:bCs/>
          <w:sz w:val="24"/>
          <w:szCs w:val="24"/>
          <w:u w:val="single"/>
        </w:rPr>
      </w:pPr>
    </w:p>
    <w:p w14:paraId="5CC8E719" w14:textId="77777777" w:rsidR="000D1D97" w:rsidRDefault="000D1D97" w:rsidP="00C23443">
      <w:pPr>
        <w:rPr>
          <w:rFonts w:ascii="Tahoma" w:hAnsi="Tahoma" w:cs="Tahoma"/>
          <w:b/>
          <w:bCs/>
          <w:sz w:val="24"/>
          <w:szCs w:val="24"/>
          <w:u w:val="single"/>
        </w:rPr>
      </w:pPr>
    </w:p>
    <w:p w14:paraId="6D463870" w14:textId="77777777" w:rsidR="000D1D97" w:rsidRDefault="000D1D97" w:rsidP="00C23443">
      <w:pPr>
        <w:rPr>
          <w:rFonts w:ascii="Tahoma" w:hAnsi="Tahoma" w:cs="Tahoma"/>
          <w:b/>
          <w:bCs/>
          <w:sz w:val="24"/>
          <w:szCs w:val="24"/>
          <w:u w:val="single"/>
        </w:rPr>
      </w:pPr>
    </w:p>
    <w:p w14:paraId="48A4052F" w14:textId="77777777" w:rsidR="000D1D97" w:rsidRDefault="000D1D97" w:rsidP="00C23443">
      <w:pPr>
        <w:rPr>
          <w:rFonts w:ascii="Tahoma" w:hAnsi="Tahoma" w:cs="Tahoma"/>
          <w:b/>
          <w:bCs/>
          <w:sz w:val="24"/>
          <w:szCs w:val="24"/>
          <w:u w:val="single"/>
        </w:rPr>
      </w:pPr>
    </w:p>
    <w:p w14:paraId="40280A47" w14:textId="77777777" w:rsidR="000D1D97" w:rsidRDefault="000D1D97" w:rsidP="00C23443">
      <w:pPr>
        <w:rPr>
          <w:rFonts w:ascii="Tahoma" w:hAnsi="Tahoma" w:cs="Tahoma"/>
          <w:b/>
          <w:bCs/>
          <w:sz w:val="24"/>
          <w:szCs w:val="24"/>
          <w:u w:val="single"/>
        </w:rPr>
      </w:pPr>
    </w:p>
    <w:p w14:paraId="50FC9ED4" w14:textId="77777777" w:rsidR="000D1D97" w:rsidRDefault="000D1D97" w:rsidP="00C23443">
      <w:pPr>
        <w:rPr>
          <w:rFonts w:ascii="Tahoma" w:hAnsi="Tahoma" w:cs="Tahoma"/>
          <w:b/>
          <w:bCs/>
          <w:sz w:val="24"/>
          <w:szCs w:val="24"/>
          <w:u w:val="single"/>
        </w:rPr>
      </w:pPr>
    </w:p>
    <w:p w14:paraId="14A3E269" w14:textId="77777777" w:rsidR="000D1D97" w:rsidRDefault="000D1D97" w:rsidP="00C23443">
      <w:pPr>
        <w:rPr>
          <w:rFonts w:ascii="Tahoma" w:hAnsi="Tahoma" w:cs="Tahoma"/>
          <w:b/>
          <w:bCs/>
          <w:sz w:val="24"/>
          <w:szCs w:val="24"/>
          <w:u w:val="single"/>
        </w:rPr>
      </w:pPr>
    </w:p>
    <w:p w14:paraId="0175DC87" w14:textId="77777777" w:rsidR="000D1D97" w:rsidRDefault="000D1D97" w:rsidP="00C23443">
      <w:pPr>
        <w:rPr>
          <w:rFonts w:ascii="Tahoma" w:hAnsi="Tahoma" w:cs="Tahoma"/>
          <w:b/>
          <w:bCs/>
          <w:sz w:val="24"/>
          <w:szCs w:val="24"/>
          <w:u w:val="single"/>
        </w:rPr>
      </w:pPr>
    </w:p>
    <w:p w14:paraId="258C3B90" w14:textId="77777777" w:rsidR="000D1D97" w:rsidRDefault="000D1D97" w:rsidP="00C23443">
      <w:pPr>
        <w:rPr>
          <w:rFonts w:ascii="Tahoma" w:hAnsi="Tahoma" w:cs="Tahoma"/>
          <w:b/>
          <w:bCs/>
          <w:sz w:val="24"/>
          <w:szCs w:val="24"/>
          <w:u w:val="single"/>
        </w:rPr>
      </w:pPr>
    </w:p>
    <w:p w14:paraId="162F7558" w14:textId="77777777" w:rsidR="000D1D97" w:rsidRDefault="000D1D97" w:rsidP="00C23443">
      <w:pPr>
        <w:rPr>
          <w:rFonts w:ascii="Tahoma" w:hAnsi="Tahoma" w:cs="Tahoma"/>
          <w:b/>
          <w:bCs/>
          <w:sz w:val="24"/>
          <w:szCs w:val="24"/>
          <w:u w:val="single"/>
        </w:rPr>
      </w:pPr>
    </w:p>
    <w:p w14:paraId="10CF5268" w14:textId="77777777" w:rsidR="00452C76" w:rsidRDefault="00452C76" w:rsidP="00C23443">
      <w:pPr>
        <w:rPr>
          <w:rFonts w:ascii="Tahoma" w:hAnsi="Tahoma" w:cs="Tahoma"/>
          <w:b/>
          <w:bCs/>
          <w:sz w:val="24"/>
          <w:szCs w:val="24"/>
          <w:u w:val="single"/>
        </w:rPr>
      </w:pPr>
    </w:p>
    <w:p w14:paraId="557416B9" w14:textId="060F3776"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Appendix B: RED Analysis Framework</w:t>
      </w:r>
    </w:p>
    <w:p w14:paraId="6198A1FA"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B1. Purpose of RED Analysis</w:t>
      </w:r>
    </w:p>
    <w:p w14:paraId="378AEDCE" w14:textId="77777777" w:rsidR="00C23443" w:rsidRPr="00E9304C" w:rsidRDefault="00C23443" w:rsidP="00C23443">
      <w:pPr>
        <w:rPr>
          <w:rFonts w:ascii="Tahoma" w:hAnsi="Tahoma" w:cs="Tahoma"/>
          <w:sz w:val="24"/>
          <w:szCs w:val="24"/>
        </w:rPr>
      </w:pPr>
      <w:r w:rsidRPr="00E9304C">
        <w:rPr>
          <w:rFonts w:ascii="Tahoma" w:hAnsi="Tahoma" w:cs="Tahoma"/>
          <w:sz w:val="24"/>
          <w:szCs w:val="24"/>
        </w:rPr>
        <w:t>Pearson’s RED model (Recognise assumptions, Evaluate evidence, Draw conclusions) provides a structured method for analysing organisational effectiveness and exposing contradictions between policy and lived practice.</w:t>
      </w:r>
    </w:p>
    <w:p w14:paraId="67D1C695"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B2. RED Analysis Table</w:t>
      </w:r>
    </w:p>
    <w:tbl>
      <w:tblPr>
        <w:tblStyle w:val="TableGrid"/>
        <w:tblW w:w="0" w:type="auto"/>
        <w:tblLook w:val="04A0" w:firstRow="1" w:lastRow="0" w:firstColumn="1" w:lastColumn="0" w:noHBand="0" w:noVBand="1"/>
      </w:tblPr>
      <w:tblGrid>
        <w:gridCol w:w="2263"/>
        <w:gridCol w:w="3747"/>
        <w:gridCol w:w="3006"/>
      </w:tblGrid>
      <w:tr w:rsidR="00C23443" w:rsidRPr="00E9304C" w14:paraId="3D237532" w14:textId="77777777" w:rsidTr="00130D10">
        <w:tc>
          <w:tcPr>
            <w:tcW w:w="2263" w:type="dxa"/>
            <w:vAlign w:val="center"/>
          </w:tcPr>
          <w:p w14:paraId="75BC3EA8"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RED Stage</w:t>
            </w:r>
          </w:p>
        </w:tc>
        <w:tc>
          <w:tcPr>
            <w:tcW w:w="3747" w:type="dxa"/>
            <w:vAlign w:val="center"/>
          </w:tcPr>
          <w:p w14:paraId="51BCAEE3"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Findings in Accomplish / Keys Group</w:t>
            </w:r>
          </w:p>
        </w:tc>
        <w:tc>
          <w:tcPr>
            <w:tcW w:w="3006" w:type="dxa"/>
            <w:vAlign w:val="center"/>
          </w:tcPr>
          <w:p w14:paraId="4E8E1E0B"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Critical Insight</w:t>
            </w:r>
          </w:p>
        </w:tc>
      </w:tr>
      <w:tr w:rsidR="00C23443" w:rsidRPr="00E9304C" w14:paraId="4CC00321" w14:textId="77777777" w:rsidTr="00130D10">
        <w:tc>
          <w:tcPr>
            <w:tcW w:w="2263" w:type="dxa"/>
            <w:vAlign w:val="center"/>
          </w:tcPr>
          <w:p w14:paraId="1453D9E8"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Recognise Assumptions</w:t>
            </w:r>
          </w:p>
        </w:tc>
        <w:tc>
          <w:tcPr>
            <w:tcW w:w="3747" w:type="dxa"/>
            <w:vAlign w:val="center"/>
          </w:tcPr>
          <w:p w14:paraId="6FDB4B7B"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“Training equals competence”; “Documentation ensures clarity”; “Minimum staffing is adequate”; “Compliance equals quality.”</w:t>
            </w:r>
          </w:p>
        </w:tc>
        <w:tc>
          <w:tcPr>
            <w:tcW w:w="3006" w:type="dxa"/>
            <w:vAlign w:val="center"/>
          </w:tcPr>
          <w:p w14:paraId="4AEBA259"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These assumptions overlook emotional safety, tactic knowledge, and relational value.</w:t>
            </w:r>
          </w:p>
        </w:tc>
      </w:tr>
      <w:tr w:rsidR="00C23443" w:rsidRPr="00E9304C" w14:paraId="19A81BCF" w14:textId="77777777" w:rsidTr="00130D10">
        <w:tc>
          <w:tcPr>
            <w:tcW w:w="2263" w:type="dxa"/>
            <w:vAlign w:val="center"/>
          </w:tcPr>
          <w:p w14:paraId="7D44D7CF"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Evaluate Evidence</w:t>
            </w:r>
          </w:p>
        </w:tc>
        <w:tc>
          <w:tcPr>
            <w:tcW w:w="3747" w:type="dxa"/>
            <w:vAlign w:val="center"/>
          </w:tcPr>
          <w:p w14:paraId="551823B3"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CIW inspections, incident trends, handover audits, resident voice feedback, staffing patterns.</w:t>
            </w:r>
          </w:p>
        </w:tc>
        <w:tc>
          <w:tcPr>
            <w:tcW w:w="3006" w:type="dxa"/>
            <w:vAlign w:val="center"/>
          </w:tcPr>
          <w:p w14:paraId="1A1E5B7A"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Evidence shows variability in communication, competence, and relational consistency.</w:t>
            </w:r>
          </w:p>
        </w:tc>
      </w:tr>
      <w:tr w:rsidR="00C23443" w:rsidRPr="00E9304C" w14:paraId="6EFC2C01" w14:textId="77777777" w:rsidTr="00130D10">
        <w:tc>
          <w:tcPr>
            <w:tcW w:w="2263" w:type="dxa"/>
            <w:vAlign w:val="center"/>
          </w:tcPr>
          <w:p w14:paraId="613F886C"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Draw Conclusions</w:t>
            </w:r>
          </w:p>
        </w:tc>
        <w:tc>
          <w:tcPr>
            <w:tcW w:w="3747" w:type="dxa"/>
            <w:vAlign w:val="center"/>
          </w:tcPr>
          <w:p w14:paraId="5D61883A"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Trauma</w:t>
            </w:r>
            <w:r w:rsidRPr="00E9304C">
              <w:rPr>
                <w:rFonts w:ascii="Tahoma" w:hAnsi="Tahoma" w:cs="Tahoma"/>
                <w:sz w:val="24"/>
                <w:szCs w:val="24"/>
              </w:rPr>
              <w:noBreakHyphen/>
              <w:t>informed frameworks are strong, but operational pressures undermine emotional value.</w:t>
            </w:r>
          </w:p>
        </w:tc>
        <w:tc>
          <w:tcPr>
            <w:tcW w:w="3006" w:type="dxa"/>
            <w:vAlign w:val="center"/>
          </w:tcPr>
          <w:p w14:paraId="01B3EF9E"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Customer value is maximised only when culture, communication, competence, and resources align with lived experience.</w:t>
            </w:r>
          </w:p>
        </w:tc>
      </w:tr>
    </w:tbl>
    <w:p w14:paraId="5B3117A1" w14:textId="77777777" w:rsidR="00C23443" w:rsidRPr="00E9304C" w:rsidRDefault="00C23443" w:rsidP="00C23443">
      <w:pPr>
        <w:rPr>
          <w:rFonts w:ascii="Tahoma" w:hAnsi="Tahoma" w:cs="Tahoma"/>
          <w:b/>
          <w:bCs/>
          <w:sz w:val="24"/>
          <w:szCs w:val="24"/>
        </w:rPr>
      </w:pPr>
    </w:p>
    <w:p w14:paraId="0DFCA5B4" w14:textId="77777777" w:rsidR="000D1D97" w:rsidRPr="00E9304C" w:rsidRDefault="000D1D97" w:rsidP="000D1D97">
      <w:pPr>
        <w:rPr>
          <w:rFonts w:ascii="Tahoma" w:hAnsi="Tahoma" w:cs="Tahoma"/>
          <w:b/>
          <w:bCs/>
          <w:sz w:val="24"/>
          <w:szCs w:val="24"/>
          <w:u w:val="single"/>
        </w:rPr>
      </w:pPr>
      <w:r w:rsidRPr="00E9304C">
        <w:rPr>
          <w:rFonts w:ascii="Tahoma" w:hAnsi="Tahoma" w:cs="Tahoma"/>
          <w:b/>
          <w:bCs/>
          <w:sz w:val="24"/>
          <w:szCs w:val="24"/>
          <w:u w:val="single"/>
        </w:rPr>
        <w:t>Critical RED Analysis of Segmentation</w:t>
      </w:r>
    </w:p>
    <w:tbl>
      <w:tblPr>
        <w:tblStyle w:val="TableGrid"/>
        <w:tblW w:w="0" w:type="auto"/>
        <w:tblLook w:val="04A0" w:firstRow="1" w:lastRow="0" w:firstColumn="1" w:lastColumn="0" w:noHBand="0" w:noVBand="1"/>
      </w:tblPr>
      <w:tblGrid>
        <w:gridCol w:w="3005"/>
        <w:gridCol w:w="3005"/>
        <w:gridCol w:w="3006"/>
      </w:tblGrid>
      <w:tr w:rsidR="000D1D97" w:rsidRPr="00E9304C" w14:paraId="62B3BBBA" w14:textId="77777777" w:rsidTr="009F7401">
        <w:tc>
          <w:tcPr>
            <w:tcW w:w="3005" w:type="dxa"/>
            <w:vAlign w:val="center"/>
          </w:tcPr>
          <w:p w14:paraId="306DA4CC"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RED Stage</w:t>
            </w:r>
          </w:p>
        </w:tc>
        <w:tc>
          <w:tcPr>
            <w:tcW w:w="3005" w:type="dxa"/>
            <w:vAlign w:val="center"/>
          </w:tcPr>
          <w:p w14:paraId="7958035B"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Segmentation Insight</w:t>
            </w:r>
          </w:p>
        </w:tc>
        <w:tc>
          <w:tcPr>
            <w:tcW w:w="3006" w:type="dxa"/>
            <w:vAlign w:val="center"/>
          </w:tcPr>
          <w:p w14:paraId="4085A911"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Critical Conclusion</w:t>
            </w:r>
          </w:p>
        </w:tc>
      </w:tr>
      <w:tr w:rsidR="000D1D97" w:rsidRPr="00E9304C" w14:paraId="062009B1" w14:textId="77777777" w:rsidTr="009F7401">
        <w:tc>
          <w:tcPr>
            <w:tcW w:w="3005" w:type="dxa"/>
            <w:vAlign w:val="center"/>
          </w:tcPr>
          <w:p w14:paraId="2435C482"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Recognise Assumptions</w:t>
            </w:r>
          </w:p>
        </w:tc>
        <w:tc>
          <w:tcPr>
            <w:tcW w:w="3005" w:type="dxa"/>
            <w:vAlign w:val="center"/>
          </w:tcPr>
          <w:p w14:paraId="3DC08552"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“All customers want the same information.”</w:t>
            </w:r>
          </w:p>
        </w:tc>
        <w:tc>
          <w:tcPr>
            <w:tcW w:w="3006" w:type="dxa"/>
            <w:vAlign w:val="center"/>
          </w:tcPr>
          <w:p w14:paraId="1DC76951"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Each group has distinct emotional, functional, and regulatory needs.</w:t>
            </w:r>
          </w:p>
        </w:tc>
      </w:tr>
      <w:tr w:rsidR="000D1D97" w:rsidRPr="00E9304C" w14:paraId="5AC5B32E" w14:textId="77777777" w:rsidTr="009F7401">
        <w:tc>
          <w:tcPr>
            <w:tcW w:w="3005" w:type="dxa"/>
            <w:vAlign w:val="center"/>
          </w:tcPr>
          <w:p w14:paraId="162086CC"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Evaluate Evidence</w:t>
            </w:r>
          </w:p>
        </w:tc>
        <w:tc>
          <w:tcPr>
            <w:tcW w:w="3005" w:type="dxa"/>
            <w:vAlign w:val="center"/>
          </w:tcPr>
          <w:p w14:paraId="78DFFC20"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CIW reports, family feedback, commissioner KPIs, resident voice.</w:t>
            </w:r>
          </w:p>
        </w:tc>
        <w:tc>
          <w:tcPr>
            <w:tcW w:w="3006" w:type="dxa"/>
            <w:vAlign w:val="center"/>
          </w:tcPr>
          <w:p w14:paraId="43D8446C"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Evidence shows differing expectations and communication gaps.</w:t>
            </w:r>
          </w:p>
        </w:tc>
      </w:tr>
      <w:tr w:rsidR="000D1D97" w:rsidRPr="00E9304C" w14:paraId="53CA235F" w14:textId="77777777" w:rsidTr="009F7401">
        <w:tc>
          <w:tcPr>
            <w:tcW w:w="3005" w:type="dxa"/>
            <w:vAlign w:val="center"/>
          </w:tcPr>
          <w:p w14:paraId="6D77E4A5"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Draw Conclusions</w:t>
            </w:r>
          </w:p>
        </w:tc>
        <w:tc>
          <w:tcPr>
            <w:tcW w:w="3005" w:type="dxa"/>
            <w:vAlign w:val="center"/>
          </w:tcPr>
          <w:p w14:paraId="2B8B6E3A"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Segmentation must be applied consistently to maximise value.</w:t>
            </w:r>
          </w:p>
        </w:tc>
        <w:tc>
          <w:tcPr>
            <w:tcW w:w="3006" w:type="dxa"/>
            <w:vAlign w:val="center"/>
          </w:tcPr>
          <w:p w14:paraId="1F106A49"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Customer centrality increases emotional safety, trust, and placement stability.</w:t>
            </w:r>
          </w:p>
        </w:tc>
      </w:tr>
    </w:tbl>
    <w:p w14:paraId="0564503C" w14:textId="77777777" w:rsidR="00C23443" w:rsidRPr="00E9304C" w:rsidRDefault="00C23443" w:rsidP="00C23443">
      <w:pPr>
        <w:rPr>
          <w:rFonts w:ascii="Tahoma" w:hAnsi="Tahoma" w:cs="Tahoma"/>
          <w:b/>
          <w:bCs/>
          <w:sz w:val="24"/>
          <w:szCs w:val="24"/>
        </w:rPr>
      </w:pPr>
    </w:p>
    <w:p w14:paraId="7466D1FB" w14:textId="77777777" w:rsidR="00C23443" w:rsidRPr="00E9304C" w:rsidRDefault="00C23443" w:rsidP="00C23443">
      <w:pPr>
        <w:rPr>
          <w:rFonts w:ascii="Tahoma" w:hAnsi="Tahoma" w:cs="Tahoma"/>
          <w:b/>
          <w:bCs/>
          <w:sz w:val="24"/>
          <w:szCs w:val="24"/>
        </w:rPr>
      </w:pPr>
    </w:p>
    <w:p w14:paraId="21CD5707" w14:textId="77777777" w:rsidR="000D1D97" w:rsidRDefault="000D1D97" w:rsidP="00C23443">
      <w:pPr>
        <w:rPr>
          <w:rFonts w:ascii="Tahoma" w:hAnsi="Tahoma" w:cs="Tahoma"/>
          <w:b/>
          <w:bCs/>
          <w:sz w:val="24"/>
          <w:szCs w:val="24"/>
        </w:rPr>
      </w:pPr>
    </w:p>
    <w:p w14:paraId="11D99345" w14:textId="462202AC"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Appendix: C Quality Systems Summary Table</w:t>
      </w:r>
    </w:p>
    <w:p w14:paraId="62F38146" w14:textId="77777777" w:rsidR="00C23443" w:rsidRPr="00E9304C" w:rsidRDefault="00C23443" w:rsidP="00C23443">
      <w:pPr>
        <w:rPr>
          <w:rFonts w:ascii="Tahoma" w:hAnsi="Tahoma" w:cs="Tahoma"/>
          <w:sz w:val="24"/>
          <w:szCs w:val="24"/>
        </w:rPr>
      </w:pPr>
      <w:r w:rsidRPr="00E9304C">
        <w:rPr>
          <w:rFonts w:ascii="Tahoma" w:hAnsi="Tahoma" w:cs="Tahoma"/>
          <w:sz w:val="24"/>
          <w:szCs w:val="24"/>
        </w:rPr>
        <w:t>Quality systems are the structured processes, tools, and governance mechanisms organisations use to ensure safety, consistency, regulatory compliance, and continuous improvement. In residential mental</w:t>
      </w:r>
      <w:r w:rsidRPr="00E9304C">
        <w:rPr>
          <w:rFonts w:ascii="Tahoma" w:hAnsi="Tahoma" w:cs="Tahoma"/>
          <w:sz w:val="24"/>
          <w:szCs w:val="24"/>
        </w:rPr>
        <w:noBreakHyphen/>
        <w:t>health care, quality systems protect residents’ emotional, psychological, and functional wellbeing by ensuring that practice is predictable, safe, and person</w:t>
      </w:r>
      <w:r w:rsidRPr="00E9304C">
        <w:rPr>
          <w:rFonts w:ascii="Tahoma" w:hAnsi="Tahoma" w:cs="Tahoma"/>
          <w:sz w:val="24"/>
          <w:szCs w:val="24"/>
        </w:rPr>
        <w:noBreakHyphen/>
        <w:t>centred.</w:t>
      </w:r>
    </w:p>
    <w:p w14:paraId="32B35803" w14:textId="77777777" w:rsidR="00C23443" w:rsidRPr="00E9304C" w:rsidRDefault="00C23443" w:rsidP="00C23443">
      <w:pPr>
        <w:rPr>
          <w:rFonts w:ascii="Tahoma" w:hAnsi="Tahoma" w:cs="Tahoma"/>
          <w:b/>
          <w:bCs/>
          <w:sz w:val="24"/>
          <w:szCs w:val="24"/>
        </w:rPr>
      </w:pPr>
      <w:r w:rsidRPr="00E9304C">
        <w:rPr>
          <w:rFonts w:ascii="Tahoma" w:hAnsi="Tahoma" w:cs="Tahoma"/>
          <w:sz w:val="24"/>
          <w:szCs w:val="24"/>
        </w:rPr>
        <w:t>Quality systems are not just paperwork — they are the operational backbone that ensures trauma-informed, PBS</w:t>
      </w:r>
      <w:r w:rsidRPr="00E9304C">
        <w:rPr>
          <w:rFonts w:ascii="Tahoma" w:hAnsi="Tahoma" w:cs="Tahoma"/>
          <w:sz w:val="24"/>
          <w:szCs w:val="24"/>
        </w:rPr>
        <w:noBreakHyphen/>
        <w:t>based care is delivered consistently across staff teams</w:t>
      </w:r>
      <w:r w:rsidRPr="00E9304C">
        <w:rPr>
          <w:rFonts w:ascii="Tahoma" w:hAnsi="Tahoma" w:cs="Tahoma"/>
          <w:b/>
          <w:bCs/>
          <w:sz w:val="24"/>
          <w:szCs w:val="24"/>
        </w:rPr>
        <w:t>.</w:t>
      </w:r>
    </w:p>
    <w:p w14:paraId="25442F0D" w14:textId="77777777" w:rsidR="00C23443" w:rsidRPr="00E9304C" w:rsidRDefault="00C23443" w:rsidP="00C23443">
      <w:pPr>
        <w:rPr>
          <w:rFonts w:ascii="Tahoma" w:hAnsi="Tahoma" w:cs="Tahoma"/>
          <w:b/>
          <w:bCs/>
          <w:sz w:val="24"/>
          <w:szCs w:val="24"/>
        </w:rPr>
      </w:pPr>
      <w:r w:rsidRPr="00E9304C">
        <w:rPr>
          <w:rFonts w:ascii="Tahoma" w:hAnsi="Tahoma" w:cs="Tahoma"/>
          <w:b/>
          <w:bCs/>
          <w:noProof/>
          <w:sz w:val="24"/>
          <w:szCs w:val="24"/>
        </w:rPr>
        <w:drawing>
          <wp:anchor distT="0" distB="0" distL="114300" distR="114300" simplePos="0" relativeHeight="251658752" behindDoc="0" locked="0" layoutInCell="1" allowOverlap="1" wp14:anchorId="75C8B74A" wp14:editId="302C8DF7">
            <wp:simplePos x="914400" y="4391025"/>
            <wp:positionH relativeFrom="column">
              <wp:align>left</wp:align>
            </wp:positionH>
            <wp:positionV relativeFrom="paragraph">
              <wp:align>top</wp:align>
            </wp:positionV>
            <wp:extent cx="9525" cy="9525"/>
            <wp:effectExtent l="0" t="0" r="0" b="0"/>
            <wp:wrapSquare wrapText="bothSides"/>
            <wp:docPr id="14077694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anchor>
        </w:drawing>
      </w:r>
      <w:r w:rsidRPr="00E9304C">
        <w:rPr>
          <w:rFonts w:ascii="Tahoma" w:hAnsi="Tahoma" w:cs="Tahoma"/>
          <w:b/>
          <w:bCs/>
          <w:sz w:val="24"/>
          <w:szCs w:val="24"/>
        </w:rPr>
        <w:br w:type="textWrapping" w:clear="all"/>
      </w:r>
      <w:r w:rsidRPr="00E9304C">
        <w:rPr>
          <w:rFonts w:ascii="Tahoma" w:hAnsi="Tahoma" w:cs="Tahoma"/>
          <w:b/>
          <w:bCs/>
          <w:sz w:val="24"/>
          <w:szCs w:val="24"/>
          <w:u w:val="single"/>
        </w:rPr>
        <w:t xml:space="preserve">Quality System Table </w:t>
      </w:r>
    </w:p>
    <w:tbl>
      <w:tblPr>
        <w:tblStyle w:val="TableGrid"/>
        <w:tblW w:w="0" w:type="auto"/>
        <w:tblLook w:val="04A0" w:firstRow="1" w:lastRow="0" w:firstColumn="1" w:lastColumn="0" w:noHBand="0" w:noVBand="1"/>
      </w:tblPr>
      <w:tblGrid>
        <w:gridCol w:w="2254"/>
        <w:gridCol w:w="2254"/>
        <w:gridCol w:w="2254"/>
        <w:gridCol w:w="2254"/>
      </w:tblGrid>
      <w:tr w:rsidR="00C23443" w:rsidRPr="00E9304C" w14:paraId="334E3CA9" w14:textId="77777777" w:rsidTr="00130D10">
        <w:tc>
          <w:tcPr>
            <w:tcW w:w="2254" w:type="dxa"/>
            <w:vAlign w:val="center"/>
          </w:tcPr>
          <w:p w14:paraId="43CDD5E5" w14:textId="77777777" w:rsidR="00C23443" w:rsidRPr="005B3930" w:rsidRDefault="00C23443" w:rsidP="00130D10">
            <w:pPr>
              <w:rPr>
                <w:rFonts w:ascii="Tahoma" w:hAnsi="Tahoma" w:cs="Tahoma"/>
                <w:sz w:val="24"/>
                <w:szCs w:val="24"/>
              </w:rPr>
            </w:pPr>
            <w:r w:rsidRPr="005B3930">
              <w:rPr>
                <w:rFonts w:ascii="Tahoma" w:hAnsi="Tahoma" w:cs="Tahoma"/>
                <w:sz w:val="24"/>
                <w:szCs w:val="24"/>
              </w:rPr>
              <w:t>Quality System</w:t>
            </w:r>
          </w:p>
        </w:tc>
        <w:tc>
          <w:tcPr>
            <w:tcW w:w="2254" w:type="dxa"/>
            <w:vAlign w:val="center"/>
          </w:tcPr>
          <w:p w14:paraId="4A9399AB" w14:textId="77777777" w:rsidR="00C23443" w:rsidRPr="005B3930" w:rsidRDefault="00C23443" w:rsidP="00130D10">
            <w:pPr>
              <w:rPr>
                <w:rFonts w:ascii="Tahoma" w:hAnsi="Tahoma" w:cs="Tahoma"/>
                <w:sz w:val="24"/>
                <w:szCs w:val="24"/>
              </w:rPr>
            </w:pPr>
            <w:r w:rsidRPr="005B3930">
              <w:rPr>
                <w:rFonts w:ascii="Tahoma" w:hAnsi="Tahoma" w:cs="Tahoma"/>
                <w:sz w:val="24"/>
                <w:szCs w:val="24"/>
              </w:rPr>
              <w:t>Purpose</w:t>
            </w:r>
          </w:p>
        </w:tc>
        <w:tc>
          <w:tcPr>
            <w:tcW w:w="2254" w:type="dxa"/>
            <w:vAlign w:val="center"/>
          </w:tcPr>
          <w:p w14:paraId="1B7B090B" w14:textId="77777777" w:rsidR="00C23443" w:rsidRPr="005B3930" w:rsidRDefault="00C23443" w:rsidP="00130D10">
            <w:pPr>
              <w:rPr>
                <w:rFonts w:ascii="Tahoma" w:hAnsi="Tahoma" w:cs="Tahoma"/>
                <w:sz w:val="24"/>
                <w:szCs w:val="24"/>
              </w:rPr>
            </w:pPr>
            <w:r w:rsidRPr="005B3930">
              <w:rPr>
                <w:rFonts w:ascii="Tahoma" w:hAnsi="Tahoma" w:cs="Tahoma"/>
                <w:sz w:val="24"/>
                <w:szCs w:val="24"/>
              </w:rPr>
              <w:t>How It Works</w:t>
            </w:r>
          </w:p>
        </w:tc>
        <w:tc>
          <w:tcPr>
            <w:tcW w:w="2254" w:type="dxa"/>
            <w:vAlign w:val="center"/>
          </w:tcPr>
          <w:p w14:paraId="5A16AF41"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Effectiveness</w:t>
            </w:r>
          </w:p>
        </w:tc>
      </w:tr>
      <w:tr w:rsidR="00C23443" w:rsidRPr="00E9304C" w14:paraId="4BD2D49B" w14:textId="77777777" w:rsidTr="00130D10">
        <w:tc>
          <w:tcPr>
            <w:tcW w:w="2254" w:type="dxa"/>
            <w:vAlign w:val="center"/>
          </w:tcPr>
          <w:p w14:paraId="5B79F663" w14:textId="77777777" w:rsidR="00C23443" w:rsidRPr="005B3930" w:rsidRDefault="00C23443" w:rsidP="00130D10">
            <w:pPr>
              <w:rPr>
                <w:rFonts w:ascii="Tahoma" w:hAnsi="Tahoma" w:cs="Tahoma"/>
                <w:sz w:val="24"/>
                <w:szCs w:val="24"/>
              </w:rPr>
            </w:pPr>
            <w:r w:rsidRPr="005B3930">
              <w:rPr>
                <w:rFonts w:ascii="Tahoma" w:hAnsi="Tahoma" w:cs="Tahoma"/>
                <w:sz w:val="24"/>
                <w:szCs w:val="24"/>
              </w:rPr>
              <w:t>Regulatory Compliance</w:t>
            </w:r>
          </w:p>
        </w:tc>
        <w:tc>
          <w:tcPr>
            <w:tcW w:w="2254" w:type="dxa"/>
            <w:vAlign w:val="center"/>
          </w:tcPr>
          <w:p w14:paraId="70EE0961" w14:textId="77777777" w:rsidR="00C23443" w:rsidRPr="005B3930" w:rsidRDefault="00C23443" w:rsidP="00130D10">
            <w:pPr>
              <w:rPr>
                <w:rFonts w:ascii="Tahoma" w:hAnsi="Tahoma" w:cs="Tahoma"/>
                <w:sz w:val="24"/>
                <w:szCs w:val="24"/>
              </w:rPr>
            </w:pPr>
            <w:r w:rsidRPr="005B3930">
              <w:rPr>
                <w:rFonts w:ascii="Tahoma" w:hAnsi="Tahoma" w:cs="Tahoma"/>
                <w:sz w:val="24"/>
                <w:szCs w:val="24"/>
              </w:rPr>
              <w:t>Ensures safety, governance, and legal adherence</w:t>
            </w:r>
          </w:p>
        </w:tc>
        <w:tc>
          <w:tcPr>
            <w:tcW w:w="2254" w:type="dxa"/>
            <w:vAlign w:val="center"/>
          </w:tcPr>
          <w:p w14:paraId="76EAD123" w14:textId="77777777" w:rsidR="00C23443" w:rsidRPr="005B3930" w:rsidRDefault="00C23443" w:rsidP="00130D10">
            <w:pPr>
              <w:rPr>
                <w:rFonts w:ascii="Tahoma" w:hAnsi="Tahoma" w:cs="Tahoma"/>
                <w:sz w:val="24"/>
                <w:szCs w:val="24"/>
              </w:rPr>
            </w:pPr>
            <w:r w:rsidRPr="005B3930">
              <w:rPr>
                <w:rFonts w:ascii="Tahoma" w:hAnsi="Tahoma" w:cs="Tahoma"/>
                <w:sz w:val="24"/>
                <w:szCs w:val="24"/>
              </w:rPr>
              <w:t>CIW inspections, safeguarding procedures, GDPR, H&amp;S checks</w:t>
            </w:r>
          </w:p>
        </w:tc>
        <w:tc>
          <w:tcPr>
            <w:tcW w:w="2254" w:type="dxa"/>
            <w:vAlign w:val="center"/>
          </w:tcPr>
          <w:p w14:paraId="29661225"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functional reliability; strong external assurance</w:t>
            </w:r>
          </w:p>
        </w:tc>
      </w:tr>
      <w:tr w:rsidR="00C23443" w:rsidRPr="00E9304C" w14:paraId="225DB9DC" w14:textId="77777777" w:rsidTr="00130D10">
        <w:tc>
          <w:tcPr>
            <w:tcW w:w="2254" w:type="dxa"/>
            <w:vAlign w:val="center"/>
          </w:tcPr>
          <w:p w14:paraId="72331CDE" w14:textId="77777777" w:rsidR="00C23443" w:rsidRPr="005B3930" w:rsidRDefault="00C23443" w:rsidP="00130D10">
            <w:pPr>
              <w:rPr>
                <w:rFonts w:ascii="Tahoma" w:hAnsi="Tahoma" w:cs="Tahoma"/>
                <w:sz w:val="24"/>
                <w:szCs w:val="24"/>
              </w:rPr>
            </w:pPr>
            <w:r w:rsidRPr="005B3930">
              <w:rPr>
                <w:rFonts w:ascii="Tahoma" w:hAnsi="Tahoma" w:cs="Tahoma"/>
                <w:sz w:val="24"/>
                <w:szCs w:val="24"/>
              </w:rPr>
              <w:t>Internal Audits</w:t>
            </w:r>
          </w:p>
        </w:tc>
        <w:tc>
          <w:tcPr>
            <w:tcW w:w="2254" w:type="dxa"/>
            <w:vAlign w:val="center"/>
          </w:tcPr>
          <w:p w14:paraId="2DE75355" w14:textId="77777777" w:rsidR="00C23443" w:rsidRPr="005B3930" w:rsidRDefault="00C23443" w:rsidP="00130D10">
            <w:pPr>
              <w:rPr>
                <w:rFonts w:ascii="Tahoma" w:hAnsi="Tahoma" w:cs="Tahoma"/>
                <w:sz w:val="24"/>
                <w:szCs w:val="24"/>
              </w:rPr>
            </w:pPr>
            <w:r w:rsidRPr="005B3930">
              <w:rPr>
                <w:rFonts w:ascii="Tahoma" w:hAnsi="Tahoma" w:cs="Tahoma"/>
                <w:sz w:val="24"/>
                <w:szCs w:val="24"/>
              </w:rPr>
              <w:t>Monitors accuracy, consistency, and documentation quality</w:t>
            </w:r>
          </w:p>
        </w:tc>
        <w:tc>
          <w:tcPr>
            <w:tcW w:w="2254" w:type="dxa"/>
            <w:vAlign w:val="center"/>
          </w:tcPr>
          <w:p w14:paraId="1E749FE6" w14:textId="77777777" w:rsidR="00C23443" w:rsidRPr="005B3930" w:rsidRDefault="00C23443" w:rsidP="00130D10">
            <w:pPr>
              <w:rPr>
                <w:rFonts w:ascii="Tahoma" w:hAnsi="Tahoma" w:cs="Tahoma"/>
                <w:sz w:val="24"/>
                <w:szCs w:val="24"/>
              </w:rPr>
            </w:pPr>
            <w:r w:rsidRPr="005B3930">
              <w:rPr>
                <w:rFonts w:ascii="Tahoma" w:hAnsi="Tahoma" w:cs="Tahoma"/>
                <w:sz w:val="24"/>
                <w:szCs w:val="24"/>
              </w:rPr>
              <w:t>Scheduled audits of care plans, MAR charts, handovers, risk assessments</w:t>
            </w:r>
          </w:p>
        </w:tc>
        <w:tc>
          <w:tcPr>
            <w:tcW w:w="2254" w:type="dxa"/>
            <w:vAlign w:val="center"/>
          </w:tcPr>
          <w:p w14:paraId="7B2700FC"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 when staffing stable; weaker when rushed</w:t>
            </w:r>
          </w:p>
        </w:tc>
      </w:tr>
      <w:tr w:rsidR="00C23443" w:rsidRPr="00E9304C" w14:paraId="0A0F116E" w14:textId="77777777" w:rsidTr="00130D10">
        <w:tc>
          <w:tcPr>
            <w:tcW w:w="2254" w:type="dxa"/>
            <w:vAlign w:val="center"/>
          </w:tcPr>
          <w:p w14:paraId="00AFFF92" w14:textId="77777777" w:rsidR="00C23443" w:rsidRPr="005B3930" w:rsidRDefault="00C23443" w:rsidP="00130D10">
            <w:pPr>
              <w:rPr>
                <w:rFonts w:ascii="Tahoma" w:hAnsi="Tahoma" w:cs="Tahoma"/>
                <w:sz w:val="24"/>
                <w:szCs w:val="24"/>
              </w:rPr>
            </w:pPr>
            <w:r w:rsidRPr="005B3930">
              <w:rPr>
                <w:rFonts w:ascii="Tahoma" w:hAnsi="Tahoma" w:cs="Tahoma"/>
                <w:sz w:val="24"/>
                <w:szCs w:val="24"/>
              </w:rPr>
              <w:t>Risk Assessment Systems</w:t>
            </w:r>
          </w:p>
        </w:tc>
        <w:tc>
          <w:tcPr>
            <w:tcW w:w="2254" w:type="dxa"/>
            <w:vAlign w:val="center"/>
          </w:tcPr>
          <w:p w14:paraId="7AEC44EC" w14:textId="77777777" w:rsidR="00C23443" w:rsidRPr="005B3930" w:rsidRDefault="00C23443" w:rsidP="00130D10">
            <w:pPr>
              <w:rPr>
                <w:rFonts w:ascii="Tahoma" w:hAnsi="Tahoma" w:cs="Tahoma"/>
                <w:sz w:val="24"/>
                <w:szCs w:val="24"/>
              </w:rPr>
            </w:pPr>
            <w:r w:rsidRPr="005B3930">
              <w:rPr>
                <w:rFonts w:ascii="Tahoma" w:hAnsi="Tahoma" w:cs="Tahoma"/>
                <w:sz w:val="24"/>
                <w:szCs w:val="24"/>
              </w:rPr>
              <w:t>Identifies triggers, vulnerabilities, and required controls</w:t>
            </w:r>
          </w:p>
        </w:tc>
        <w:tc>
          <w:tcPr>
            <w:tcW w:w="2254" w:type="dxa"/>
            <w:vAlign w:val="center"/>
          </w:tcPr>
          <w:p w14:paraId="551D1D7A" w14:textId="77777777" w:rsidR="00C23443" w:rsidRPr="005B3930" w:rsidRDefault="00C23443" w:rsidP="00130D10">
            <w:pPr>
              <w:rPr>
                <w:rFonts w:ascii="Tahoma" w:hAnsi="Tahoma" w:cs="Tahoma"/>
                <w:sz w:val="24"/>
                <w:szCs w:val="24"/>
              </w:rPr>
            </w:pPr>
            <w:r w:rsidRPr="005B3930">
              <w:rPr>
                <w:rFonts w:ascii="Tahoma" w:hAnsi="Tahoma" w:cs="Tahoma"/>
                <w:sz w:val="24"/>
                <w:szCs w:val="24"/>
              </w:rPr>
              <w:t>Dynamic risk assessments, MDT input, daily reviews</w:t>
            </w:r>
          </w:p>
        </w:tc>
        <w:tc>
          <w:tcPr>
            <w:tcW w:w="2254" w:type="dxa"/>
            <w:vAlign w:val="center"/>
          </w:tcPr>
          <w:p w14:paraId="5900AD8E" w14:textId="77777777" w:rsidR="00C23443" w:rsidRPr="005B3930" w:rsidRDefault="00C23443" w:rsidP="00130D10">
            <w:pPr>
              <w:rPr>
                <w:rFonts w:ascii="Tahoma" w:hAnsi="Tahoma" w:cs="Tahoma"/>
                <w:sz w:val="24"/>
                <w:szCs w:val="24"/>
              </w:rPr>
            </w:pPr>
            <w:r w:rsidRPr="005B3930">
              <w:rPr>
                <w:rFonts w:ascii="Tahoma" w:hAnsi="Tahoma" w:cs="Tahoma"/>
                <w:sz w:val="24"/>
                <w:szCs w:val="24"/>
              </w:rPr>
              <w:t>Strong when updated consistently; gaps appear when tacit knowledge missing</w:t>
            </w:r>
          </w:p>
        </w:tc>
      </w:tr>
      <w:tr w:rsidR="00C23443" w:rsidRPr="00E9304C" w14:paraId="62DA1FB1" w14:textId="77777777" w:rsidTr="00130D10">
        <w:tc>
          <w:tcPr>
            <w:tcW w:w="2254" w:type="dxa"/>
            <w:vAlign w:val="center"/>
          </w:tcPr>
          <w:p w14:paraId="7F1C7190" w14:textId="77777777" w:rsidR="00C23443" w:rsidRPr="005B3930" w:rsidRDefault="00C23443" w:rsidP="00130D10">
            <w:pPr>
              <w:rPr>
                <w:rFonts w:ascii="Tahoma" w:hAnsi="Tahoma" w:cs="Tahoma"/>
                <w:sz w:val="24"/>
                <w:szCs w:val="24"/>
              </w:rPr>
            </w:pPr>
            <w:r w:rsidRPr="005B3930">
              <w:rPr>
                <w:rFonts w:ascii="Tahoma" w:hAnsi="Tahoma" w:cs="Tahoma"/>
                <w:sz w:val="24"/>
                <w:szCs w:val="24"/>
              </w:rPr>
              <w:t>Incident Reporting &amp; Review</w:t>
            </w:r>
          </w:p>
        </w:tc>
        <w:tc>
          <w:tcPr>
            <w:tcW w:w="2254" w:type="dxa"/>
            <w:vAlign w:val="center"/>
          </w:tcPr>
          <w:p w14:paraId="013DA1E5" w14:textId="77777777" w:rsidR="00C23443" w:rsidRPr="005B3930" w:rsidRDefault="00C23443" w:rsidP="00130D10">
            <w:pPr>
              <w:rPr>
                <w:rFonts w:ascii="Tahoma" w:hAnsi="Tahoma" w:cs="Tahoma"/>
                <w:sz w:val="24"/>
                <w:szCs w:val="24"/>
              </w:rPr>
            </w:pPr>
            <w:r w:rsidRPr="005B3930">
              <w:rPr>
                <w:rFonts w:ascii="Tahoma" w:hAnsi="Tahoma" w:cs="Tahoma"/>
                <w:sz w:val="24"/>
                <w:szCs w:val="24"/>
              </w:rPr>
              <w:t>Supports learning, prevention, and reflective practice</w:t>
            </w:r>
          </w:p>
        </w:tc>
        <w:tc>
          <w:tcPr>
            <w:tcW w:w="2254" w:type="dxa"/>
            <w:vAlign w:val="center"/>
          </w:tcPr>
          <w:p w14:paraId="347875FB" w14:textId="77777777" w:rsidR="00C23443" w:rsidRPr="005B3930" w:rsidRDefault="00C23443" w:rsidP="00130D10">
            <w:pPr>
              <w:rPr>
                <w:rFonts w:ascii="Tahoma" w:hAnsi="Tahoma" w:cs="Tahoma"/>
                <w:sz w:val="24"/>
                <w:szCs w:val="24"/>
              </w:rPr>
            </w:pPr>
            <w:r w:rsidRPr="005B3930">
              <w:rPr>
                <w:rFonts w:ascii="Tahoma" w:hAnsi="Tahoma" w:cs="Tahoma"/>
                <w:sz w:val="24"/>
                <w:szCs w:val="24"/>
              </w:rPr>
              <w:t>ABC charts, debriefs, trend analysis, root</w:t>
            </w:r>
            <w:r w:rsidRPr="005B3930">
              <w:rPr>
                <w:rFonts w:ascii="Tahoma" w:hAnsi="Tahoma" w:cs="Tahoma"/>
                <w:sz w:val="24"/>
                <w:szCs w:val="24"/>
              </w:rPr>
              <w:noBreakHyphen/>
              <w:t>cause reviews</w:t>
            </w:r>
          </w:p>
        </w:tc>
        <w:tc>
          <w:tcPr>
            <w:tcW w:w="2254" w:type="dxa"/>
            <w:vAlign w:val="center"/>
          </w:tcPr>
          <w:p w14:paraId="0C52E2F9"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 but dependent on staff competence and emotional intelligence</w:t>
            </w:r>
          </w:p>
        </w:tc>
      </w:tr>
      <w:tr w:rsidR="00C23443" w:rsidRPr="00E9304C" w14:paraId="7A742B77" w14:textId="77777777" w:rsidTr="00130D10">
        <w:tc>
          <w:tcPr>
            <w:tcW w:w="2254" w:type="dxa"/>
            <w:vAlign w:val="center"/>
          </w:tcPr>
          <w:p w14:paraId="64FEB874" w14:textId="77777777" w:rsidR="00C23443" w:rsidRPr="005B3930" w:rsidRDefault="00C23443" w:rsidP="00130D10">
            <w:pPr>
              <w:rPr>
                <w:rFonts w:ascii="Tahoma" w:hAnsi="Tahoma" w:cs="Tahoma"/>
                <w:sz w:val="24"/>
                <w:szCs w:val="24"/>
              </w:rPr>
            </w:pPr>
            <w:r w:rsidRPr="005B3930">
              <w:rPr>
                <w:rFonts w:ascii="Tahoma" w:hAnsi="Tahoma" w:cs="Tahoma"/>
                <w:sz w:val="24"/>
                <w:szCs w:val="24"/>
              </w:rPr>
              <w:t>PBS Framework</w:t>
            </w:r>
          </w:p>
        </w:tc>
        <w:tc>
          <w:tcPr>
            <w:tcW w:w="2254" w:type="dxa"/>
            <w:vAlign w:val="center"/>
          </w:tcPr>
          <w:p w14:paraId="1AF738EC" w14:textId="77777777" w:rsidR="00C23443" w:rsidRPr="005B3930" w:rsidRDefault="00C23443" w:rsidP="00130D10">
            <w:pPr>
              <w:rPr>
                <w:rFonts w:ascii="Tahoma" w:hAnsi="Tahoma" w:cs="Tahoma"/>
                <w:sz w:val="24"/>
                <w:szCs w:val="24"/>
              </w:rPr>
            </w:pPr>
            <w:r w:rsidRPr="005B3930">
              <w:rPr>
                <w:rFonts w:ascii="Tahoma" w:hAnsi="Tahoma" w:cs="Tahoma"/>
                <w:sz w:val="24"/>
                <w:szCs w:val="24"/>
              </w:rPr>
              <w:t>Provides personalised behavioural support</w:t>
            </w:r>
          </w:p>
        </w:tc>
        <w:tc>
          <w:tcPr>
            <w:tcW w:w="2254" w:type="dxa"/>
            <w:vAlign w:val="center"/>
          </w:tcPr>
          <w:p w14:paraId="194F761A" w14:textId="77777777" w:rsidR="00C23443" w:rsidRPr="005B3930" w:rsidRDefault="00C23443" w:rsidP="00130D10">
            <w:pPr>
              <w:rPr>
                <w:rFonts w:ascii="Tahoma" w:hAnsi="Tahoma" w:cs="Tahoma"/>
                <w:sz w:val="24"/>
                <w:szCs w:val="24"/>
              </w:rPr>
            </w:pPr>
            <w:r w:rsidRPr="005B3930">
              <w:rPr>
                <w:rFonts w:ascii="Tahoma" w:hAnsi="Tahoma" w:cs="Tahoma"/>
                <w:sz w:val="24"/>
                <w:szCs w:val="24"/>
              </w:rPr>
              <w:t>Functional assessments, proactive strategies, co</w:t>
            </w:r>
            <w:r w:rsidRPr="005B3930">
              <w:rPr>
                <w:rFonts w:ascii="Tahoma" w:hAnsi="Tahoma" w:cs="Tahoma"/>
                <w:sz w:val="24"/>
                <w:szCs w:val="24"/>
              </w:rPr>
              <w:noBreakHyphen/>
              <w:t>regulation, MDT collaboration</w:t>
            </w:r>
          </w:p>
        </w:tc>
        <w:tc>
          <w:tcPr>
            <w:tcW w:w="2254" w:type="dxa"/>
            <w:vAlign w:val="center"/>
          </w:tcPr>
          <w:p w14:paraId="1872780C"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emotional value; weakened by inconsistent staff practice</w:t>
            </w:r>
          </w:p>
        </w:tc>
      </w:tr>
      <w:tr w:rsidR="00C23443" w:rsidRPr="00E9304C" w14:paraId="1E73BE9D" w14:textId="77777777" w:rsidTr="00130D10">
        <w:tc>
          <w:tcPr>
            <w:tcW w:w="2254" w:type="dxa"/>
            <w:vAlign w:val="center"/>
          </w:tcPr>
          <w:p w14:paraId="55B45C88" w14:textId="77777777" w:rsidR="00C23443" w:rsidRPr="005B3930" w:rsidRDefault="00C23443" w:rsidP="00130D10">
            <w:pPr>
              <w:rPr>
                <w:rFonts w:ascii="Tahoma" w:hAnsi="Tahoma" w:cs="Tahoma"/>
                <w:sz w:val="24"/>
                <w:szCs w:val="24"/>
              </w:rPr>
            </w:pPr>
            <w:r w:rsidRPr="005B3930">
              <w:rPr>
                <w:rFonts w:ascii="Tahoma" w:hAnsi="Tahoma" w:cs="Tahoma"/>
                <w:sz w:val="24"/>
                <w:szCs w:val="24"/>
              </w:rPr>
              <w:t>Trauma</w:t>
            </w:r>
            <w:r w:rsidRPr="005B3930">
              <w:rPr>
                <w:rFonts w:ascii="Tahoma" w:hAnsi="Tahoma" w:cs="Tahoma"/>
                <w:sz w:val="24"/>
                <w:szCs w:val="24"/>
              </w:rPr>
              <w:noBreakHyphen/>
              <w:t>Informed Practice</w:t>
            </w:r>
          </w:p>
        </w:tc>
        <w:tc>
          <w:tcPr>
            <w:tcW w:w="2254" w:type="dxa"/>
            <w:vAlign w:val="center"/>
          </w:tcPr>
          <w:p w14:paraId="034EA141" w14:textId="77777777" w:rsidR="00C23443" w:rsidRPr="005B3930" w:rsidRDefault="00C23443" w:rsidP="00130D10">
            <w:pPr>
              <w:rPr>
                <w:rFonts w:ascii="Tahoma" w:hAnsi="Tahoma" w:cs="Tahoma"/>
                <w:sz w:val="24"/>
                <w:szCs w:val="24"/>
              </w:rPr>
            </w:pPr>
            <w:r w:rsidRPr="005B3930">
              <w:rPr>
                <w:rFonts w:ascii="Tahoma" w:hAnsi="Tahoma" w:cs="Tahoma"/>
                <w:sz w:val="24"/>
                <w:szCs w:val="24"/>
              </w:rPr>
              <w:t>Ensures emotional safety and relational consistency</w:t>
            </w:r>
          </w:p>
        </w:tc>
        <w:tc>
          <w:tcPr>
            <w:tcW w:w="2254" w:type="dxa"/>
            <w:vAlign w:val="center"/>
          </w:tcPr>
          <w:p w14:paraId="7A8CF7E7" w14:textId="77777777" w:rsidR="00C23443" w:rsidRPr="005B3930" w:rsidRDefault="00C23443" w:rsidP="00130D10">
            <w:pPr>
              <w:rPr>
                <w:rFonts w:ascii="Tahoma" w:hAnsi="Tahoma" w:cs="Tahoma"/>
                <w:sz w:val="24"/>
                <w:szCs w:val="24"/>
              </w:rPr>
            </w:pPr>
            <w:r w:rsidRPr="005B3930">
              <w:rPr>
                <w:rFonts w:ascii="Tahoma" w:hAnsi="Tahoma" w:cs="Tahoma"/>
                <w:sz w:val="24"/>
                <w:szCs w:val="24"/>
              </w:rPr>
              <w:t>Attuned communication, predictable routines, sensory regulation</w:t>
            </w:r>
          </w:p>
        </w:tc>
        <w:tc>
          <w:tcPr>
            <w:tcW w:w="2254" w:type="dxa"/>
            <w:vAlign w:val="center"/>
          </w:tcPr>
          <w:p w14:paraId="0D0F4917" w14:textId="77777777" w:rsidR="00C23443" w:rsidRPr="005B3930" w:rsidRDefault="00C23443" w:rsidP="00130D10">
            <w:pPr>
              <w:rPr>
                <w:rFonts w:ascii="Tahoma" w:hAnsi="Tahoma" w:cs="Tahoma"/>
                <w:sz w:val="24"/>
                <w:szCs w:val="24"/>
              </w:rPr>
            </w:pPr>
            <w:r w:rsidRPr="005B3930">
              <w:rPr>
                <w:rFonts w:ascii="Tahoma" w:hAnsi="Tahoma" w:cs="Tahoma"/>
                <w:sz w:val="24"/>
                <w:szCs w:val="24"/>
              </w:rPr>
              <w:t>Strong when lived consistently; undermined by staffing shortages</w:t>
            </w:r>
          </w:p>
        </w:tc>
      </w:tr>
      <w:tr w:rsidR="00C23443" w:rsidRPr="00E9304C" w14:paraId="5B208792" w14:textId="77777777" w:rsidTr="00130D10">
        <w:tc>
          <w:tcPr>
            <w:tcW w:w="2254" w:type="dxa"/>
            <w:vAlign w:val="center"/>
          </w:tcPr>
          <w:p w14:paraId="59645CE8" w14:textId="77777777" w:rsidR="00C23443" w:rsidRPr="005B3930" w:rsidRDefault="00C23443" w:rsidP="00130D10">
            <w:pPr>
              <w:rPr>
                <w:rFonts w:ascii="Tahoma" w:hAnsi="Tahoma" w:cs="Tahoma"/>
                <w:sz w:val="24"/>
                <w:szCs w:val="24"/>
              </w:rPr>
            </w:pPr>
            <w:r w:rsidRPr="005B3930">
              <w:rPr>
                <w:rFonts w:ascii="Tahoma" w:hAnsi="Tahoma" w:cs="Tahoma"/>
                <w:sz w:val="24"/>
                <w:szCs w:val="24"/>
              </w:rPr>
              <w:lastRenderedPageBreak/>
              <w:t>Supervision &amp; Workforce Development</w:t>
            </w:r>
          </w:p>
        </w:tc>
        <w:tc>
          <w:tcPr>
            <w:tcW w:w="2254" w:type="dxa"/>
            <w:vAlign w:val="center"/>
          </w:tcPr>
          <w:p w14:paraId="7A4D223E" w14:textId="77777777" w:rsidR="00C23443" w:rsidRPr="005B3930" w:rsidRDefault="00C23443" w:rsidP="00130D10">
            <w:pPr>
              <w:rPr>
                <w:rFonts w:ascii="Tahoma" w:hAnsi="Tahoma" w:cs="Tahoma"/>
                <w:sz w:val="24"/>
                <w:szCs w:val="24"/>
              </w:rPr>
            </w:pPr>
            <w:r w:rsidRPr="005B3930">
              <w:rPr>
                <w:rFonts w:ascii="Tahoma" w:hAnsi="Tahoma" w:cs="Tahoma"/>
                <w:sz w:val="24"/>
                <w:szCs w:val="24"/>
              </w:rPr>
              <w:t>Builds competence, reflective practice, and emotional intelligence</w:t>
            </w:r>
          </w:p>
        </w:tc>
        <w:tc>
          <w:tcPr>
            <w:tcW w:w="2254" w:type="dxa"/>
            <w:vAlign w:val="center"/>
          </w:tcPr>
          <w:p w14:paraId="7C27AF4A" w14:textId="77777777" w:rsidR="00C23443" w:rsidRPr="005B3930" w:rsidRDefault="00C23443" w:rsidP="00130D10">
            <w:pPr>
              <w:rPr>
                <w:rFonts w:ascii="Tahoma" w:hAnsi="Tahoma" w:cs="Tahoma"/>
                <w:sz w:val="24"/>
                <w:szCs w:val="24"/>
              </w:rPr>
            </w:pPr>
            <w:r w:rsidRPr="005B3930">
              <w:rPr>
                <w:rFonts w:ascii="Tahoma" w:hAnsi="Tahoma" w:cs="Tahoma"/>
                <w:sz w:val="24"/>
                <w:szCs w:val="24"/>
              </w:rPr>
              <w:t>Supervision cycles, coaching, training compliance monitoring</w:t>
            </w:r>
          </w:p>
        </w:tc>
        <w:tc>
          <w:tcPr>
            <w:tcW w:w="2254" w:type="dxa"/>
            <w:vAlign w:val="center"/>
          </w:tcPr>
          <w:p w14:paraId="197C9303" w14:textId="0305915A" w:rsidR="00C23443" w:rsidRPr="005B3930" w:rsidRDefault="00C23443" w:rsidP="00130D10">
            <w:pPr>
              <w:rPr>
                <w:rFonts w:ascii="Tahoma" w:hAnsi="Tahoma" w:cs="Tahoma"/>
                <w:sz w:val="24"/>
                <w:szCs w:val="24"/>
              </w:rPr>
            </w:pPr>
            <w:r w:rsidRPr="005B3930">
              <w:rPr>
                <w:rFonts w:ascii="Tahoma" w:hAnsi="Tahoma" w:cs="Tahoma"/>
                <w:sz w:val="24"/>
                <w:szCs w:val="24"/>
              </w:rPr>
              <w:t>Training competence; reflective practice essential for effectiveness</w:t>
            </w:r>
          </w:p>
        </w:tc>
      </w:tr>
      <w:tr w:rsidR="00C23443" w:rsidRPr="00E9304C" w14:paraId="0C0E97CE" w14:textId="77777777" w:rsidTr="00130D10">
        <w:tc>
          <w:tcPr>
            <w:tcW w:w="2254" w:type="dxa"/>
            <w:vAlign w:val="center"/>
          </w:tcPr>
          <w:p w14:paraId="09FDCFB3" w14:textId="77777777" w:rsidR="00C23443" w:rsidRPr="005B3930" w:rsidRDefault="00C23443" w:rsidP="00130D10">
            <w:pPr>
              <w:rPr>
                <w:rFonts w:ascii="Tahoma" w:hAnsi="Tahoma" w:cs="Tahoma"/>
                <w:sz w:val="24"/>
                <w:szCs w:val="24"/>
              </w:rPr>
            </w:pPr>
            <w:r w:rsidRPr="005B3930">
              <w:rPr>
                <w:rFonts w:ascii="Tahoma" w:hAnsi="Tahoma" w:cs="Tahoma"/>
                <w:sz w:val="24"/>
                <w:szCs w:val="24"/>
              </w:rPr>
              <w:t>Medication Governance</w:t>
            </w:r>
          </w:p>
        </w:tc>
        <w:tc>
          <w:tcPr>
            <w:tcW w:w="2254" w:type="dxa"/>
            <w:vAlign w:val="center"/>
          </w:tcPr>
          <w:p w14:paraId="6915A977" w14:textId="77777777" w:rsidR="00C23443" w:rsidRPr="005B3930" w:rsidRDefault="00C23443" w:rsidP="00130D10">
            <w:pPr>
              <w:rPr>
                <w:rFonts w:ascii="Tahoma" w:hAnsi="Tahoma" w:cs="Tahoma"/>
                <w:sz w:val="24"/>
                <w:szCs w:val="24"/>
              </w:rPr>
            </w:pPr>
            <w:r w:rsidRPr="005B3930">
              <w:rPr>
                <w:rFonts w:ascii="Tahoma" w:hAnsi="Tahoma" w:cs="Tahoma"/>
                <w:sz w:val="24"/>
                <w:szCs w:val="24"/>
              </w:rPr>
              <w:t>Ensures safe administration and recording</w:t>
            </w:r>
          </w:p>
        </w:tc>
        <w:tc>
          <w:tcPr>
            <w:tcW w:w="2254" w:type="dxa"/>
            <w:vAlign w:val="center"/>
          </w:tcPr>
          <w:p w14:paraId="7F133735" w14:textId="77777777" w:rsidR="00C23443" w:rsidRPr="005B3930" w:rsidRDefault="00C23443" w:rsidP="00130D10">
            <w:pPr>
              <w:rPr>
                <w:rFonts w:ascii="Tahoma" w:hAnsi="Tahoma" w:cs="Tahoma"/>
                <w:sz w:val="24"/>
                <w:szCs w:val="24"/>
              </w:rPr>
            </w:pPr>
            <w:r w:rsidRPr="005B3930">
              <w:rPr>
                <w:rFonts w:ascii="Tahoma" w:hAnsi="Tahoma" w:cs="Tahoma"/>
                <w:sz w:val="24"/>
                <w:szCs w:val="24"/>
              </w:rPr>
              <w:t>MAR audits, competency checks, error reviews</w:t>
            </w:r>
          </w:p>
        </w:tc>
        <w:tc>
          <w:tcPr>
            <w:tcW w:w="2254" w:type="dxa"/>
            <w:vAlign w:val="center"/>
          </w:tcPr>
          <w:p w14:paraId="1F39EB8F"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functional reliability; errors increase under pressure</w:t>
            </w:r>
          </w:p>
        </w:tc>
      </w:tr>
      <w:tr w:rsidR="00C23443" w:rsidRPr="00E9304C" w14:paraId="60D070B9" w14:textId="77777777" w:rsidTr="00130D10">
        <w:tc>
          <w:tcPr>
            <w:tcW w:w="2254" w:type="dxa"/>
            <w:vAlign w:val="center"/>
          </w:tcPr>
          <w:p w14:paraId="26E27EEC" w14:textId="77777777" w:rsidR="00C23443" w:rsidRPr="005B3930" w:rsidRDefault="00C23443" w:rsidP="00130D10">
            <w:pPr>
              <w:rPr>
                <w:rFonts w:ascii="Tahoma" w:hAnsi="Tahoma" w:cs="Tahoma"/>
                <w:sz w:val="24"/>
                <w:szCs w:val="24"/>
              </w:rPr>
            </w:pPr>
            <w:r w:rsidRPr="005B3930">
              <w:rPr>
                <w:rFonts w:ascii="Tahoma" w:hAnsi="Tahoma" w:cs="Tahoma"/>
                <w:sz w:val="24"/>
                <w:szCs w:val="24"/>
              </w:rPr>
              <w:t>Resident Voice Systems</w:t>
            </w:r>
          </w:p>
        </w:tc>
        <w:tc>
          <w:tcPr>
            <w:tcW w:w="2254" w:type="dxa"/>
            <w:vAlign w:val="center"/>
          </w:tcPr>
          <w:p w14:paraId="5A2BE957" w14:textId="77777777" w:rsidR="00C23443" w:rsidRPr="005B3930" w:rsidRDefault="00C23443" w:rsidP="00130D10">
            <w:pPr>
              <w:rPr>
                <w:rFonts w:ascii="Tahoma" w:hAnsi="Tahoma" w:cs="Tahoma"/>
                <w:sz w:val="24"/>
                <w:szCs w:val="24"/>
              </w:rPr>
            </w:pPr>
            <w:r w:rsidRPr="005B3930">
              <w:rPr>
                <w:rFonts w:ascii="Tahoma" w:hAnsi="Tahoma" w:cs="Tahoma"/>
                <w:sz w:val="24"/>
                <w:szCs w:val="24"/>
              </w:rPr>
              <w:t>Captures lived experience and promotes autonomy</w:t>
            </w:r>
          </w:p>
        </w:tc>
        <w:tc>
          <w:tcPr>
            <w:tcW w:w="2254" w:type="dxa"/>
            <w:vAlign w:val="center"/>
          </w:tcPr>
          <w:p w14:paraId="61A3A4FE" w14:textId="77777777" w:rsidR="00C23443" w:rsidRPr="005B3930" w:rsidRDefault="00C23443" w:rsidP="00130D10">
            <w:pPr>
              <w:rPr>
                <w:rFonts w:ascii="Tahoma" w:hAnsi="Tahoma" w:cs="Tahoma"/>
                <w:sz w:val="24"/>
                <w:szCs w:val="24"/>
              </w:rPr>
            </w:pPr>
            <w:r w:rsidRPr="005B3930">
              <w:rPr>
                <w:rFonts w:ascii="Tahoma" w:hAnsi="Tahoma" w:cs="Tahoma"/>
                <w:sz w:val="24"/>
                <w:szCs w:val="24"/>
              </w:rPr>
              <w:t>Surveys, meetings, involvement in planning</w:t>
            </w:r>
          </w:p>
        </w:tc>
        <w:tc>
          <w:tcPr>
            <w:tcW w:w="2254" w:type="dxa"/>
            <w:vAlign w:val="center"/>
          </w:tcPr>
          <w:p w14:paraId="5DFD7DD0"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emotional value; requires consistent follow</w:t>
            </w:r>
            <w:r w:rsidRPr="005B3930">
              <w:rPr>
                <w:rFonts w:ascii="Tahoma" w:hAnsi="Tahoma" w:cs="Tahoma"/>
                <w:sz w:val="24"/>
                <w:szCs w:val="24"/>
              </w:rPr>
              <w:noBreakHyphen/>
              <w:t>through</w:t>
            </w:r>
          </w:p>
        </w:tc>
      </w:tr>
      <w:tr w:rsidR="00C23443" w:rsidRPr="00E9304C" w14:paraId="04CCC856" w14:textId="77777777" w:rsidTr="00130D10">
        <w:tc>
          <w:tcPr>
            <w:tcW w:w="2254" w:type="dxa"/>
            <w:vAlign w:val="center"/>
          </w:tcPr>
          <w:p w14:paraId="37815315" w14:textId="77777777" w:rsidR="00C23443" w:rsidRPr="005B3930" w:rsidRDefault="00C23443" w:rsidP="00130D10">
            <w:pPr>
              <w:rPr>
                <w:rFonts w:ascii="Tahoma" w:hAnsi="Tahoma" w:cs="Tahoma"/>
                <w:sz w:val="24"/>
                <w:szCs w:val="24"/>
              </w:rPr>
            </w:pPr>
            <w:r w:rsidRPr="005B3930">
              <w:rPr>
                <w:rFonts w:ascii="Tahoma" w:hAnsi="Tahoma" w:cs="Tahoma"/>
                <w:sz w:val="24"/>
                <w:szCs w:val="24"/>
              </w:rPr>
              <w:t>Family Engagement</w:t>
            </w:r>
          </w:p>
        </w:tc>
        <w:tc>
          <w:tcPr>
            <w:tcW w:w="2254" w:type="dxa"/>
            <w:vAlign w:val="center"/>
          </w:tcPr>
          <w:p w14:paraId="775D195A" w14:textId="77777777" w:rsidR="00C23443" w:rsidRPr="005B3930" w:rsidRDefault="00C23443" w:rsidP="00130D10">
            <w:pPr>
              <w:rPr>
                <w:rFonts w:ascii="Tahoma" w:hAnsi="Tahoma" w:cs="Tahoma"/>
                <w:sz w:val="24"/>
                <w:szCs w:val="24"/>
              </w:rPr>
            </w:pPr>
            <w:r w:rsidRPr="005B3930">
              <w:rPr>
                <w:rFonts w:ascii="Tahoma" w:hAnsi="Tahoma" w:cs="Tahoma"/>
                <w:sz w:val="24"/>
                <w:szCs w:val="24"/>
              </w:rPr>
              <w:t>Builds trust, transparency, and reassurance</w:t>
            </w:r>
          </w:p>
        </w:tc>
        <w:tc>
          <w:tcPr>
            <w:tcW w:w="2254" w:type="dxa"/>
            <w:vAlign w:val="center"/>
          </w:tcPr>
          <w:p w14:paraId="49A291E6" w14:textId="77777777" w:rsidR="00C23443" w:rsidRPr="005B3930" w:rsidRDefault="00C23443" w:rsidP="00130D10">
            <w:pPr>
              <w:rPr>
                <w:rFonts w:ascii="Tahoma" w:hAnsi="Tahoma" w:cs="Tahoma"/>
                <w:sz w:val="24"/>
                <w:szCs w:val="24"/>
              </w:rPr>
            </w:pPr>
            <w:r w:rsidRPr="005B3930">
              <w:rPr>
                <w:rFonts w:ascii="Tahoma" w:hAnsi="Tahoma" w:cs="Tahoma"/>
                <w:sz w:val="24"/>
                <w:szCs w:val="24"/>
              </w:rPr>
              <w:t>Communication updates, involvement in decisions</w:t>
            </w:r>
          </w:p>
        </w:tc>
        <w:tc>
          <w:tcPr>
            <w:tcW w:w="2254" w:type="dxa"/>
            <w:vAlign w:val="center"/>
          </w:tcPr>
          <w:p w14:paraId="7CC3F64C"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 when communication is predictable and honest</w:t>
            </w:r>
          </w:p>
        </w:tc>
      </w:tr>
      <w:tr w:rsidR="00C23443" w:rsidRPr="00E9304C" w14:paraId="60A28E2A" w14:textId="77777777" w:rsidTr="00130D10">
        <w:tc>
          <w:tcPr>
            <w:tcW w:w="2254" w:type="dxa"/>
            <w:vAlign w:val="center"/>
          </w:tcPr>
          <w:p w14:paraId="3F2E2F22" w14:textId="77777777" w:rsidR="00C23443" w:rsidRPr="005B3930" w:rsidRDefault="00C23443" w:rsidP="00130D10">
            <w:pPr>
              <w:rPr>
                <w:rFonts w:ascii="Tahoma" w:hAnsi="Tahoma" w:cs="Tahoma"/>
                <w:sz w:val="24"/>
                <w:szCs w:val="24"/>
              </w:rPr>
            </w:pPr>
            <w:r w:rsidRPr="005B3930">
              <w:rPr>
                <w:rFonts w:ascii="Tahoma" w:hAnsi="Tahoma" w:cs="Tahoma"/>
                <w:sz w:val="24"/>
                <w:szCs w:val="24"/>
              </w:rPr>
              <w:t>Commissioner Reporting</w:t>
            </w:r>
          </w:p>
        </w:tc>
        <w:tc>
          <w:tcPr>
            <w:tcW w:w="2254" w:type="dxa"/>
            <w:vAlign w:val="center"/>
          </w:tcPr>
          <w:p w14:paraId="69D3056A" w14:textId="77777777" w:rsidR="00C23443" w:rsidRPr="005B3930" w:rsidRDefault="00C23443" w:rsidP="00130D10">
            <w:pPr>
              <w:rPr>
                <w:rFonts w:ascii="Tahoma" w:hAnsi="Tahoma" w:cs="Tahoma"/>
                <w:sz w:val="24"/>
                <w:szCs w:val="24"/>
              </w:rPr>
            </w:pPr>
            <w:r w:rsidRPr="005B3930">
              <w:rPr>
                <w:rFonts w:ascii="Tahoma" w:hAnsi="Tahoma" w:cs="Tahoma"/>
                <w:sz w:val="24"/>
                <w:szCs w:val="24"/>
              </w:rPr>
              <w:t>Demonstrates outcomes, compliance, and value</w:t>
            </w:r>
          </w:p>
        </w:tc>
        <w:tc>
          <w:tcPr>
            <w:tcW w:w="2254" w:type="dxa"/>
            <w:vAlign w:val="center"/>
          </w:tcPr>
          <w:p w14:paraId="5F839A15" w14:textId="77777777" w:rsidR="00C23443" w:rsidRPr="005B3930" w:rsidRDefault="00C23443" w:rsidP="00130D10">
            <w:pPr>
              <w:rPr>
                <w:rFonts w:ascii="Tahoma" w:hAnsi="Tahoma" w:cs="Tahoma"/>
                <w:sz w:val="24"/>
                <w:szCs w:val="24"/>
              </w:rPr>
            </w:pPr>
            <w:r w:rsidRPr="005B3930">
              <w:rPr>
                <w:rFonts w:ascii="Tahoma" w:hAnsi="Tahoma" w:cs="Tahoma"/>
                <w:sz w:val="24"/>
                <w:szCs w:val="24"/>
              </w:rPr>
              <w:t>KPI dashboards, progress reports, review meetings</w:t>
            </w:r>
          </w:p>
        </w:tc>
        <w:tc>
          <w:tcPr>
            <w:tcW w:w="2254" w:type="dxa"/>
            <w:vAlign w:val="center"/>
          </w:tcPr>
          <w:p w14:paraId="56BB0B04" w14:textId="77777777" w:rsidR="00C23443" w:rsidRPr="005B3930" w:rsidRDefault="00C23443" w:rsidP="00130D10">
            <w:pPr>
              <w:rPr>
                <w:rFonts w:ascii="Tahoma" w:hAnsi="Tahoma" w:cs="Tahoma"/>
                <w:sz w:val="24"/>
                <w:szCs w:val="24"/>
              </w:rPr>
            </w:pPr>
            <w:r w:rsidRPr="005B3930">
              <w:rPr>
                <w:rFonts w:ascii="Tahoma" w:hAnsi="Tahoma" w:cs="Tahoma"/>
                <w:sz w:val="24"/>
                <w:szCs w:val="24"/>
              </w:rPr>
              <w:t>Strong functional value; may shift focus toward efficiency</w:t>
            </w:r>
          </w:p>
        </w:tc>
      </w:tr>
      <w:tr w:rsidR="00C23443" w:rsidRPr="00E9304C" w14:paraId="0E4211A3" w14:textId="77777777" w:rsidTr="00130D10">
        <w:tc>
          <w:tcPr>
            <w:tcW w:w="2254" w:type="dxa"/>
            <w:vAlign w:val="center"/>
          </w:tcPr>
          <w:p w14:paraId="5734C8CF" w14:textId="77777777" w:rsidR="00C23443" w:rsidRPr="005B3930" w:rsidRDefault="00C23443" w:rsidP="00130D10">
            <w:pPr>
              <w:rPr>
                <w:rFonts w:ascii="Tahoma" w:hAnsi="Tahoma" w:cs="Tahoma"/>
                <w:sz w:val="24"/>
                <w:szCs w:val="24"/>
              </w:rPr>
            </w:pPr>
            <w:r w:rsidRPr="005B3930">
              <w:rPr>
                <w:rFonts w:ascii="Tahoma" w:hAnsi="Tahoma" w:cs="Tahoma"/>
                <w:sz w:val="24"/>
                <w:szCs w:val="24"/>
              </w:rPr>
              <w:t>CRM Systems</w:t>
            </w:r>
          </w:p>
        </w:tc>
        <w:tc>
          <w:tcPr>
            <w:tcW w:w="2254" w:type="dxa"/>
            <w:vAlign w:val="center"/>
          </w:tcPr>
          <w:p w14:paraId="1F088817" w14:textId="77777777" w:rsidR="00C23443" w:rsidRPr="005B3930" w:rsidRDefault="00C23443" w:rsidP="00130D10">
            <w:pPr>
              <w:rPr>
                <w:rFonts w:ascii="Tahoma" w:hAnsi="Tahoma" w:cs="Tahoma"/>
                <w:sz w:val="24"/>
                <w:szCs w:val="24"/>
              </w:rPr>
            </w:pPr>
            <w:r w:rsidRPr="005B3930">
              <w:rPr>
                <w:rFonts w:ascii="Tahoma" w:hAnsi="Tahoma" w:cs="Tahoma"/>
                <w:sz w:val="24"/>
                <w:szCs w:val="24"/>
              </w:rPr>
              <w:t>Supports communication, transparency, and relationship management</w:t>
            </w:r>
          </w:p>
        </w:tc>
        <w:tc>
          <w:tcPr>
            <w:tcW w:w="2254" w:type="dxa"/>
            <w:vAlign w:val="center"/>
          </w:tcPr>
          <w:p w14:paraId="25599A7F" w14:textId="77777777" w:rsidR="00C23443" w:rsidRPr="005B3930" w:rsidRDefault="00C23443" w:rsidP="00130D10">
            <w:pPr>
              <w:rPr>
                <w:rFonts w:ascii="Tahoma" w:hAnsi="Tahoma" w:cs="Tahoma"/>
                <w:sz w:val="24"/>
                <w:szCs w:val="24"/>
              </w:rPr>
            </w:pPr>
            <w:r w:rsidRPr="005B3930">
              <w:rPr>
                <w:rFonts w:ascii="Tahoma" w:hAnsi="Tahoma" w:cs="Tahoma"/>
                <w:sz w:val="24"/>
                <w:szCs w:val="24"/>
              </w:rPr>
              <w:t>Digital systems for reporting, engagement, and information sharing</w:t>
            </w:r>
          </w:p>
        </w:tc>
        <w:tc>
          <w:tcPr>
            <w:tcW w:w="2254" w:type="dxa"/>
            <w:vAlign w:val="center"/>
          </w:tcPr>
          <w:p w14:paraId="7988C031"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 when aligned with RED analysis and trauma</w:t>
            </w:r>
            <w:r w:rsidRPr="005B3930">
              <w:rPr>
                <w:rFonts w:ascii="Tahoma" w:hAnsi="Tahoma" w:cs="Tahoma"/>
                <w:sz w:val="24"/>
                <w:szCs w:val="24"/>
              </w:rPr>
              <w:noBreakHyphen/>
              <w:t>informed practice</w:t>
            </w:r>
          </w:p>
        </w:tc>
      </w:tr>
      <w:tr w:rsidR="00C23443" w:rsidRPr="00E9304C" w14:paraId="2F28619F" w14:textId="77777777" w:rsidTr="00130D10">
        <w:tc>
          <w:tcPr>
            <w:tcW w:w="2254" w:type="dxa"/>
            <w:vAlign w:val="center"/>
          </w:tcPr>
          <w:p w14:paraId="17AB5B2E" w14:textId="77777777" w:rsidR="00C23443" w:rsidRPr="005B3930" w:rsidRDefault="00C23443" w:rsidP="00130D10">
            <w:pPr>
              <w:rPr>
                <w:rFonts w:ascii="Tahoma" w:hAnsi="Tahoma" w:cs="Tahoma"/>
                <w:sz w:val="24"/>
                <w:szCs w:val="24"/>
              </w:rPr>
            </w:pPr>
            <w:r w:rsidRPr="005B3930">
              <w:rPr>
                <w:rFonts w:ascii="Tahoma" w:hAnsi="Tahoma" w:cs="Tahoma"/>
                <w:sz w:val="24"/>
                <w:szCs w:val="24"/>
              </w:rPr>
              <w:t>Regulatory Compliance</w:t>
            </w:r>
          </w:p>
        </w:tc>
        <w:tc>
          <w:tcPr>
            <w:tcW w:w="2254" w:type="dxa"/>
            <w:vAlign w:val="center"/>
          </w:tcPr>
          <w:p w14:paraId="23D5B9B2" w14:textId="77777777" w:rsidR="00C23443" w:rsidRPr="005B3930" w:rsidRDefault="00C23443" w:rsidP="00130D10">
            <w:pPr>
              <w:rPr>
                <w:rFonts w:ascii="Tahoma" w:hAnsi="Tahoma" w:cs="Tahoma"/>
                <w:sz w:val="24"/>
                <w:szCs w:val="24"/>
              </w:rPr>
            </w:pPr>
            <w:r w:rsidRPr="005B3930">
              <w:rPr>
                <w:rFonts w:ascii="Tahoma" w:hAnsi="Tahoma" w:cs="Tahoma"/>
                <w:sz w:val="24"/>
                <w:szCs w:val="24"/>
              </w:rPr>
              <w:t>Ensures safety, governance, and legal adherence</w:t>
            </w:r>
          </w:p>
        </w:tc>
        <w:tc>
          <w:tcPr>
            <w:tcW w:w="2254" w:type="dxa"/>
            <w:vAlign w:val="center"/>
          </w:tcPr>
          <w:p w14:paraId="5941AE2A" w14:textId="77777777" w:rsidR="00C23443" w:rsidRPr="005B3930" w:rsidRDefault="00C23443" w:rsidP="00130D10">
            <w:pPr>
              <w:rPr>
                <w:rFonts w:ascii="Tahoma" w:hAnsi="Tahoma" w:cs="Tahoma"/>
                <w:sz w:val="24"/>
                <w:szCs w:val="24"/>
              </w:rPr>
            </w:pPr>
            <w:r w:rsidRPr="005B3930">
              <w:rPr>
                <w:rFonts w:ascii="Tahoma" w:hAnsi="Tahoma" w:cs="Tahoma"/>
                <w:sz w:val="24"/>
                <w:szCs w:val="24"/>
              </w:rPr>
              <w:t>CIW inspections, safeguarding procedures, GDPR, H&amp;S checks</w:t>
            </w:r>
          </w:p>
        </w:tc>
        <w:tc>
          <w:tcPr>
            <w:tcW w:w="2254" w:type="dxa"/>
            <w:vAlign w:val="center"/>
          </w:tcPr>
          <w:p w14:paraId="47C36C8E"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functional reliability; strong external assurance</w:t>
            </w:r>
          </w:p>
        </w:tc>
      </w:tr>
      <w:tr w:rsidR="00C23443" w:rsidRPr="00E9304C" w14:paraId="2DCB21AD" w14:textId="77777777" w:rsidTr="00130D10">
        <w:tc>
          <w:tcPr>
            <w:tcW w:w="2254" w:type="dxa"/>
            <w:vAlign w:val="center"/>
          </w:tcPr>
          <w:p w14:paraId="3B35E907" w14:textId="77777777" w:rsidR="00C23443" w:rsidRPr="005B3930" w:rsidRDefault="00C23443" w:rsidP="00130D10">
            <w:pPr>
              <w:rPr>
                <w:rFonts w:ascii="Tahoma" w:hAnsi="Tahoma" w:cs="Tahoma"/>
                <w:sz w:val="24"/>
                <w:szCs w:val="24"/>
              </w:rPr>
            </w:pPr>
            <w:r w:rsidRPr="005B3930">
              <w:rPr>
                <w:rFonts w:ascii="Tahoma" w:hAnsi="Tahoma" w:cs="Tahoma"/>
                <w:sz w:val="24"/>
                <w:szCs w:val="24"/>
              </w:rPr>
              <w:t>Resident Voice Systems</w:t>
            </w:r>
          </w:p>
        </w:tc>
        <w:tc>
          <w:tcPr>
            <w:tcW w:w="2254" w:type="dxa"/>
            <w:vAlign w:val="center"/>
          </w:tcPr>
          <w:p w14:paraId="1E398A56" w14:textId="77777777" w:rsidR="00C23443" w:rsidRPr="005B3930" w:rsidRDefault="00C23443" w:rsidP="00130D10">
            <w:pPr>
              <w:rPr>
                <w:rFonts w:ascii="Tahoma" w:hAnsi="Tahoma" w:cs="Tahoma"/>
                <w:sz w:val="24"/>
                <w:szCs w:val="24"/>
              </w:rPr>
            </w:pPr>
            <w:r w:rsidRPr="005B3930">
              <w:rPr>
                <w:rFonts w:ascii="Tahoma" w:hAnsi="Tahoma" w:cs="Tahoma"/>
                <w:sz w:val="24"/>
                <w:szCs w:val="24"/>
              </w:rPr>
              <w:t>Captures lived experience and promotes autonomy</w:t>
            </w:r>
          </w:p>
        </w:tc>
        <w:tc>
          <w:tcPr>
            <w:tcW w:w="2254" w:type="dxa"/>
            <w:vAlign w:val="center"/>
          </w:tcPr>
          <w:p w14:paraId="207CC216" w14:textId="77777777" w:rsidR="00C23443" w:rsidRPr="005B3930" w:rsidRDefault="00C23443" w:rsidP="00130D10">
            <w:pPr>
              <w:rPr>
                <w:rFonts w:ascii="Tahoma" w:hAnsi="Tahoma" w:cs="Tahoma"/>
                <w:sz w:val="24"/>
                <w:szCs w:val="24"/>
              </w:rPr>
            </w:pPr>
            <w:r w:rsidRPr="005B3930">
              <w:rPr>
                <w:rFonts w:ascii="Tahoma" w:hAnsi="Tahoma" w:cs="Tahoma"/>
                <w:sz w:val="24"/>
                <w:szCs w:val="24"/>
              </w:rPr>
              <w:t>Surveys, meetings, involvement in planning</w:t>
            </w:r>
          </w:p>
        </w:tc>
        <w:tc>
          <w:tcPr>
            <w:tcW w:w="2254" w:type="dxa"/>
            <w:vAlign w:val="center"/>
          </w:tcPr>
          <w:p w14:paraId="6D2E8C59"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emotional value; requires consistent follow</w:t>
            </w:r>
            <w:r w:rsidRPr="005B3930">
              <w:rPr>
                <w:rFonts w:ascii="Tahoma" w:hAnsi="Tahoma" w:cs="Tahoma"/>
                <w:sz w:val="24"/>
                <w:szCs w:val="24"/>
              </w:rPr>
              <w:noBreakHyphen/>
              <w:t>through</w:t>
            </w:r>
          </w:p>
        </w:tc>
      </w:tr>
      <w:tr w:rsidR="00C23443" w:rsidRPr="00E9304C" w14:paraId="09153AA1" w14:textId="77777777" w:rsidTr="00130D10">
        <w:tc>
          <w:tcPr>
            <w:tcW w:w="2254" w:type="dxa"/>
            <w:vAlign w:val="center"/>
          </w:tcPr>
          <w:p w14:paraId="64D7C0B0" w14:textId="77777777" w:rsidR="00C23443" w:rsidRPr="005B3930" w:rsidRDefault="00C23443" w:rsidP="00130D10">
            <w:pPr>
              <w:rPr>
                <w:rFonts w:ascii="Tahoma" w:hAnsi="Tahoma" w:cs="Tahoma"/>
                <w:sz w:val="24"/>
                <w:szCs w:val="24"/>
              </w:rPr>
            </w:pPr>
            <w:r w:rsidRPr="005B3930">
              <w:rPr>
                <w:rFonts w:ascii="Tahoma" w:hAnsi="Tahoma" w:cs="Tahoma"/>
                <w:sz w:val="24"/>
                <w:szCs w:val="24"/>
              </w:rPr>
              <w:t>Family Engagement</w:t>
            </w:r>
          </w:p>
        </w:tc>
        <w:tc>
          <w:tcPr>
            <w:tcW w:w="2254" w:type="dxa"/>
            <w:vAlign w:val="center"/>
          </w:tcPr>
          <w:p w14:paraId="44080DC8" w14:textId="77777777" w:rsidR="00C23443" w:rsidRPr="005B3930" w:rsidRDefault="00C23443" w:rsidP="00130D10">
            <w:pPr>
              <w:rPr>
                <w:rFonts w:ascii="Tahoma" w:hAnsi="Tahoma" w:cs="Tahoma"/>
                <w:sz w:val="24"/>
                <w:szCs w:val="24"/>
              </w:rPr>
            </w:pPr>
            <w:r w:rsidRPr="005B3930">
              <w:rPr>
                <w:rFonts w:ascii="Tahoma" w:hAnsi="Tahoma" w:cs="Tahoma"/>
                <w:sz w:val="24"/>
                <w:szCs w:val="24"/>
              </w:rPr>
              <w:t>Builds trust, transparency, and reassurance</w:t>
            </w:r>
          </w:p>
        </w:tc>
        <w:tc>
          <w:tcPr>
            <w:tcW w:w="2254" w:type="dxa"/>
            <w:vAlign w:val="center"/>
          </w:tcPr>
          <w:p w14:paraId="04059670" w14:textId="77777777" w:rsidR="00C23443" w:rsidRPr="005B3930" w:rsidRDefault="00C23443" w:rsidP="00130D10">
            <w:pPr>
              <w:rPr>
                <w:rFonts w:ascii="Tahoma" w:hAnsi="Tahoma" w:cs="Tahoma"/>
                <w:sz w:val="24"/>
                <w:szCs w:val="24"/>
              </w:rPr>
            </w:pPr>
            <w:r w:rsidRPr="005B3930">
              <w:rPr>
                <w:rFonts w:ascii="Tahoma" w:hAnsi="Tahoma" w:cs="Tahoma"/>
                <w:sz w:val="24"/>
                <w:szCs w:val="24"/>
              </w:rPr>
              <w:t>Communication updates, involvement in decisions</w:t>
            </w:r>
          </w:p>
        </w:tc>
        <w:tc>
          <w:tcPr>
            <w:tcW w:w="2254" w:type="dxa"/>
            <w:vAlign w:val="center"/>
          </w:tcPr>
          <w:p w14:paraId="656905ED"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 when communication is predictable and honest</w:t>
            </w:r>
          </w:p>
        </w:tc>
      </w:tr>
      <w:tr w:rsidR="00C23443" w:rsidRPr="00E9304C" w14:paraId="49E18598" w14:textId="77777777" w:rsidTr="00130D10">
        <w:tc>
          <w:tcPr>
            <w:tcW w:w="2254" w:type="dxa"/>
            <w:vAlign w:val="center"/>
          </w:tcPr>
          <w:p w14:paraId="0E76EAB0" w14:textId="77777777" w:rsidR="00C23443" w:rsidRPr="005B3930" w:rsidRDefault="00C23443" w:rsidP="00130D10">
            <w:pPr>
              <w:rPr>
                <w:rFonts w:ascii="Tahoma" w:hAnsi="Tahoma" w:cs="Tahoma"/>
                <w:sz w:val="24"/>
                <w:szCs w:val="24"/>
              </w:rPr>
            </w:pPr>
            <w:r w:rsidRPr="005B3930">
              <w:rPr>
                <w:rFonts w:ascii="Tahoma" w:hAnsi="Tahoma" w:cs="Tahoma"/>
                <w:sz w:val="24"/>
                <w:szCs w:val="24"/>
              </w:rPr>
              <w:t>Commissioner Reporting</w:t>
            </w:r>
          </w:p>
        </w:tc>
        <w:tc>
          <w:tcPr>
            <w:tcW w:w="2254" w:type="dxa"/>
            <w:vAlign w:val="center"/>
          </w:tcPr>
          <w:p w14:paraId="03161E42" w14:textId="77777777" w:rsidR="00C23443" w:rsidRPr="005B3930" w:rsidRDefault="00C23443" w:rsidP="00130D10">
            <w:pPr>
              <w:rPr>
                <w:rFonts w:ascii="Tahoma" w:hAnsi="Tahoma" w:cs="Tahoma"/>
                <w:sz w:val="24"/>
                <w:szCs w:val="24"/>
              </w:rPr>
            </w:pPr>
            <w:r w:rsidRPr="005B3930">
              <w:rPr>
                <w:rFonts w:ascii="Tahoma" w:hAnsi="Tahoma" w:cs="Tahoma"/>
                <w:sz w:val="24"/>
                <w:szCs w:val="24"/>
              </w:rPr>
              <w:t>Demonstrates outcomes, compliance, and value</w:t>
            </w:r>
          </w:p>
        </w:tc>
        <w:tc>
          <w:tcPr>
            <w:tcW w:w="2254" w:type="dxa"/>
            <w:vAlign w:val="center"/>
          </w:tcPr>
          <w:p w14:paraId="029385EC" w14:textId="77777777" w:rsidR="00C23443" w:rsidRPr="005B3930" w:rsidRDefault="00C23443" w:rsidP="00130D10">
            <w:pPr>
              <w:rPr>
                <w:rFonts w:ascii="Tahoma" w:hAnsi="Tahoma" w:cs="Tahoma"/>
                <w:sz w:val="24"/>
                <w:szCs w:val="24"/>
              </w:rPr>
            </w:pPr>
            <w:r w:rsidRPr="005B3930">
              <w:rPr>
                <w:rFonts w:ascii="Tahoma" w:hAnsi="Tahoma" w:cs="Tahoma"/>
                <w:sz w:val="24"/>
                <w:szCs w:val="24"/>
              </w:rPr>
              <w:t>KPI dashboards, progress reports, review meetings</w:t>
            </w:r>
          </w:p>
        </w:tc>
        <w:tc>
          <w:tcPr>
            <w:tcW w:w="2254" w:type="dxa"/>
            <w:vAlign w:val="center"/>
          </w:tcPr>
          <w:p w14:paraId="70856E33" w14:textId="77777777" w:rsidR="00C23443" w:rsidRPr="005B3930" w:rsidRDefault="00C23443" w:rsidP="00130D10">
            <w:pPr>
              <w:rPr>
                <w:rFonts w:ascii="Tahoma" w:hAnsi="Tahoma" w:cs="Tahoma"/>
                <w:sz w:val="24"/>
                <w:szCs w:val="24"/>
              </w:rPr>
            </w:pPr>
            <w:r w:rsidRPr="005B3930">
              <w:rPr>
                <w:rFonts w:ascii="Tahoma" w:hAnsi="Tahoma" w:cs="Tahoma"/>
                <w:sz w:val="24"/>
                <w:szCs w:val="24"/>
              </w:rPr>
              <w:t>Strong functional value; may shift focus toward efficiency</w:t>
            </w:r>
          </w:p>
        </w:tc>
      </w:tr>
      <w:tr w:rsidR="00C23443" w:rsidRPr="00E9304C" w14:paraId="53B9D2F7" w14:textId="77777777" w:rsidTr="00130D10">
        <w:tc>
          <w:tcPr>
            <w:tcW w:w="2254" w:type="dxa"/>
            <w:vAlign w:val="center"/>
          </w:tcPr>
          <w:p w14:paraId="6BCF0024" w14:textId="77777777" w:rsidR="00C23443" w:rsidRPr="005B3930" w:rsidRDefault="00C23443" w:rsidP="00130D10">
            <w:pPr>
              <w:rPr>
                <w:rFonts w:ascii="Tahoma" w:hAnsi="Tahoma" w:cs="Tahoma"/>
                <w:sz w:val="24"/>
                <w:szCs w:val="24"/>
              </w:rPr>
            </w:pPr>
            <w:r w:rsidRPr="005B3930">
              <w:rPr>
                <w:rFonts w:ascii="Tahoma" w:hAnsi="Tahoma" w:cs="Tahoma"/>
                <w:sz w:val="24"/>
                <w:szCs w:val="24"/>
              </w:rPr>
              <w:t>CRM Systems</w:t>
            </w:r>
          </w:p>
        </w:tc>
        <w:tc>
          <w:tcPr>
            <w:tcW w:w="2254" w:type="dxa"/>
            <w:vAlign w:val="center"/>
          </w:tcPr>
          <w:p w14:paraId="7F4562CE" w14:textId="77777777" w:rsidR="00C23443" w:rsidRPr="005B3930" w:rsidRDefault="00C23443" w:rsidP="00130D10">
            <w:pPr>
              <w:rPr>
                <w:rFonts w:ascii="Tahoma" w:hAnsi="Tahoma" w:cs="Tahoma"/>
                <w:sz w:val="24"/>
                <w:szCs w:val="24"/>
              </w:rPr>
            </w:pPr>
            <w:r w:rsidRPr="005B3930">
              <w:rPr>
                <w:rFonts w:ascii="Tahoma" w:hAnsi="Tahoma" w:cs="Tahoma"/>
                <w:sz w:val="24"/>
                <w:szCs w:val="24"/>
              </w:rPr>
              <w:t xml:space="preserve">Supports communication, </w:t>
            </w:r>
            <w:r w:rsidRPr="005B3930">
              <w:rPr>
                <w:rFonts w:ascii="Tahoma" w:hAnsi="Tahoma" w:cs="Tahoma"/>
                <w:sz w:val="24"/>
                <w:szCs w:val="24"/>
              </w:rPr>
              <w:lastRenderedPageBreak/>
              <w:t>transparency, and relationship management</w:t>
            </w:r>
          </w:p>
        </w:tc>
        <w:tc>
          <w:tcPr>
            <w:tcW w:w="2254" w:type="dxa"/>
            <w:vAlign w:val="center"/>
          </w:tcPr>
          <w:p w14:paraId="23EC713F" w14:textId="77777777" w:rsidR="00C23443" w:rsidRPr="005B3930" w:rsidRDefault="00C23443" w:rsidP="00130D10">
            <w:pPr>
              <w:rPr>
                <w:rFonts w:ascii="Tahoma" w:hAnsi="Tahoma" w:cs="Tahoma"/>
                <w:sz w:val="24"/>
                <w:szCs w:val="24"/>
              </w:rPr>
            </w:pPr>
            <w:r w:rsidRPr="005B3930">
              <w:rPr>
                <w:rFonts w:ascii="Tahoma" w:hAnsi="Tahoma" w:cs="Tahoma"/>
                <w:sz w:val="24"/>
                <w:szCs w:val="24"/>
              </w:rPr>
              <w:lastRenderedPageBreak/>
              <w:t xml:space="preserve">Digital systems for reporting, </w:t>
            </w:r>
            <w:r w:rsidRPr="005B3930">
              <w:rPr>
                <w:rFonts w:ascii="Tahoma" w:hAnsi="Tahoma" w:cs="Tahoma"/>
                <w:sz w:val="24"/>
                <w:szCs w:val="24"/>
              </w:rPr>
              <w:lastRenderedPageBreak/>
              <w:t>engagement, and information sharing</w:t>
            </w:r>
          </w:p>
        </w:tc>
        <w:tc>
          <w:tcPr>
            <w:tcW w:w="2254" w:type="dxa"/>
            <w:vAlign w:val="center"/>
          </w:tcPr>
          <w:p w14:paraId="40C153D4" w14:textId="77777777" w:rsidR="00C23443" w:rsidRPr="005B3930" w:rsidRDefault="00C23443" w:rsidP="00130D10">
            <w:pPr>
              <w:rPr>
                <w:rFonts w:ascii="Tahoma" w:hAnsi="Tahoma" w:cs="Tahoma"/>
                <w:sz w:val="24"/>
                <w:szCs w:val="24"/>
              </w:rPr>
            </w:pPr>
            <w:r w:rsidRPr="005B3930">
              <w:rPr>
                <w:rFonts w:ascii="Tahoma" w:hAnsi="Tahoma" w:cs="Tahoma"/>
                <w:sz w:val="24"/>
                <w:szCs w:val="24"/>
              </w:rPr>
              <w:lastRenderedPageBreak/>
              <w:t xml:space="preserve">Effective when aligned with RED </w:t>
            </w:r>
            <w:r w:rsidRPr="005B3930">
              <w:rPr>
                <w:rFonts w:ascii="Tahoma" w:hAnsi="Tahoma" w:cs="Tahoma"/>
                <w:sz w:val="24"/>
                <w:szCs w:val="24"/>
              </w:rPr>
              <w:lastRenderedPageBreak/>
              <w:t>analysis and trauma</w:t>
            </w:r>
            <w:r w:rsidRPr="005B3930">
              <w:rPr>
                <w:rFonts w:ascii="Tahoma" w:hAnsi="Tahoma" w:cs="Tahoma"/>
                <w:sz w:val="24"/>
                <w:szCs w:val="24"/>
              </w:rPr>
              <w:noBreakHyphen/>
              <w:t>informed practice</w:t>
            </w:r>
          </w:p>
        </w:tc>
      </w:tr>
      <w:tr w:rsidR="00C23443" w:rsidRPr="00E9304C" w14:paraId="6166BCE1" w14:textId="77777777" w:rsidTr="00130D10">
        <w:tc>
          <w:tcPr>
            <w:tcW w:w="2254" w:type="dxa"/>
            <w:vAlign w:val="center"/>
          </w:tcPr>
          <w:p w14:paraId="1ADF3D9A" w14:textId="77777777" w:rsidR="00C23443" w:rsidRPr="005B3930" w:rsidRDefault="00C23443" w:rsidP="00130D10">
            <w:pPr>
              <w:rPr>
                <w:rFonts w:ascii="Tahoma" w:hAnsi="Tahoma" w:cs="Tahoma"/>
                <w:sz w:val="24"/>
                <w:szCs w:val="24"/>
              </w:rPr>
            </w:pPr>
            <w:r w:rsidRPr="005B3930">
              <w:rPr>
                <w:rFonts w:ascii="Tahoma" w:hAnsi="Tahoma" w:cs="Tahoma"/>
                <w:sz w:val="24"/>
                <w:szCs w:val="24"/>
              </w:rPr>
              <w:lastRenderedPageBreak/>
              <w:t>Resident Voice Systems</w:t>
            </w:r>
          </w:p>
        </w:tc>
        <w:tc>
          <w:tcPr>
            <w:tcW w:w="2254" w:type="dxa"/>
            <w:vAlign w:val="center"/>
          </w:tcPr>
          <w:p w14:paraId="014AF7B1" w14:textId="77777777" w:rsidR="00C23443" w:rsidRPr="005B3930" w:rsidRDefault="00C23443" w:rsidP="00130D10">
            <w:pPr>
              <w:rPr>
                <w:rFonts w:ascii="Tahoma" w:hAnsi="Tahoma" w:cs="Tahoma"/>
                <w:sz w:val="24"/>
                <w:szCs w:val="24"/>
              </w:rPr>
            </w:pPr>
            <w:r w:rsidRPr="005B3930">
              <w:rPr>
                <w:rFonts w:ascii="Tahoma" w:hAnsi="Tahoma" w:cs="Tahoma"/>
                <w:sz w:val="24"/>
                <w:szCs w:val="24"/>
              </w:rPr>
              <w:t>Captures lived experience and promotes autonomy</w:t>
            </w:r>
          </w:p>
        </w:tc>
        <w:tc>
          <w:tcPr>
            <w:tcW w:w="2254" w:type="dxa"/>
            <w:vAlign w:val="center"/>
          </w:tcPr>
          <w:p w14:paraId="340D045D" w14:textId="77777777" w:rsidR="00C23443" w:rsidRPr="005B3930" w:rsidRDefault="00C23443" w:rsidP="00130D10">
            <w:pPr>
              <w:rPr>
                <w:rFonts w:ascii="Tahoma" w:hAnsi="Tahoma" w:cs="Tahoma"/>
                <w:sz w:val="24"/>
                <w:szCs w:val="24"/>
              </w:rPr>
            </w:pPr>
            <w:r w:rsidRPr="005B3930">
              <w:rPr>
                <w:rFonts w:ascii="Tahoma" w:hAnsi="Tahoma" w:cs="Tahoma"/>
                <w:sz w:val="24"/>
                <w:szCs w:val="24"/>
              </w:rPr>
              <w:t>Surveys, meetings, involvement in planning</w:t>
            </w:r>
          </w:p>
        </w:tc>
        <w:tc>
          <w:tcPr>
            <w:tcW w:w="2254" w:type="dxa"/>
            <w:vAlign w:val="center"/>
          </w:tcPr>
          <w:p w14:paraId="726D2D10"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emotional value; requires consistent follow</w:t>
            </w:r>
            <w:r w:rsidRPr="005B3930">
              <w:rPr>
                <w:rFonts w:ascii="Tahoma" w:hAnsi="Tahoma" w:cs="Tahoma"/>
                <w:sz w:val="24"/>
                <w:szCs w:val="24"/>
              </w:rPr>
              <w:noBreakHyphen/>
              <w:t>through</w:t>
            </w:r>
          </w:p>
        </w:tc>
      </w:tr>
    </w:tbl>
    <w:p w14:paraId="3D68E1EC" w14:textId="77777777" w:rsidR="00C23443" w:rsidRPr="00E9304C" w:rsidRDefault="00C23443" w:rsidP="00C23443">
      <w:pPr>
        <w:rPr>
          <w:rFonts w:ascii="Tahoma" w:hAnsi="Tahoma" w:cs="Tahoma"/>
          <w:b/>
          <w:bCs/>
          <w:sz w:val="24"/>
          <w:szCs w:val="24"/>
        </w:rPr>
      </w:pPr>
    </w:p>
    <w:p w14:paraId="7BB000EF" w14:textId="77777777" w:rsidR="00C23443" w:rsidRPr="00E9304C" w:rsidRDefault="00C23443" w:rsidP="00C23443">
      <w:pPr>
        <w:rPr>
          <w:rFonts w:ascii="Tahoma" w:hAnsi="Tahoma" w:cs="Tahoma"/>
          <w:b/>
          <w:bCs/>
          <w:sz w:val="24"/>
          <w:szCs w:val="24"/>
        </w:rPr>
      </w:pPr>
    </w:p>
    <w:p w14:paraId="2A20C7BD" w14:textId="77777777" w:rsidR="00C23443" w:rsidRPr="00E9304C" w:rsidRDefault="00C23443" w:rsidP="00C23443">
      <w:pPr>
        <w:rPr>
          <w:rFonts w:ascii="Tahoma" w:hAnsi="Tahoma" w:cs="Tahoma"/>
          <w:b/>
          <w:bCs/>
          <w:sz w:val="24"/>
          <w:szCs w:val="24"/>
        </w:rPr>
      </w:pPr>
    </w:p>
    <w:p w14:paraId="469B5B53" w14:textId="77777777" w:rsidR="00C23443" w:rsidRPr="00E9304C" w:rsidRDefault="00C23443" w:rsidP="00C23443">
      <w:pPr>
        <w:rPr>
          <w:rFonts w:ascii="Tahoma" w:hAnsi="Tahoma" w:cs="Tahoma"/>
          <w:b/>
          <w:bCs/>
          <w:sz w:val="24"/>
          <w:szCs w:val="24"/>
        </w:rPr>
      </w:pPr>
    </w:p>
    <w:p w14:paraId="510B6BCC" w14:textId="77777777" w:rsidR="00C23443" w:rsidRPr="00E9304C" w:rsidRDefault="00C23443" w:rsidP="00C23443">
      <w:pPr>
        <w:rPr>
          <w:rFonts w:ascii="Tahoma" w:hAnsi="Tahoma" w:cs="Tahoma"/>
          <w:b/>
          <w:bCs/>
          <w:sz w:val="24"/>
          <w:szCs w:val="24"/>
        </w:rPr>
      </w:pPr>
    </w:p>
    <w:p w14:paraId="3E33597C" w14:textId="77777777" w:rsidR="00C23443" w:rsidRPr="00E9304C" w:rsidRDefault="00C23443" w:rsidP="00C23443">
      <w:pPr>
        <w:rPr>
          <w:rFonts w:ascii="Tahoma" w:hAnsi="Tahoma" w:cs="Tahoma"/>
          <w:b/>
          <w:bCs/>
          <w:sz w:val="24"/>
          <w:szCs w:val="24"/>
        </w:rPr>
      </w:pPr>
    </w:p>
    <w:p w14:paraId="52FCC4DC" w14:textId="77777777" w:rsidR="00C23443" w:rsidRPr="00E9304C" w:rsidRDefault="00C23443" w:rsidP="00C23443">
      <w:pPr>
        <w:rPr>
          <w:rFonts w:ascii="Tahoma" w:hAnsi="Tahoma" w:cs="Tahoma"/>
          <w:b/>
          <w:bCs/>
          <w:sz w:val="24"/>
          <w:szCs w:val="24"/>
        </w:rPr>
      </w:pPr>
    </w:p>
    <w:p w14:paraId="46190B75" w14:textId="77777777" w:rsidR="00C23443" w:rsidRPr="00E9304C" w:rsidRDefault="00C23443" w:rsidP="00C23443">
      <w:pPr>
        <w:rPr>
          <w:rFonts w:ascii="Tahoma" w:hAnsi="Tahoma" w:cs="Tahoma"/>
          <w:b/>
          <w:bCs/>
          <w:sz w:val="24"/>
          <w:szCs w:val="24"/>
        </w:rPr>
      </w:pPr>
    </w:p>
    <w:p w14:paraId="49D951AF" w14:textId="77777777" w:rsidR="00C23443" w:rsidRPr="00E9304C" w:rsidRDefault="00C23443" w:rsidP="00C23443">
      <w:pPr>
        <w:rPr>
          <w:rFonts w:ascii="Tahoma" w:hAnsi="Tahoma" w:cs="Tahoma"/>
          <w:b/>
          <w:bCs/>
          <w:sz w:val="24"/>
          <w:szCs w:val="24"/>
        </w:rPr>
      </w:pPr>
    </w:p>
    <w:p w14:paraId="311F79AC" w14:textId="77777777" w:rsidR="00C23443" w:rsidRPr="00E9304C" w:rsidRDefault="00C23443" w:rsidP="00C23443">
      <w:pPr>
        <w:rPr>
          <w:rFonts w:ascii="Tahoma" w:hAnsi="Tahoma" w:cs="Tahoma"/>
          <w:b/>
          <w:bCs/>
          <w:sz w:val="24"/>
          <w:szCs w:val="24"/>
        </w:rPr>
      </w:pPr>
    </w:p>
    <w:p w14:paraId="1F8B7FD2" w14:textId="77777777" w:rsidR="00C23443" w:rsidRPr="00E9304C" w:rsidRDefault="00C23443" w:rsidP="00C23443">
      <w:pPr>
        <w:rPr>
          <w:rFonts w:ascii="Tahoma" w:hAnsi="Tahoma" w:cs="Tahoma"/>
          <w:b/>
          <w:bCs/>
          <w:sz w:val="24"/>
          <w:szCs w:val="24"/>
        </w:rPr>
      </w:pPr>
    </w:p>
    <w:p w14:paraId="45B367F1" w14:textId="77777777" w:rsidR="00C23443" w:rsidRPr="00E9304C" w:rsidRDefault="00C23443" w:rsidP="00C23443">
      <w:pPr>
        <w:rPr>
          <w:rFonts w:ascii="Tahoma" w:hAnsi="Tahoma" w:cs="Tahoma"/>
          <w:b/>
          <w:bCs/>
          <w:sz w:val="24"/>
          <w:szCs w:val="24"/>
        </w:rPr>
      </w:pPr>
    </w:p>
    <w:p w14:paraId="7EA48F5E" w14:textId="77777777" w:rsidR="005B3930" w:rsidRDefault="005B3930" w:rsidP="00C23443">
      <w:pPr>
        <w:rPr>
          <w:rFonts w:ascii="Tahoma" w:hAnsi="Tahoma" w:cs="Tahoma"/>
          <w:b/>
          <w:bCs/>
          <w:sz w:val="24"/>
          <w:szCs w:val="24"/>
        </w:rPr>
      </w:pPr>
    </w:p>
    <w:p w14:paraId="13BD7CE2" w14:textId="77777777" w:rsidR="005B3930" w:rsidRDefault="005B3930" w:rsidP="00C23443">
      <w:pPr>
        <w:rPr>
          <w:rFonts w:ascii="Tahoma" w:hAnsi="Tahoma" w:cs="Tahoma"/>
          <w:b/>
          <w:bCs/>
          <w:sz w:val="24"/>
          <w:szCs w:val="24"/>
        </w:rPr>
      </w:pPr>
    </w:p>
    <w:p w14:paraId="4EDD11CE" w14:textId="77777777" w:rsidR="005B3930" w:rsidRDefault="005B3930" w:rsidP="00C23443">
      <w:pPr>
        <w:rPr>
          <w:rFonts w:ascii="Tahoma" w:hAnsi="Tahoma" w:cs="Tahoma"/>
          <w:b/>
          <w:bCs/>
          <w:sz w:val="24"/>
          <w:szCs w:val="24"/>
        </w:rPr>
      </w:pPr>
    </w:p>
    <w:p w14:paraId="488EC2FA" w14:textId="77777777" w:rsidR="005B3930" w:rsidRDefault="005B3930" w:rsidP="00C23443">
      <w:pPr>
        <w:rPr>
          <w:rFonts w:ascii="Tahoma" w:hAnsi="Tahoma" w:cs="Tahoma"/>
          <w:b/>
          <w:bCs/>
          <w:sz w:val="24"/>
          <w:szCs w:val="24"/>
        </w:rPr>
      </w:pPr>
    </w:p>
    <w:p w14:paraId="0D2243A7" w14:textId="77777777" w:rsidR="005B3930" w:rsidRDefault="005B3930" w:rsidP="00C23443">
      <w:pPr>
        <w:rPr>
          <w:rFonts w:ascii="Tahoma" w:hAnsi="Tahoma" w:cs="Tahoma"/>
          <w:b/>
          <w:bCs/>
          <w:sz w:val="24"/>
          <w:szCs w:val="24"/>
        </w:rPr>
      </w:pPr>
    </w:p>
    <w:p w14:paraId="2830FC17" w14:textId="77777777" w:rsidR="005B3930" w:rsidRDefault="005B3930" w:rsidP="00C23443">
      <w:pPr>
        <w:rPr>
          <w:rFonts w:ascii="Tahoma" w:hAnsi="Tahoma" w:cs="Tahoma"/>
          <w:b/>
          <w:bCs/>
          <w:sz w:val="24"/>
          <w:szCs w:val="24"/>
        </w:rPr>
      </w:pPr>
    </w:p>
    <w:p w14:paraId="1756CD03" w14:textId="77777777" w:rsidR="005B3930" w:rsidRDefault="005B3930" w:rsidP="00C23443">
      <w:pPr>
        <w:rPr>
          <w:rFonts w:ascii="Tahoma" w:hAnsi="Tahoma" w:cs="Tahoma"/>
          <w:b/>
          <w:bCs/>
          <w:sz w:val="24"/>
          <w:szCs w:val="24"/>
        </w:rPr>
      </w:pPr>
    </w:p>
    <w:p w14:paraId="3FB6BC35" w14:textId="77777777" w:rsidR="005B3930" w:rsidRDefault="005B3930" w:rsidP="00C23443">
      <w:pPr>
        <w:rPr>
          <w:rFonts w:ascii="Tahoma" w:hAnsi="Tahoma" w:cs="Tahoma"/>
          <w:b/>
          <w:bCs/>
          <w:sz w:val="24"/>
          <w:szCs w:val="24"/>
        </w:rPr>
      </w:pPr>
    </w:p>
    <w:p w14:paraId="3B8FBF2F" w14:textId="77777777" w:rsidR="005B3930" w:rsidRDefault="005B3930" w:rsidP="00C23443">
      <w:pPr>
        <w:rPr>
          <w:rFonts w:ascii="Tahoma" w:hAnsi="Tahoma" w:cs="Tahoma"/>
          <w:b/>
          <w:bCs/>
          <w:sz w:val="24"/>
          <w:szCs w:val="24"/>
        </w:rPr>
      </w:pPr>
    </w:p>
    <w:p w14:paraId="492A78CD" w14:textId="77777777" w:rsidR="005B3930" w:rsidRDefault="005B3930" w:rsidP="00C23443">
      <w:pPr>
        <w:rPr>
          <w:rFonts w:ascii="Tahoma" w:hAnsi="Tahoma" w:cs="Tahoma"/>
          <w:b/>
          <w:bCs/>
          <w:sz w:val="24"/>
          <w:szCs w:val="24"/>
        </w:rPr>
      </w:pPr>
    </w:p>
    <w:p w14:paraId="47D681BB" w14:textId="77777777" w:rsidR="005B3930" w:rsidRDefault="005B3930" w:rsidP="00C23443">
      <w:pPr>
        <w:rPr>
          <w:rFonts w:ascii="Tahoma" w:hAnsi="Tahoma" w:cs="Tahoma"/>
          <w:b/>
          <w:bCs/>
          <w:sz w:val="24"/>
          <w:szCs w:val="24"/>
        </w:rPr>
      </w:pPr>
    </w:p>
    <w:p w14:paraId="0EA75B6D" w14:textId="1A19D29F" w:rsidR="00C23443" w:rsidRPr="005B3930" w:rsidRDefault="00C23443" w:rsidP="00C23443">
      <w:pPr>
        <w:rPr>
          <w:rFonts w:ascii="Tahoma" w:hAnsi="Tahoma" w:cs="Tahoma"/>
          <w:sz w:val="24"/>
          <w:szCs w:val="24"/>
          <w:u w:val="single"/>
        </w:rPr>
      </w:pPr>
      <w:r w:rsidRPr="005B3930">
        <w:rPr>
          <w:rFonts w:ascii="Tahoma" w:hAnsi="Tahoma" w:cs="Tahoma"/>
          <w:b/>
          <w:bCs/>
          <w:sz w:val="24"/>
          <w:szCs w:val="24"/>
          <w:u w:val="single"/>
        </w:rPr>
        <w:lastRenderedPageBreak/>
        <w:t>Appendix D: Customer Value Pyramid:</w:t>
      </w:r>
      <w:r w:rsidRPr="005B3930">
        <w:rPr>
          <w:rFonts w:ascii="Tahoma" w:hAnsi="Tahoma" w:cs="Tahoma"/>
          <w:sz w:val="24"/>
          <w:szCs w:val="24"/>
          <w:u w:val="single"/>
        </w:rPr>
        <w:t xml:space="preserve"> </w:t>
      </w:r>
    </w:p>
    <w:p w14:paraId="37EC298F" w14:textId="224D071E" w:rsidR="00C23443" w:rsidRPr="005B3930" w:rsidRDefault="00C23443" w:rsidP="00C23443">
      <w:pPr>
        <w:rPr>
          <w:rFonts w:ascii="Tahoma" w:hAnsi="Tahoma" w:cs="Tahoma"/>
          <w:sz w:val="24"/>
          <w:szCs w:val="24"/>
        </w:rPr>
      </w:pPr>
      <w:r w:rsidRPr="00E9304C">
        <w:rPr>
          <w:rFonts w:ascii="Tahoma" w:hAnsi="Tahoma" w:cs="Tahoma"/>
          <w:sz w:val="24"/>
          <w:szCs w:val="24"/>
        </w:rPr>
        <w:t>The Customer Value Pyramid (Almquist, Senior &amp; Bloch, 2016) illustrates how customer value is built in three layers: functional, emotional, and life</w:t>
      </w:r>
      <w:r w:rsidRPr="00E9304C">
        <w:rPr>
          <w:rFonts w:ascii="Tahoma" w:hAnsi="Tahoma" w:cs="Tahoma"/>
          <w:sz w:val="24"/>
          <w:szCs w:val="24"/>
        </w:rPr>
        <w:noBreakHyphen/>
        <w:t>changing value. In residential mental</w:t>
      </w:r>
      <w:r w:rsidRPr="00E9304C">
        <w:rPr>
          <w:rFonts w:ascii="Tahoma" w:hAnsi="Tahoma" w:cs="Tahoma"/>
          <w:sz w:val="24"/>
          <w:szCs w:val="24"/>
        </w:rPr>
        <w:noBreakHyphen/>
        <w:t>health care, this model is essential because it shows how higher</w:t>
      </w:r>
      <w:r w:rsidRPr="00E9304C">
        <w:rPr>
          <w:rFonts w:ascii="Tahoma" w:hAnsi="Tahoma" w:cs="Tahoma"/>
          <w:sz w:val="24"/>
          <w:szCs w:val="24"/>
        </w:rPr>
        <w:noBreakHyphen/>
        <w:t>level psychological and relational value depends on strong foundational systems.</w:t>
      </w:r>
      <w:r w:rsidR="00370A3A">
        <w:rPr>
          <w:rFonts w:ascii="Tahoma" w:hAnsi="Tahoma" w:cs="Tahoma"/>
          <w:sz w:val="24"/>
          <w:szCs w:val="24"/>
        </w:rPr>
        <w:t xml:space="preserve"> (See Appendix D Customer Value Pyramid.)</w:t>
      </w:r>
    </w:p>
    <w:p w14:paraId="7A0324B1"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Functional Value (Base Layer)</w:t>
      </w:r>
    </w:p>
    <w:p w14:paraId="65A3A105" w14:textId="77777777" w:rsidR="00C23443" w:rsidRPr="00E9304C" w:rsidRDefault="00C23443" w:rsidP="00C23443">
      <w:pPr>
        <w:rPr>
          <w:rFonts w:ascii="Tahoma" w:hAnsi="Tahoma" w:cs="Tahoma"/>
          <w:sz w:val="24"/>
          <w:szCs w:val="24"/>
        </w:rPr>
      </w:pPr>
      <w:r w:rsidRPr="00E9304C">
        <w:rPr>
          <w:rFonts w:ascii="Tahoma" w:hAnsi="Tahoma" w:cs="Tahoma"/>
          <w:sz w:val="24"/>
          <w:szCs w:val="24"/>
        </w:rPr>
        <w:t>Functional value forms the foundation of the pyramid and includes safety, reliability, predictability, and compliance. In Accomplish / Keys Group, functional value is created through:</w:t>
      </w:r>
    </w:p>
    <w:p w14:paraId="51652D6F" w14:textId="77777777" w:rsidR="00C23443" w:rsidRPr="00E9304C" w:rsidRDefault="00C23443" w:rsidP="00285957">
      <w:pPr>
        <w:numPr>
          <w:ilvl w:val="0"/>
          <w:numId w:val="17"/>
        </w:numPr>
        <w:spacing w:line="278" w:lineRule="auto"/>
        <w:rPr>
          <w:rFonts w:ascii="Tahoma" w:hAnsi="Tahoma" w:cs="Tahoma"/>
          <w:sz w:val="24"/>
          <w:szCs w:val="24"/>
        </w:rPr>
      </w:pPr>
      <w:r w:rsidRPr="00E9304C">
        <w:rPr>
          <w:rFonts w:ascii="Tahoma" w:hAnsi="Tahoma" w:cs="Tahoma"/>
          <w:sz w:val="24"/>
          <w:szCs w:val="24"/>
        </w:rPr>
        <w:t>CIW compliance</w:t>
      </w:r>
    </w:p>
    <w:p w14:paraId="318CD564" w14:textId="77777777" w:rsidR="00C23443" w:rsidRPr="00E9304C" w:rsidRDefault="00C23443" w:rsidP="00285957">
      <w:pPr>
        <w:numPr>
          <w:ilvl w:val="0"/>
          <w:numId w:val="17"/>
        </w:numPr>
        <w:spacing w:line="278" w:lineRule="auto"/>
        <w:rPr>
          <w:rFonts w:ascii="Tahoma" w:hAnsi="Tahoma" w:cs="Tahoma"/>
          <w:sz w:val="24"/>
          <w:szCs w:val="24"/>
        </w:rPr>
      </w:pPr>
      <w:r w:rsidRPr="00E9304C">
        <w:rPr>
          <w:rFonts w:ascii="Tahoma" w:hAnsi="Tahoma" w:cs="Tahoma"/>
          <w:sz w:val="24"/>
          <w:szCs w:val="24"/>
        </w:rPr>
        <w:t>Safeguarding procedures</w:t>
      </w:r>
    </w:p>
    <w:p w14:paraId="02E31D8C" w14:textId="77777777" w:rsidR="00C23443" w:rsidRPr="00E9304C" w:rsidRDefault="00C23443" w:rsidP="00285957">
      <w:pPr>
        <w:numPr>
          <w:ilvl w:val="0"/>
          <w:numId w:val="17"/>
        </w:numPr>
        <w:spacing w:line="278" w:lineRule="auto"/>
        <w:rPr>
          <w:rFonts w:ascii="Tahoma" w:hAnsi="Tahoma" w:cs="Tahoma"/>
          <w:sz w:val="24"/>
          <w:szCs w:val="24"/>
        </w:rPr>
      </w:pPr>
      <w:r w:rsidRPr="00E9304C">
        <w:rPr>
          <w:rFonts w:ascii="Tahoma" w:hAnsi="Tahoma" w:cs="Tahoma"/>
          <w:sz w:val="24"/>
          <w:szCs w:val="24"/>
        </w:rPr>
        <w:t>Medication governance</w:t>
      </w:r>
    </w:p>
    <w:p w14:paraId="5DF12A85" w14:textId="77777777" w:rsidR="00C23443" w:rsidRPr="00E9304C" w:rsidRDefault="00C23443" w:rsidP="00285957">
      <w:pPr>
        <w:numPr>
          <w:ilvl w:val="0"/>
          <w:numId w:val="17"/>
        </w:numPr>
        <w:spacing w:line="278" w:lineRule="auto"/>
        <w:rPr>
          <w:rFonts w:ascii="Tahoma" w:hAnsi="Tahoma" w:cs="Tahoma"/>
          <w:sz w:val="24"/>
          <w:szCs w:val="24"/>
        </w:rPr>
      </w:pPr>
      <w:r w:rsidRPr="00E9304C">
        <w:rPr>
          <w:rFonts w:ascii="Tahoma" w:hAnsi="Tahoma" w:cs="Tahoma"/>
          <w:sz w:val="24"/>
          <w:szCs w:val="24"/>
        </w:rPr>
        <w:t>GDPR and information security</w:t>
      </w:r>
    </w:p>
    <w:p w14:paraId="07F92609" w14:textId="77777777" w:rsidR="00C23443" w:rsidRPr="00E9304C" w:rsidRDefault="00C23443" w:rsidP="00285957">
      <w:pPr>
        <w:numPr>
          <w:ilvl w:val="0"/>
          <w:numId w:val="17"/>
        </w:numPr>
        <w:spacing w:line="278" w:lineRule="auto"/>
        <w:rPr>
          <w:rFonts w:ascii="Tahoma" w:hAnsi="Tahoma" w:cs="Tahoma"/>
          <w:sz w:val="24"/>
          <w:szCs w:val="24"/>
        </w:rPr>
      </w:pPr>
      <w:r w:rsidRPr="00E9304C">
        <w:rPr>
          <w:rFonts w:ascii="Tahoma" w:hAnsi="Tahoma" w:cs="Tahoma"/>
          <w:sz w:val="24"/>
          <w:szCs w:val="24"/>
        </w:rPr>
        <w:t>Structured routines and risk management</w:t>
      </w:r>
    </w:p>
    <w:p w14:paraId="7C34D918" w14:textId="77777777" w:rsidR="00C23443" w:rsidRPr="00E9304C" w:rsidRDefault="00C23443" w:rsidP="00C23443">
      <w:pPr>
        <w:rPr>
          <w:rFonts w:ascii="Tahoma" w:hAnsi="Tahoma" w:cs="Tahoma"/>
          <w:sz w:val="24"/>
          <w:szCs w:val="24"/>
        </w:rPr>
      </w:pPr>
      <w:r w:rsidRPr="00E9304C">
        <w:rPr>
          <w:rFonts w:ascii="Tahoma" w:hAnsi="Tahoma" w:cs="Tahoma"/>
          <w:sz w:val="24"/>
          <w:szCs w:val="24"/>
        </w:rPr>
        <w:t>Pearson’s RED model shows that these systems reduce functional “costs” such as risk and inconsistency. Critical insight</w:t>
      </w:r>
      <w:r w:rsidRPr="00E9304C">
        <w:rPr>
          <w:rFonts w:ascii="Tahoma" w:hAnsi="Tahoma" w:cs="Tahoma"/>
          <w:b/>
          <w:bCs/>
          <w:sz w:val="24"/>
          <w:szCs w:val="24"/>
        </w:rPr>
        <w:t>:</w:t>
      </w:r>
      <w:r w:rsidRPr="00E9304C">
        <w:rPr>
          <w:rFonts w:ascii="Tahoma" w:hAnsi="Tahoma" w:cs="Tahoma"/>
          <w:sz w:val="24"/>
          <w:szCs w:val="24"/>
        </w:rPr>
        <w:t xml:space="preserve"> RED analysis exposes contradictions, documentation pressure and audit cycles can reduce relational time, increasing emotional costs such as anxiety and reduced autonomy. This supports Kotler’s argument that functional benefits can be undermined when processes become overly procedural.</w:t>
      </w:r>
    </w:p>
    <w:p w14:paraId="127965E8"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Emotional Value (Middle Layer)</w:t>
      </w:r>
    </w:p>
    <w:p w14:paraId="5647363E" w14:textId="77777777" w:rsidR="00C23443" w:rsidRPr="00E9304C" w:rsidRDefault="00C23443" w:rsidP="00C23443">
      <w:pPr>
        <w:rPr>
          <w:rFonts w:ascii="Tahoma" w:hAnsi="Tahoma" w:cs="Tahoma"/>
          <w:sz w:val="24"/>
          <w:szCs w:val="24"/>
        </w:rPr>
      </w:pPr>
      <w:r w:rsidRPr="00E9304C">
        <w:rPr>
          <w:rFonts w:ascii="Tahoma" w:hAnsi="Tahoma" w:cs="Tahoma"/>
          <w:sz w:val="24"/>
          <w:szCs w:val="24"/>
        </w:rPr>
        <w:t>Emotional value is created when services reduce distress and increase emotional safety, trust, and predictability. Accomplish achieves emotional value through:</w:t>
      </w:r>
    </w:p>
    <w:p w14:paraId="04F8D4E0" w14:textId="77777777" w:rsidR="00C23443" w:rsidRPr="00E9304C" w:rsidRDefault="00C23443" w:rsidP="00285957">
      <w:pPr>
        <w:numPr>
          <w:ilvl w:val="0"/>
          <w:numId w:val="18"/>
        </w:numPr>
        <w:spacing w:line="278" w:lineRule="auto"/>
        <w:rPr>
          <w:rFonts w:ascii="Tahoma" w:hAnsi="Tahoma" w:cs="Tahoma"/>
          <w:sz w:val="24"/>
          <w:szCs w:val="24"/>
        </w:rPr>
      </w:pPr>
      <w:r w:rsidRPr="00E9304C">
        <w:rPr>
          <w:rFonts w:ascii="Tahoma" w:hAnsi="Tahoma" w:cs="Tahoma"/>
          <w:sz w:val="24"/>
          <w:szCs w:val="24"/>
        </w:rPr>
        <w:t>Trauma</w:t>
      </w:r>
      <w:r w:rsidRPr="00E9304C">
        <w:rPr>
          <w:rFonts w:ascii="Tahoma" w:hAnsi="Tahoma" w:cs="Tahoma"/>
          <w:sz w:val="24"/>
          <w:szCs w:val="24"/>
        </w:rPr>
        <w:noBreakHyphen/>
        <w:t>informed communication</w:t>
      </w:r>
    </w:p>
    <w:p w14:paraId="590B3B83" w14:textId="77777777" w:rsidR="00C23443" w:rsidRPr="00E9304C" w:rsidRDefault="00C23443" w:rsidP="00285957">
      <w:pPr>
        <w:numPr>
          <w:ilvl w:val="0"/>
          <w:numId w:val="18"/>
        </w:numPr>
        <w:spacing w:line="278" w:lineRule="auto"/>
        <w:rPr>
          <w:rFonts w:ascii="Tahoma" w:hAnsi="Tahoma" w:cs="Tahoma"/>
          <w:sz w:val="24"/>
          <w:szCs w:val="24"/>
        </w:rPr>
      </w:pPr>
      <w:r w:rsidRPr="00E9304C">
        <w:rPr>
          <w:rFonts w:ascii="Tahoma" w:hAnsi="Tahoma" w:cs="Tahoma"/>
          <w:sz w:val="24"/>
          <w:szCs w:val="24"/>
        </w:rPr>
        <w:t>PBS strategies</w:t>
      </w:r>
    </w:p>
    <w:p w14:paraId="1EF6FBE4" w14:textId="77777777" w:rsidR="00C23443" w:rsidRPr="00E9304C" w:rsidRDefault="00C23443" w:rsidP="00285957">
      <w:pPr>
        <w:numPr>
          <w:ilvl w:val="0"/>
          <w:numId w:val="18"/>
        </w:numPr>
        <w:spacing w:line="278" w:lineRule="auto"/>
        <w:rPr>
          <w:rFonts w:ascii="Tahoma" w:hAnsi="Tahoma" w:cs="Tahoma"/>
          <w:sz w:val="24"/>
          <w:szCs w:val="24"/>
        </w:rPr>
      </w:pPr>
      <w:r w:rsidRPr="00E9304C">
        <w:rPr>
          <w:rFonts w:ascii="Tahoma" w:hAnsi="Tahoma" w:cs="Tahoma"/>
          <w:sz w:val="24"/>
          <w:szCs w:val="24"/>
        </w:rPr>
        <w:t>Attuned staff interactions</w:t>
      </w:r>
    </w:p>
    <w:p w14:paraId="042A1181" w14:textId="77777777" w:rsidR="00C23443" w:rsidRPr="00E9304C" w:rsidRDefault="00C23443" w:rsidP="00285957">
      <w:pPr>
        <w:numPr>
          <w:ilvl w:val="0"/>
          <w:numId w:val="18"/>
        </w:numPr>
        <w:spacing w:line="278" w:lineRule="auto"/>
        <w:rPr>
          <w:rFonts w:ascii="Tahoma" w:hAnsi="Tahoma" w:cs="Tahoma"/>
          <w:sz w:val="24"/>
          <w:szCs w:val="24"/>
        </w:rPr>
      </w:pPr>
      <w:r w:rsidRPr="00E9304C">
        <w:rPr>
          <w:rFonts w:ascii="Tahoma" w:hAnsi="Tahoma" w:cs="Tahoma"/>
          <w:sz w:val="24"/>
          <w:szCs w:val="24"/>
        </w:rPr>
        <w:t>Predictable routines</w:t>
      </w:r>
    </w:p>
    <w:p w14:paraId="5CEE33C4" w14:textId="77777777" w:rsidR="00C23443" w:rsidRPr="00E9304C" w:rsidRDefault="00C23443" w:rsidP="00285957">
      <w:pPr>
        <w:numPr>
          <w:ilvl w:val="0"/>
          <w:numId w:val="18"/>
        </w:numPr>
        <w:spacing w:line="278" w:lineRule="auto"/>
        <w:rPr>
          <w:rFonts w:ascii="Tahoma" w:hAnsi="Tahoma" w:cs="Tahoma"/>
          <w:sz w:val="24"/>
          <w:szCs w:val="24"/>
        </w:rPr>
      </w:pPr>
      <w:r w:rsidRPr="00E9304C">
        <w:rPr>
          <w:rFonts w:ascii="Tahoma" w:hAnsi="Tahoma" w:cs="Tahoma"/>
          <w:sz w:val="24"/>
          <w:szCs w:val="24"/>
        </w:rPr>
        <w:t>Relational consistency</w:t>
      </w:r>
    </w:p>
    <w:p w14:paraId="3944BEFE" w14:textId="77777777" w:rsidR="00C23443" w:rsidRPr="00E9304C" w:rsidRDefault="00C23443" w:rsidP="00C23443">
      <w:pPr>
        <w:rPr>
          <w:rFonts w:ascii="Tahoma" w:hAnsi="Tahoma" w:cs="Tahoma"/>
          <w:sz w:val="24"/>
          <w:szCs w:val="24"/>
        </w:rPr>
      </w:pPr>
      <w:r w:rsidRPr="00E9304C">
        <w:rPr>
          <w:rFonts w:ascii="Tahoma" w:hAnsi="Tahoma" w:cs="Tahoma"/>
          <w:sz w:val="24"/>
          <w:szCs w:val="24"/>
        </w:rPr>
        <w:t xml:space="preserve">Shaw &amp; Hamilton (2020) emphasise that emotional and subconscious cues shape customer experience more strongly than rational tasks. Critical insight: RED analysis challenges assumptions such as “training equals competence.” Incident trends show </w:t>
      </w:r>
      <w:r w:rsidRPr="00E9304C">
        <w:rPr>
          <w:rFonts w:ascii="Tahoma" w:hAnsi="Tahoma" w:cs="Tahoma"/>
          <w:sz w:val="24"/>
          <w:szCs w:val="24"/>
        </w:rPr>
        <w:lastRenderedPageBreak/>
        <w:t>variability in staff practice, reinforcing Kumar’s argument that emotional intelligence — not training alone — drives relational value.</w:t>
      </w:r>
    </w:p>
    <w:p w14:paraId="1D5FF97B"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Life</w:t>
      </w:r>
      <w:r w:rsidRPr="00E9304C">
        <w:rPr>
          <w:rFonts w:ascii="Tahoma" w:hAnsi="Tahoma" w:cs="Tahoma"/>
          <w:b/>
          <w:bCs/>
          <w:sz w:val="24"/>
          <w:szCs w:val="24"/>
          <w:u w:val="single"/>
        </w:rPr>
        <w:noBreakHyphen/>
        <w:t>Changing Value (Top Layer)</w:t>
      </w:r>
    </w:p>
    <w:p w14:paraId="05F2AA0C" w14:textId="77777777" w:rsidR="00C23443" w:rsidRPr="00E9304C" w:rsidRDefault="00C23443" w:rsidP="00C23443">
      <w:pPr>
        <w:rPr>
          <w:rFonts w:ascii="Tahoma" w:hAnsi="Tahoma" w:cs="Tahoma"/>
          <w:sz w:val="24"/>
          <w:szCs w:val="24"/>
        </w:rPr>
      </w:pPr>
      <w:r w:rsidRPr="00E9304C">
        <w:rPr>
          <w:rFonts w:ascii="Tahoma" w:hAnsi="Tahoma" w:cs="Tahoma"/>
          <w:sz w:val="24"/>
          <w:szCs w:val="24"/>
        </w:rPr>
        <w:t>Life</w:t>
      </w:r>
      <w:r w:rsidRPr="00E9304C">
        <w:rPr>
          <w:rFonts w:ascii="Tahoma" w:hAnsi="Tahoma" w:cs="Tahoma"/>
          <w:sz w:val="24"/>
          <w:szCs w:val="24"/>
        </w:rPr>
        <w:noBreakHyphen/>
        <w:t>changing value includes autonomy, hope, belonging, identity development, and personal growth. Accomplish supports this through:</w:t>
      </w:r>
    </w:p>
    <w:p w14:paraId="497230FA" w14:textId="77777777" w:rsidR="00C23443" w:rsidRPr="00E9304C" w:rsidRDefault="00C23443" w:rsidP="00285957">
      <w:pPr>
        <w:numPr>
          <w:ilvl w:val="0"/>
          <w:numId w:val="19"/>
        </w:numPr>
        <w:spacing w:line="278" w:lineRule="auto"/>
        <w:rPr>
          <w:rFonts w:ascii="Tahoma" w:hAnsi="Tahoma" w:cs="Tahoma"/>
          <w:sz w:val="24"/>
          <w:szCs w:val="24"/>
        </w:rPr>
      </w:pPr>
      <w:r w:rsidRPr="00E9304C">
        <w:rPr>
          <w:rFonts w:ascii="Tahoma" w:hAnsi="Tahoma" w:cs="Tahoma"/>
          <w:sz w:val="24"/>
          <w:szCs w:val="24"/>
        </w:rPr>
        <w:t>Personalised care plans</w:t>
      </w:r>
    </w:p>
    <w:p w14:paraId="3CCDBD83" w14:textId="77777777" w:rsidR="00C23443" w:rsidRPr="00E9304C" w:rsidRDefault="00C23443" w:rsidP="00285957">
      <w:pPr>
        <w:numPr>
          <w:ilvl w:val="0"/>
          <w:numId w:val="19"/>
        </w:numPr>
        <w:spacing w:line="278" w:lineRule="auto"/>
        <w:rPr>
          <w:rFonts w:ascii="Tahoma" w:hAnsi="Tahoma" w:cs="Tahoma"/>
          <w:sz w:val="24"/>
          <w:szCs w:val="24"/>
        </w:rPr>
      </w:pPr>
      <w:r w:rsidRPr="00E9304C">
        <w:rPr>
          <w:rFonts w:ascii="Tahoma" w:hAnsi="Tahoma" w:cs="Tahoma"/>
          <w:sz w:val="24"/>
          <w:szCs w:val="24"/>
        </w:rPr>
        <w:t>Resident involvement</w:t>
      </w:r>
    </w:p>
    <w:p w14:paraId="3BEC2A80" w14:textId="77777777" w:rsidR="00C23443" w:rsidRPr="00E9304C" w:rsidRDefault="00C23443" w:rsidP="00285957">
      <w:pPr>
        <w:numPr>
          <w:ilvl w:val="0"/>
          <w:numId w:val="19"/>
        </w:numPr>
        <w:spacing w:line="278" w:lineRule="auto"/>
        <w:rPr>
          <w:rFonts w:ascii="Tahoma" w:hAnsi="Tahoma" w:cs="Tahoma"/>
          <w:sz w:val="24"/>
          <w:szCs w:val="24"/>
        </w:rPr>
      </w:pPr>
      <w:r w:rsidRPr="00E9304C">
        <w:rPr>
          <w:rFonts w:ascii="Tahoma" w:hAnsi="Tahoma" w:cs="Tahoma"/>
          <w:sz w:val="24"/>
          <w:szCs w:val="24"/>
        </w:rPr>
        <w:t>Meaningful engagement</w:t>
      </w:r>
    </w:p>
    <w:p w14:paraId="6E273728" w14:textId="77777777" w:rsidR="00C23443" w:rsidRPr="00E9304C" w:rsidRDefault="00C23443" w:rsidP="00285957">
      <w:pPr>
        <w:numPr>
          <w:ilvl w:val="0"/>
          <w:numId w:val="19"/>
        </w:numPr>
        <w:spacing w:line="278" w:lineRule="auto"/>
        <w:rPr>
          <w:rFonts w:ascii="Tahoma" w:hAnsi="Tahoma" w:cs="Tahoma"/>
          <w:sz w:val="24"/>
          <w:szCs w:val="24"/>
        </w:rPr>
      </w:pPr>
      <w:r w:rsidRPr="00E9304C">
        <w:rPr>
          <w:rFonts w:ascii="Tahoma" w:hAnsi="Tahoma" w:cs="Tahoma"/>
          <w:sz w:val="24"/>
          <w:szCs w:val="24"/>
        </w:rPr>
        <w:t>Trauma</w:t>
      </w:r>
      <w:r w:rsidRPr="00E9304C">
        <w:rPr>
          <w:rFonts w:ascii="Tahoma" w:hAnsi="Tahoma" w:cs="Tahoma"/>
          <w:sz w:val="24"/>
          <w:szCs w:val="24"/>
        </w:rPr>
        <w:noBreakHyphen/>
        <w:t>informed stability</w:t>
      </w:r>
    </w:p>
    <w:p w14:paraId="717BDE62" w14:textId="77777777" w:rsidR="00C23443" w:rsidRPr="00E9304C" w:rsidRDefault="00C23443" w:rsidP="00285957">
      <w:pPr>
        <w:numPr>
          <w:ilvl w:val="0"/>
          <w:numId w:val="19"/>
        </w:numPr>
        <w:spacing w:line="278" w:lineRule="auto"/>
        <w:rPr>
          <w:rFonts w:ascii="Tahoma" w:hAnsi="Tahoma" w:cs="Tahoma"/>
          <w:sz w:val="24"/>
          <w:szCs w:val="24"/>
        </w:rPr>
      </w:pPr>
      <w:r w:rsidRPr="00E9304C">
        <w:rPr>
          <w:rFonts w:ascii="Tahoma" w:hAnsi="Tahoma" w:cs="Tahoma"/>
          <w:sz w:val="24"/>
          <w:szCs w:val="24"/>
        </w:rPr>
        <w:t>PBS</w:t>
      </w:r>
      <w:r w:rsidRPr="00E9304C">
        <w:rPr>
          <w:rFonts w:ascii="Tahoma" w:hAnsi="Tahoma" w:cs="Tahoma"/>
          <w:sz w:val="24"/>
          <w:szCs w:val="24"/>
        </w:rPr>
        <w:noBreakHyphen/>
        <w:t>based empowerment</w:t>
      </w:r>
    </w:p>
    <w:p w14:paraId="380F4253" w14:textId="77777777" w:rsidR="00C23443" w:rsidRPr="00E9304C" w:rsidRDefault="00C23443" w:rsidP="00C23443">
      <w:pPr>
        <w:rPr>
          <w:rFonts w:ascii="Tahoma" w:hAnsi="Tahoma" w:cs="Tahoma"/>
          <w:sz w:val="24"/>
          <w:szCs w:val="24"/>
        </w:rPr>
      </w:pPr>
    </w:p>
    <w:p w14:paraId="3C703335" w14:textId="77777777" w:rsidR="00C23443" w:rsidRPr="00E9304C" w:rsidRDefault="00C23443" w:rsidP="00C23443">
      <w:pPr>
        <w:rPr>
          <w:rFonts w:ascii="Tahoma" w:hAnsi="Tahoma" w:cs="Tahoma"/>
          <w:sz w:val="24"/>
          <w:szCs w:val="24"/>
        </w:rPr>
      </w:pPr>
    </w:p>
    <w:p w14:paraId="376955EA" w14:textId="77777777" w:rsidR="00C23443" w:rsidRPr="00E9304C" w:rsidRDefault="00C23443" w:rsidP="00C23443">
      <w:pPr>
        <w:rPr>
          <w:rFonts w:ascii="Tahoma" w:hAnsi="Tahoma" w:cs="Tahoma"/>
          <w:sz w:val="24"/>
          <w:szCs w:val="24"/>
        </w:rPr>
      </w:pPr>
    </w:p>
    <w:p w14:paraId="5F11CDCB" w14:textId="77777777" w:rsidR="00C23443" w:rsidRPr="00E9304C" w:rsidRDefault="00C23443" w:rsidP="00C23443">
      <w:pPr>
        <w:rPr>
          <w:rFonts w:ascii="Tahoma" w:hAnsi="Tahoma" w:cs="Tahoma"/>
          <w:sz w:val="24"/>
          <w:szCs w:val="24"/>
        </w:rPr>
      </w:pPr>
    </w:p>
    <w:p w14:paraId="4910D224" w14:textId="77777777" w:rsidR="00C23443" w:rsidRPr="00E9304C" w:rsidRDefault="00C23443" w:rsidP="00C23443">
      <w:pPr>
        <w:rPr>
          <w:rFonts w:ascii="Tahoma" w:hAnsi="Tahoma" w:cs="Tahoma"/>
          <w:sz w:val="24"/>
          <w:szCs w:val="24"/>
        </w:rPr>
      </w:pPr>
    </w:p>
    <w:p w14:paraId="3DC9A8C2" w14:textId="77777777" w:rsidR="00F6616C" w:rsidRDefault="00F6616C" w:rsidP="00C23443">
      <w:pPr>
        <w:rPr>
          <w:rFonts w:ascii="Tahoma" w:hAnsi="Tahoma" w:cs="Tahoma"/>
          <w:b/>
          <w:bCs/>
          <w:sz w:val="24"/>
          <w:szCs w:val="24"/>
          <w:u w:val="single"/>
        </w:rPr>
      </w:pPr>
    </w:p>
    <w:p w14:paraId="6B7CBE57" w14:textId="77777777" w:rsidR="00F6616C" w:rsidRDefault="00F6616C" w:rsidP="00C23443">
      <w:pPr>
        <w:rPr>
          <w:rFonts w:ascii="Tahoma" w:hAnsi="Tahoma" w:cs="Tahoma"/>
          <w:b/>
          <w:bCs/>
          <w:sz w:val="24"/>
          <w:szCs w:val="24"/>
          <w:u w:val="single"/>
        </w:rPr>
      </w:pPr>
    </w:p>
    <w:p w14:paraId="0FC6CE9B" w14:textId="77777777" w:rsidR="00F6616C" w:rsidRDefault="00F6616C" w:rsidP="00C23443">
      <w:pPr>
        <w:rPr>
          <w:rFonts w:ascii="Tahoma" w:hAnsi="Tahoma" w:cs="Tahoma"/>
          <w:b/>
          <w:bCs/>
          <w:sz w:val="24"/>
          <w:szCs w:val="24"/>
          <w:u w:val="single"/>
        </w:rPr>
      </w:pPr>
    </w:p>
    <w:p w14:paraId="27CA653C" w14:textId="77777777" w:rsidR="00F6616C" w:rsidRDefault="00F6616C" w:rsidP="00C23443">
      <w:pPr>
        <w:rPr>
          <w:rFonts w:ascii="Tahoma" w:hAnsi="Tahoma" w:cs="Tahoma"/>
          <w:b/>
          <w:bCs/>
          <w:sz w:val="24"/>
          <w:szCs w:val="24"/>
          <w:u w:val="single"/>
        </w:rPr>
      </w:pPr>
    </w:p>
    <w:p w14:paraId="352B0A61" w14:textId="77777777" w:rsidR="00F6616C" w:rsidRDefault="00F6616C" w:rsidP="00C23443">
      <w:pPr>
        <w:rPr>
          <w:rFonts w:ascii="Tahoma" w:hAnsi="Tahoma" w:cs="Tahoma"/>
          <w:b/>
          <w:bCs/>
          <w:sz w:val="24"/>
          <w:szCs w:val="24"/>
          <w:u w:val="single"/>
        </w:rPr>
      </w:pPr>
    </w:p>
    <w:p w14:paraId="7F3DC94E" w14:textId="77777777" w:rsidR="00F6616C" w:rsidRDefault="00F6616C" w:rsidP="00C23443">
      <w:pPr>
        <w:rPr>
          <w:rFonts w:ascii="Tahoma" w:hAnsi="Tahoma" w:cs="Tahoma"/>
          <w:b/>
          <w:bCs/>
          <w:sz w:val="24"/>
          <w:szCs w:val="24"/>
          <w:u w:val="single"/>
        </w:rPr>
      </w:pPr>
    </w:p>
    <w:p w14:paraId="19C51970" w14:textId="77777777" w:rsidR="00F6616C" w:rsidRDefault="00F6616C" w:rsidP="00C23443">
      <w:pPr>
        <w:rPr>
          <w:rFonts w:ascii="Tahoma" w:hAnsi="Tahoma" w:cs="Tahoma"/>
          <w:b/>
          <w:bCs/>
          <w:sz w:val="24"/>
          <w:szCs w:val="24"/>
          <w:u w:val="single"/>
        </w:rPr>
      </w:pPr>
    </w:p>
    <w:p w14:paraId="3AA08139" w14:textId="77777777" w:rsidR="00F6616C" w:rsidRDefault="00F6616C" w:rsidP="00C23443">
      <w:pPr>
        <w:rPr>
          <w:rFonts w:ascii="Tahoma" w:hAnsi="Tahoma" w:cs="Tahoma"/>
          <w:b/>
          <w:bCs/>
          <w:sz w:val="24"/>
          <w:szCs w:val="24"/>
          <w:u w:val="single"/>
        </w:rPr>
      </w:pPr>
    </w:p>
    <w:p w14:paraId="6204CBEE" w14:textId="77777777" w:rsidR="00F6616C" w:rsidRDefault="00F6616C" w:rsidP="00C23443">
      <w:pPr>
        <w:rPr>
          <w:rFonts w:ascii="Tahoma" w:hAnsi="Tahoma" w:cs="Tahoma"/>
          <w:b/>
          <w:bCs/>
          <w:sz w:val="24"/>
          <w:szCs w:val="24"/>
          <w:u w:val="single"/>
        </w:rPr>
      </w:pPr>
    </w:p>
    <w:p w14:paraId="272E8D67" w14:textId="77777777" w:rsidR="00F6616C" w:rsidRDefault="00F6616C" w:rsidP="00C23443">
      <w:pPr>
        <w:rPr>
          <w:rFonts w:ascii="Tahoma" w:hAnsi="Tahoma" w:cs="Tahoma"/>
          <w:b/>
          <w:bCs/>
          <w:sz w:val="24"/>
          <w:szCs w:val="24"/>
          <w:u w:val="single"/>
        </w:rPr>
      </w:pPr>
    </w:p>
    <w:p w14:paraId="7669AE3D" w14:textId="77777777" w:rsidR="00F6616C" w:rsidRDefault="00F6616C" w:rsidP="00C23443">
      <w:pPr>
        <w:rPr>
          <w:rFonts w:ascii="Tahoma" w:hAnsi="Tahoma" w:cs="Tahoma"/>
          <w:b/>
          <w:bCs/>
          <w:sz w:val="24"/>
          <w:szCs w:val="24"/>
          <w:u w:val="single"/>
        </w:rPr>
      </w:pPr>
    </w:p>
    <w:p w14:paraId="0BD0B4D4" w14:textId="77777777" w:rsidR="00F6616C" w:rsidRDefault="00F6616C" w:rsidP="00C23443">
      <w:pPr>
        <w:rPr>
          <w:rFonts w:ascii="Tahoma" w:hAnsi="Tahoma" w:cs="Tahoma"/>
          <w:b/>
          <w:bCs/>
          <w:sz w:val="24"/>
          <w:szCs w:val="24"/>
          <w:u w:val="single"/>
        </w:rPr>
      </w:pPr>
    </w:p>
    <w:p w14:paraId="3D3FEF48" w14:textId="77777777" w:rsidR="00F6616C" w:rsidRDefault="00F6616C" w:rsidP="00C23443">
      <w:pPr>
        <w:rPr>
          <w:rFonts w:ascii="Tahoma" w:hAnsi="Tahoma" w:cs="Tahoma"/>
          <w:b/>
          <w:bCs/>
          <w:sz w:val="24"/>
          <w:szCs w:val="24"/>
          <w:u w:val="single"/>
        </w:rPr>
      </w:pPr>
    </w:p>
    <w:p w14:paraId="0E1A2369" w14:textId="77777777" w:rsidR="00F6616C" w:rsidRDefault="00F6616C" w:rsidP="00C23443">
      <w:pPr>
        <w:rPr>
          <w:rFonts w:ascii="Tahoma" w:hAnsi="Tahoma" w:cs="Tahoma"/>
          <w:b/>
          <w:bCs/>
          <w:sz w:val="24"/>
          <w:szCs w:val="24"/>
          <w:u w:val="single"/>
        </w:rPr>
      </w:pPr>
    </w:p>
    <w:p w14:paraId="255A9069" w14:textId="675FD908"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 xml:space="preserve">Appendix E: Customer Lifecycle </w:t>
      </w:r>
      <w:r w:rsidR="00F6616C">
        <w:rPr>
          <w:rFonts w:ascii="Tahoma" w:hAnsi="Tahoma" w:cs="Tahoma"/>
          <w:b/>
          <w:bCs/>
          <w:sz w:val="24"/>
          <w:szCs w:val="24"/>
          <w:u w:val="single"/>
        </w:rPr>
        <w:t>Diagrram</w:t>
      </w:r>
    </w:p>
    <w:p w14:paraId="1E62E41D" w14:textId="77777777" w:rsidR="00C23443" w:rsidRPr="00E9304C" w:rsidRDefault="00C23443" w:rsidP="00C23443">
      <w:pPr>
        <w:rPr>
          <w:rFonts w:ascii="Tahoma" w:hAnsi="Tahoma" w:cs="Tahoma"/>
          <w:sz w:val="24"/>
          <w:szCs w:val="24"/>
        </w:rPr>
      </w:pPr>
      <w:r w:rsidRPr="00E9304C">
        <w:rPr>
          <w:rFonts w:ascii="Tahoma" w:hAnsi="Tahoma" w:cs="Tahoma"/>
          <w:sz w:val="24"/>
          <w:szCs w:val="24"/>
        </w:rPr>
        <w:t>The customer lifecycle describes the stages through which customers (residents, families, commissioners, regulators, MDT professionals) engage with an organisation over time. In residential mental</w:t>
      </w:r>
      <w:r w:rsidRPr="00E9304C">
        <w:rPr>
          <w:rFonts w:ascii="Tahoma" w:hAnsi="Tahoma" w:cs="Tahoma"/>
          <w:sz w:val="24"/>
          <w:szCs w:val="24"/>
        </w:rPr>
        <w:noBreakHyphen/>
        <w:t>health care, the lifecycle is relational rather than commercial, shaped by emotional safety, predictability, trauma</w:t>
      </w:r>
      <w:r w:rsidRPr="00E9304C">
        <w:rPr>
          <w:rFonts w:ascii="Tahoma" w:hAnsi="Tahoma" w:cs="Tahoma"/>
          <w:sz w:val="24"/>
          <w:szCs w:val="24"/>
        </w:rPr>
        <w:noBreakHyphen/>
        <w:t>informed practice, and multi</w:t>
      </w:r>
      <w:r w:rsidRPr="00E9304C">
        <w:rPr>
          <w:rFonts w:ascii="Tahoma" w:hAnsi="Tahoma" w:cs="Tahoma"/>
          <w:sz w:val="24"/>
          <w:szCs w:val="24"/>
        </w:rPr>
        <w:noBreakHyphen/>
        <w:t>agency decision</w:t>
      </w:r>
      <w:r w:rsidRPr="00E9304C">
        <w:rPr>
          <w:rFonts w:ascii="Tahoma" w:hAnsi="Tahoma" w:cs="Tahoma"/>
          <w:sz w:val="24"/>
          <w:szCs w:val="24"/>
        </w:rPr>
        <w:noBreakHyphen/>
        <w:t>making.</w:t>
      </w:r>
    </w:p>
    <w:p w14:paraId="52D5E973" w14:textId="77777777" w:rsidR="00C23443" w:rsidRPr="00E9304C" w:rsidRDefault="00C23443" w:rsidP="00C23443">
      <w:pPr>
        <w:rPr>
          <w:rFonts w:ascii="Tahoma" w:hAnsi="Tahoma" w:cs="Tahoma"/>
          <w:sz w:val="24"/>
          <w:szCs w:val="24"/>
        </w:rPr>
      </w:pPr>
      <w:r w:rsidRPr="00E9304C">
        <w:rPr>
          <w:rFonts w:ascii="Tahoma" w:hAnsi="Tahoma" w:cs="Tahoma"/>
          <w:sz w:val="24"/>
          <w:szCs w:val="24"/>
        </w:rPr>
        <w:t>The lifecycle typically includes five stages: acquisition, onboarding, experience, retention, and advocacy. Each stage creates different forms of functional, emotional, and life</w:t>
      </w:r>
      <w:r w:rsidRPr="00E9304C">
        <w:rPr>
          <w:rFonts w:ascii="Tahoma" w:hAnsi="Tahoma" w:cs="Tahoma"/>
          <w:sz w:val="24"/>
          <w:szCs w:val="24"/>
        </w:rPr>
        <w:noBreakHyphen/>
        <w:t>changing value.</w:t>
      </w:r>
    </w:p>
    <w:tbl>
      <w:tblPr>
        <w:tblStyle w:val="TableGrid"/>
        <w:tblW w:w="0" w:type="auto"/>
        <w:tblLook w:val="04A0" w:firstRow="1" w:lastRow="0" w:firstColumn="1" w:lastColumn="0" w:noHBand="0" w:noVBand="1"/>
      </w:tblPr>
      <w:tblGrid>
        <w:gridCol w:w="2254"/>
        <w:gridCol w:w="2986"/>
        <w:gridCol w:w="3686"/>
      </w:tblGrid>
      <w:tr w:rsidR="00C23443" w:rsidRPr="00E9304C" w14:paraId="5B1E4683" w14:textId="77777777" w:rsidTr="00130D10">
        <w:tc>
          <w:tcPr>
            <w:tcW w:w="2254" w:type="dxa"/>
          </w:tcPr>
          <w:p w14:paraId="7369D477" w14:textId="77777777" w:rsidR="00C23443" w:rsidRPr="00E9304C" w:rsidRDefault="00C23443" w:rsidP="00130D10">
            <w:pPr>
              <w:rPr>
                <w:rFonts w:ascii="Tahoma" w:hAnsi="Tahoma" w:cs="Tahoma"/>
                <w:sz w:val="24"/>
                <w:szCs w:val="24"/>
              </w:rPr>
            </w:pPr>
            <w:r w:rsidRPr="00E9304C">
              <w:rPr>
                <w:rFonts w:ascii="Tahoma" w:hAnsi="Tahoma" w:cs="Tahoma"/>
                <w:sz w:val="24"/>
                <w:szCs w:val="24"/>
              </w:rPr>
              <w:t>Lifecycle Stage</w:t>
            </w:r>
          </w:p>
        </w:tc>
        <w:tc>
          <w:tcPr>
            <w:tcW w:w="2986" w:type="dxa"/>
            <w:vAlign w:val="center"/>
          </w:tcPr>
          <w:p w14:paraId="3E08C474" w14:textId="77777777" w:rsidR="00C23443" w:rsidRPr="00E9304C" w:rsidRDefault="00C23443" w:rsidP="00130D10">
            <w:pPr>
              <w:rPr>
                <w:rFonts w:ascii="Tahoma" w:hAnsi="Tahoma" w:cs="Tahoma"/>
                <w:sz w:val="24"/>
                <w:szCs w:val="24"/>
              </w:rPr>
            </w:pPr>
            <w:r w:rsidRPr="00E9304C">
              <w:rPr>
                <w:rFonts w:ascii="Tahoma" w:hAnsi="Tahoma" w:cs="Tahoma"/>
                <w:sz w:val="24"/>
                <w:szCs w:val="24"/>
              </w:rPr>
              <w:t>Description</w:t>
            </w:r>
          </w:p>
        </w:tc>
        <w:tc>
          <w:tcPr>
            <w:tcW w:w="3686" w:type="dxa"/>
          </w:tcPr>
          <w:p w14:paraId="71656D48" w14:textId="77777777" w:rsidR="00C23443" w:rsidRPr="00E9304C" w:rsidRDefault="00C23443" w:rsidP="00130D10">
            <w:pPr>
              <w:rPr>
                <w:rFonts w:ascii="Tahoma" w:hAnsi="Tahoma" w:cs="Tahoma"/>
                <w:sz w:val="24"/>
                <w:szCs w:val="24"/>
              </w:rPr>
            </w:pPr>
            <w:r w:rsidRPr="00E9304C">
              <w:rPr>
                <w:rFonts w:ascii="Tahoma" w:hAnsi="Tahoma" w:cs="Tahoma"/>
                <w:sz w:val="24"/>
                <w:szCs w:val="24"/>
              </w:rPr>
              <w:t>Value Created</w:t>
            </w:r>
          </w:p>
        </w:tc>
      </w:tr>
      <w:tr w:rsidR="00C23443" w:rsidRPr="00E9304C" w14:paraId="06522C27" w14:textId="77777777" w:rsidTr="00130D10">
        <w:tc>
          <w:tcPr>
            <w:tcW w:w="2254" w:type="dxa"/>
          </w:tcPr>
          <w:p w14:paraId="3383E409" w14:textId="77777777" w:rsidR="00C23443" w:rsidRPr="00E9304C" w:rsidRDefault="00C23443" w:rsidP="00130D10">
            <w:pPr>
              <w:rPr>
                <w:rFonts w:ascii="Tahoma" w:hAnsi="Tahoma" w:cs="Tahoma"/>
                <w:sz w:val="24"/>
                <w:szCs w:val="24"/>
              </w:rPr>
            </w:pPr>
            <w:r w:rsidRPr="00E9304C">
              <w:rPr>
                <w:rFonts w:ascii="Tahoma" w:hAnsi="Tahoma" w:cs="Tahoma"/>
                <w:sz w:val="24"/>
                <w:szCs w:val="24"/>
              </w:rPr>
              <w:t>Acquisition</w:t>
            </w:r>
          </w:p>
        </w:tc>
        <w:tc>
          <w:tcPr>
            <w:tcW w:w="2986" w:type="dxa"/>
          </w:tcPr>
          <w:p w14:paraId="65CFFBF1" w14:textId="77777777" w:rsidR="00C23443" w:rsidRPr="00E9304C" w:rsidRDefault="00C23443" w:rsidP="00130D10">
            <w:pPr>
              <w:rPr>
                <w:rFonts w:ascii="Tahoma" w:hAnsi="Tahoma" w:cs="Tahoma"/>
                <w:sz w:val="24"/>
                <w:szCs w:val="24"/>
              </w:rPr>
            </w:pPr>
            <w:r w:rsidRPr="00E9304C">
              <w:rPr>
                <w:rFonts w:ascii="Tahoma" w:hAnsi="Tahoma" w:cs="Tahoma"/>
                <w:sz w:val="24"/>
                <w:szCs w:val="24"/>
              </w:rPr>
              <w:t>Referral, assessment, MDT decision</w:t>
            </w:r>
            <w:r w:rsidRPr="00E9304C">
              <w:rPr>
                <w:rFonts w:ascii="Tahoma" w:hAnsi="Tahoma" w:cs="Tahoma"/>
                <w:sz w:val="24"/>
                <w:szCs w:val="24"/>
              </w:rPr>
              <w:noBreakHyphen/>
              <w:t>making, commissioner engagement</w:t>
            </w:r>
          </w:p>
        </w:tc>
        <w:tc>
          <w:tcPr>
            <w:tcW w:w="3686" w:type="dxa"/>
          </w:tcPr>
          <w:p w14:paraId="7701421C" w14:textId="77777777" w:rsidR="00C23443" w:rsidRPr="00E9304C" w:rsidRDefault="00C23443" w:rsidP="00130D10">
            <w:pPr>
              <w:rPr>
                <w:rFonts w:ascii="Tahoma" w:hAnsi="Tahoma" w:cs="Tahoma"/>
                <w:sz w:val="24"/>
                <w:szCs w:val="24"/>
              </w:rPr>
            </w:pPr>
            <w:r w:rsidRPr="00E9304C">
              <w:rPr>
                <w:rFonts w:ascii="Tahoma" w:hAnsi="Tahoma" w:cs="Tahoma"/>
                <w:sz w:val="24"/>
                <w:szCs w:val="24"/>
              </w:rPr>
              <w:t>Functional value: safety, suitability, regulatory confidence</w:t>
            </w:r>
          </w:p>
        </w:tc>
      </w:tr>
      <w:tr w:rsidR="00C23443" w:rsidRPr="00E9304C" w14:paraId="0162A2F8" w14:textId="77777777" w:rsidTr="00130D10">
        <w:tc>
          <w:tcPr>
            <w:tcW w:w="2254" w:type="dxa"/>
          </w:tcPr>
          <w:p w14:paraId="197490F0" w14:textId="77777777" w:rsidR="00C23443" w:rsidRPr="00E9304C" w:rsidRDefault="00C23443" w:rsidP="00130D10">
            <w:pPr>
              <w:rPr>
                <w:rFonts w:ascii="Tahoma" w:hAnsi="Tahoma" w:cs="Tahoma"/>
                <w:sz w:val="24"/>
                <w:szCs w:val="24"/>
              </w:rPr>
            </w:pPr>
            <w:r w:rsidRPr="00E9304C">
              <w:rPr>
                <w:rFonts w:ascii="Tahoma" w:hAnsi="Tahoma" w:cs="Tahoma"/>
                <w:sz w:val="24"/>
                <w:szCs w:val="24"/>
              </w:rPr>
              <w:t>Onboarding</w:t>
            </w:r>
          </w:p>
        </w:tc>
        <w:tc>
          <w:tcPr>
            <w:tcW w:w="2986" w:type="dxa"/>
          </w:tcPr>
          <w:p w14:paraId="27E90694" w14:textId="77777777" w:rsidR="00C23443" w:rsidRPr="00E9304C" w:rsidRDefault="00C23443" w:rsidP="00130D10">
            <w:pPr>
              <w:rPr>
                <w:rFonts w:ascii="Tahoma" w:hAnsi="Tahoma" w:cs="Tahoma"/>
                <w:sz w:val="24"/>
                <w:szCs w:val="24"/>
              </w:rPr>
            </w:pPr>
            <w:r w:rsidRPr="00E9304C">
              <w:rPr>
                <w:rFonts w:ascii="Tahoma" w:hAnsi="Tahoma" w:cs="Tahoma"/>
                <w:sz w:val="24"/>
                <w:szCs w:val="24"/>
              </w:rPr>
              <w:t>Transition planning, risk assessment, personalised care planning</w:t>
            </w:r>
          </w:p>
        </w:tc>
        <w:tc>
          <w:tcPr>
            <w:tcW w:w="3686" w:type="dxa"/>
          </w:tcPr>
          <w:p w14:paraId="31AE28DE" w14:textId="77777777" w:rsidR="00C23443" w:rsidRPr="00E9304C" w:rsidRDefault="00C23443" w:rsidP="00130D10">
            <w:pPr>
              <w:rPr>
                <w:rFonts w:ascii="Tahoma" w:hAnsi="Tahoma" w:cs="Tahoma"/>
                <w:sz w:val="24"/>
                <w:szCs w:val="24"/>
              </w:rPr>
            </w:pPr>
            <w:r w:rsidRPr="00E9304C">
              <w:rPr>
                <w:rFonts w:ascii="Tahoma" w:hAnsi="Tahoma" w:cs="Tahoma"/>
                <w:sz w:val="24"/>
                <w:szCs w:val="24"/>
              </w:rPr>
              <w:t>Emotional value: predictability, trust, trauma</w:t>
            </w:r>
            <w:r w:rsidRPr="00E9304C">
              <w:rPr>
                <w:rFonts w:ascii="Tahoma" w:hAnsi="Tahoma" w:cs="Tahoma"/>
                <w:sz w:val="24"/>
                <w:szCs w:val="24"/>
              </w:rPr>
              <w:noBreakHyphen/>
              <w:t>informed stability</w:t>
            </w:r>
          </w:p>
        </w:tc>
      </w:tr>
      <w:tr w:rsidR="00C23443" w:rsidRPr="00E9304C" w14:paraId="032AC79F" w14:textId="77777777" w:rsidTr="00130D10">
        <w:tc>
          <w:tcPr>
            <w:tcW w:w="2254" w:type="dxa"/>
          </w:tcPr>
          <w:p w14:paraId="4012C129" w14:textId="77777777" w:rsidR="00C23443" w:rsidRPr="00E9304C" w:rsidRDefault="00C23443" w:rsidP="00130D10">
            <w:pPr>
              <w:rPr>
                <w:rFonts w:ascii="Tahoma" w:hAnsi="Tahoma" w:cs="Tahoma"/>
                <w:sz w:val="24"/>
                <w:szCs w:val="24"/>
              </w:rPr>
            </w:pPr>
            <w:r w:rsidRPr="00E9304C">
              <w:rPr>
                <w:rFonts w:ascii="Tahoma" w:hAnsi="Tahoma" w:cs="Tahoma"/>
                <w:sz w:val="24"/>
                <w:szCs w:val="24"/>
              </w:rPr>
              <w:t>Experience</w:t>
            </w:r>
          </w:p>
        </w:tc>
        <w:tc>
          <w:tcPr>
            <w:tcW w:w="2986" w:type="dxa"/>
          </w:tcPr>
          <w:p w14:paraId="2A891D29" w14:textId="77777777" w:rsidR="00C23443" w:rsidRPr="00E9304C" w:rsidRDefault="00C23443" w:rsidP="00130D10">
            <w:pPr>
              <w:rPr>
                <w:rFonts w:ascii="Tahoma" w:hAnsi="Tahoma" w:cs="Tahoma"/>
                <w:sz w:val="24"/>
                <w:szCs w:val="24"/>
              </w:rPr>
            </w:pPr>
            <w:r w:rsidRPr="00E9304C">
              <w:rPr>
                <w:rFonts w:ascii="Tahoma" w:hAnsi="Tahoma" w:cs="Tahoma"/>
                <w:sz w:val="24"/>
                <w:szCs w:val="24"/>
              </w:rPr>
              <w:t>Daily living, PBS strategies, relational consistency, communication</w:t>
            </w:r>
          </w:p>
        </w:tc>
        <w:tc>
          <w:tcPr>
            <w:tcW w:w="3686" w:type="dxa"/>
          </w:tcPr>
          <w:p w14:paraId="693075F9" w14:textId="77777777" w:rsidR="00C23443" w:rsidRPr="00E9304C" w:rsidRDefault="00C23443" w:rsidP="00130D10">
            <w:pPr>
              <w:rPr>
                <w:rFonts w:ascii="Tahoma" w:hAnsi="Tahoma" w:cs="Tahoma"/>
                <w:sz w:val="24"/>
                <w:szCs w:val="24"/>
              </w:rPr>
            </w:pPr>
            <w:r w:rsidRPr="00E9304C">
              <w:rPr>
                <w:rFonts w:ascii="Tahoma" w:hAnsi="Tahoma" w:cs="Tahoma"/>
                <w:sz w:val="24"/>
                <w:szCs w:val="24"/>
              </w:rPr>
              <w:t>Emotional &amp; life</w:t>
            </w:r>
            <w:r w:rsidRPr="00E9304C">
              <w:rPr>
                <w:rFonts w:ascii="Tahoma" w:hAnsi="Tahoma" w:cs="Tahoma"/>
                <w:sz w:val="24"/>
                <w:szCs w:val="24"/>
              </w:rPr>
              <w:noBreakHyphen/>
              <w:t>changing value: belonging, identity, autonomy</w:t>
            </w:r>
          </w:p>
        </w:tc>
      </w:tr>
      <w:tr w:rsidR="00C23443" w:rsidRPr="00E9304C" w14:paraId="64A09A0F" w14:textId="77777777" w:rsidTr="00130D10">
        <w:tc>
          <w:tcPr>
            <w:tcW w:w="2254" w:type="dxa"/>
          </w:tcPr>
          <w:p w14:paraId="1B38E366" w14:textId="77777777" w:rsidR="00C23443" w:rsidRPr="00E9304C" w:rsidRDefault="00C23443" w:rsidP="00130D10">
            <w:pPr>
              <w:rPr>
                <w:rFonts w:ascii="Tahoma" w:hAnsi="Tahoma" w:cs="Tahoma"/>
                <w:sz w:val="24"/>
                <w:szCs w:val="24"/>
              </w:rPr>
            </w:pPr>
            <w:r w:rsidRPr="00E9304C">
              <w:rPr>
                <w:rFonts w:ascii="Tahoma" w:hAnsi="Tahoma" w:cs="Tahoma"/>
                <w:sz w:val="24"/>
                <w:szCs w:val="24"/>
              </w:rPr>
              <w:t>Retention</w:t>
            </w:r>
          </w:p>
        </w:tc>
        <w:tc>
          <w:tcPr>
            <w:tcW w:w="298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689"/>
            </w:tblGrid>
            <w:tr w:rsidR="00C23443" w:rsidRPr="00E9304C" w14:paraId="5D863598" w14:textId="77777777" w:rsidTr="00130D10">
              <w:trPr>
                <w:tblCellSpacing w:w="15" w:type="dxa"/>
              </w:trPr>
              <w:tc>
                <w:tcPr>
                  <w:tcW w:w="0" w:type="auto"/>
                  <w:vAlign w:val="center"/>
                  <w:hideMark/>
                </w:tcPr>
                <w:p w14:paraId="70788237" w14:textId="77777777" w:rsidR="00C23443" w:rsidRPr="00E9304C" w:rsidRDefault="00C23443" w:rsidP="00130D10">
                  <w:pPr>
                    <w:spacing w:after="0" w:line="240" w:lineRule="auto"/>
                    <w:rPr>
                      <w:rFonts w:ascii="Tahoma" w:eastAsia="Times New Roman" w:hAnsi="Tahoma" w:cs="Tahoma"/>
                      <w:sz w:val="24"/>
                      <w:szCs w:val="24"/>
                      <w:lang w:eastAsia="en-GB"/>
                    </w:rPr>
                  </w:pPr>
                </w:p>
              </w:tc>
              <w:tc>
                <w:tcPr>
                  <w:tcW w:w="0" w:type="auto"/>
                  <w:vAlign w:val="center"/>
                  <w:hideMark/>
                </w:tcPr>
                <w:p w14:paraId="5A2877BB" w14:textId="77777777" w:rsidR="00C23443" w:rsidRPr="00E9304C" w:rsidRDefault="00C23443" w:rsidP="00130D10">
                  <w:pPr>
                    <w:spacing w:after="0" w:line="240" w:lineRule="auto"/>
                    <w:rPr>
                      <w:rFonts w:ascii="Tahoma" w:eastAsia="Times New Roman" w:hAnsi="Tahoma" w:cs="Tahoma"/>
                      <w:sz w:val="24"/>
                      <w:szCs w:val="24"/>
                      <w:lang w:eastAsia="en-GB"/>
                    </w:rPr>
                  </w:pPr>
                  <w:r w:rsidRPr="00E9304C">
                    <w:rPr>
                      <w:rFonts w:ascii="Tahoma" w:eastAsia="Times New Roman" w:hAnsi="Tahoma" w:cs="Tahoma"/>
                      <w:sz w:val="24"/>
                      <w:szCs w:val="24"/>
                      <w:lang w:eastAsia="en-GB"/>
                    </w:rPr>
                    <w:t>Placement stability, reduced incidents, positive feedback</w:t>
                  </w:r>
                </w:p>
              </w:tc>
            </w:tr>
          </w:tbl>
          <w:p w14:paraId="00C3014F" w14:textId="77777777" w:rsidR="00C23443" w:rsidRPr="00E9304C" w:rsidRDefault="00C23443" w:rsidP="00130D10">
            <w:pPr>
              <w:rPr>
                <w:rFonts w:ascii="Tahoma" w:hAnsi="Tahoma" w:cs="Tahoma"/>
                <w:sz w:val="24"/>
                <w:szCs w:val="24"/>
              </w:rPr>
            </w:pPr>
          </w:p>
        </w:tc>
        <w:tc>
          <w:tcPr>
            <w:tcW w:w="3686" w:type="dxa"/>
          </w:tcPr>
          <w:p w14:paraId="5415D531" w14:textId="77777777" w:rsidR="00C23443" w:rsidRPr="00E9304C" w:rsidRDefault="00C23443" w:rsidP="00130D10">
            <w:pPr>
              <w:rPr>
                <w:rFonts w:ascii="Tahoma" w:hAnsi="Tahoma" w:cs="Tahoma"/>
                <w:sz w:val="24"/>
                <w:szCs w:val="24"/>
              </w:rPr>
            </w:pPr>
            <w:r w:rsidRPr="00E9304C">
              <w:rPr>
                <w:rFonts w:ascii="Tahoma" w:hAnsi="Tahoma" w:cs="Tahoma"/>
                <w:sz w:val="24"/>
                <w:szCs w:val="24"/>
              </w:rPr>
              <w:t>Emotional value: continuity, reliability, long</w:t>
            </w:r>
            <w:r w:rsidRPr="00E9304C">
              <w:rPr>
                <w:rFonts w:ascii="Tahoma" w:hAnsi="Tahoma" w:cs="Tahoma"/>
                <w:sz w:val="24"/>
                <w:szCs w:val="24"/>
              </w:rPr>
              <w:noBreakHyphen/>
              <w:t>term trust</w:t>
            </w:r>
          </w:p>
        </w:tc>
      </w:tr>
      <w:tr w:rsidR="00C23443" w:rsidRPr="00E9304C" w14:paraId="71BB4987" w14:textId="77777777" w:rsidTr="00130D10">
        <w:tc>
          <w:tcPr>
            <w:tcW w:w="2254" w:type="dxa"/>
          </w:tcPr>
          <w:p w14:paraId="00430DEA" w14:textId="77777777" w:rsidR="00C23443" w:rsidRPr="00E9304C" w:rsidRDefault="00C23443" w:rsidP="00130D10">
            <w:pPr>
              <w:rPr>
                <w:rFonts w:ascii="Tahoma" w:hAnsi="Tahoma" w:cs="Tahoma"/>
                <w:sz w:val="24"/>
                <w:szCs w:val="24"/>
              </w:rPr>
            </w:pPr>
            <w:r w:rsidRPr="00E9304C">
              <w:rPr>
                <w:rFonts w:ascii="Tahoma" w:hAnsi="Tahoma" w:cs="Tahoma"/>
                <w:sz w:val="24"/>
                <w:szCs w:val="24"/>
              </w:rPr>
              <w:t xml:space="preserve">Advocacy </w:t>
            </w:r>
          </w:p>
        </w:tc>
        <w:tc>
          <w:tcPr>
            <w:tcW w:w="2986" w:type="dxa"/>
          </w:tcPr>
          <w:p w14:paraId="27798308" w14:textId="77777777" w:rsidR="00C23443" w:rsidRPr="00E9304C" w:rsidRDefault="00C23443" w:rsidP="00130D10">
            <w:pPr>
              <w:rPr>
                <w:rFonts w:ascii="Tahoma" w:hAnsi="Tahoma" w:cs="Tahoma"/>
                <w:sz w:val="24"/>
                <w:szCs w:val="24"/>
              </w:rPr>
            </w:pPr>
            <w:r w:rsidRPr="00E9304C">
              <w:rPr>
                <w:rFonts w:ascii="Tahoma" w:hAnsi="Tahoma" w:cs="Tahoma"/>
                <w:sz w:val="24"/>
                <w:szCs w:val="24"/>
              </w:rPr>
              <w:t>Families, commissioners, MDT recommending the service</w:t>
            </w:r>
          </w:p>
        </w:tc>
        <w:tc>
          <w:tcPr>
            <w:tcW w:w="3686" w:type="dxa"/>
          </w:tcPr>
          <w:p w14:paraId="7BA48626" w14:textId="77777777" w:rsidR="00C23443" w:rsidRPr="00E9304C" w:rsidRDefault="00C23443" w:rsidP="00130D10">
            <w:pPr>
              <w:rPr>
                <w:rFonts w:ascii="Tahoma" w:hAnsi="Tahoma" w:cs="Tahoma"/>
                <w:sz w:val="24"/>
                <w:szCs w:val="24"/>
              </w:rPr>
            </w:pPr>
            <w:r w:rsidRPr="00E9304C">
              <w:rPr>
                <w:rFonts w:ascii="Tahoma" w:hAnsi="Tahoma" w:cs="Tahoma"/>
                <w:sz w:val="24"/>
                <w:szCs w:val="24"/>
              </w:rPr>
              <w:t>Life</w:t>
            </w:r>
            <w:r w:rsidRPr="00E9304C">
              <w:rPr>
                <w:rFonts w:ascii="Tahoma" w:hAnsi="Tahoma" w:cs="Tahoma"/>
                <w:sz w:val="24"/>
                <w:szCs w:val="24"/>
              </w:rPr>
              <w:noBreakHyphen/>
              <w:t>changing value: empowerment, meaningful outcomes, reputation</w:t>
            </w:r>
          </w:p>
        </w:tc>
      </w:tr>
    </w:tbl>
    <w:p w14:paraId="68D13130" w14:textId="77777777" w:rsidR="00C23443" w:rsidRDefault="00C23443" w:rsidP="00C23443">
      <w:pPr>
        <w:rPr>
          <w:rFonts w:ascii="Tahoma" w:hAnsi="Tahoma" w:cs="Tahoma"/>
          <w:sz w:val="24"/>
          <w:szCs w:val="24"/>
        </w:rPr>
      </w:pPr>
    </w:p>
    <w:p w14:paraId="68B7E5C7" w14:textId="77777777" w:rsidR="00F6616C" w:rsidRDefault="00F6616C" w:rsidP="00C23443">
      <w:pPr>
        <w:rPr>
          <w:rFonts w:ascii="Tahoma" w:hAnsi="Tahoma" w:cs="Tahoma"/>
          <w:sz w:val="24"/>
          <w:szCs w:val="24"/>
        </w:rPr>
      </w:pPr>
    </w:p>
    <w:p w14:paraId="26F5AE5F" w14:textId="77777777" w:rsidR="00F6616C" w:rsidRDefault="00F6616C" w:rsidP="00C23443">
      <w:pPr>
        <w:rPr>
          <w:rFonts w:ascii="Tahoma" w:hAnsi="Tahoma" w:cs="Tahoma"/>
          <w:sz w:val="24"/>
          <w:szCs w:val="24"/>
        </w:rPr>
      </w:pPr>
    </w:p>
    <w:p w14:paraId="3E89244E" w14:textId="77777777" w:rsidR="00F6616C" w:rsidRDefault="00F6616C" w:rsidP="00C23443">
      <w:pPr>
        <w:rPr>
          <w:rFonts w:ascii="Tahoma" w:hAnsi="Tahoma" w:cs="Tahoma"/>
          <w:sz w:val="24"/>
          <w:szCs w:val="24"/>
        </w:rPr>
      </w:pPr>
    </w:p>
    <w:p w14:paraId="4D61AE85" w14:textId="77777777" w:rsidR="00F6616C" w:rsidRDefault="00F6616C" w:rsidP="00C23443">
      <w:pPr>
        <w:rPr>
          <w:rFonts w:ascii="Tahoma" w:hAnsi="Tahoma" w:cs="Tahoma"/>
          <w:sz w:val="24"/>
          <w:szCs w:val="24"/>
        </w:rPr>
      </w:pPr>
    </w:p>
    <w:p w14:paraId="036EA63E" w14:textId="77777777" w:rsidR="00F6616C" w:rsidRDefault="00F6616C" w:rsidP="00C23443">
      <w:pPr>
        <w:rPr>
          <w:rFonts w:ascii="Tahoma" w:hAnsi="Tahoma" w:cs="Tahoma"/>
          <w:sz w:val="24"/>
          <w:szCs w:val="24"/>
        </w:rPr>
      </w:pPr>
    </w:p>
    <w:p w14:paraId="73F2993C" w14:textId="77777777" w:rsidR="00F6616C" w:rsidRDefault="00F6616C" w:rsidP="00C23443">
      <w:pPr>
        <w:rPr>
          <w:rFonts w:ascii="Tahoma" w:hAnsi="Tahoma" w:cs="Tahoma"/>
          <w:sz w:val="24"/>
          <w:szCs w:val="24"/>
        </w:rPr>
      </w:pPr>
    </w:p>
    <w:p w14:paraId="014437B7" w14:textId="77777777" w:rsidR="00F6616C" w:rsidRDefault="00F6616C" w:rsidP="00C23443">
      <w:pPr>
        <w:rPr>
          <w:rFonts w:ascii="Tahoma" w:hAnsi="Tahoma" w:cs="Tahoma"/>
          <w:sz w:val="24"/>
          <w:szCs w:val="24"/>
        </w:rPr>
      </w:pPr>
    </w:p>
    <w:p w14:paraId="5352061D" w14:textId="77777777" w:rsidR="00F6616C" w:rsidRPr="00E9304C" w:rsidRDefault="00F6616C" w:rsidP="00C23443">
      <w:pPr>
        <w:rPr>
          <w:rFonts w:ascii="Tahoma" w:hAnsi="Tahoma" w:cs="Tahoma"/>
          <w:sz w:val="24"/>
          <w:szCs w:val="24"/>
        </w:rPr>
      </w:pPr>
    </w:p>
    <w:p w14:paraId="3C58F892"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Appendix F: CRM Stakeholders Map</w:t>
      </w:r>
    </w:p>
    <w:p w14:paraId="3C44D5BA" w14:textId="77777777" w:rsidR="00C23443" w:rsidRPr="00E9304C" w:rsidRDefault="00C23443" w:rsidP="00C23443">
      <w:pPr>
        <w:rPr>
          <w:rFonts w:ascii="Tahoma" w:hAnsi="Tahoma" w:cs="Tahoma"/>
          <w:sz w:val="24"/>
          <w:szCs w:val="24"/>
        </w:rPr>
      </w:pPr>
      <w:r w:rsidRPr="00E9304C">
        <w:rPr>
          <w:rFonts w:ascii="Tahoma" w:hAnsi="Tahoma" w:cs="Tahoma"/>
          <w:sz w:val="24"/>
          <w:szCs w:val="24"/>
        </w:rPr>
        <w:t>Customer Relationship Management (CRM) in Accomplish / Keys Group is not commercial or sales</w:t>
      </w:r>
      <w:r w:rsidRPr="00E9304C">
        <w:rPr>
          <w:rFonts w:ascii="Tahoma" w:hAnsi="Tahoma" w:cs="Tahoma"/>
          <w:sz w:val="24"/>
          <w:szCs w:val="24"/>
        </w:rPr>
        <w:noBreakHyphen/>
        <w:t>driven; it is a relational framework that structures communication, engagement, transparency, and trust across multiple customer groups. CRM ensures that information flows predictably, emotional safety is maintained, and decisions are aligned with resident wellbeing.</w:t>
      </w:r>
    </w:p>
    <w:p w14:paraId="37C80E7F" w14:textId="675DE8E1"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CRM Stakeholder Map</w:t>
      </w:r>
    </w:p>
    <w:tbl>
      <w:tblPr>
        <w:tblStyle w:val="TableGrid"/>
        <w:tblW w:w="0" w:type="auto"/>
        <w:tblLook w:val="04A0" w:firstRow="1" w:lastRow="0" w:firstColumn="1" w:lastColumn="0" w:noHBand="0" w:noVBand="1"/>
      </w:tblPr>
      <w:tblGrid>
        <w:gridCol w:w="2254"/>
        <w:gridCol w:w="2254"/>
        <w:gridCol w:w="2254"/>
        <w:gridCol w:w="2254"/>
      </w:tblGrid>
      <w:tr w:rsidR="00C23443" w:rsidRPr="00E9304C" w14:paraId="19DBF617" w14:textId="77777777" w:rsidTr="00130D10">
        <w:tc>
          <w:tcPr>
            <w:tcW w:w="2254" w:type="dxa"/>
            <w:vAlign w:val="center"/>
          </w:tcPr>
          <w:p w14:paraId="10E0F462"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Customer Group</w:t>
            </w:r>
          </w:p>
        </w:tc>
        <w:tc>
          <w:tcPr>
            <w:tcW w:w="2254" w:type="dxa"/>
            <w:vAlign w:val="center"/>
          </w:tcPr>
          <w:p w14:paraId="210C09B4"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Primary Needs</w:t>
            </w:r>
          </w:p>
        </w:tc>
        <w:tc>
          <w:tcPr>
            <w:tcW w:w="2254" w:type="dxa"/>
            <w:vAlign w:val="center"/>
          </w:tcPr>
          <w:p w14:paraId="65DCF769"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CRM Processes Used</w:t>
            </w:r>
          </w:p>
        </w:tc>
        <w:tc>
          <w:tcPr>
            <w:tcW w:w="2254" w:type="dxa"/>
            <w:vAlign w:val="center"/>
          </w:tcPr>
          <w:p w14:paraId="690C59BF"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Value Impact</w:t>
            </w:r>
          </w:p>
        </w:tc>
      </w:tr>
      <w:tr w:rsidR="00C23443" w:rsidRPr="00E9304C" w14:paraId="133B82EE" w14:textId="77777777" w:rsidTr="00130D10">
        <w:tc>
          <w:tcPr>
            <w:tcW w:w="2254" w:type="dxa"/>
            <w:vAlign w:val="center"/>
          </w:tcPr>
          <w:p w14:paraId="267C93F1"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Residents</w:t>
            </w:r>
          </w:p>
        </w:tc>
        <w:tc>
          <w:tcPr>
            <w:tcW w:w="2254" w:type="dxa"/>
            <w:vAlign w:val="center"/>
          </w:tcPr>
          <w:p w14:paraId="14445840"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Emotional safety, predictability, autonomy</w:t>
            </w:r>
          </w:p>
        </w:tc>
        <w:tc>
          <w:tcPr>
            <w:tcW w:w="2254" w:type="dxa"/>
            <w:vAlign w:val="center"/>
          </w:tcPr>
          <w:p w14:paraId="1CFA3E9B"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Care plans, PBS strategies, daily communication routines</w:t>
            </w:r>
          </w:p>
        </w:tc>
        <w:tc>
          <w:tcPr>
            <w:tcW w:w="2254" w:type="dxa"/>
            <w:vAlign w:val="center"/>
          </w:tcPr>
          <w:p w14:paraId="4740925B"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High emotional &amp; life</w:t>
            </w:r>
            <w:r w:rsidRPr="00E9304C">
              <w:rPr>
                <w:rFonts w:ascii="Tahoma" w:hAnsi="Tahoma" w:cs="Tahoma"/>
                <w:sz w:val="24"/>
                <w:szCs w:val="24"/>
              </w:rPr>
              <w:noBreakHyphen/>
              <w:t>changing value</w:t>
            </w:r>
          </w:p>
        </w:tc>
      </w:tr>
      <w:tr w:rsidR="00C23443" w:rsidRPr="00E9304C" w14:paraId="7BB0E5E4" w14:textId="77777777" w:rsidTr="00130D10">
        <w:tc>
          <w:tcPr>
            <w:tcW w:w="2254" w:type="dxa"/>
            <w:vAlign w:val="center"/>
          </w:tcPr>
          <w:p w14:paraId="6D1A9E14"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Families</w:t>
            </w:r>
          </w:p>
        </w:tc>
        <w:tc>
          <w:tcPr>
            <w:tcW w:w="2254" w:type="dxa"/>
            <w:vAlign w:val="center"/>
          </w:tcPr>
          <w:p w14:paraId="312F5941"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Reassurance, involvement, transparency</w:t>
            </w:r>
          </w:p>
        </w:tc>
        <w:tc>
          <w:tcPr>
            <w:tcW w:w="2254" w:type="dxa"/>
            <w:vAlign w:val="center"/>
          </w:tcPr>
          <w:p w14:paraId="007FF35A"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Family updates, meetings, incident communication</w:t>
            </w:r>
          </w:p>
        </w:tc>
        <w:tc>
          <w:tcPr>
            <w:tcW w:w="2254" w:type="dxa"/>
            <w:vAlign w:val="center"/>
          </w:tcPr>
          <w:p w14:paraId="47A763EA"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Trust, advocacy, placement stability</w:t>
            </w:r>
          </w:p>
        </w:tc>
      </w:tr>
      <w:tr w:rsidR="00C23443" w:rsidRPr="00E9304C" w14:paraId="1F758B82" w14:textId="77777777" w:rsidTr="00130D10">
        <w:tc>
          <w:tcPr>
            <w:tcW w:w="2254" w:type="dxa"/>
            <w:vAlign w:val="center"/>
          </w:tcPr>
          <w:p w14:paraId="4C7057FC"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Commissioners</w:t>
            </w:r>
          </w:p>
        </w:tc>
        <w:tc>
          <w:tcPr>
            <w:tcW w:w="2254" w:type="dxa"/>
            <w:vAlign w:val="center"/>
          </w:tcPr>
          <w:p w14:paraId="0CEC37A4"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Compliance, outcomes, cost</w:t>
            </w:r>
            <w:r w:rsidRPr="00E9304C">
              <w:rPr>
                <w:rFonts w:ascii="Tahoma" w:hAnsi="Tahoma" w:cs="Tahoma"/>
                <w:sz w:val="24"/>
                <w:szCs w:val="24"/>
              </w:rPr>
              <w:noBreakHyphen/>
              <w:t>effectiveness</w:t>
            </w:r>
          </w:p>
        </w:tc>
        <w:tc>
          <w:tcPr>
            <w:tcW w:w="2254" w:type="dxa"/>
            <w:vAlign w:val="center"/>
          </w:tcPr>
          <w:p w14:paraId="5D1F40EE"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KPI reporting, audits, placement reviews</w:t>
            </w:r>
          </w:p>
        </w:tc>
        <w:tc>
          <w:tcPr>
            <w:tcW w:w="2254" w:type="dxa"/>
            <w:vAlign w:val="center"/>
          </w:tcPr>
          <w:p w14:paraId="130AC6B3"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Functional value, retention</w:t>
            </w:r>
          </w:p>
        </w:tc>
      </w:tr>
      <w:tr w:rsidR="00C23443" w:rsidRPr="00E9304C" w14:paraId="01FAA895" w14:textId="77777777" w:rsidTr="00130D10">
        <w:tc>
          <w:tcPr>
            <w:tcW w:w="2254" w:type="dxa"/>
            <w:vAlign w:val="center"/>
          </w:tcPr>
          <w:p w14:paraId="7B75C2D4"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Regulators (CIW)</w:t>
            </w:r>
          </w:p>
        </w:tc>
        <w:tc>
          <w:tcPr>
            <w:tcW w:w="2254" w:type="dxa"/>
            <w:vAlign w:val="center"/>
          </w:tcPr>
          <w:p w14:paraId="6FC03F97"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Safety, governance, documentation</w:t>
            </w:r>
          </w:p>
        </w:tc>
        <w:tc>
          <w:tcPr>
            <w:tcW w:w="2254" w:type="dxa"/>
            <w:vAlign w:val="center"/>
          </w:tcPr>
          <w:p w14:paraId="3D54785F"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Inspection evidence, safeguarding reporting</w:t>
            </w:r>
          </w:p>
        </w:tc>
        <w:tc>
          <w:tcPr>
            <w:tcW w:w="2254" w:type="dxa"/>
            <w:vAlign w:val="center"/>
          </w:tcPr>
          <w:p w14:paraId="6C9A995E"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Functional value, compliance</w:t>
            </w:r>
          </w:p>
        </w:tc>
      </w:tr>
      <w:tr w:rsidR="00C23443" w:rsidRPr="00E9304C" w14:paraId="60913DB4" w14:textId="77777777" w:rsidTr="00130D10">
        <w:tc>
          <w:tcPr>
            <w:tcW w:w="2254" w:type="dxa"/>
            <w:vAlign w:val="center"/>
          </w:tcPr>
          <w:p w14:paraId="0822124E"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MDT / Advocates</w:t>
            </w:r>
          </w:p>
        </w:tc>
        <w:tc>
          <w:tcPr>
            <w:tcW w:w="2254" w:type="dxa"/>
            <w:vAlign w:val="center"/>
          </w:tcPr>
          <w:p w14:paraId="1E24FA54"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Collaboration, clarity, consistency</w:t>
            </w:r>
          </w:p>
        </w:tc>
        <w:tc>
          <w:tcPr>
            <w:tcW w:w="2254" w:type="dxa"/>
            <w:vAlign w:val="center"/>
          </w:tcPr>
          <w:p w14:paraId="0BA437A2"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Joint reviews, shared plans, professional communication</w:t>
            </w:r>
          </w:p>
        </w:tc>
        <w:tc>
          <w:tcPr>
            <w:tcW w:w="2254" w:type="dxa"/>
            <w:vAlign w:val="center"/>
          </w:tcPr>
          <w:p w14:paraId="35F70540"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Engagement value</w:t>
            </w:r>
          </w:p>
        </w:tc>
      </w:tr>
    </w:tbl>
    <w:p w14:paraId="3EF915A1" w14:textId="77777777" w:rsidR="00C23443" w:rsidRPr="00E9304C" w:rsidRDefault="00C23443" w:rsidP="00C23443">
      <w:pPr>
        <w:rPr>
          <w:rFonts w:ascii="Tahoma" w:hAnsi="Tahoma" w:cs="Tahoma"/>
          <w:b/>
          <w:bCs/>
          <w:sz w:val="24"/>
          <w:szCs w:val="24"/>
        </w:rPr>
      </w:pPr>
    </w:p>
    <w:p w14:paraId="31E5BDDA" w14:textId="77777777" w:rsidR="00A74417" w:rsidRDefault="00A74417" w:rsidP="00C23443">
      <w:pPr>
        <w:rPr>
          <w:rFonts w:ascii="Tahoma" w:hAnsi="Tahoma" w:cs="Tahoma"/>
          <w:b/>
          <w:bCs/>
          <w:sz w:val="24"/>
          <w:szCs w:val="24"/>
          <w:u w:val="single"/>
        </w:rPr>
      </w:pPr>
    </w:p>
    <w:p w14:paraId="5C61974A" w14:textId="2DC4E66D" w:rsidR="00583709" w:rsidRPr="00E9304C" w:rsidRDefault="00583709" w:rsidP="00C23443">
      <w:pPr>
        <w:pStyle w:val="Title"/>
        <w:rPr>
          <w:rFonts w:ascii="Tahoma" w:eastAsia="Tahoma" w:hAnsi="Tahoma" w:cs="Tahoma"/>
          <w:color w:val="000000"/>
          <w:sz w:val="24"/>
          <w:szCs w:val="24"/>
        </w:rPr>
      </w:pPr>
    </w:p>
    <w:sectPr w:rsidR="00583709" w:rsidRPr="00E9304C">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F9369" w14:textId="77777777" w:rsidR="00C142F8" w:rsidRDefault="00C142F8" w:rsidP="00F23277">
      <w:pPr>
        <w:spacing w:after="0" w:line="240" w:lineRule="auto"/>
      </w:pPr>
      <w:r>
        <w:separator/>
      </w:r>
    </w:p>
  </w:endnote>
  <w:endnote w:type="continuationSeparator" w:id="0">
    <w:p w14:paraId="625F3920" w14:textId="77777777" w:rsidR="00C142F8" w:rsidRDefault="00C142F8"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71164" w14:textId="77777777" w:rsidR="00C142F8" w:rsidRDefault="00C142F8" w:rsidP="00F23277">
      <w:pPr>
        <w:spacing w:after="0" w:line="240" w:lineRule="auto"/>
      </w:pPr>
      <w:r>
        <w:separator/>
      </w:r>
    </w:p>
  </w:footnote>
  <w:footnote w:type="continuationSeparator" w:id="0">
    <w:p w14:paraId="32CE67EF" w14:textId="77777777" w:rsidR="00C142F8" w:rsidRDefault="00C142F8"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E0595"/>
    <w:multiLevelType w:val="hybridMultilevel"/>
    <w:tmpl w:val="8E025D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41234A"/>
    <w:multiLevelType w:val="multilevel"/>
    <w:tmpl w:val="F0184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B0EA0"/>
    <w:multiLevelType w:val="hybridMultilevel"/>
    <w:tmpl w:val="A28414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680E1E"/>
    <w:multiLevelType w:val="multilevel"/>
    <w:tmpl w:val="8E3C3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050A7E"/>
    <w:multiLevelType w:val="hybridMultilevel"/>
    <w:tmpl w:val="8716FB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1452C34"/>
    <w:multiLevelType w:val="multilevel"/>
    <w:tmpl w:val="22465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BC4FA5"/>
    <w:multiLevelType w:val="multilevel"/>
    <w:tmpl w:val="72ACB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E573E3"/>
    <w:multiLevelType w:val="hybridMultilevel"/>
    <w:tmpl w:val="18C6EA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43B245D"/>
    <w:multiLevelType w:val="multilevel"/>
    <w:tmpl w:val="544C3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7E585C"/>
    <w:multiLevelType w:val="hybridMultilevel"/>
    <w:tmpl w:val="3642C8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A9E323C"/>
    <w:multiLevelType w:val="multilevel"/>
    <w:tmpl w:val="AA40D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DA0801"/>
    <w:multiLevelType w:val="multilevel"/>
    <w:tmpl w:val="69D0C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EE12D1"/>
    <w:multiLevelType w:val="multilevel"/>
    <w:tmpl w:val="0C6E1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314F1C"/>
    <w:multiLevelType w:val="multilevel"/>
    <w:tmpl w:val="734CA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D87BB9"/>
    <w:multiLevelType w:val="multilevel"/>
    <w:tmpl w:val="621C2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F36C4A"/>
    <w:multiLevelType w:val="multilevel"/>
    <w:tmpl w:val="4C4A3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DC0BF8"/>
    <w:multiLevelType w:val="hybridMultilevel"/>
    <w:tmpl w:val="C86EAB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94001D6"/>
    <w:multiLevelType w:val="multilevel"/>
    <w:tmpl w:val="53E28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977B1D"/>
    <w:multiLevelType w:val="multilevel"/>
    <w:tmpl w:val="D3FAA906"/>
    <w:lvl w:ilvl="0">
      <w:start w:val="1"/>
      <w:numFmt w:val="decimal"/>
      <w:lvlText w:val="%1.0"/>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200" w:hanging="1440"/>
      </w:pPr>
      <w:rPr>
        <w:rFonts w:hint="default"/>
        <w:b w:val="0"/>
      </w:rPr>
    </w:lvl>
  </w:abstractNum>
  <w:abstractNum w:abstractNumId="19" w15:restartNumberingAfterBreak="0">
    <w:nsid w:val="42A87306"/>
    <w:multiLevelType w:val="hybridMultilevel"/>
    <w:tmpl w:val="153298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75554D9"/>
    <w:multiLevelType w:val="multilevel"/>
    <w:tmpl w:val="BCA47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855C80"/>
    <w:multiLevelType w:val="hybridMultilevel"/>
    <w:tmpl w:val="E506BA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91C5D20"/>
    <w:multiLevelType w:val="multilevel"/>
    <w:tmpl w:val="D5B07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384E97"/>
    <w:multiLevelType w:val="hybridMultilevel"/>
    <w:tmpl w:val="87FAF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615E33"/>
    <w:multiLevelType w:val="multilevel"/>
    <w:tmpl w:val="4710B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B13113"/>
    <w:multiLevelType w:val="hybridMultilevel"/>
    <w:tmpl w:val="D1AC2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6452CD7"/>
    <w:multiLevelType w:val="hybridMultilevel"/>
    <w:tmpl w:val="BE1CC2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740555B"/>
    <w:multiLevelType w:val="hybridMultilevel"/>
    <w:tmpl w:val="BBDA13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CE96637"/>
    <w:multiLevelType w:val="multilevel"/>
    <w:tmpl w:val="4D3A4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CC4648"/>
    <w:multiLevelType w:val="hybridMultilevel"/>
    <w:tmpl w:val="DED65A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ED12A2A"/>
    <w:multiLevelType w:val="hybridMultilevel"/>
    <w:tmpl w:val="8870A5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58D0297"/>
    <w:multiLevelType w:val="multilevel"/>
    <w:tmpl w:val="066E1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7B268D"/>
    <w:multiLevelType w:val="hybridMultilevel"/>
    <w:tmpl w:val="7102C3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69337EF"/>
    <w:multiLevelType w:val="multilevel"/>
    <w:tmpl w:val="FE106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8E0FF2"/>
    <w:multiLevelType w:val="hybridMultilevel"/>
    <w:tmpl w:val="ADFE9F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AD172D6"/>
    <w:multiLevelType w:val="hybridMultilevel"/>
    <w:tmpl w:val="87E879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C273B86"/>
    <w:multiLevelType w:val="hybridMultilevel"/>
    <w:tmpl w:val="6BDC65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C82529B"/>
    <w:multiLevelType w:val="hybridMultilevel"/>
    <w:tmpl w:val="88B62B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F13546C"/>
    <w:multiLevelType w:val="multilevel"/>
    <w:tmpl w:val="D7B4ABF6"/>
    <w:lvl w:ilvl="0">
      <w:start w:val="1"/>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9" w15:restartNumberingAfterBreak="0">
    <w:nsid w:val="7F3A35D3"/>
    <w:multiLevelType w:val="multilevel"/>
    <w:tmpl w:val="1B862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5580243">
    <w:abstractNumId w:val="28"/>
  </w:num>
  <w:num w:numId="2" w16cid:durableId="1579245908">
    <w:abstractNumId w:val="1"/>
  </w:num>
  <w:num w:numId="3" w16cid:durableId="1875192975">
    <w:abstractNumId w:val="8"/>
  </w:num>
  <w:num w:numId="4" w16cid:durableId="1065033772">
    <w:abstractNumId w:val="11"/>
  </w:num>
  <w:num w:numId="5" w16cid:durableId="697969891">
    <w:abstractNumId w:val="39"/>
  </w:num>
  <w:num w:numId="6" w16cid:durableId="591162079">
    <w:abstractNumId w:val="12"/>
  </w:num>
  <w:num w:numId="7" w16cid:durableId="531378570">
    <w:abstractNumId w:val="14"/>
  </w:num>
  <w:num w:numId="8" w16cid:durableId="375591971">
    <w:abstractNumId w:val="15"/>
  </w:num>
  <w:num w:numId="9" w16cid:durableId="239827962">
    <w:abstractNumId w:val="13"/>
  </w:num>
  <w:num w:numId="10" w16cid:durableId="219219653">
    <w:abstractNumId w:val="31"/>
  </w:num>
  <w:num w:numId="11" w16cid:durableId="1759055800">
    <w:abstractNumId w:val="24"/>
  </w:num>
  <w:num w:numId="12" w16cid:durableId="812064621">
    <w:abstractNumId w:val="17"/>
  </w:num>
  <w:num w:numId="13" w16cid:durableId="1838379478">
    <w:abstractNumId w:val="22"/>
  </w:num>
  <w:num w:numId="14" w16cid:durableId="1964992756">
    <w:abstractNumId w:val="33"/>
  </w:num>
  <w:num w:numId="15" w16cid:durableId="998315410">
    <w:abstractNumId w:val="6"/>
  </w:num>
  <w:num w:numId="16" w16cid:durableId="1847939970">
    <w:abstractNumId w:val="10"/>
  </w:num>
  <w:num w:numId="17" w16cid:durableId="804663827">
    <w:abstractNumId w:val="5"/>
  </w:num>
  <w:num w:numId="18" w16cid:durableId="24062087">
    <w:abstractNumId w:val="20"/>
  </w:num>
  <w:num w:numId="19" w16cid:durableId="119539251">
    <w:abstractNumId w:val="3"/>
  </w:num>
  <w:num w:numId="20" w16cid:durableId="1795561325">
    <w:abstractNumId w:val="18"/>
  </w:num>
  <w:num w:numId="21" w16cid:durableId="1369795986">
    <w:abstractNumId w:val="23"/>
  </w:num>
  <w:num w:numId="22" w16cid:durableId="719355805">
    <w:abstractNumId w:val="30"/>
  </w:num>
  <w:num w:numId="23" w16cid:durableId="1659308406">
    <w:abstractNumId w:val="7"/>
  </w:num>
  <w:num w:numId="24" w16cid:durableId="1228494973">
    <w:abstractNumId w:val="0"/>
  </w:num>
  <w:num w:numId="25" w16cid:durableId="1547066368">
    <w:abstractNumId w:val="9"/>
  </w:num>
  <w:num w:numId="26" w16cid:durableId="1459495437">
    <w:abstractNumId w:val="35"/>
  </w:num>
  <w:num w:numId="27" w16cid:durableId="1265726117">
    <w:abstractNumId w:val="37"/>
  </w:num>
  <w:num w:numId="28" w16cid:durableId="1650674988">
    <w:abstractNumId w:val="21"/>
  </w:num>
  <w:num w:numId="29" w16cid:durableId="588537490">
    <w:abstractNumId w:val="25"/>
  </w:num>
  <w:num w:numId="30" w16cid:durableId="314995699">
    <w:abstractNumId w:val="34"/>
  </w:num>
  <w:num w:numId="31" w16cid:durableId="1357392468">
    <w:abstractNumId w:val="2"/>
  </w:num>
  <w:num w:numId="32" w16cid:durableId="356010975">
    <w:abstractNumId w:val="26"/>
  </w:num>
  <w:num w:numId="33" w16cid:durableId="1997567173">
    <w:abstractNumId w:val="29"/>
  </w:num>
  <w:num w:numId="34" w16cid:durableId="825517454">
    <w:abstractNumId w:val="19"/>
  </w:num>
  <w:num w:numId="35" w16cid:durableId="497574541">
    <w:abstractNumId w:val="32"/>
  </w:num>
  <w:num w:numId="36" w16cid:durableId="1254970740">
    <w:abstractNumId w:val="4"/>
  </w:num>
  <w:num w:numId="37" w16cid:durableId="878590958">
    <w:abstractNumId w:val="27"/>
  </w:num>
  <w:num w:numId="38" w16cid:durableId="915627071">
    <w:abstractNumId w:val="16"/>
  </w:num>
  <w:num w:numId="39" w16cid:durableId="1138759832">
    <w:abstractNumId w:val="38"/>
  </w:num>
  <w:num w:numId="40" w16cid:durableId="1542866317">
    <w:abstractNumId w:val="36"/>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504F"/>
    <w:rsid w:val="0000577C"/>
    <w:rsid w:val="00012A1C"/>
    <w:rsid w:val="000137B8"/>
    <w:rsid w:val="000205ED"/>
    <w:rsid w:val="00022605"/>
    <w:rsid w:val="00023D69"/>
    <w:rsid w:val="0002557D"/>
    <w:rsid w:val="00025BF8"/>
    <w:rsid w:val="00027C99"/>
    <w:rsid w:val="00030D3C"/>
    <w:rsid w:val="0003305C"/>
    <w:rsid w:val="00037711"/>
    <w:rsid w:val="0004106C"/>
    <w:rsid w:val="00044355"/>
    <w:rsid w:val="000475FC"/>
    <w:rsid w:val="00053B41"/>
    <w:rsid w:val="00054839"/>
    <w:rsid w:val="00056CB0"/>
    <w:rsid w:val="000579B4"/>
    <w:rsid w:val="000611DA"/>
    <w:rsid w:val="0006173D"/>
    <w:rsid w:val="000618FF"/>
    <w:rsid w:val="000726FA"/>
    <w:rsid w:val="00072F39"/>
    <w:rsid w:val="00073FA4"/>
    <w:rsid w:val="000745BA"/>
    <w:rsid w:val="00075CF4"/>
    <w:rsid w:val="0007682F"/>
    <w:rsid w:val="0009041E"/>
    <w:rsid w:val="000930CD"/>
    <w:rsid w:val="00093866"/>
    <w:rsid w:val="0009432E"/>
    <w:rsid w:val="00095720"/>
    <w:rsid w:val="000A0237"/>
    <w:rsid w:val="000A0309"/>
    <w:rsid w:val="000A0F73"/>
    <w:rsid w:val="000B0519"/>
    <w:rsid w:val="000B131C"/>
    <w:rsid w:val="000B5C0B"/>
    <w:rsid w:val="000C1861"/>
    <w:rsid w:val="000C2C07"/>
    <w:rsid w:val="000C2FB9"/>
    <w:rsid w:val="000C5D41"/>
    <w:rsid w:val="000C61E8"/>
    <w:rsid w:val="000C622A"/>
    <w:rsid w:val="000D1396"/>
    <w:rsid w:val="000D1D97"/>
    <w:rsid w:val="000D1DC3"/>
    <w:rsid w:val="000E0DF4"/>
    <w:rsid w:val="000E0E69"/>
    <w:rsid w:val="000E3ADD"/>
    <w:rsid w:val="000E447B"/>
    <w:rsid w:val="000E69D2"/>
    <w:rsid w:val="000F1140"/>
    <w:rsid w:val="000F34F8"/>
    <w:rsid w:val="000F356F"/>
    <w:rsid w:val="000F372B"/>
    <w:rsid w:val="000F5CDA"/>
    <w:rsid w:val="000F6AFB"/>
    <w:rsid w:val="000F77D7"/>
    <w:rsid w:val="0010014F"/>
    <w:rsid w:val="001039E7"/>
    <w:rsid w:val="001054D6"/>
    <w:rsid w:val="0011138C"/>
    <w:rsid w:val="00112739"/>
    <w:rsid w:val="00112CBD"/>
    <w:rsid w:val="0011343B"/>
    <w:rsid w:val="0011457A"/>
    <w:rsid w:val="001146CD"/>
    <w:rsid w:val="0011470A"/>
    <w:rsid w:val="001170E2"/>
    <w:rsid w:val="001176B2"/>
    <w:rsid w:val="00117E18"/>
    <w:rsid w:val="001213A2"/>
    <w:rsid w:val="0012530C"/>
    <w:rsid w:val="00126885"/>
    <w:rsid w:val="0012727B"/>
    <w:rsid w:val="0013229A"/>
    <w:rsid w:val="001337CB"/>
    <w:rsid w:val="00140761"/>
    <w:rsid w:val="0014114A"/>
    <w:rsid w:val="0014159E"/>
    <w:rsid w:val="001437C0"/>
    <w:rsid w:val="00145947"/>
    <w:rsid w:val="00145B4B"/>
    <w:rsid w:val="00152077"/>
    <w:rsid w:val="00152421"/>
    <w:rsid w:val="001544CC"/>
    <w:rsid w:val="0015528E"/>
    <w:rsid w:val="00156551"/>
    <w:rsid w:val="00161240"/>
    <w:rsid w:val="0016421A"/>
    <w:rsid w:val="0016564B"/>
    <w:rsid w:val="00166C8D"/>
    <w:rsid w:val="00171DD9"/>
    <w:rsid w:val="001723EF"/>
    <w:rsid w:val="001726D0"/>
    <w:rsid w:val="0017623E"/>
    <w:rsid w:val="00180E87"/>
    <w:rsid w:val="00182D2A"/>
    <w:rsid w:val="00183697"/>
    <w:rsid w:val="00183B04"/>
    <w:rsid w:val="0018401D"/>
    <w:rsid w:val="00184EEC"/>
    <w:rsid w:val="00185ACC"/>
    <w:rsid w:val="00185FFD"/>
    <w:rsid w:val="00186007"/>
    <w:rsid w:val="001954FE"/>
    <w:rsid w:val="00196570"/>
    <w:rsid w:val="00197E7D"/>
    <w:rsid w:val="001A0DE9"/>
    <w:rsid w:val="001A1BFB"/>
    <w:rsid w:val="001A1E87"/>
    <w:rsid w:val="001B2F5B"/>
    <w:rsid w:val="001C42AC"/>
    <w:rsid w:val="001C7539"/>
    <w:rsid w:val="001D1C7E"/>
    <w:rsid w:val="001D3237"/>
    <w:rsid w:val="001D57C8"/>
    <w:rsid w:val="001E2393"/>
    <w:rsid w:val="001E29AD"/>
    <w:rsid w:val="001E2EF2"/>
    <w:rsid w:val="001E34C6"/>
    <w:rsid w:val="001E4363"/>
    <w:rsid w:val="001F0387"/>
    <w:rsid w:val="001F09F5"/>
    <w:rsid w:val="001F13EE"/>
    <w:rsid w:val="001F1B92"/>
    <w:rsid w:val="001F556A"/>
    <w:rsid w:val="00201098"/>
    <w:rsid w:val="00201332"/>
    <w:rsid w:val="00201386"/>
    <w:rsid w:val="0020655A"/>
    <w:rsid w:val="00213E3F"/>
    <w:rsid w:val="0022085E"/>
    <w:rsid w:val="002225E7"/>
    <w:rsid w:val="00223076"/>
    <w:rsid w:val="00225489"/>
    <w:rsid w:val="00225B8F"/>
    <w:rsid w:val="0023635A"/>
    <w:rsid w:val="002365CA"/>
    <w:rsid w:val="00237402"/>
    <w:rsid w:val="00240C71"/>
    <w:rsid w:val="00243B9A"/>
    <w:rsid w:val="002452EE"/>
    <w:rsid w:val="0025431B"/>
    <w:rsid w:val="00254BC6"/>
    <w:rsid w:val="00255D7E"/>
    <w:rsid w:val="00256A84"/>
    <w:rsid w:val="002575A4"/>
    <w:rsid w:val="00260603"/>
    <w:rsid w:val="0026085E"/>
    <w:rsid w:val="00264565"/>
    <w:rsid w:val="00264FA4"/>
    <w:rsid w:val="00271B8D"/>
    <w:rsid w:val="002739DA"/>
    <w:rsid w:val="00274782"/>
    <w:rsid w:val="00275CFE"/>
    <w:rsid w:val="00277965"/>
    <w:rsid w:val="00285957"/>
    <w:rsid w:val="00286711"/>
    <w:rsid w:val="00287867"/>
    <w:rsid w:val="002879D8"/>
    <w:rsid w:val="00287E87"/>
    <w:rsid w:val="002921C4"/>
    <w:rsid w:val="00295166"/>
    <w:rsid w:val="00295A2F"/>
    <w:rsid w:val="002962E4"/>
    <w:rsid w:val="00297AD3"/>
    <w:rsid w:val="002A2DF6"/>
    <w:rsid w:val="002B248B"/>
    <w:rsid w:val="002B24F3"/>
    <w:rsid w:val="002B3ED3"/>
    <w:rsid w:val="002B702A"/>
    <w:rsid w:val="002B7DF2"/>
    <w:rsid w:val="002C0099"/>
    <w:rsid w:val="002C0255"/>
    <w:rsid w:val="002C3CEF"/>
    <w:rsid w:val="002D294C"/>
    <w:rsid w:val="002D38EE"/>
    <w:rsid w:val="002D5C7B"/>
    <w:rsid w:val="002D695B"/>
    <w:rsid w:val="002E272C"/>
    <w:rsid w:val="002E51FC"/>
    <w:rsid w:val="002E669B"/>
    <w:rsid w:val="002F1347"/>
    <w:rsid w:val="002F1AD9"/>
    <w:rsid w:val="002F2ED5"/>
    <w:rsid w:val="002F4C4B"/>
    <w:rsid w:val="00302D9A"/>
    <w:rsid w:val="00302E96"/>
    <w:rsid w:val="00304ECA"/>
    <w:rsid w:val="00305EC7"/>
    <w:rsid w:val="00310E64"/>
    <w:rsid w:val="0032184B"/>
    <w:rsid w:val="00322FDA"/>
    <w:rsid w:val="00324301"/>
    <w:rsid w:val="003275F4"/>
    <w:rsid w:val="0033429D"/>
    <w:rsid w:val="00337FBF"/>
    <w:rsid w:val="00340F3D"/>
    <w:rsid w:val="0034145A"/>
    <w:rsid w:val="00341ECD"/>
    <w:rsid w:val="003460DA"/>
    <w:rsid w:val="0034640D"/>
    <w:rsid w:val="00351CB2"/>
    <w:rsid w:val="00352073"/>
    <w:rsid w:val="00352776"/>
    <w:rsid w:val="003531A1"/>
    <w:rsid w:val="00353CD7"/>
    <w:rsid w:val="0035606C"/>
    <w:rsid w:val="00356689"/>
    <w:rsid w:val="00362629"/>
    <w:rsid w:val="00364D1F"/>
    <w:rsid w:val="003674A1"/>
    <w:rsid w:val="00370A3A"/>
    <w:rsid w:val="0037112F"/>
    <w:rsid w:val="00372567"/>
    <w:rsid w:val="0037320A"/>
    <w:rsid w:val="00374A02"/>
    <w:rsid w:val="00374C7D"/>
    <w:rsid w:val="00380798"/>
    <w:rsid w:val="00381A6B"/>
    <w:rsid w:val="00381A92"/>
    <w:rsid w:val="00387ABF"/>
    <w:rsid w:val="00387C5A"/>
    <w:rsid w:val="00391E52"/>
    <w:rsid w:val="00392969"/>
    <w:rsid w:val="00393589"/>
    <w:rsid w:val="00396C70"/>
    <w:rsid w:val="0039760B"/>
    <w:rsid w:val="003A5BA2"/>
    <w:rsid w:val="003A70AF"/>
    <w:rsid w:val="003B0FE8"/>
    <w:rsid w:val="003B3814"/>
    <w:rsid w:val="003B639F"/>
    <w:rsid w:val="003C04AE"/>
    <w:rsid w:val="003C0B07"/>
    <w:rsid w:val="003C1C00"/>
    <w:rsid w:val="003C38CD"/>
    <w:rsid w:val="003C62B7"/>
    <w:rsid w:val="003D440D"/>
    <w:rsid w:val="003D4A06"/>
    <w:rsid w:val="003D4C01"/>
    <w:rsid w:val="003D655E"/>
    <w:rsid w:val="003D726A"/>
    <w:rsid w:val="003E2D2E"/>
    <w:rsid w:val="003E5639"/>
    <w:rsid w:val="003E66FB"/>
    <w:rsid w:val="003F1942"/>
    <w:rsid w:val="003F2216"/>
    <w:rsid w:val="00401A31"/>
    <w:rsid w:val="0040631A"/>
    <w:rsid w:val="00407016"/>
    <w:rsid w:val="0041083E"/>
    <w:rsid w:val="00417A6A"/>
    <w:rsid w:val="00427CA2"/>
    <w:rsid w:val="00427D20"/>
    <w:rsid w:val="00434148"/>
    <w:rsid w:val="0043639D"/>
    <w:rsid w:val="004378C1"/>
    <w:rsid w:val="0044289B"/>
    <w:rsid w:val="004436DD"/>
    <w:rsid w:val="004505AB"/>
    <w:rsid w:val="00450C7B"/>
    <w:rsid w:val="00451DCE"/>
    <w:rsid w:val="00452C76"/>
    <w:rsid w:val="00454879"/>
    <w:rsid w:val="0046036B"/>
    <w:rsid w:val="00464AD5"/>
    <w:rsid w:val="00465080"/>
    <w:rsid w:val="00473C44"/>
    <w:rsid w:val="0047474F"/>
    <w:rsid w:val="00475E8E"/>
    <w:rsid w:val="00476B61"/>
    <w:rsid w:val="00476B7F"/>
    <w:rsid w:val="004811E2"/>
    <w:rsid w:val="00483679"/>
    <w:rsid w:val="00483950"/>
    <w:rsid w:val="00484D89"/>
    <w:rsid w:val="0048748F"/>
    <w:rsid w:val="00490C49"/>
    <w:rsid w:val="00491107"/>
    <w:rsid w:val="004915B4"/>
    <w:rsid w:val="00492D2E"/>
    <w:rsid w:val="00493CD3"/>
    <w:rsid w:val="00493D66"/>
    <w:rsid w:val="00494213"/>
    <w:rsid w:val="004B5A2E"/>
    <w:rsid w:val="004B5C8E"/>
    <w:rsid w:val="004B6FF4"/>
    <w:rsid w:val="004B7B8A"/>
    <w:rsid w:val="004C190B"/>
    <w:rsid w:val="004C2AD3"/>
    <w:rsid w:val="004C4C9F"/>
    <w:rsid w:val="004C57A2"/>
    <w:rsid w:val="004C5F6B"/>
    <w:rsid w:val="004D0239"/>
    <w:rsid w:val="004D081D"/>
    <w:rsid w:val="004D110C"/>
    <w:rsid w:val="004D2A84"/>
    <w:rsid w:val="004D32FF"/>
    <w:rsid w:val="004E3B63"/>
    <w:rsid w:val="004E3CE1"/>
    <w:rsid w:val="004E5EDD"/>
    <w:rsid w:val="004F04AA"/>
    <w:rsid w:val="004F202B"/>
    <w:rsid w:val="00504754"/>
    <w:rsid w:val="00505794"/>
    <w:rsid w:val="005069BE"/>
    <w:rsid w:val="005075AB"/>
    <w:rsid w:val="0051261A"/>
    <w:rsid w:val="00512A27"/>
    <w:rsid w:val="00512BCA"/>
    <w:rsid w:val="00512F86"/>
    <w:rsid w:val="00513E58"/>
    <w:rsid w:val="005148FE"/>
    <w:rsid w:val="0052161E"/>
    <w:rsid w:val="00522002"/>
    <w:rsid w:val="00522DD1"/>
    <w:rsid w:val="005259E7"/>
    <w:rsid w:val="00527601"/>
    <w:rsid w:val="00531734"/>
    <w:rsid w:val="00532E23"/>
    <w:rsid w:val="00534926"/>
    <w:rsid w:val="00535CB1"/>
    <w:rsid w:val="00536779"/>
    <w:rsid w:val="0054211C"/>
    <w:rsid w:val="0054299B"/>
    <w:rsid w:val="005438AC"/>
    <w:rsid w:val="005447B2"/>
    <w:rsid w:val="00546808"/>
    <w:rsid w:val="005468E0"/>
    <w:rsid w:val="00553788"/>
    <w:rsid w:val="00557CAF"/>
    <w:rsid w:val="00560948"/>
    <w:rsid w:val="00563A57"/>
    <w:rsid w:val="00565E77"/>
    <w:rsid w:val="005705D5"/>
    <w:rsid w:val="00570B89"/>
    <w:rsid w:val="00574C34"/>
    <w:rsid w:val="0058025D"/>
    <w:rsid w:val="00583709"/>
    <w:rsid w:val="005847A0"/>
    <w:rsid w:val="005861DF"/>
    <w:rsid w:val="0059362D"/>
    <w:rsid w:val="00595100"/>
    <w:rsid w:val="00596048"/>
    <w:rsid w:val="005967CC"/>
    <w:rsid w:val="00597672"/>
    <w:rsid w:val="005A1E7C"/>
    <w:rsid w:val="005A24EE"/>
    <w:rsid w:val="005A254E"/>
    <w:rsid w:val="005A3F44"/>
    <w:rsid w:val="005A552B"/>
    <w:rsid w:val="005B2803"/>
    <w:rsid w:val="005B3930"/>
    <w:rsid w:val="005B3B77"/>
    <w:rsid w:val="005B3FBD"/>
    <w:rsid w:val="005B66B4"/>
    <w:rsid w:val="005C1122"/>
    <w:rsid w:val="005C182E"/>
    <w:rsid w:val="005C2AF7"/>
    <w:rsid w:val="005C40F5"/>
    <w:rsid w:val="005C41E6"/>
    <w:rsid w:val="005C5979"/>
    <w:rsid w:val="005C6185"/>
    <w:rsid w:val="005C6A19"/>
    <w:rsid w:val="005D161A"/>
    <w:rsid w:val="005D3120"/>
    <w:rsid w:val="005D4187"/>
    <w:rsid w:val="005D76BB"/>
    <w:rsid w:val="005E2909"/>
    <w:rsid w:val="005E2FF6"/>
    <w:rsid w:val="005E3D1D"/>
    <w:rsid w:val="005E5CF5"/>
    <w:rsid w:val="005F04EB"/>
    <w:rsid w:val="005F19CA"/>
    <w:rsid w:val="005F3DB2"/>
    <w:rsid w:val="006017C9"/>
    <w:rsid w:val="00607CDA"/>
    <w:rsid w:val="006135FC"/>
    <w:rsid w:val="006175A5"/>
    <w:rsid w:val="00624947"/>
    <w:rsid w:val="00625B5B"/>
    <w:rsid w:val="006305A0"/>
    <w:rsid w:val="0064093D"/>
    <w:rsid w:val="00642511"/>
    <w:rsid w:val="00643E2F"/>
    <w:rsid w:val="006460EA"/>
    <w:rsid w:val="00646639"/>
    <w:rsid w:val="0064720D"/>
    <w:rsid w:val="00652E8F"/>
    <w:rsid w:val="00653947"/>
    <w:rsid w:val="00654441"/>
    <w:rsid w:val="006555A8"/>
    <w:rsid w:val="00657056"/>
    <w:rsid w:val="00661A03"/>
    <w:rsid w:val="00662572"/>
    <w:rsid w:val="006626C6"/>
    <w:rsid w:val="006633CD"/>
    <w:rsid w:val="006638FA"/>
    <w:rsid w:val="0066454D"/>
    <w:rsid w:val="00665422"/>
    <w:rsid w:val="006675CD"/>
    <w:rsid w:val="00670E10"/>
    <w:rsid w:val="0067373D"/>
    <w:rsid w:val="006740C0"/>
    <w:rsid w:val="00675F4E"/>
    <w:rsid w:val="0067695E"/>
    <w:rsid w:val="0068122A"/>
    <w:rsid w:val="0068457A"/>
    <w:rsid w:val="006862A6"/>
    <w:rsid w:val="00686CCB"/>
    <w:rsid w:val="006876D7"/>
    <w:rsid w:val="00694107"/>
    <w:rsid w:val="00694A63"/>
    <w:rsid w:val="006A0C2E"/>
    <w:rsid w:val="006A1F8B"/>
    <w:rsid w:val="006A58FC"/>
    <w:rsid w:val="006B4E11"/>
    <w:rsid w:val="006C32B7"/>
    <w:rsid w:val="006C6CE7"/>
    <w:rsid w:val="006C6E15"/>
    <w:rsid w:val="006C6EF6"/>
    <w:rsid w:val="006D17A2"/>
    <w:rsid w:val="006D48E7"/>
    <w:rsid w:val="006D5CEF"/>
    <w:rsid w:val="006E1B04"/>
    <w:rsid w:val="006E3286"/>
    <w:rsid w:val="006E54CB"/>
    <w:rsid w:val="006F22BF"/>
    <w:rsid w:val="006F4515"/>
    <w:rsid w:val="00702FE9"/>
    <w:rsid w:val="0070695F"/>
    <w:rsid w:val="00706990"/>
    <w:rsid w:val="00706ECE"/>
    <w:rsid w:val="0071073D"/>
    <w:rsid w:val="0071163F"/>
    <w:rsid w:val="0071176B"/>
    <w:rsid w:val="00712644"/>
    <w:rsid w:val="00712AF1"/>
    <w:rsid w:val="007154E8"/>
    <w:rsid w:val="007164A3"/>
    <w:rsid w:val="007164B5"/>
    <w:rsid w:val="007206F4"/>
    <w:rsid w:val="00722C03"/>
    <w:rsid w:val="00723487"/>
    <w:rsid w:val="007254EA"/>
    <w:rsid w:val="007258C3"/>
    <w:rsid w:val="00725EE1"/>
    <w:rsid w:val="00730125"/>
    <w:rsid w:val="00732F03"/>
    <w:rsid w:val="00735001"/>
    <w:rsid w:val="0073558B"/>
    <w:rsid w:val="007363A7"/>
    <w:rsid w:val="00741484"/>
    <w:rsid w:val="00741ABA"/>
    <w:rsid w:val="00742962"/>
    <w:rsid w:val="0074627A"/>
    <w:rsid w:val="00750B03"/>
    <w:rsid w:val="00752465"/>
    <w:rsid w:val="007549F5"/>
    <w:rsid w:val="00755506"/>
    <w:rsid w:val="00755968"/>
    <w:rsid w:val="00763E8E"/>
    <w:rsid w:val="00764310"/>
    <w:rsid w:val="00767731"/>
    <w:rsid w:val="007706B4"/>
    <w:rsid w:val="007730AE"/>
    <w:rsid w:val="00776833"/>
    <w:rsid w:val="0078082A"/>
    <w:rsid w:val="007829BC"/>
    <w:rsid w:val="007834B9"/>
    <w:rsid w:val="00786815"/>
    <w:rsid w:val="007929EB"/>
    <w:rsid w:val="00792D25"/>
    <w:rsid w:val="007937B2"/>
    <w:rsid w:val="007A0639"/>
    <w:rsid w:val="007A1375"/>
    <w:rsid w:val="007A1746"/>
    <w:rsid w:val="007A2C99"/>
    <w:rsid w:val="007A3B3E"/>
    <w:rsid w:val="007A4B0E"/>
    <w:rsid w:val="007B2438"/>
    <w:rsid w:val="007B5451"/>
    <w:rsid w:val="007B5FA8"/>
    <w:rsid w:val="007C295C"/>
    <w:rsid w:val="007D3907"/>
    <w:rsid w:val="007D57B0"/>
    <w:rsid w:val="007E5D3F"/>
    <w:rsid w:val="007F0614"/>
    <w:rsid w:val="007F47CC"/>
    <w:rsid w:val="00800DBC"/>
    <w:rsid w:val="008013AA"/>
    <w:rsid w:val="00801662"/>
    <w:rsid w:val="00802832"/>
    <w:rsid w:val="00803481"/>
    <w:rsid w:val="00804DC6"/>
    <w:rsid w:val="00805D59"/>
    <w:rsid w:val="00805DBB"/>
    <w:rsid w:val="00810B2A"/>
    <w:rsid w:val="00814CC2"/>
    <w:rsid w:val="00814F47"/>
    <w:rsid w:val="0082175B"/>
    <w:rsid w:val="00821F5F"/>
    <w:rsid w:val="008239F1"/>
    <w:rsid w:val="00827FB1"/>
    <w:rsid w:val="00830078"/>
    <w:rsid w:val="008312FD"/>
    <w:rsid w:val="00832027"/>
    <w:rsid w:val="00832B77"/>
    <w:rsid w:val="008351E1"/>
    <w:rsid w:val="00837BD0"/>
    <w:rsid w:val="00840EF4"/>
    <w:rsid w:val="00842B6A"/>
    <w:rsid w:val="00845B9A"/>
    <w:rsid w:val="00845D0C"/>
    <w:rsid w:val="00850BF8"/>
    <w:rsid w:val="00851301"/>
    <w:rsid w:val="00851821"/>
    <w:rsid w:val="00853A3B"/>
    <w:rsid w:val="008563BF"/>
    <w:rsid w:val="008569B8"/>
    <w:rsid w:val="00856C83"/>
    <w:rsid w:val="00857253"/>
    <w:rsid w:val="008605C5"/>
    <w:rsid w:val="00862999"/>
    <w:rsid w:val="00863256"/>
    <w:rsid w:val="00864B06"/>
    <w:rsid w:val="00867153"/>
    <w:rsid w:val="00873D52"/>
    <w:rsid w:val="008741B6"/>
    <w:rsid w:val="008824CD"/>
    <w:rsid w:val="00890F43"/>
    <w:rsid w:val="008919E7"/>
    <w:rsid w:val="00892D5A"/>
    <w:rsid w:val="00895D66"/>
    <w:rsid w:val="008967CF"/>
    <w:rsid w:val="008A1194"/>
    <w:rsid w:val="008A2007"/>
    <w:rsid w:val="008A3B82"/>
    <w:rsid w:val="008A6223"/>
    <w:rsid w:val="008B2C88"/>
    <w:rsid w:val="008B435D"/>
    <w:rsid w:val="008B4A85"/>
    <w:rsid w:val="008B5E98"/>
    <w:rsid w:val="008C17FD"/>
    <w:rsid w:val="008C38EA"/>
    <w:rsid w:val="008C5B6B"/>
    <w:rsid w:val="008C76C6"/>
    <w:rsid w:val="008D0556"/>
    <w:rsid w:val="008D08AB"/>
    <w:rsid w:val="008D48A4"/>
    <w:rsid w:val="008D550B"/>
    <w:rsid w:val="008E444C"/>
    <w:rsid w:val="008E5506"/>
    <w:rsid w:val="008E5EF9"/>
    <w:rsid w:val="008E6F4F"/>
    <w:rsid w:val="008E78B9"/>
    <w:rsid w:val="008F0529"/>
    <w:rsid w:val="008F0CAF"/>
    <w:rsid w:val="008F0F93"/>
    <w:rsid w:val="008F3295"/>
    <w:rsid w:val="008F5102"/>
    <w:rsid w:val="00900179"/>
    <w:rsid w:val="00900BDB"/>
    <w:rsid w:val="009013B4"/>
    <w:rsid w:val="00901521"/>
    <w:rsid w:val="00906C82"/>
    <w:rsid w:val="009075EB"/>
    <w:rsid w:val="00910A4A"/>
    <w:rsid w:val="00914B7E"/>
    <w:rsid w:val="009161F5"/>
    <w:rsid w:val="00921DE6"/>
    <w:rsid w:val="009248E7"/>
    <w:rsid w:val="00931BE5"/>
    <w:rsid w:val="00932A69"/>
    <w:rsid w:val="00935711"/>
    <w:rsid w:val="00935828"/>
    <w:rsid w:val="00936F15"/>
    <w:rsid w:val="00937275"/>
    <w:rsid w:val="00937D33"/>
    <w:rsid w:val="009442E0"/>
    <w:rsid w:val="00947E53"/>
    <w:rsid w:val="00950050"/>
    <w:rsid w:val="00954875"/>
    <w:rsid w:val="0095685F"/>
    <w:rsid w:val="009571DC"/>
    <w:rsid w:val="00960049"/>
    <w:rsid w:val="00960173"/>
    <w:rsid w:val="0096031B"/>
    <w:rsid w:val="00960440"/>
    <w:rsid w:val="00960994"/>
    <w:rsid w:val="0096175A"/>
    <w:rsid w:val="00961F22"/>
    <w:rsid w:val="009640C5"/>
    <w:rsid w:val="00967B7D"/>
    <w:rsid w:val="00970928"/>
    <w:rsid w:val="00973D5A"/>
    <w:rsid w:val="00974A9B"/>
    <w:rsid w:val="00974F55"/>
    <w:rsid w:val="009774CE"/>
    <w:rsid w:val="0097764A"/>
    <w:rsid w:val="0098708A"/>
    <w:rsid w:val="009872F9"/>
    <w:rsid w:val="00991C13"/>
    <w:rsid w:val="009932E2"/>
    <w:rsid w:val="009941DF"/>
    <w:rsid w:val="009A18E2"/>
    <w:rsid w:val="009A2930"/>
    <w:rsid w:val="009B33A4"/>
    <w:rsid w:val="009B4E65"/>
    <w:rsid w:val="009B4EEF"/>
    <w:rsid w:val="009B552A"/>
    <w:rsid w:val="009C5831"/>
    <w:rsid w:val="009D0233"/>
    <w:rsid w:val="009D03D3"/>
    <w:rsid w:val="009D1131"/>
    <w:rsid w:val="009D1870"/>
    <w:rsid w:val="009D26ED"/>
    <w:rsid w:val="009D72CE"/>
    <w:rsid w:val="009D7FDC"/>
    <w:rsid w:val="009E1034"/>
    <w:rsid w:val="009E2516"/>
    <w:rsid w:val="009E7204"/>
    <w:rsid w:val="009E7B5A"/>
    <w:rsid w:val="009F2C72"/>
    <w:rsid w:val="009F4833"/>
    <w:rsid w:val="00A06254"/>
    <w:rsid w:val="00A06405"/>
    <w:rsid w:val="00A0677A"/>
    <w:rsid w:val="00A07CD7"/>
    <w:rsid w:val="00A1026F"/>
    <w:rsid w:val="00A10322"/>
    <w:rsid w:val="00A10A18"/>
    <w:rsid w:val="00A13104"/>
    <w:rsid w:val="00A154C6"/>
    <w:rsid w:val="00A15978"/>
    <w:rsid w:val="00A1701B"/>
    <w:rsid w:val="00A17AF3"/>
    <w:rsid w:val="00A17BC4"/>
    <w:rsid w:val="00A25B0B"/>
    <w:rsid w:val="00A2760A"/>
    <w:rsid w:val="00A31BC6"/>
    <w:rsid w:val="00A363FB"/>
    <w:rsid w:val="00A3673B"/>
    <w:rsid w:val="00A41D6C"/>
    <w:rsid w:val="00A42EE9"/>
    <w:rsid w:val="00A4605B"/>
    <w:rsid w:val="00A5261D"/>
    <w:rsid w:val="00A6219F"/>
    <w:rsid w:val="00A628A8"/>
    <w:rsid w:val="00A636C2"/>
    <w:rsid w:val="00A64CD2"/>
    <w:rsid w:val="00A70E0E"/>
    <w:rsid w:val="00A74306"/>
    <w:rsid w:val="00A74417"/>
    <w:rsid w:val="00A750C6"/>
    <w:rsid w:val="00A7597E"/>
    <w:rsid w:val="00A75BEA"/>
    <w:rsid w:val="00A7624D"/>
    <w:rsid w:val="00A82015"/>
    <w:rsid w:val="00A82442"/>
    <w:rsid w:val="00A83EF9"/>
    <w:rsid w:val="00A868F4"/>
    <w:rsid w:val="00A904FA"/>
    <w:rsid w:val="00A913E7"/>
    <w:rsid w:val="00A91E6B"/>
    <w:rsid w:val="00A92431"/>
    <w:rsid w:val="00A94827"/>
    <w:rsid w:val="00A94F0E"/>
    <w:rsid w:val="00A9789B"/>
    <w:rsid w:val="00AA07DD"/>
    <w:rsid w:val="00AA3D23"/>
    <w:rsid w:val="00AA4356"/>
    <w:rsid w:val="00AA5316"/>
    <w:rsid w:val="00AB4C33"/>
    <w:rsid w:val="00AB59DC"/>
    <w:rsid w:val="00AC2048"/>
    <w:rsid w:val="00AC27C4"/>
    <w:rsid w:val="00AC360D"/>
    <w:rsid w:val="00AC58B0"/>
    <w:rsid w:val="00AC6024"/>
    <w:rsid w:val="00AD31A0"/>
    <w:rsid w:val="00AD3B7A"/>
    <w:rsid w:val="00AD4229"/>
    <w:rsid w:val="00AD4A59"/>
    <w:rsid w:val="00AD509E"/>
    <w:rsid w:val="00AD569E"/>
    <w:rsid w:val="00AD6195"/>
    <w:rsid w:val="00AE1A8D"/>
    <w:rsid w:val="00AE23C7"/>
    <w:rsid w:val="00AE6318"/>
    <w:rsid w:val="00AE7E54"/>
    <w:rsid w:val="00AF00B9"/>
    <w:rsid w:val="00AF6397"/>
    <w:rsid w:val="00AF6F7C"/>
    <w:rsid w:val="00B03E99"/>
    <w:rsid w:val="00B04AB0"/>
    <w:rsid w:val="00B04ED5"/>
    <w:rsid w:val="00B07334"/>
    <w:rsid w:val="00B07DA3"/>
    <w:rsid w:val="00B1179C"/>
    <w:rsid w:val="00B1304A"/>
    <w:rsid w:val="00B131C7"/>
    <w:rsid w:val="00B31ECD"/>
    <w:rsid w:val="00B336EA"/>
    <w:rsid w:val="00B3574D"/>
    <w:rsid w:val="00B36021"/>
    <w:rsid w:val="00B37418"/>
    <w:rsid w:val="00B44165"/>
    <w:rsid w:val="00B44A96"/>
    <w:rsid w:val="00B45140"/>
    <w:rsid w:val="00B47BD5"/>
    <w:rsid w:val="00B5022C"/>
    <w:rsid w:val="00B50489"/>
    <w:rsid w:val="00B5295E"/>
    <w:rsid w:val="00B54A80"/>
    <w:rsid w:val="00B54B7C"/>
    <w:rsid w:val="00B55B12"/>
    <w:rsid w:val="00B577FD"/>
    <w:rsid w:val="00B6054C"/>
    <w:rsid w:val="00B64324"/>
    <w:rsid w:val="00B6640C"/>
    <w:rsid w:val="00B66D13"/>
    <w:rsid w:val="00B67DAF"/>
    <w:rsid w:val="00B7051D"/>
    <w:rsid w:val="00B71542"/>
    <w:rsid w:val="00B76265"/>
    <w:rsid w:val="00B7735B"/>
    <w:rsid w:val="00B77A99"/>
    <w:rsid w:val="00B806DE"/>
    <w:rsid w:val="00B86FA7"/>
    <w:rsid w:val="00B87D7E"/>
    <w:rsid w:val="00B93161"/>
    <w:rsid w:val="00B93CF0"/>
    <w:rsid w:val="00B95233"/>
    <w:rsid w:val="00B95FF5"/>
    <w:rsid w:val="00BA4C66"/>
    <w:rsid w:val="00BA5C9B"/>
    <w:rsid w:val="00BB0B9E"/>
    <w:rsid w:val="00BB0DC8"/>
    <w:rsid w:val="00BB3155"/>
    <w:rsid w:val="00BB59FB"/>
    <w:rsid w:val="00BB60EA"/>
    <w:rsid w:val="00BC286A"/>
    <w:rsid w:val="00BC37C0"/>
    <w:rsid w:val="00BC6DD8"/>
    <w:rsid w:val="00BD4341"/>
    <w:rsid w:val="00BD4C54"/>
    <w:rsid w:val="00BE0424"/>
    <w:rsid w:val="00BE2DA4"/>
    <w:rsid w:val="00BE345A"/>
    <w:rsid w:val="00BE5FBC"/>
    <w:rsid w:val="00BE74D9"/>
    <w:rsid w:val="00BF1D7C"/>
    <w:rsid w:val="00BF2204"/>
    <w:rsid w:val="00BF349E"/>
    <w:rsid w:val="00BF3DC7"/>
    <w:rsid w:val="00BF4D04"/>
    <w:rsid w:val="00BF6ED8"/>
    <w:rsid w:val="00C00A01"/>
    <w:rsid w:val="00C017F4"/>
    <w:rsid w:val="00C029C4"/>
    <w:rsid w:val="00C02FDC"/>
    <w:rsid w:val="00C041BC"/>
    <w:rsid w:val="00C05D96"/>
    <w:rsid w:val="00C07B40"/>
    <w:rsid w:val="00C12725"/>
    <w:rsid w:val="00C142F8"/>
    <w:rsid w:val="00C14594"/>
    <w:rsid w:val="00C20442"/>
    <w:rsid w:val="00C23443"/>
    <w:rsid w:val="00C31762"/>
    <w:rsid w:val="00C32C21"/>
    <w:rsid w:val="00C34E00"/>
    <w:rsid w:val="00C36F54"/>
    <w:rsid w:val="00C44619"/>
    <w:rsid w:val="00C45787"/>
    <w:rsid w:val="00C46CFD"/>
    <w:rsid w:val="00C50C3F"/>
    <w:rsid w:val="00C5285D"/>
    <w:rsid w:val="00C551CA"/>
    <w:rsid w:val="00C56851"/>
    <w:rsid w:val="00C6145A"/>
    <w:rsid w:val="00C65989"/>
    <w:rsid w:val="00C737F0"/>
    <w:rsid w:val="00C73D51"/>
    <w:rsid w:val="00C73FC4"/>
    <w:rsid w:val="00C75199"/>
    <w:rsid w:val="00C758A3"/>
    <w:rsid w:val="00C759D5"/>
    <w:rsid w:val="00C83E7F"/>
    <w:rsid w:val="00C90CBD"/>
    <w:rsid w:val="00C91047"/>
    <w:rsid w:val="00C91F54"/>
    <w:rsid w:val="00C93F27"/>
    <w:rsid w:val="00C94193"/>
    <w:rsid w:val="00CA5775"/>
    <w:rsid w:val="00CB5466"/>
    <w:rsid w:val="00CB61BE"/>
    <w:rsid w:val="00CB68AB"/>
    <w:rsid w:val="00CC378D"/>
    <w:rsid w:val="00CC6AC6"/>
    <w:rsid w:val="00CD3AEF"/>
    <w:rsid w:val="00CD44AE"/>
    <w:rsid w:val="00CD5050"/>
    <w:rsid w:val="00CD5AF7"/>
    <w:rsid w:val="00CD7009"/>
    <w:rsid w:val="00CE1473"/>
    <w:rsid w:val="00CE3A5F"/>
    <w:rsid w:val="00CE4BDF"/>
    <w:rsid w:val="00CE618C"/>
    <w:rsid w:val="00CE6412"/>
    <w:rsid w:val="00CF1324"/>
    <w:rsid w:val="00CF3A87"/>
    <w:rsid w:val="00CF3B6B"/>
    <w:rsid w:val="00CF4481"/>
    <w:rsid w:val="00CF4B6B"/>
    <w:rsid w:val="00CF617F"/>
    <w:rsid w:val="00D029B8"/>
    <w:rsid w:val="00D03CB3"/>
    <w:rsid w:val="00D047B5"/>
    <w:rsid w:val="00D05612"/>
    <w:rsid w:val="00D074E2"/>
    <w:rsid w:val="00D07A80"/>
    <w:rsid w:val="00D10AE6"/>
    <w:rsid w:val="00D16246"/>
    <w:rsid w:val="00D24F6A"/>
    <w:rsid w:val="00D30D89"/>
    <w:rsid w:val="00D31605"/>
    <w:rsid w:val="00D31A61"/>
    <w:rsid w:val="00D32D6F"/>
    <w:rsid w:val="00D361B8"/>
    <w:rsid w:val="00D36AEC"/>
    <w:rsid w:val="00D37358"/>
    <w:rsid w:val="00D37F59"/>
    <w:rsid w:val="00D41D03"/>
    <w:rsid w:val="00D42C37"/>
    <w:rsid w:val="00D5418F"/>
    <w:rsid w:val="00D54912"/>
    <w:rsid w:val="00D63C9E"/>
    <w:rsid w:val="00D64728"/>
    <w:rsid w:val="00D655BA"/>
    <w:rsid w:val="00D662B8"/>
    <w:rsid w:val="00D67681"/>
    <w:rsid w:val="00D75A07"/>
    <w:rsid w:val="00D801A4"/>
    <w:rsid w:val="00D80CCF"/>
    <w:rsid w:val="00D80DCF"/>
    <w:rsid w:val="00D80DD5"/>
    <w:rsid w:val="00D85286"/>
    <w:rsid w:val="00D907FD"/>
    <w:rsid w:val="00D91672"/>
    <w:rsid w:val="00D9511D"/>
    <w:rsid w:val="00D95ED0"/>
    <w:rsid w:val="00D96054"/>
    <w:rsid w:val="00D97414"/>
    <w:rsid w:val="00DA108D"/>
    <w:rsid w:val="00DA67BC"/>
    <w:rsid w:val="00DA6942"/>
    <w:rsid w:val="00DA7C5E"/>
    <w:rsid w:val="00DB4F87"/>
    <w:rsid w:val="00DB51E8"/>
    <w:rsid w:val="00DB6DD0"/>
    <w:rsid w:val="00DC51AD"/>
    <w:rsid w:val="00DC5211"/>
    <w:rsid w:val="00DC52DA"/>
    <w:rsid w:val="00DC7124"/>
    <w:rsid w:val="00DD0981"/>
    <w:rsid w:val="00DD11FD"/>
    <w:rsid w:val="00DD1282"/>
    <w:rsid w:val="00DD3301"/>
    <w:rsid w:val="00DD3D8E"/>
    <w:rsid w:val="00DD4167"/>
    <w:rsid w:val="00DD77E3"/>
    <w:rsid w:val="00DE0073"/>
    <w:rsid w:val="00DE17FF"/>
    <w:rsid w:val="00DE2158"/>
    <w:rsid w:val="00DF1293"/>
    <w:rsid w:val="00DF2480"/>
    <w:rsid w:val="00DF3F6D"/>
    <w:rsid w:val="00DF57ED"/>
    <w:rsid w:val="00DF6744"/>
    <w:rsid w:val="00DF679B"/>
    <w:rsid w:val="00DF71D9"/>
    <w:rsid w:val="00E01D31"/>
    <w:rsid w:val="00E0355C"/>
    <w:rsid w:val="00E0534B"/>
    <w:rsid w:val="00E053AF"/>
    <w:rsid w:val="00E05B17"/>
    <w:rsid w:val="00E0673B"/>
    <w:rsid w:val="00E070B7"/>
    <w:rsid w:val="00E07429"/>
    <w:rsid w:val="00E14167"/>
    <w:rsid w:val="00E14920"/>
    <w:rsid w:val="00E168AF"/>
    <w:rsid w:val="00E22245"/>
    <w:rsid w:val="00E22CA3"/>
    <w:rsid w:val="00E269CC"/>
    <w:rsid w:val="00E26E0A"/>
    <w:rsid w:val="00E27C69"/>
    <w:rsid w:val="00E3284E"/>
    <w:rsid w:val="00E33C62"/>
    <w:rsid w:val="00E35796"/>
    <w:rsid w:val="00E37E2A"/>
    <w:rsid w:val="00E42584"/>
    <w:rsid w:val="00E4280B"/>
    <w:rsid w:val="00E43E61"/>
    <w:rsid w:val="00E45B7D"/>
    <w:rsid w:val="00E46268"/>
    <w:rsid w:val="00E47258"/>
    <w:rsid w:val="00E506EE"/>
    <w:rsid w:val="00E53390"/>
    <w:rsid w:val="00E545F5"/>
    <w:rsid w:val="00E60EDD"/>
    <w:rsid w:val="00E632B7"/>
    <w:rsid w:val="00E633CD"/>
    <w:rsid w:val="00E63E39"/>
    <w:rsid w:val="00E66E22"/>
    <w:rsid w:val="00E67A9B"/>
    <w:rsid w:val="00E838D2"/>
    <w:rsid w:val="00E841CA"/>
    <w:rsid w:val="00E9304C"/>
    <w:rsid w:val="00EA2C30"/>
    <w:rsid w:val="00EA32CA"/>
    <w:rsid w:val="00EA5730"/>
    <w:rsid w:val="00EA789A"/>
    <w:rsid w:val="00EB70F6"/>
    <w:rsid w:val="00EC1610"/>
    <w:rsid w:val="00EC234E"/>
    <w:rsid w:val="00EC32E6"/>
    <w:rsid w:val="00EC3635"/>
    <w:rsid w:val="00EC5680"/>
    <w:rsid w:val="00EC6C42"/>
    <w:rsid w:val="00ED21E9"/>
    <w:rsid w:val="00ED7CBD"/>
    <w:rsid w:val="00EE2467"/>
    <w:rsid w:val="00EE4F60"/>
    <w:rsid w:val="00EE512A"/>
    <w:rsid w:val="00EE5F99"/>
    <w:rsid w:val="00EE698C"/>
    <w:rsid w:val="00EF1B39"/>
    <w:rsid w:val="00EF3C26"/>
    <w:rsid w:val="00EF4C0C"/>
    <w:rsid w:val="00EF4F94"/>
    <w:rsid w:val="00EF5620"/>
    <w:rsid w:val="00F06EC6"/>
    <w:rsid w:val="00F075BE"/>
    <w:rsid w:val="00F107BC"/>
    <w:rsid w:val="00F136F9"/>
    <w:rsid w:val="00F13CD7"/>
    <w:rsid w:val="00F13DEC"/>
    <w:rsid w:val="00F214AA"/>
    <w:rsid w:val="00F21647"/>
    <w:rsid w:val="00F23277"/>
    <w:rsid w:val="00F24234"/>
    <w:rsid w:val="00F312F1"/>
    <w:rsid w:val="00F366B5"/>
    <w:rsid w:val="00F4036A"/>
    <w:rsid w:val="00F40AA3"/>
    <w:rsid w:val="00F40D2F"/>
    <w:rsid w:val="00F42C9C"/>
    <w:rsid w:val="00F432E5"/>
    <w:rsid w:val="00F43391"/>
    <w:rsid w:val="00F43C65"/>
    <w:rsid w:val="00F465F1"/>
    <w:rsid w:val="00F47ACF"/>
    <w:rsid w:val="00F5372E"/>
    <w:rsid w:val="00F56670"/>
    <w:rsid w:val="00F578C2"/>
    <w:rsid w:val="00F6062C"/>
    <w:rsid w:val="00F61F37"/>
    <w:rsid w:val="00F62845"/>
    <w:rsid w:val="00F647E9"/>
    <w:rsid w:val="00F65950"/>
    <w:rsid w:val="00F6616C"/>
    <w:rsid w:val="00F661BF"/>
    <w:rsid w:val="00F70024"/>
    <w:rsid w:val="00F74D43"/>
    <w:rsid w:val="00F77D04"/>
    <w:rsid w:val="00F8337A"/>
    <w:rsid w:val="00F85F7E"/>
    <w:rsid w:val="00F867C0"/>
    <w:rsid w:val="00F97B4E"/>
    <w:rsid w:val="00FA2E6F"/>
    <w:rsid w:val="00FB3B2F"/>
    <w:rsid w:val="00FB6311"/>
    <w:rsid w:val="00FC276D"/>
    <w:rsid w:val="00FC39A9"/>
    <w:rsid w:val="00FC556B"/>
    <w:rsid w:val="00FC7332"/>
    <w:rsid w:val="00FD0C27"/>
    <w:rsid w:val="00FD2594"/>
    <w:rsid w:val="00FD2D44"/>
    <w:rsid w:val="00FD408F"/>
    <w:rsid w:val="00FD7757"/>
    <w:rsid w:val="00FE245F"/>
    <w:rsid w:val="00FE4B6A"/>
    <w:rsid w:val="00FE5F59"/>
    <w:rsid w:val="00FF3CA2"/>
    <w:rsid w:val="00FF53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777E4381-0E06-40A6-96E1-D449E2048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pPr>
      <w:keepNext/>
      <w:keepLines/>
      <w:spacing w:before="240" w:after="40"/>
      <w:outlineLvl w:val="3"/>
    </w:pPr>
    <w:rPr>
      <w:b/>
      <w:sz w:val="24"/>
      <w:szCs w:val="24"/>
    </w:rPr>
  </w:style>
  <w:style w:type="paragraph" w:styleId="Heading5">
    <w:name w:val="heading 5"/>
    <w:basedOn w:val="Normal"/>
    <w:next w:val="Normal"/>
    <w:link w:val="Heading5Char"/>
    <w:uiPriority w:val="9"/>
    <w:semiHidden/>
    <w:unhideWhenUsed/>
    <w:qFormat/>
    <w:pPr>
      <w:keepNext/>
      <w:keepLines/>
      <w:spacing w:before="220" w:after="40"/>
      <w:outlineLvl w:val="4"/>
    </w:pPr>
    <w:rPr>
      <w:b/>
    </w:rPr>
  </w:style>
  <w:style w:type="paragraph" w:styleId="Heading6">
    <w:name w:val="heading 6"/>
    <w:basedOn w:val="Normal"/>
    <w:next w:val="Normal"/>
    <w:link w:val="Heading6Char"/>
    <w:uiPriority w:val="9"/>
    <w:semiHidden/>
    <w:unhideWhenUsed/>
    <w:qFormat/>
    <w:pPr>
      <w:keepNext/>
      <w:keepLines/>
      <w:spacing w:before="200" w:after="40"/>
      <w:outlineLvl w:val="5"/>
    </w:pPr>
    <w:rPr>
      <w:b/>
      <w:sz w:val="20"/>
      <w:szCs w:val="20"/>
    </w:rPr>
  </w:style>
  <w:style w:type="paragraph" w:styleId="Heading7">
    <w:name w:val="heading 7"/>
    <w:basedOn w:val="Normal"/>
    <w:next w:val="Normal"/>
    <w:link w:val="Heading7Char"/>
    <w:uiPriority w:val="9"/>
    <w:semiHidden/>
    <w:unhideWhenUsed/>
    <w:qFormat/>
    <w:rsid w:val="00C23443"/>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23443"/>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23443"/>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5C6185"/>
    <w:pPr>
      <w:tabs>
        <w:tab w:val="right" w:pos="9350"/>
      </w:tabs>
      <w:spacing w:before="240" w:after="100"/>
    </w:pPr>
    <w:rPr>
      <w:rFonts w:asciiTheme="majorHAnsi" w:hAnsiTheme="majorHAnsi" w:cstheme="majorHAnsi"/>
      <w:b/>
      <w:bCs/>
      <w:noProof/>
      <w:color w:val="4F81BD" w:themeColor="accent1"/>
      <w:sz w:val="24"/>
      <w:szCs w:val="24"/>
      <w:u w:val="single"/>
    </w:r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C5680"/>
    <w:rPr>
      <w:color w:val="605E5C"/>
      <w:shd w:val="clear" w:color="auto" w:fill="E1DFDD"/>
    </w:rPr>
  </w:style>
  <w:style w:type="character" w:styleId="FollowedHyperlink">
    <w:name w:val="FollowedHyperlink"/>
    <w:basedOn w:val="DefaultParagraphFont"/>
    <w:uiPriority w:val="99"/>
    <w:semiHidden/>
    <w:unhideWhenUsed/>
    <w:rsid w:val="00CF4B6B"/>
    <w:rPr>
      <w:color w:val="800080" w:themeColor="followedHyperlink"/>
      <w:u w:val="single"/>
    </w:rPr>
  </w:style>
  <w:style w:type="paragraph" w:styleId="ListParagraph">
    <w:name w:val="List Paragraph"/>
    <w:basedOn w:val="Normal"/>
    <w:uiPriority w:val="34"/>
    <w:qFormat/>
    <w:rsid w:val="008563BF"/>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customStyle="1" w:styleId="TitleChar">
    <w:name w:val="Title Char"/>
    <w:basedOn w:val="DefaultParagraphFont"/>
    <w:link w:val="Title"/>
    <w:uiPriority w:val="10"/>
    <w:rsid w:val="005A254E"/>
    <w:rPr>
      <w:b/>
      <w:sz w:val="72"/>
      <w:szCs w:val="72"/>
    </w:rPr>
  </w:style>
  <w:style w:type="paragraph" w:styleId="NormalWeb">
    <w:name w:val="Normal (Web)"/>
    <w:basedOn w:val="Normal"/>
    <w:uiPriority w:val="99"/>
    <w:semiHidden/>
    <w:unhideWhenUsed/>
    <w:rsid w:val="007355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3558B"/>
    <w:rPr>
      <w:i/>
      <w:iCs/>
    </w:rPr>
  </w:style>
  <w:style w:type="character" w:styleId="HTMLCode">
    <w:name w:val="HTML Code"/>
    <w:basedOn w:val="DefaultParagraphFont"/>
    <w:uiPriority w:val="99"/>
    <w:semiHidden/>
    <w:unhideWhenUsed/>
    <w:rsid w:val="0073558B"/>
    <w:rPr>
      <w:rFonts w:ascii="Courier New" w:eastAsia="Times New Roman" w:hAnsi="Courier New" w:cs="Courier New"/>
      <w:sz w:val="20"/>
      <w:szCs w:val="20"/>
    </w:rPr>
  </w:style>
  <w:style w:type="character" w:customStyle="1" w:styleId="Heading7Char">
    <w:name w:val="Heading 7 Char"/>
    <w:basedOn w:val="DefaultParagraphFont"/>
    <w:link w:val="Heading7"/>
    <w:uiPriority w:val="9"/>
    <w:semiHidden/>
    <w:rsid w:val="00C23443"/>
    <w:rPr>
      <w:rFonts w:asciiTheme="minorHAnsi" w:eastAsiaTheme="majorEastAsia" w:hAnsiTheme="minorHAnsi" w:cstheme="majorBidi"/>
      <w:color w:val="595959" w:themeColor="text1" w:themeTint="A6"/>
      <w:kern w:val="2"/>
      <w:sz w:val="24"/>
      <w:szCs w:val="24"/>
      <w:lang w:eastAsia="en-US"/>
      <w14:ligatures w14:val="standardContextual"/>
    </w:rPr>
  </w:style>
  <w:style w:type="character" w:customStyle="1" w:styleId="Heading8Char">
    <w:name w:val="Heading 8 Char"/>
    <w:basedOn w:val="DefaultParagraphFont"/>
    <w:link w:val="Heading8"/>
    <w:uiPriority w:val="9"/>
    <w:semiHidden/>
    <w:rsid w:val="00C23443"/>
    <w:rPr>
      <w:rFonts w:asciiTheme="minorHAnsi" w:eastAsiaTheme="majorEastAsia" w:hAnsiTheme="minorHAnsi" w:cstheme="majorBidi"/>
      <w:i/>
      <w:iCs/>
      <w:color w:val="272727" w:themeColor="text1" w:themeTint="D8"/>
      <w:kern w:val="2"/>
      <w:sz w:val="24"/>
      <w:szCs w:val="24"/>
      <w:lang w:eastAsia="en-US"/>
      <w14:ligatures w14:val="standardContextual"/>
    </w:rPr>
  </w:style>
  <w:style w:type="character" w:customStyle="1" w:styleId="Heading9Char">
    <w:name w:val="Heading 9 Char"/>
    <w:basedOn w:val="DefaultParagraphFont"/>
    <w:link w:val="Heading9"/>
    <w:uiPriority w:val="9"/>
    <w:semiHidden/>
    <w:rsid w:val="00C23443"/>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customStyle="1" w:styleId="Heading1Char">
    <w:name w:val="Heading 1 Char"/>
    <w:basedOn w:val="DefaultParagraphFont"/>
    <w:link w:val="Heading1"/>
    <w:uiPriority w:val="9"/>
    <w:rsid w:val="00C23443"/>
    <w:rPr>
      <w:color w:val="2E75B5"/>
      <w:sz w:val="32"/>
      <w:szCs w:val="32"/>
    </w:rPr>
  </w:style>
  <w:style w:type="character" w:customStyle="1" w:styleId="Heading2Char">
    <w:name w:val="Heading 2 Char"/>
    <w:basedOn w:val="DefaultParagraphFont"/>
    <w:link w:val="Heading2"/>
    <w:uiPriority w:val="9"/>
    <w:rsid w:val="00C23443"/>
    <w:rPr>
      <w:color w:val="2E75B5"/>
      <w:sz w:val="26"/>
      <w:szCs w:val="26"/>
    </w:rPr>
  </w:style>
  <w:style w:type="character" w:customStyle="1" w:styleId="Heading3Char">
    <w:name w:val="Heading 3 Char"/>
    <w:basedOn w:val="DefaultParagraphFont"/>
    <w:link w:val="Heading3"/>
    <w:uiPriority w:val="9"/>
    <w:semiHidden/>
    <w:rsid w:val="00C23443"/>
    <w:rPr>
      <w:b/>
      <w:sz w:val="28"/>
      <w:szCs w:val="28"/>
    </w:rPr>
  </w:style>
  <w:style w:type="character" w:customStyle="1" w:styleId="Heading4Char">
    <w:name w:val="Heading 4 Char"/>
    <w:basedOn w:val="DefaultParagraphFont"/>
    <w:link w:val="Heading4"/>
    <w:uiPriority w:val="9"/>
    <w:semiHidden/>
    <w:rsid w:val="00C23443"/>
    <w:rPr>
      <w:b/>
      <w:sz w:val="24"/>
      <w:szCs w:val="24"/>
    </w:rPr>
  </w:style>
  <w:style w:type="character" w:customStyle="1" w:styleId="Heading5Char">
    <w:name w:val="Heading 5 Char"/>
    <w:basedOn w:val="DefaultParagraphFont"/>
    <w:link w:val="Heading5"/>
    <w:uiPriority w:val="9"/>
    <w:semiHidden/>
    <w:rsid w:val="00C23443"/>
    <w:rPr>
      <w:b/>
    </w:rPr>
  </w:style>
  <w:style w:type="character" w:customStyle="1" w:styleId="Heading6Char">
    <w:name w:val="Heading 6 Char"/>
    <w:basedOn w:val="DefaultParagraphFont"/>
    <w:link w:val="Heading6"/>
    <w:uiPriority w:val="9"/>
    <w:semiHidden/>
    <w:rsid w:val="00C23443"/>
    <w:rPr>
      <w:b/>
      <w:sz w:val="20"/>
      <w:szCs w:val="20"/>
    </w:rPr>
  </w:style>
  <w:style w:type="character" w:customStyle="1" w:styleId="SubtitleChar">
    <w:name w:val="Subtitle Char"/>
    <w:basedOn w:val="DefaultParagraphFont"/>
    <w:link w:val="Subtitle"/>
    <w:uiPriority w:val="11"/>
    <w:rsid w:val="00C23443"/>
    <w:rPr>
      <w:rFonts w:ascii="Georgia" w:eastAsia="Georgia" w:hAnsi="Georgia" w:cs="Georgia"/>
      <w:i/>
      <w:color w:val="666666"/>
      <w:sz w:val="48"/>
      <w:szCs w:val="48"/>
    </w:rPr>
  </w:style>
  <w:style w:type="paragraph" w:styleId="Quote">
    <w:name w:val="Quote"/>
    <w:basedOn w:val="Normal"/>
    <w:next w:val="Normal"/>
    <w:link w:val="QuoteChar"/>
    <w:uiPriority w:val="29"/>
    <w:qFormat/>
    <w:rsid w:val="00C23443"/>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23443"/>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styleId="IntenseEmphasis">
    <w:name w:val="Intense Emphasis"/>
    <w:basedOn w:val="DefaultParagraphFont"/>
    <w:uiPriority w:val="21"/>
    <w:qFormat/>
    <w:rsid w:val="00C23443"/>
    <w:rPr>
      <w:i/>
      <w:iCs/>
      <w:color w:val="365F91" w:themeColor="accent1" w:themeShade="BF"/>
    </w:rPr>
  </w:style>
  <w:style w:type="paragraph" w:styleId="IntenseQuote">
    <w:name w:val="Intense Quote"/>
    <w:basedOn w:val="Normal"/>
    <w:next w:val="Normal"/>
    <w:link w:val="IntenseQuoteChar"/>
    <w:uiPriority w:val="30"/>
    <w:qFormat/>
    <w:rsid w:val="00C23443"/>
    <w:pPr>
      <w:pBdr>
        <w:top w:val="single" w:sz="4" w:space="10" w:color="365F91" w:themeColor="accent1" w:themeShade="BF"/>
        <w:bottom w:val="single" w:sz="4" w:space="10" w:color="365F91" w:themeColor="accent1" w:themeShade="BF"/>
      </w:pBdr>
      <w:spacing w:before="360" w:after="360" w:line="278" w:lineRule="auto"/>
      <w:ind w:left="864" w:right="864"/>
      <w:jc w:val="center"/>
    </w:pPr>
    <w:rPr>
      <w:rFonts w:asciiTheme="minorHAnsi" w:eastAsiaTheme="minorHAnsi" w:hAnsiTheme="minorHAnsi" w:cstheme="minorBidi"/>
      <w:i/>
      <w:iCs/>
      <w:color w:val="365F9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23443"/>
    <w:rPr>
      <w:rFonts w:asciiTheme="minorHAnsi" w:eastAsiaTheme="minorHAnsi" w:hAnsiTheme="minorHAnsi" w:cstheme="minorBidi"/>
      <w:i/>
      <w:iCs/>
      <w:color w:val="365F91" w:themeColor="accent1" w:themeShade="BF"/>
      <w:kern w:val="2"/>
      <w:sz w:val="24"/>
      <w:szCs w:val="24"/>
      <w:lang w:eastAsia="en-US"/>
      <w14:ligatures w14:val="standardContextual"/>
    </w:rPr>
  </w:style>
  <w:style w:type="character" w:styleId="IntenseReference">
    <w:name w:val="Intense Reference"/>
    <w:basedOn w:val="DefaultParagraphFont"/>
    <w:uiPriority w:val="32"/>
    <w:qFormat/>
    <w:rsid w:val="00C23443"/>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01439">
      <w:bodyDiv w:val="1"/>
      <w:marLeft w:val="0"/>
      <w:marRight w:val="0"/>
      <w:marTop w:val="0"/>
      <w:marBottom w:val="0"/>
      <w:divBdr>
        <w:top w:val="none" w:sz="0" w:space="0" w:color="auto"/>
        <w:left w:val="none" w:sz="0" w:space="0" w:color="auto"/>
        <w:bottom w:val="none" w:sz="0" w:space="0" w:color="auto"/>
        <w:right w:val="none" w:sz="0" w:space="0" w:color="auto"/>
      </w:divBdr>
      <w:divsChild>
        <w:div w:id="101193687">
          <w:marLeft w:val="0"/>
          <w:marRight w:val="0"/>
          <w:marTop w:val="0"/>
          <w:marBottom w:val="0"/>
          <w:divBdr>
            <w:top w:val="none" w:sz="0" w:space="0" w:color="auto"/>
            <w:left w:val="none" w:sz="0" w:space="0" w:color="auto"/>
            <w:bottom w:val="none" w:sz="0" w:space="0" w:color="auto"/>
            <w:right w:val="none" w:sz="0" w:space="0" w:color="auto"/>
          </w:divBdr>
        </w:div>
        <w:div w:id="474493760">
          <w:marLeft w:val="0"/>
          <w:marRight w:val="0"/>
          <w:marTop w:val="0"/>
          <w:marBottom w:val="0"/>
          <w:divBdr>
            <w:top w:val="none" w:sz="0" w:space="0" w:color="auto"/>
            <w:left w:val="none" w:sz="0" w:space="0" w:color="auto"/>
            <w:bottom w:val="none" w:sz="0" w:space="0" w:color="auto"/>
            <w:right w:val="none" w:sz="0" w:space="0" w:color="auto"/>
          </w:divBdr>
        </w:div>
        <w:div w:id="952173598">
          <w:marLeft w:val="0"/>
          <w:marRight w:val="0"/>
          <w:marTop w:val="0"/>
          <w:marBottom w:val="0"/>
          <w:divBdr>
            <w:top w:val="none" w:sz="0" w:space="0" w:color="auto"/>
            <w:left w:val="none" w:sz="0" w:space="0" w:color="auto"/>
            <w:bottom w:val="none" w:sz="0" w:space="0" w:color="auto"/>
            <w:right w:val="none" w:sz="0" w:space="0" w:color="auto"/>
          </w:divBdr>
        </w:div>
        <w:div w:id="1630285827">
          <w:marLeft w:val="0"/>
          <w:marRight w:val="0"/>
          <w:marTop w:val="0"/>
          <w:marBottom w:val="0"/>
          <w:divBdr>
            <w:top w:val="none" w:sz="0" w:space="0" w:color="auto"/>
            <w:left w:val="none" w:sz="0" w:space="0" w:color="auto"/>
            <w:bottom w:val="none" w:sz="0" w:space="0" w:color="auto"/>
            <w:right w:val="none" w:sz="0" w:space="0" w:color="auto"/>
          </w:divBdr>
        </w:div>
        <w:div w:id="1795636234">
          <w:marLeft w:val="0"/>
          <w:marRight w:val="0"/>
          <w:marTop w:val="0"/>
          <w:marBottom w:val="0"/>
          <w:divBdr>
            <w:top w:val="none" w:sz="0" w:space="0" w:color="auto"/>
            <w:left w:val="none" w:sz="0" w:space="0" w:color="auto"/>
            <w:bottom w:val="none" w:sz="0" w:space="0" w:color="auto"/>
            <w:right w:val="none" w:sz="0" w:space="0" w:color="auto"/>
          </w:divBdr>
        </w:div>
      </w:divsChild>
    </w:div>
    <w:div w:id="47654096">
      <w:bodyDiv w:val="1"/>
      <w:marLeft w:val="0"/>
      <w:marRight w:val="0"/>
      <w:marTop w:val="0"/>
      <w:marBottom w:val="0"/>
      <w:divBdr>
        <w:top w:val="none" w:sz="0" w:space="0" w:color="auto"/>
        <w:left w:val="none" w:sz="0" w:space="0" w:color="auto"/>
        <w:bottom w:val="none" w:sz="0" w:space="0" w:color="auto"/>
        <w:right w:val="none" w:sz="0" w:space="0" w:color="auto"/>
      </w:divBdr>
    </w:div>
    <w:div w:id="57941160">
      <w:bodyDiv w:val="1"/>
      <w:marLeft w:val="0"/>
      <w:marRight w:val="0"/>
      <w:marTop w:val="0"/>
      <w:marBottom w:val="0"/>
      <w:divBdr>
        <w:top w:val="none" w:sz="0" w:space="0" w:color="auto"/>
        <w:left w:val="none" w:sz="0" w:space="0" w:color="auto"/>
        <w:bottom w:val="none" w:sz="0" w:space="0" w:color="auto"/>
        <w:right w:val="none" w:sz="0" w:space="0" w:color="auto"/>
      </w:divBdr>
      <w:divsChild>
        <w:div w:id="69617405">
          <w:marLeft w:val="0"/>
          <w:marRight w:val="0"/>
          <w:marTop w:val="0"/>
          <w:marBottom w:val="0"/>
          <w:divBdr>
            <w:top w:val="none" w:sz="0" w:space="0" w:color="auto"/>
            <w:left w:val="none" w:sz="0" w:space="0" w:color="auto"/>
            <w:bottom w:val="none" w:sz="0" w:space="0" w:color="auto"/>
            <w:right w:val="none" w:sz="0" w:space="0" w:color="auto"/>
          </w:divBdr>
        </w:div>
        <w:div w:id="139346159">
          <w:marLeft w:val="0"/>
          <w:marRight w:val="0"/>
          <w:marTop w:val="0"/>
          <w:marBottom w:val="0"/>
          <w:divBdr>
            <w:top w:val="none" w:sz="0" w:space="0" w:color="auto"/>
            <w:left w:val="none" w:sz="0" w:space="0" w:color="auto"/>
            <w:bottom w:val="none" w:sz="0" w:space="0" w:color="auto"/>
            <w:right w:val="none" w:sz="0" w:space="0" w:color="auto"/>
          </w:divBdr>
        </w:div>
        <w:div w:id="195626219">
          <w:marLeft w:val="0"/>
          <w:marRight w:val="0"/>
          <w:marTop w:val="0"/>
          <w:marBottom w:val="0"/>
          <w:divBdr>
            <w:top w:val="none" w:sz="0" w:space="0" w:color="auto"/>
            <w:left w:val="none" w:sz="0" w:space="0" w:color="auto"/>
            <w:bottom w:val="none" w:sz="0" w:space="0" w:color="auto"/>
            <w:right w:val="none" w:sz="0" w:space="0" w:color="auto"/>
          </w:divBdr>
        </w:div>
        <w:div w:id="196239650">
          <w:marLeft w:val="0"/>
          <w:marRight w:val="0"/>
          <w:marTop w:val="0"/>
          <w:marBottom w:val="0"/>
          <w:divBdr>
            <w:top w:val="none" w:sz="0" w:space="0" w:color="auto"/>
            <w:left w:val="none" w:sz="0" w:space="0" w:color="auto"/>
            <w:bottom w:val="none" w:sz="0" w:space="0" w:color="auto"/>
            <w:right w:val="none" w:sz="0" w:space="0" w:color="auto"/>
          </w:divBdr>
        </w:div>
        <w:div w:id="248663370">
          <w:marLeft w:val="0"/>
          <w:marRight w:val="0"/>
          <w:marTop w:val="0"/>
          <w:marBottom w:val="0"/>
          <w:divBdr>
            <w:top w:val="none" w:sz="0" w:space="0" w:color="auto"/>
            <w:left w:val="none" w:sz="0" w:space="0" w:color="auto"/>
            <w:bottom w:val="none" w:sz="0" w:space="0" w:color="auto"/>
            <w:right w:val="none" w:sz="0" w:space="0" w:color="auto"/>
          </w:divBdr>
        </w:div>
        <w:div w:id="323820982">
          <w:marLeft w:val="0"/>
          <w:marRight w:val="0"/>
          <w:marTop w:val="0"/>
          <w:marBottom w:val="0"/>
          <w:divBdr>
            <w:top w:val="none" w:sz="0" w:space="0" w:color="auto"/>
            <w:left w:val="none" w:sz="0" w:space="0" w:color="auto"/>
            <w:bottom w:val="none" w:sz="0" w:space="0" w:color="auto"/>
            <w:right w:val="none" w:sz="0" w:space="0" w:color="auto"/>
          </w:divBdr>
        </w:div>
        <w:div w:id="497117023">
          <w:marLeft w:val="0"/>
          <w:marRight w:val="0"/>
          <w:marTop w:val="0"/>
          <w:marBottom w:val="0"/>
          <w:divBdr>
            <w:top w:val="none" w:sz="0" w:space="0" w:color="auto"/>
            <w:left w:val="none" w:sz="0" w:space="0" w:color="auto"/>
            <w:bottom w:val="none" w:sz="0" w:space="0" w:color="auto"/>
            <w:right w:val="none" w:sz="0" w:space="0" w:color="auto"/>
          </w:divBdr>
        </w:div>
        <w:div w:id="505561673">
          <w:marLeft w:val="0"/>
          <w:marRight w:val="0"/>
          <w:marTop w:val="0"/>
          <w:marBottom w:val="0"/>
          <w:divBdr>
            <w:top w:val="none" w:sz="0" w:space="0" w:color="auto"/>
            <w:left w:val="none" w:sz="0" w:space="0" w:color="auto"/>
            <w:bottom w:val="none" w:sz="0" w:space="0" w:color="auto"/>
            <w:right w:val="none" w:sz="0" w:space="0" w:color="auto"/>
          </w:divBdr>
        </w:div>
        <w:div w:id="566652393">
          <w:marLeft w:val="0"/>
          <w:marRight w:val="0"/>
          <w:marTop w:val="0"/>
          <w:marBottom w:val="0"/>
          <w:divBdr>
            <w:top w:val="none" w:sz="0" w:space="0" w:color="auto"/>
            <w:left w:val="none" w:sz="0" w:space="0" w:color="auto"/>
            <w:bottom w:val="none" w:sz="0" w:space="0" w:color="auto"/>
            <w:right w:val="none" w:sz="0" w:space="0" w:color="auto"/>
          </w:divBdr>
        </w:div>
        <w:div w:id="571623892">
          <w:marLeft w:val="0"/>
          <w:marRight w:val="0"/>
          <w:marTop w:val="0"/>
          <w:marBottom w:val="0"/>
          <w:divBdr>
            <w:top w:val="none" w:sz="0" w:space="0" w:color="auto"/>
            <w:left w:val="none" w:sz="0" w:space="0" w:color="auto"/>
            <w:bottom w:val="none" w:sz="0" w:space="0" w:color="auto"/>
            <w:right w:val="none" w:sz="0" w:space="0" w:color="auto"/>
          </w:divBdr>
        </w:div>
        <w:div w:id="616716451">
          <w:marLeft w:val="0"/>
          <w:marRight w:val="0"/>
          <w:marTop w:val="0"/>
          <w:marBottom w:val="0"/>
          <w:divBdr>
            <w:top w:val="none" w:sz="0" w:space="0" w:color="auto"/>
            <w:left w:val="none" w:sz="0" w:space="0" w:color="auto"/>
            <w:bottom w:val="none" w:sz="0" w:space="0" w:color="auto"/>
            <w:right w:val="none" w:sz="0" w:space="0" w:color="auto"/>
          </w:divBdr>
        </w:div>
        <w:div w:id="660357499">
          <w:marLeft w:val="0"/>
          <w:marRight w:val="0"/>
          <w:marTop w:val="0"/>
          <w:marBottom w:val="0"/>
          <w:divBdr>
            <w:top w:val="none" w:sz="0" w:space="0" w:color="auto"/>
            <w:left w:val="none" w:sz="0" w:space="0" w:color="auto"/>
            <w:bottom w:val="none" w:sz="0" w:space="0" w:color="auto"/>
            <w:right w:val="none" w:sz="0" w:space="0" w:color="auto"/>
          </w:divBdr>
        </w:div>
        <w:div w:id="746075561">
          <w:marLeft w:val="0"/>
          <w:marRight w:val="0"/>
          <w:marTop w:val="0"/>
          <w:marBottom w:val="0"/>
          <w:divBdr>
            <w:top w:val="none" w:sz="0" w:space="0" w:color="auto"/>
            <w:left w:val="none" w:sz="0" w:space="0" w:color="auto"/>
            <w:bottom w:val="none" w:sz="0" w:space="0" w:color="auto"/>
            <w:right w:val="none" w:sz="0" w:space="0" w:color="auto"/>
          </w:divBdr>
        </w:div>
        <w:div w:id="809636374">
          <w:marLeft w:val="0"/>
          <w:marRight w:val="0"/>
          <w:marTop w:val="0"/>
          <w:marBottom w:val="0"/>
          <w:divBdr>
            <w:top w:val="none" w:sz="0" w:space="0" w:color="auto"/>
            <w:left w:val="none" w:sz="0" w:space="0" w:color="auto"/>
            <w:bottom w:val="none" w:sz="0" w:space="0" w:color="auto"/>
            <w:right w:val="none" w:sz="0" w:space="0" w:color="auto"/>
          </w:divBdr>
        </w:div>
        <w:div w:id="955405021">
          <w:marLeft w:val="0"/>
          <w:marRight w:val="0"/>
          <w:marTop w:val="0"/>
          <w:marBottom w:val="0"/>
          <w:divBdr>
            <w:top w:val="none" w:sz="0" w:space="0" w:color="auto"/>
            <w:left w:val="none" w:sz="0" w:space="0" w:color="auto"/>
            <w:bottom w:val="none" w:sz="0" w:space="0" w:color="auto"/>
            <w:right w:val="none" w:sz="0" w:space="0" w:color="auto"/>
          </w:divBdr>
        </w:div>
        <w:div w:id="975836119">
          <w:marLeft w:val="0"/>
          <w:marRight w:val="0"/>
          <w:marTop w:val="0"/>
          <w:marBottom w:val="0"/>
          <w:divBdr>
            <w:top w:val="none" w:sz="0" w:space="0" w:color="auto"/>
            <w:left w:val="none" w:sz="0" w:space="0" w:color="auto"/>
            <w:bottom w:val="none" w:sz="0" w:space="0" w:color="auto"/>
            <w:right w:val="none" w:sz="0" w:space="0" w:color="auto"/>
          </w:divBdr>
        </w:div>
        <w:div w:id="984697875">
          <w:marLeft w:val="0"/>
          <w:marRight w:val="0"/>
          <w:marTop w:val="0"/>
          <w:marBottom w:val="0"/>
          <w:divBdr>
            <w:top w:val="none" w:sz="0" w:space="0" w:color="auto"/>
            <w:left w:val="none" w:sz="0" w:space="0" w:color="auto"/>
            <w:bottom w:val="none" w:sz="0" w:space="0" w:color="auto"/>
            <w:right w:val="none" w:sz="0" w:space="0" w:color="auto"/>
          </w:divBdr>
        </w:div>
        <w:div w:id="1008556781">
          <w:marLeft w:val="0"/>
          <w:marRight w:val="0"/>
          <w:marTop w:val="0"/>
          <w:marBottom w:val="0"/>
          <w:divBdr>
            <w:top w:val="none" w:sz="0" w:space="0" w:color="auto"/>
            <w:left w:val="none" w:sz="0" w:space="0" w:color="auto"/>
            <w:bottom w:val="none" w:sz="0" w:space="0" w:color="auto"/>
            <w:right w:val="none" w:sz="0" w:space="0" w:color="auto"/>
          </w:divBdr>
        </w:div>
        <w:div w:id="1038120200">
          <w:marLeft w:val="0"/>
          <w:marRight w:val="0"/>
          <w:marTop w:val="0"/>
          <w:marBottom w:val="0"/>
          <w:divBdr>
            <w:top w:val="none" w:sz="0" w:space="0" w:color="auto"/>
            <w:left w:val="none" w:sz="0" w:space="0" w:color="auto"/>
            <w:bottom w:val="none" w:sz="0" w:space="0" w:color="auto"/>
            <w:right w:val="none" w:sz="0" w:space="0" w:color="auto"/>
          </w:divBdr>
        </w:div>
        <w:div w:id="1070738012">
          <w:marLeft w:val="0"/>
          <w:marRight w:val="0"/>
          <w:marTop w:val="0"/>
          <w:marBottom w:val="0"/>
          <w:divBdr>
            <w:top w:val="none" w:sz="0" w:space="0" w:color="auto"/>
            <w:left w:val="none" w:sz="0" w:space="0" w:color="auto"/>
            <w:bottom w:val="none" w:sz="0" w:space="0" w:color="auto"/>
            <w:right w:val="none" w:sz="0" w:space="0" w:color="auto"/>
          </w:divBdr>
        </w:div>
        <w:div w:id="1125122974">
          <w:marLeft w:val="0"/>
          <w:marRight w:val="0"/>
          <w:marTop w:val="0"/>
          <w:marBottom w:val="0"/>
          <w:divBdr>
            <w:top w:val="none" w:sz="0" w:space="0" w:color="auto"/>
            <w:left w:val="none" w:sz="0" w:space="0" w:color="auto"/>
            <w:bottom w:val="none" w:sz="0" w:space="0" w:color="auto"/>
            <w:right w:val="none" w:sz="0" w:space="0" w:color="auto"/>
          </w:divBdr>
          <w:divsChild>
            <w:div w:id="622855317">
              <w:marLeft w:val="-75"/>
              <w:marRight w:val="0"/>
              <w:marTop w:val="30"/>
              <w:marBottom w:val="30"/>
              <w:divBdr>
                <w:top w:val="none" w:sz="0" w:space="0" w:color="auto"/>
                <w:left w:val="none" w:sz="0" w:space="0" w:color="auto"/>
                <w:bottom w:val="none" w:sz="0" w:space="0" w:color="auto"/>
                <w:right w:val="none" w:sz="0" w:space="0" w:color="auto"/>
              </w:divBdr>
              <w:divsChild>
                <w:div w:id="47385652">
                  <w:marLeft w:val="0"/>
                  <w:marRight w:val="0"/>
                  <w:marTop w:val="0"/>
                  <w:marBottom w:val="0"/>
                  <w:divBdr>
                    <w:top w:val="none" w:sz="0" w:space="0" w:color="auto"/>
                    <w:left w:val="none" w:sz="0" w:space="0" w:color="auto"/>
                    <w:bottom w:val="none" w:sz="0" w:space="0" w:color="auto"/>
                    <w:right w:val="none" w:sz="0" w:space="0" w:color="auto"/>
                  </w:divBdr>
                  <w:divsChild>
                    <w:div w:id="40978173">
                      <w:marLeft w:val="0"/>
                      <w:marRight w:val="0"/>
                      <w:marTop w:val="0"/>
                      <w:marBottom w:val="0"/>
                      <w:divBdr>
                        <w:top w:val="none" w:sz="0" w:space="0" w:color="auto"/>
                        <w:left w:val="none" w:sz="0" w:space="0" w:color="auto"/>
                        <w:bottom w:val="none" w:sz="0" w:space="0" w:color="auto"/>
                        <w:right w:val="none" w:sz="0" w:space="0" w:color="auto"/>
                      </w:divBdr>
                    </w:div>
                  </w:divsChild>
                </w:div>
                <w:div w:id="127212753">
                  <w:marLeft w:val="0"/>
                  <w:marRight w:val="0"/>
                  <w:marTop w:val="0"/>
                  <w:marBottom w:val="0"/>
                  <w:divBdr>
                    <w:top w:val="none" w:sz="0" w:space="0" w:color="auto"/>
                    <w:left w:val="none" w:sz="0" w:space="0" w:color="auto"/>
                    <w:bottom w:val="none" w:sz="0" w:space="0" w:color="auto"/>
                    <w:right w:val="none" w:sz="0" w:space="0" w:color="auto"/>
                  </w:divBdr>
                  <w:divsChild>
                    <w:div w:id="113066440">
                      <w:marLeft w:val="0"/>
                      <w:marRight w:val="0"/>
                      <w:marTop w:val="0"/>
                      <w:marBottom w:val="0"/>
                      <w:divBdr>
                        <w:top w:val="none" w:sz="0" w:space="0" w:color="auto"/>
                        <w:left w:val="none" w:sz="0" w:space="0" w:color="auto"/>
                        <w:bottom w:val="none" w:sz="0" w:space="0" w:color="auto"/>
                        <w:right w:val="none" w:sz="0" w:space="0" w:color="auto"/>
                      </w:divBdr>
                    </w:div>
                    <w:div w:id="981538040">
                      <w:marLeft w:val="0"/>
                      <w:marRight w:val="0"/>
                      <w:marTop w:val="0"/>
                      <w:marBottom w:val="0"/>
                      <w:divBdr>
                        <w:top w:val="none" w:sz="0" w:space="0" w:color="auto"/>
                        <w:left w:val="none" w:sz="0" w:space="0" w:color="auto"/>
                        <w:bottom w:val="none" w:sz="0" w:space="0" w:color="auto"/>
                        <w:right w:val="none" w:sz="0" w:space="0" w:color="auto"/>
                      </w:divBdr>
                    </w:div>
                    <w:div w:id="2019959937">
                      <w:marLeft w:val="0"/>
                      <w:marRight w:val="0"/>
                      <w:marTop w:val="0"/>
                      <w:marBottom w:val="0"/>
                      <w:divBdr>
                        <w:top w:val="none" w:sz="0" w:space="0" w:color="auto"/>
                        <w:left w:val="none" w:sz="0" w:space="0" w:color="auto"/>
                        <w:bottom w:val="none" w:sz="0" w:space="0" w:color="auto"/>
                        <w:right w:val="none" w:sz="0" w:space="0" w:color="auto"/>
                      </w:divBdr>
                    </w:div>
                  </w:divsChild>
                </w:div>
                <w:div w:id="148331076">
                  <w:marLeft w:val="0"/>
                  <w:marRight w:val="0"/>
                  <w:marTop w:val="0"/>
                  <w:marBottom w:val="0"/>
                  <w:divBdr>
                    <w:top w:val="none" w:sz="0" w:space="0" w:color="auto"/>
                    <w:left w:val="none" w:sz="0" w:space="0" w:color="auto"/>
                    <w:bottom w:val="none" w:sz="0" w:space="0" w:color="auto"/>
                    <w:right w:val="none" w:sz="0" w:space="0" w:color="auto"/>
                  </w:divBdr>
                  <w:divsChild>
                    <w:div w:id="372658172">
                      <w:marLeft w:val="0"/>
                      <w:marRight w:val="0"/>
                      <w:marTop w:val="0"/>
                      <w:marBottom w:val="0"/>
                      <w:divBdr>
                        <w:top w:val="none" w:sz="0" w:space="0" w:color="auto"/>
                        <w:left w:val="none" w:sz="0" w:space="0" w:color="auto"/>
                        <w:bottom w:val="none" w:sz="0" w:space="0" w:color="auto"/>
                        <w:right w:val="none" w:sz="0" w:space="0" w:color="auto"/>
                      </w:divBdr>
                    </w:div>
                    <w:div w:id="477915218">
                      <w:marLeft w:val="0"/>
                      <w:marRight w:val="0"/>
                      <w:marTop w:val="0"/>
                      <w:marBottom w:val="0"/>
                      <w:divBdr>
                        <w:top w:val="none" w:sz="0" w:space="0" w:color="auto"/>
                        <w:left w:val="none" w:sz="0" w:space="0" w:color="auto"/>
                        <w:bottom w:val="none" w:sz="0" w:space="0" w:color="auto"/>
                        <w:right w:val="none" w:sz="0" w:space="0" w:color="auto"/>
                      </w:divBdr>
                    </w:div>
                    <w:div w:id="648705546">
                      <w:marLeft w:val="0"/>
                      <w:marRight w:val="0"/>
                      <w:marTop w:val="0"/>
                      <w:marBottom w:val="0"/>
                      <w:divBdr>
                        <w:top w:val="none" w:sz="0" w:space="0" w:color="auto"/>
                        <w:left w:val="none" w:sz="0" w:space="0" w:color="auto"/>
                        <w:bottom w:val="none" w:sz="0" w:space="0" w:color="auto"/>
                        <w:right w:val="none" w:sz="0" w:space="0" w:color="auto"/>
                      </w:divBdr>
                    </w:div>
                  </w:divsChild>
                </w:div>
                <w:div w:id="188809300">
                  <w:marLeft w:val="0"/>
                  <w:marRight w:val="0"/>
                  <w:marTop w:val="0"/>
                  <w:marBottom w:val="0"/>
                  <w:divBdr>
                    <w:top w:val="none" w:sz="0" w:space="0" w:color="auto"/>
                    <w:left w:val="none" w:sz="0" w:space="0" w:color="auto"/>
                    <w:bottom w:val="none" w:sz="0" w:space="0" w:color="auto"/>
                    <w:right w:val="none" w:sz="0" w:space="0" w:color="auto"/>
                  </w:divBdr>
                  <w:divsChild>
                    <w:div w:id="1032724182">
                      <w:marLeft w:val="0"/>
                      <w:marRight w:val="0"/>
                      <w:marTop w:val="0"/>
                      <w:marBottom w:val="0"/>
                      <w:divBdr>
                        <w:top w:val="none" w:sz="0" w:space="0" w:color="auto"/>
                        <w:left w:val="none" w:sz="0" w:space="0" w:color="auto"/>
                        <w:bottom w:val="none" w:sz="0" w:space="0" w:color="auto"/>
                        <w:right w:val="none" w:sz="0" w:space="0" w:color="auto"/>
                      </w:divBdr>
                    </w:div>
                  </w:divsChild>
                </w:div>
                <w:div w:id="344594878">
                  <w:marLeft w:val="0"/>
                  <w:marRight w:val="0"/>
                  <w:marTop w:val="0"/>
                  <w:marBottom w:val="0"/>
                  <w:divBdr>
                    <w:top w:val="none" w:sz="0" w:space="0" w:color="auto"/>
                    <w:left w:val="none" w:sz="0" w:space="0" w:color="auto"/>
                    <w:bottom w:val="none" w:sz="0" w:space="0" w:color="auto"/>
                    <w:right w:val="none" w:sz="0" w:space="0" w:color="auto"/>
                  </w:divBdr>
                  <w:divsChild>
                    <w:div w:id="1054037128">
                      <w:marLeft w:val="0"/>
                      <w:marRight w:val="0"/>
                      <w:marTop w:val="0"/>
                      <w:marBottom w:val="0"/>
                      <w:divBdr>
                        <w:top w:val="none" w:sz="0" w:space="0" w:color="auto"/>
                        <w:left w:val="none" w:sz="0" w:space="0" w:color="auto"/>
                        <w:bottom w:val="none" w:sz="0" w:space="0" w:color="auto"/>
                        <w:right w:val="none" w:sz="0" w:space="0" w:color="auto"/>
                      </w:divBdr>
                    </w:div>
                  </w:divsChild>
                </w:div>
                <w:div w:id="374963045">
                  <w:marLeft w:val="0"/>
                  <w:marRight w:val="0"/>
                  <w:marTop w:val="0"/>
                  <w:marBottom w:val="0"/>
                  <w:divBdr>
                    <w:top w:val="none" w:sz="0" w:space="0" w:color="auto"/>
                    <w:left w:val="none" w:sz="0" w:space="0" w:color="auto"/>
                    <w:bottom w:val="none" w:sz="0" w:space="0" w:color="auto"/>
                    <w:right w:val="none" w:sz="0" w:space="0" w:color="auto"/>
                  </w:divBdr>
                  <w:divsChild>
                    <w:div w:id="549390827">
                      <w:marLeft w:val="0"/>
                      <w:marRight w:val="0"/>
                      <w:marTop w:val="0"/>
                      <w:marBottom w:val="0"/>
                      <w:divBdr>
                        <w:top w:val="none" w:sz="0" w:space="0" w:color="auto"/>
                        <w:left w:val="none" w:sz="0" w:space="0" w:color="auto"/>
                        <w:bottom w:val="none" w:sz="0" w:space="0" w:color="auto"/>
                        <w:right w:val="none" w:sz="0" w:space="0" w:color="auto"/>
                      </w:divBdr>
                    </w:div>
                  </w:divsChild>
                </w:div>
                <w:div w:id="402140343">
                  <w:marLeft w:val="0"/>
                  <w:marRight w:val="0"/>
                  <w:marTop w:val="0"/>
                  <w:marBottom w:val="0"/>
                  <w:divBdr>
                    <w:top w:val="none" w:sz="0" w:space="0" w:color="auto"/>
                    <w:left w:val="none" w:sz="0" w:space="0" w:color="auto"/>
                    <w:bottom w:val="none" w:sz="0" w:space="0" w:color="auto"/>
                    <w:right w:val="none" w:sz="0" w:space="0" w:color="auto"/>
                  </w:divBdr>
                  <w:divsChild>
                    <w:div w:id="2113091151">
                      <w:marLeft w:val="0"/>
                      <w:marRight w:val="0"/>
                      <w:marTop w:val="0"/>
                      <w:marBottom w:val="0"/>
                      <w:divBdr>
                        <w:top w:val="none" w:sz="0" w:space="0" w:color="auto"/>
                        <w:left w:val="none" w:sz="0" w:space="0" w:color="auto"/>
                        <w:bottom w:val="none" w:sz="0" w:space="0" w:color="auto"/>
                        <w:right w:val="none" w:sz="0" w:space="0" w:color="auto"/>
                      </w:divBdr>
                    </w:div>
                  </w:divsChild>
                </w:div>
                <w:div w:id="416288967">
                  <w:marLeft w:val="0"/>
                  <w:marRight w:val="0"/>
                  <w:marTop w:val="0"/>
                  <w:marBottom w:val="0"/>
                  <w:divBdr>
                    <w:top w:val="none" w:sz="0" w:space="0" w:color="auto"/>
                    <w:left w:val="none" w:sz="0" w:space="0" w:color="auto"/>
                    <w:bottom w:val="none" w:sz="0" w:space="0" w:color="auto"/>
                    <w:right w:val="none" w:sz="0" w:space="0" w:color="auto"/>
                  </w:divBdr>
                  <w:divsChild>
                    <w:div w:id="1924795814">
                      <w:marLeft w:val="0"/>
                      <w:marRight w:val="0"/>
                      <w:marTop w:val="0"/>
                      <w:marBottom w:val="0"/>
                      <w:divBdr>
                        <w:top w:val="none" w:sz="0" w:space="0" w:color="auto"/>
                        <w:left w:val="none" w:sz="0" w:space="0" w:color="auto"/>
                        <w:bottom w:val="none" w:sz="0" w:space="0" w:color="auto"/>
                        <w:right w:val="none" w:sz="0" w:space="0" w:color="auto"/>
                      </w:divBdr>
                    </w:div>
                  </w:divsChild>
                </w:div>
                <w:div w:id="478766028">
                  <w:marLeft w:val="0"/>
                  <w:marRight w:val="0"/>
                  <w:marTop w:val="0"/>
                  <w:marBottom w:val="0"/>
                  <w:divBdr>
                    <w:top w:val="none" w:sz="0" w:space="0" w:color="auto"/>
                    <w:left w:val="none" w:sz="0" w:space="0" w:color="auto"/>
                    <w:bottom w:val="none" w:sz="0" w:space="0" w:color="auto"/>
                    <w:right w:val="none" w:sz="0" w:space="0" w:color="auto"/>
                  </w:divBdr>
                  <w:divsChild>
                    <w:div w:id="471482880">
                      <w:marLeft w:val="0"/>
                      <w:marRight w:val="0"/>
                      <w:marTop w:val="0"/>
                      <w:marBottom w:val="0"/>
                      <w:divBdr>
                        <w:top w:val="none" w:sz="0" w:space="0" w:color="auto"/>
                        <w:left w:val="none" w:sz="0" w:space="0" w:color="auto"/>
                        <w:bottom w:val="none" w:sz="0" w:space="0" w:color="auto"/>
                        <w:right w:val="none" w:sz="0" w:space="0" w:color="auto"/>
                      </w:divBdr>
                    </w:div>
                  </w:divsChild>
                </w:div>
                <w:div w:id="490098279">
                  <w:marLeft w:val="0"/>
                  <w:marRight w:val="0"/>
                  <w:marTop w:val="0"/>
                  <w:marBottom w:val="0"/>
                  <w:divBdr>
                    <w:top w:val="none" w:sz="0" w:space="0" w:color="auto"/>
                    <w:left w:val="none" w:sz="0" w:space="0" w:color="auto"/>
                    <w:bottom w:val="none" w:sz="0" w:space="0" w:color="auto"/>
                    <w:right w:val="none" w:sz="0" w:space="0" w:color="auto"/>
                  </w:divBdr>
                  <w:divsChild>
                    <w:div w:id="915094539">
                      <w:marLeft w:val="0"/>
                      <w:marRight w:val="0"/>
                      <w:marTop w:val="0"/>
                      <w:marBottom w:val="0"/>
                      <w:divBdr>
                        <w:top w:val="none" w:sz="0" w:space="0" w:color="auto"/>
                        <w:left w:val="none" w:sz="0" w:space="0" w:color="auto"/>
                        <w:bottom w:val="none" w:sz="0" w:space="0" w:color="auto"/>
                        <w:right w:val="none" w:sz="0" w:space="0" w:color="auto"/>
                      </w:divBdr>
                    </w:div>
                  </w:divsChild>
                </w:div>
                <w:div w:id="495347653">
                  <w:marLeft w:val="0"/>
                  <w:marRight w:val="0"/>
                  <w:marTop w:val="0"/>
                  <w:marBottom w:val="0"/>
                  <w:divBdr>
                    <w:top w:val="none" w:sz="0" w:space="0" w:color="auto"/>
                    <w:left w:val="none" w:sz="0" w:space="0" w:color="auto"/>
                    <w:bottom w:val="none" w:sz="0" w:space="0" w:color="auto"/>
                    <w:right w:val="none" w:sz="0" w:space="0" w:color="auto"/>
                  </w:divBdr>
                  <w:divsChild>
                    <w:div w:id="450705251">
                      <w:marLeft w:val="0"/>
                      <w:marRight w:val="0"/>
                      <w:marTop w:val="0"/>
                      <w:marBottom w:val="0"/>
                      <w:divBdr>
                        <w:top w:val="none" w:sz="0" w:space="0" w:color="auto"/>
                        <w:left w:val="none" w:sz="0" w:space="0" w:color="auto"/>
                        <w:bottom w:val="none" w:sz="0" w:space="0" w:color="auto"/>
                        <w:right w:val="none" w:sz="0" w:space="0" w:color="auto"/>
                      </w:divBdr>
                    </w:div>
                    <w:div w:id="1571307178">
                      <w:marLeft w:val="0"/>
                      <w:marRight w:val="0"/>
                      <w:marTop w:val="0"/>
                      <w:marBottom w:val="0"/>
                      <w:divBdr>
                        <w:top w:val="none" w:sz="0" w:space="0" w:color="auto"/>
                        <w:left w:val="none" w:sz="0" w:space="0" w:color="auto"/>
                        <w:bottom w:val="none" w:sz="0" w:space="0" w:color="auto"/>
                        <w:right w:val="none" w:sz="0" w:space="0" w:color="auto"/>
                      </w:divBdr>
                    </w:div>
                  </w:divsChild>
                </w:div>
                <w:div w:id="585262038">
                  <w:marLeft w:val="0"/>
                  <w:marRight w:val="0"/>
                  <w:marTop w:val="0"/>
                  <w:marBottom w:val="0"/>
                  <w:divBdr>
                    <w:top w:val="none" w:sz="0" w:space="0" w:color="auto"/>
                    <w:left w:val="none" w:sz="0" w:space="0" w:color="auto"/>
                    <w:bottom w:val="none" w:sz="0" w:space="0" w:color="auto"/>
                    <w:right w:val="none" w:sz="0" w:space="0" w:color="auto"/>
                  </w:divBdr>
                  <w:divsChild>
                    <w:div w:id="1059943046">
                      <w:marLeft w:val="0"/>
                      <w:marRight w:val="0"/>
                      <w:marTop w:val="0"/>
                      <w:marBottom w:val="0"/>
                      <w:divBdr>
                        <w:top w:val="none" w:sz="0" w:space="0" w:color="auto"/>
                        <w:left w:val="none" w:sz="0" w:space="0" w:color="auto"/>
                        <w:bottom w:val="none" w:sz="0" w:space="0" w:color="auto"/>
                        <w:right w:val="none" w:sz="0" w:space="0" w:color="auto"/>
                      </w:divBdr>
                    </w:div>
                  </w:divsChild>
                </w:div>
                <w:div w:id="592202091">
                  <w:marLeft w:val="0"/>
                  <w:marRight w:val="0"/>
                  <w:marTop w:val="0"/>
                  <w:marBottom w:val="0"/>
                  <w:divBdr>
                    <w:top w:val="none" w:sz="0" w:space="0" w:color="auto"/>
                    <w:left w:val="none" w:sz="0" w:space="0" w:color="auto"/>
                    <w:bottom w:val="none" w:sz="0" w:space="0" w:color="auto"/>
                    <w:right w:val="none" w:sz="0" w:space="0" w:color="auto"/>
                  </w:divBdr>
                  <w:divsChild>
                    <w:div w:id="811750404">
                      <w:marLeft w:val="0"/>
                      <w:marRight w:val="0"/>
                      <w:marTop w:val="0"/>
                      <w:marBottom w:val="0"/>
                      <w:divBdr>
                        <w:top w:val="none" w:sz="0" w:space="0" w:color="auto"/>
                        <w:left w:val="none" w:sz="0" w:space="0" w:color="auto"/>
                        <w:bottom w:val="none" w:sz="0" w:space="0" w:color="auto"/>
                        <w:right w:val="none" w:sz="0" w:space="0" w:color="auto"/>
                      </w:divBdr>
                    </w:div>
                    <w:div w:id="1305040209">
                      <w:marLeft w:val="0"/>
                      <w:marRight w:val="0"/>
                      <w:marTop w:val="0"/>
                      <w:marBottom w:val="0"/>
                      <w:divBdr>
                        <w:top w:val="none" w:sz="0" w:space="0" w:color="auto"/>
                        <w:left w:val="none" w:sz="0" w:space="0" w:color="auto"/>
                        <w:bottom w:val="none" w:sz="0" w:space="0" w:color="auto"/>
                        <w:right w:val="none" w:sz="0" w:space="0" w:color="auto"/>
                      </w:divBdr>
                    </w:div>
                    <w:div w:id="2013988232">
                      <w:marLeft w:val="0"/>
                      <w:marRight w:val="0"/>
                      <w:marTop w:val="0"/>
                      <w:marBottom w:val="0"/>
                      <w:divBdr>
                        <w:top w:val="none" w:sz="0" w:space="0" w:color="auto"/>
                        <w:left w:val="none" w:sz="0" w:space="0" w:color="auto"/>
                        <w:bottom w:val="none" w:sz="0" w:space="0" w:color="auto"/>
                        <w:right w:val="none" w:sz="0" w:space="0" w:color="auto"/>
                      </w:divBdr>
                    </w:div>
                  </w:divsChild>
                </w:div>
                <w:div w:id="635914376">
                  <w:marLeft w:val="0"/>
                  <w:marRight w:val="0"/>
                  <w:marTop w:val="0"/>
                  <w:marBottom w:val="0"/>
                  <w:divBdr>
                    <w:top w:val="none" w:sz="0" w:space="0" w:color="auto"/>
                    <w:left w:val="none" w:sz="0" w:space="0" w:color="auto"/>
                    <w:bottom w:val="none" w:sz="0" w:space="0" w:color="auto"/>
                    <w:right w:val="none" w:sz="0" w:space="0" w:color="auto"/>
                  </w:divBdr>
                  <w:divsChild>
                    <w:div w:id="990137700">
                      <w:marLeft w:val="0"/>
                      <w:marRight w:val="0"/>
                      <w:marTop w:val="0"/>
                      <w:marBottom w:val="0"/>
                      <w:divBdr>
                        <w:top w:val="none" w:sz="0" w:space="0" w:color="auto"/>
                        <w:left w:val="none" w:sz="0" w:space="0" w:color="auto"/>
                        <w:bottom w:val="none" w:sz="0" w:space="0" w:color="auto"/>
                        <w:right w:val="none" w:sz="0" w:space="0" w:color="auto"/>
                      </w:divBdr>
                    </w:div>
                  </w:divsChild>
                </w:div>
                <w:div w:id="658851167">
                  <w:marLeft w:val="0"/>
                  <w:marRight w:val="0"/>
                  <w:marTop w:val="0"/>
                  <w:marBottom w:val="0"/>
                  <w:divBdr>
                    <w:top w:val="none" w:sz="0" w:space="0" w:color="auto"/>
                    <w:left w:val="none" w:sz="0" w:space="0" w:color="auto"/>
                    <w:bottom w:val="none" w:sz="0" w:space="0" w:color="auto"/>
                    <w:right w:val="none" w:sz="0" w:space="0" w:color="auto"/>
                  </w:divBdr>
                  <w:divsChild>
                    <w:div w:id="93477932">
                      <w:marLeft w:val="0"/>
                      <w:marRight w:val="0"/>
                      <w:marTop w:val="0"/>
                      <w:marBottom w:val="0"/>
                      <w:divBdr>
                        <w:top w:val="none" w:sz="0" w:space="0" w:color="auto"/>
                        <w:left w:val="none" w:sz="0" w:space="0" w:color="auto"/>
                        <w:bottom w:val="none" w:sz="0" w:space="0" w:color="auto"/>
                        <w:right w:val="none" w:sz="0" w:space="0" w:color="auto"/>
                      </w:divBdr>
                    </w:div>
                  </w:divsChild>
                </w:div>
                <w:div w:id="666597581">
                  <w:marLeft w:val="0"/>
                  <w:marRight w:val="0"/>
                  <w:marTop w:val="0"/>
                  <w:marBottom w:val="0"/>
                  <w:divBdr>
                    <w:top w:val="none" w:sz="0" w:space="0" w:color="auto"/>
                    <w:left w:val="none" w:sz="0" w:space="0" w:color="auto"/>
                    <w:bottom w:val="none" w:sz="0" w:space="0" w:color="auto"/>
                    <w:right w:val="none" w:sz="0" w:space="0" w:color="auto"/>
                  </w:divBdr>
                  <w:divsChild>
                    <w:div w:id="1881744114">
                      <w:marLeft w:val="0"/>
                      <w:marRight w:val="0"/>
                      <w:marTop w:val="0"/>
                      <w:marBottom w:val="0"/>
                      <w:divBdr>
                        <w:top w:val="none" w:sz="0" w:space="0" w:color="auto"/>
                        <w:left w:val="none" w:sz="0" w:space="0" w:color="auto"/>
                        <w:bottom w:val="none" w:sz="0" w:space="0" w:color="auto"/>
                        <w:right w:val="none" w:sz="0" w:space="0" w:color="auto"/>
                      </w:divBdr>
                    </w:div>
                  </w:divsChild>
                </w:div>
                <w:div w:id="792558141">
                  <w:marLeft w:val="0"/>
                  <w:marRight w:val="0"/>
                  <w:marTop w:val="0"/>
                  <w:marBottom w:val="0"/>
                  <w:divBdr>
                    <w:top w:val="none" w:sz="0" w:space="0" w:color="auto"/>
                    <w:left w:val="none" w:sz="0" w:space="0" w:color="auto"/>
                    <w:bottom w:val="none" w:sz="0" w:space="0" w:color="auto"/>
                    <w:right w:val="none" w:sz="0" w:space="0" w:color="auto"/>
                  </w:divBdr>
                  <w:divsChild>
                    <w:div w:id="480392931">
                      <w:marLeft w:val="0"/>
                      <w:marRight w:val="0"/>
                      <w:marTop w:val="0"/>
                      <w:marBottom w:val="0"/>
                      <w:divBdr>
                        <w:top w:val="none" w:sz="0" w:space="0" w:color="auto"/>
                        <w:left w:val="none" w:sz="0" w:space="0" w:color="auto"/>
                        <w:bottom w:val="none" w:sz="0" w:space="0" w:color="auto"/>
                        <w:right w:val="none" w:sz="0" w:space="0" w:color="auto"/>
                      </w:divBdr>
                    </w:div>
                  </w:divsChild>
                </w:div>
                <w:div w:id="833108862">
                  <w:marLeft w:val="0"/>
                  <w:marRight w:val="0"/>
                  <w:marTop w:val="0"/>
                  <w:marBottom w:val="0"/>
                  <w:divBdr>
                    <w:top w:val="none" w:sz="0" w:space="0" w:color="auto"/>
                    <w:left w:val="none" w:sz="0" w:space="0" w:color="auto"/>
                    <w:bottom w:val="none" w:sz="0" w:space="0" w:color="auto"/>
                    <w:right w:val="none" w:sz="0" w:space="0" w:color="auto"/>
                  </w:divBdr>
                  <w:divsChild>
                    <w:div w:id="83259728">
                      <w:marLeft w:val="0"/>
                      <w:marRight w:val="0"/>
                      <w:marTop w:val="0"/>
                      <w:marBottom w:val="0"/>
                      <w:divBdr>
                        <w:top w:val="none" w:sz="0" w:space="0" w:color="auto"/>
                        <w:left w:val="none" w:sz="0" w:space="0" w:color="auto"/>
                        <w:bottom w:val="none" w:sz="0" w:space="0" w:color="auto"/>
                        <w:right w:val="none" w:sz="0" w:space="0" w:color="auto"/>
                      </w:divBdr>
                    </w:div>
                    <w:div w:id="338971295">
                      <w:marLeft w:val="0"/>
                      <w:marRight w:val="0"/>
                      <w:marTop w:val="0"/>
                      <w:marBottom w:val="0"/>
                      <w:divBdr>
                        <w:top w:val="none" w:sz="0" w:space="0" w:color="auto"/>
                        <w:left w:val="none" w:sz="0" w:space="0" w:color="auto"/>
                        <w:bottom w:val="none" w:sz="0" w:space="0" w:color="auto"/>
                        <w:right w:val="none" w:sz="0" w:space="0" w:color="auto"/>
                      </w:divBdr>
                    </w:div>
                    <w:div w:id="1121262310">
                      <w:marLeft w:val="0"/>
                      <w:marRight w:val="0"/>
                      <w:marTop w:val="0"/>
                      <w:marBottom w:val="0"/>
                      <w:divBdr>
                        <w:top w:val="none" w:sz="0" w:space="0" w:color="auto"/>
                        <w:left w:val="none" w:sz="0" w:space="0" w:color="auto"/>
                        <w:bottom w:val="none" w:sz="0" w:space="0" w:color="auto"/>
                        <w:right w:val="none" w:sz="0" w:space="0" w:color="auto"/>
                      </w:divBdr>
                    </w:div>
                  </w:divsChild>
                </w:div>
                <w:div w:id="834565478">
                  <w:marLeft w:val="0"/>
                  <w:marRight w:val="0"/>
                  <w:marTop w:val="0"/>
                  <w:marBottom w:val="0"/>
                  <w:divBdr>
                    <w:top w:val="none" w:sz="0" w:space="0" w:color="auto"/>
                    <w:left w:val="none" w:sz="0" w:space="0" w:color="auto"/>
                    <w:bottom w:val="none" w:sz="0" w:space="0" w:color="auto"/>
                    <w:right w:val="none" w:sz="0" w:space="0" w:color="auto"/>
                  </w:divBdr>
                  <w:divsChild>
                    <w:div w:id="1845509889">
                      <w:marLeft w:val="0"/>
                      <w:marRight w:val="0"/>
                      <w:marTop w:val="0"/>
                      <w:marBottom w:val="0"/>
                      <w:divBdr>
                        <w:top w:val="none" w:sz="0" w:space="0" w:color="auto"/>
                        <w:left w:val="none" w:sz="0" w:space="0" w:color="auto"/>
                        <w:bottom w:val="none" w:sz="0" w:space="0" w:color="auto"/>
                        <w:right w:val="none" w:sz="0" w:space="0" w:color="auto"/>
                      </w:divBdr>
                    </w:div>
                  </w:divsChild>
                </w:div>
                <w:div w:id="1031225798">
                  <w:marLeft w:val="0"/>
                  <w:marRight w:val="0"/>
                  <w:marTop w:val="0"/>
                  <w:marBottom w:val="0"/>
                  <w:divBdr>
                    <w:top w:val="none" w:sz="0" w:space="0" w:color="auto"/>
                    <w:left w:val="none" w:sz="0" w:space="0" w:color="auto"/>
                    <w:bottom w:val="none" w:sz="0" w:space="0" w:color="auto"/>
                    <w:right w:val="none" w:sz="0" w:space="0" w:color="auto"/>
                  </w:divBdr>
                  <w:divsChild>
                    <w:div w:id="2070641657">
                      <w:marLeft w:val="0"/>
                      <w:marRight w:val="0"/>
                      <w:marTop w:val="0"/>
                      <w:marBottom w:val="0"/>
                      <w:divBdr>
                        <w:top w:val="none" w:sz="0" w:space="0" w:color="auto"/>
                        <w:left w:val="none" w:sz="0" w:space="0" w:color="auto"/>
                        <w:bottom w:val="none" w:sz="0" w:space="0" w:color="auto"/>
                        <w:right w:val="none" w:sz="0" w:space="0" w:color="auto"/>
                      </w:divBdr>
                    </w:div>
                  </w:divsChild>
                </w:div>
                <w:div w:id="1046418331">
                  <w:marLeft w:val="0"/>
                  <w:marRight w:val="0"/>
                  <w:marTop w:val="0"/>
                  <w:marBottom w:val="0"/>
                  <w:divBdr>
                    <w:top w:val="none" w:sz="0" w:space="0" w:color="auto"/>
                    <w:left w:val="none" w:sz="0" w:space="0" w:color="auto"/>
                    <w:bottom w:val="none" w:sz="0" w:space="0" w:color="auto"/>
                    <w:right w:val="none" w:sz="0" w:space="0" w:color="auto"/>
                  </w:divBdr>
                  <w:divsChild>
                    <w:div w:id="90666497">
                      <w:marLeft w:val="0"/>
                      <w:marRight w:val="0"/>
                      <w:marTop w:val="0"/>
                      <w:marBottom w:val="0"/>
                      <w:divBdr>
                        <w:top w:val="none" w:sz="0" w:space="0" w:color="auto"/>
                        <w:left w:val="none" w:sz="0" w:space="0" w:color="auto"/>
                        <w:bottom w:val="none" w:sz="0" w:space="0" w:color="auto"/>
                        <w:right w:val="none" w:sz="0" w:space="0" w:color="auto"/>
                      </w:divBdr>
                    </w:div>
                  </w:divsChild>
                </w:div>
                <w:div w:id="1108282542">
                  <w:marLeft w:val="0"/>
                  <w:marRight w:val="0"/>
                  <w:marTop w:val="0"/>
                  <w:marBottom w:val="0"/>
                  <w:divBdr>
                    <w:top w:val="none" w:sz="0" w:space="0" w:color="auto"/>
                    <w:left w:val="none" w:sz="0" w:space="0" w:color="auto"/>
                    <w:bottom w:val="none" w:sz="0" w:space="0" w:color="auto"/>
                    <w:right w:val="none" w:sz="0" w:space="0" w:color="auto"/>
                  </w:divBdr>
                  <w:divsChild>
                    <w:div w:id="2107575195">
                      <w:marLeft w:val="0"/>
                      <w:marRight w:val="0"/>
                      <w:marTop w:val="0"/>
                      <w:marBottom w:val="0"/>
                      <w:divBdr>
                        <w:top w:val="none" w:sz="0" w:space="0" w:color="auto"/>
                        <w:left w:val="none" w:sz="0" w:space="0" w:color="auto"/>
                        <w:bottom w:val="none" w:sz="0" w:space="0" w:color="auto"/>
                        <w:right w:val="none" w:sz="0" w:space="0" w:color="auto"/>
                      </w:divBdr>
                    </w:div>
                  </w:divsChild>
                </w:div>
                <w:div w:id="1122310645">
                  <w:marLeft w:val="0"/>
                  <w:marRight w:val="0"/>
                  <w:marTop w:val="0"/>
                  <w:marBottom w:val="0"/>
                  <w:divBdr>
                    <w:top w:val="none" w:sz="0" w:space="0" w:color="auto"/>
                    <w:left w:val="none" w:sz="0" w:space="0" w:color="auto"/>
                    <w:bottom w:val="none" w:sz="0" w:space="0" w:color="auto"/>
                    <w:right w:val="none" w:sz="0" w:space="0" w:color="auto"/>
                  </w:divBdr>
                  <w:divsChild>
                    <w:div w:id="2083872529">
                      <w:marLeft w:val="0"/>
                      <w:marRight w:val="0"/>
                      <w:marTop w:val="0"/>
                      <w:marBottom w:val="0"/>
                      <w:divBdr>
                        <w:top w:val="none" w:sz="0" w:space="0" w:color="auto"/>
                        <w:left w:val="none" w:sz="0" w:space="0" w:color="auto"/>
                        <w:bottom w:val="none" w:sz="0" w:space="0" w:color="auto"/>
                        <w:right w:val="none" w:sz="0" w:space="0" w:color="auto"/>
                      </w:divBdr>
                    </w:div>
                  </w:divsChild>
                </w:div>
                <w:div w:id="1131364570">
                  <w:marLeft w:val="0"/>
                  <w:marRight w:val="0"/>
                  <w:marTop w:val="0"/>
                  <w:marBottom w:val="0"/>
                  <w:divBdr>
                    <w:top w:val="none" w:sz="0" w:space="0" w:color="auto"/>
                    <w:left w:val="none" w:sz="0" w:space="0" w:color="auto"/>
                    <w:bottom w:val="none" w:sz="0" w:space="0" w:color="auto"/>
                    <w:right w:val="none" w:sz="0" w:space="0" w:color="auto"/>
                  </w:divBdr>
                  <w:divsChild>
                    <w:div w:id="799567811">
                      <w:marLeft w:val="0"/>
                      <w:marRight w:val="0"/>
                      <w:marTop w:val="0"/>
                      <w:marBottom w:val="0"/>
                      <w:divBdr>
                        <w:top w:val="none" w:sz="0" w:space="0" w:color="auto"/>
                        <w:left w:val="none" w:sz="0" w:space="0" w:color="auto"/>
                        <w:bottom w:val="none" w:sz="0" w:space="0" w:color="auto"/>
                        <w:right w:val="none" w:sz="0" w:space="0" w:color="auto"/>
                      </w:divBdr>
                    </w:div>
                  </w:divsChild>
                </w:div>
                <w:div w:id="1479877824">
                  <w:marLeft w:val="0"/>
                  <w:marRight w:val="0"/>
                  <w:marTop w:val="0"/>
                  <w:marBottom w:val="0"/>
                  <w:divBdr>
                    <w:top w:val="none" w:sz="0" w:space="0" w:color="auto"/>
                    <w:left w:val="none" w:sz="0" w:space="0" w:color="auto"/>
                    <w:bottom w:val="none" w:sz="0" w:space="0" w:color="auto"/>
                    <w:right w:val="none" w:sz="0" w:space="0" w:color="auto"/>
                  </w:divBdr>
                  <w:divsChild>
                    <w:div w:id="159777482">
                      <w:marLeft w:val="0"/>
                      <w:marRight w:val="0"/>
                      <w:marTop w:val="0"/>
                      <w:marBottom w:val="0"/>
                      <w:divBdr>
                        <w:top w:val="none" w:sz="0" w:space="0" w:color="auto"/>
                        <w:left w:val="none" w:sz="0" w:space="0" w:color="auto"/>
                        <w:bottom w:val="none" w:sz="0" w:space="0" w:color="auto"/>
                        <w:right w:val="none" w:sz="0" w:space="0" w:color="auto"/>
                      </w:divBdr>
                    </w:div>
                    <w:div w:id="497842688">
                      <w:marLeft w:val="0"/>
                      <w:marRight w:val="0"/>
                      <w:marTop w:val="0"/>
                      <w:marBottom w:val="0"/>
                      <w:divBdr>
                        <w:top w:val="none" w:sz="0" w:space="0" w:color="auto"/>
                        <w:left w:val="none" w:sz="0" w:space="0" w:color="auto"/>
                        <w:bottom w:val="none" w:sz="0" w:space="0" w:color="auto"/>
                        <w:right w:val="none" w:sz="0" w:space="0" w:color="auto"/>
                      </w:divBdr>
                    </w:div>
                    <w:div w:id="1995986682">
                      <w:marLeft w:val="0"/>
                      <w:marRight w:val="0"/>
                      <w:marTop w:val="0"/>
                      <w:marBottom w:val="0"/>
                      <w:divBdr>
                        <w:top w:val="none" w:sz="0" w:space="0" w:color="auto"/>
                        <w:left w:val="none" w:sz="0" w:space="0" w:color="auto"/>
                        <w:bottom w:val="none" w:sz="0" w:space="0" w:color="auto"/>
                        <w:right w:val="none" w:sz="0" w:space="0" w:color="auto"/>
                      </w:divBdr>
                    </w:div>
                  </w:divsChild>
                </w:div>
                <w:div w:id="1521428276">
                  <w:marLeft w:val="0"/>
                  <w:marRight w:val="0"/>
                  <w:marTop w:val="0"/>
                  <w:marBottom w:val="0"/>
                  <w:divBdr>
                    <w:top w:val="none" w:sz="0" w:space="0" w:color="auto"/>
                    <w:left w:val="none" w:sz="0" w:space="0" w:color="auto"/>
                    <w:bottom w:val="none" w:sz="0" w:space="0" w:color="auto"/>
                    <w:right w:val="none" w:sz="0" w:space="0" w:color="auto"/>
                  </w:divBdr>
                  <w:divsChild>
                    <w:div w:id="1805806382">
                      <w:marLeft w:val="0"/>
                      <w:marRight w:val="0"/>
                      <w:marTop w:val="0"/>
                      <w:marBottom w:val="0"/>
                      <w:divBdr>
                        <w:top w:val="none" w:sz="0" w:space="0" w:color="auto"/>
                        <w:left w:val="none" w:sz="0" w:space="0" w:color="auto"/>
                        <w:bottom w:val="none" w:sz="0" w:space="0" w:color="auto"/>
                        <w:right w:val="none" w:sz="0" w:space="0" w:color="auto"/>
                      </w:divBdr>
                    </w:div>
                  </w:divsChild>
                </w:div>
                <w:div w:id="1776053846">
                  <w:marLeft w:val="0"/>
                  <w:marRight w:val="0"/>
                  <w:marTop w:val="0"/>
                  <w:marBottom w:val="0"/>
                  <w:divBdr>
                    <w:top w:val="none" w:sz="0" w:space="0" w:color="auto"/>
                    <w:left w:val="none" w:sz="0" w:space="0" w:color="auto"/>
                    <w:bottom w:val="none" w:sz="0" w:space="0" w:color="auto"/>
                    <w:right w:val="none" w:sz="0" w:space="0" w:color="auto"/>
                  </w:divBdr>
                  <w:divsChild>
                    <w:div w:id="1522814377">
                      <w:marLeft w:val="0"/>
                      <w:marRight w:val="0"/>
                      <w:marTop w:val="0"/>
                      <w:marBottom w:val="0"/>
                      <w:divBdr>
                        <w:top w:val="none" w:sz="0" w:space="0" w:color="auto"/>
                        <w:left w:val="none" w:sz="0" w:space="0" w:color="auto"/>
                        <w:bottom w:val="none" w:sz="0" w:space="0" w:color="auto"/>
                        <w:right w:val="none" w:sz="0" w:space="0" w:color="auto"/>
                      </w:divBdr>
                    </w:div>
                  </w:divsChild>
                </w:div>
                <w:div w:id="1980262258">
                  <w:marLeft w:val="0"/>
                  <w:marRight w:val="0"/>
                  <w:marTop w:val="0"/>
                  <w:marBottom w:val="0"/>
                  <w:divBdr>
                    <w:top w:val="none" w:sz="0" w:space="0" w:color="auto"/>
                    <w:left w:val="none" w:sz="0" w:space="0" w:color="auto"/>
                    <w:bottom w:val="none" w:sz="0" w:space="0" w:color="auto"/>
                    <w:right w:val="none" w:sz="0" w:space="0" w:color="auto"/>
                  </w:divBdr>
                  <w:divsChild>
                    <w:div w:id="339963808">
                      <w:marLeft w:val="0"/>
                      <w:marRight w:val="0"/>
                      <w:marTop w:val="0"/>
                      <w:marBottom w:val="0"/>
                      <w:divBdr>
                        <w:top w:val="none" w:sz="0" w:space="0" w:color="auto"/>
                        <w:left w:val="none" w:sz="0" w:space="0" w:color="auto"/>
                        <w:bottom w:val="none" w:sz="0" w:space="0" w:color="auto"/>
                        <w:right w:val="none" w:sz="0" w:space="0" w:color="auto"/>
                      </w:divBdr>
                    </w:div>
                  </w:divsChild>
                </w:div>
                <w:div w:id="2011178935">
                  <w:marLeft w:val="0"/>
                  <w:marRight w:val="0"/>
                  <w:marTop w:val="0"/>
                  <w:marBottom w:val="0"/>
                  <w:divBdr>
                    <w:top w:val="none" w:sz="0" w:space="0" w:color="auto"/>
                    <w:left w:val="none" w:sz="0" w:space="0" w:color="auto"/>
                    <w:bottom w:val="none" w:sz="0" w:space="0" w:color="auto"/>
                    <w:right w:val="none" w:sz="0" w:space="0" w:color="auto"/>
                  </w:divBdr>
                  <w:divsChild>
                    <w:div w:id="596913245">
                      <w:marLeft w:val="0"/>
                      <w:marRight w:val="0"/>
                      <w:marTop w:val="0"/>
                      <w:marBottom w:val="0"/>
                      <w:divBdr>
                        <w:top w:val="none" w:sz="0" w:space="0" w:color="auto"/>
                        <w:left w:val="none" w:sz="0" w:space="0" w:color="auto"/>
                        <w:bottom w:val="none" w:sz="0" w:space="0" w:color="auto"/>
                        <w:right w:val="none" w:sz="0" w:space="0" w:color="auto"/>
                      </w:divBdr>
                    </w:div>
                  </w:divsChild>
                </w:div>
                <w:div w:id="2065980150">
                  <w:marLeft w:val="0"/>
                  <w:marRight w:val="0"/>
                  <w:marTop w:val="0"/>
                  <w:marBottom w:val="0"/>
                  <w:divBdr>
                    <w:top w:val="none" w:sz="0" w:space="0" w:color="auto"/>
                    <w:left w:val="none" w:sz="0" w:space="0" w:color="auto"/>
                    <w:bottom w:val="none" w:sz="0" w:space="0" w:color="auto"/>
                    <w:right w:val="none" w:sz="0" w:space="0" w:color="auto"/>
                  </w:divBdr>
                  <w:divsChild>
                    <w:div w:id="493838359">
                      <w:marLeft w:val="0"/>
                      <w:marRight w:val="0"/>
                      <w:marTop w:val="0"/>
                      <w:marBottom w:val="0"/>
                      <w:divBdr>
                        <w:top w:val="none" w:sz="0" w:space="0" w:color="auto"/>
                        <w:left w:val="none" w:sz="0" w:space="0" w:color="auto"/>
                        <w:bottom w:val="none" w:sz="0" w:space="0" w:color="auto"/>
                        <w:right w:val="none" w:sz="0" w:space="0" w:color="auto"/>
                      </w:divBdr>
                    </w:div>
                  </w:divsChild>
                </w:div>
                <w:div w:id="2103909561">
                  <w:marLeft w:val="0"/>
                  <w:marRight w:val="0"/>
                  <w:marTop w:val="0"/>
                  <w:marBottom w:val="0"/>
                  <w:divBdr>
                    <w:top w:val="none" w:sz="0" w:space="0" w:color="auto"/>
                    <w:left w:val="none" w:sz="0" w:space="0" w:color="auto"/>
                    <w:bottom w:val="none" w:sz="0" w:space="0" w:color="auto"/>
                    <w:right w:val="none" w:sz="0" w:space="0" w:color="auto"/>
                  </w:divBdr>
                  <w:divsChild>
                    <w:div w:id="1586769813">
                      <w:marLeft w:val="0"/>
                      <w:marRight w:val="0"/>
                      <w:marTop w:val="0"/>
                      <w:marBottom w:val="0"/>
                      <w:divBdr>
                        <w:top w:val="none" w:sz="0" w:space="0" w:color="auto"/>
                        <w:left w:val="none" w:sz="0" w:space="0" w:color="auto"/>
                        <w:bottom w:val="none" w:sz="0" w:space="0" w:color="auto"/>
                        <w:right w:val="none" w:sz="0" w:space="0" w:color="auto"/>
                      </w:divBdr>
                    </w:div>
                  </w:divsChild>
                </w:div>
                <w:div w:id="2124692078">
                  <w:marLeft w:val="0"/>
                  <w:marRight w:val="0"/>
                  <w:marTop w:val="0"/>
                  <w:marBottom w:val="0"/>
                  <w:divBdr>
                    <w:top w:val="none" w:sz="0" w:space="0" w:color="auto"/>
                    <w:left w:val="none" w:sz="0" w:space="0" w:color="auto"/>
                    <w:bottom w:val="none" w:sz="0" w:space="0" w:color="auto"/>
                    <w:right w:val="none" w:sz="0" w:space="0" w:color="auto"/>
                  </w:divBdr>
                  <w:divsChild>
                    <w:div w:id="132717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487242">
          <w:marLeft w:val="0"/>
          <w:marRight w:val="0"/>
          <w:marTop w:val="0"/>
          <w:marBottom w:val="0"/>
          <w:divBdr>
            <w:top w:val="none" w:sz="0" w:space="0" w:color="auto"/>
            <w:left w:val="none" w:sz="0" w:space="0" w:color="auto"/>
            <w:bottom w:val="none" w:sz="0" w:space="0" w:color="auto"/>
            <w:right w:val="none" w:sz="0" w:space="0" w:color="auto"/>
          </w:divBdr>
        </w:div>
        <w:div w:id="1160150685">
          <w:marLeft w:val="0"/>
          <w:marRight w:val="0"/>
          <w:marTop w:val="0"/>
          <w:marBottom w:val="0"/>
          <w:divBdr>
            <w:top w:val="none" w:sz="0" w:space="0" w:color="auto"/>
            <w:left w:val="none" w:sz="0" w:space="0" w:color="auto"/>
            <w:bottom w:val="none" w:sz="0" w:space="0" w:color="auto"/>
            <w:right w:val="none" w:sz="0" w:space="0" w:color="auto"/>
          </w:divBdr>
        </w:div>
        <w:div w:id="1255743300">
          <w:marLeft w:val="0"/>
          <w:marRight w:val="0"/>
          <w:marTop w:val="0"/>
          <w:marBottom w:val="0"/>
          <w:divBdr>
            <w:top w:val="none" w:sz="0" w:space="0" w:color="auto"/>
            <w:left w:val="none" w:sz="0" w:space="0" w:color="auto"/>
            <w:bottom w:val="none" w:sz="0" w:space="0" w:color="auto"/>
            <w:right w:val="none" w:sz="0" w:space="0" w:color="auto"/>
          </w:divBdr>
        </w:div>
        <w:div w:id="1327511912">
          <w:marLeft w:val="0"/>
          <w:marRight w:val="0"/>
          <w:marTop w:val="0"/>
          <w:marBottom w:val="0"/>
          <w:divBdr>
            <w:top w:val="none" w:sz="0" w:space="0" w:color="auto"/>
            <w:left w:val="none" w:sz="0" w:space="0" w:color="auto"/>
            <w:bottom w:val="none" w:sz="0" w:space="0" w:color="auto"/>
            <w:right w:val="none" w:sz="0" w:space="0" w:color="auto"/>
          </w:divBdr>
        </w:div>
        <w:div w:id="1346445010">
          <w:marLeft w:val="0"/>
          <w:marRight w:val="0"/>
          <w:marTop w:val="0"/>
          <w:marBottom w:val="0"/>
          <w:divBdr>
            <w:top w:val="none" w:sz="0" w:space="0" w:color="auto"/>
            <w:left w:val="none" w:sz="0" w:space="0" w:color="auto"/>
            <w:bottom w:val="none" w:sz="0" w:space="0" w:color="auto"/>
            <w:right w:val="none" w:sz="0" w:space="0" w:color="auto"/>
          </w:divBdr>
        </w:div>
        <w:div w:id="1410686607">
          <w:marLeft w:val="0"/>
          <w:marRight w:val="0"/>
          <w:marTop w:val="0"/>
          <w:marBottom w:val="0"/>
          <w:divBdr>
            <w:top w:val="none" w:sz="0" w:space="0" w:color="auto"/>
            <w:left w:val="none" w:sz="0" w:space="0" w:color="auto"/>
            <w:bottom w:val="none" w:sz="0" w:space="0" w:color="auto"/>
            <w:right w:val="none" w:sz="0" w:space="0" w:color="auto"/>
          </w:divBdr>
        </w:div>
        <w:div w:id="1446465207">
          <w:marLeft w:val="0"/>
          <w:marRight w:val="0"/>
          <w:marTop w:val="0"/>
          <w:marBottom w:val="0"/>
          <w:divBdr>
            <w:top w:val="none" w:sz="0" w:space="0" w:color="auto"/>
            <w:left w:val="none" w:sz="0" w:space="0" w:color="auto"/>
            <w:bottom w:val="none" w:sz="0" w:space="0" w:color="auto"/>
            <w:right w:val="none" w:sz="0" w:space="0" w:color="auto"/>
          </w:divBdr>
        </w:div>
        <w:div w:id="1474249989">
          <w:marLeft w:val="0"/>
          <w:marRight w:val="0"/>
          <w:marTop w:val="0"/>
          <w:marBottom w:val="0"/>
          <w:divBdr>
            <w:top w:val="none" w:sz="0" w:space="0" w:color="auto"/>
            <w:left w:val="none" w:sz="0" w:space="0" w:color="auto"/>
            <w:bottom w:val="none" w:sz="0" w:space="0" w:color="auto"/>
            <w:right w:val="none" w:sz="0" w:space="0" w:color="auto"/>
          </w:divBdr>
        </w:div>
        <w:div w:id="1495953624">
          <w:marLeft w:val="0"/>
          <w:marRight w:val="0"/>
          <w:marTop w:val="0"/>
          <w:marBottom w:val="0"/>
          <w:divBdr>
            <w:top w:val="none" w:sz="0" w:space="0" w:color="auto"/>
            <w:left w:val="none" w:sz="0" w:space="0" w:color="auto"/>
            <w:bottom w:val="none" w:sz="0" w:space="0" w:color="auto"/>
            <w:right w:val="none" w:sz="0" w:space="0" w:color="auto"/>
          </w:divBdr>
        </w:div>
        <w:div w:id="1532691127">
          <w:marLeft w:val="0"/>
          <w:marRight w:val="0"/>
          <w:marTop w:val="0"/>
          <w:marBottom w:val="0"/>
          <w:divBdr>
            <w:top w:val="none" w:sz="0" w:space="0" w:color="auto"/>
            <w:left w:val="none" w:sz="0" w:space="0" w:color="auto"/>
            <w:bottom w:val="none" w:sz="0" w:space="0" w:color="auto"/>
            <w:right w:val="none" w:sz="0" w:space="0" w:color="auto"/>
          </w:divBdr>
        </w:div>
        <w:div w:id="1607039846">
          <w:marLeft w:val="0"/>
          <w:marRight w:val="0"/>
          <w:marTop w:val="0"/>
          <w:marBottom w:val="0"/>
          <w:divBdr>
            <w:top w:val="none" w:sz="0" w:space="0" w:color="auto"/>
            <w:left w:val="none" w:sz="0" w:space="0" w:color="auto"/>
            <w:bottom w:val="none" w:sz="0" w:space="0" w:color="auto"/>
            <w:right w:val="none" w:sz="0" w:space="0" w:color="auto"/>
          </w:divBdr>
        </w:div>
        <w:div w:id="1619220666">
          <w:marLeft w:val="0"/>
          <w:marRight w:val="0"/>
          <w:marTop w:val="0"/>
          <w:marBottom w:val="0"/>
          <w:divBdr>
            <w:top w:val="none" w:sz="0" w:space="0" w:color="auto"/>
            <w:left w:val="none" w:sz="0" w:space="0" w:color="auto"/>
            <w:bottom w:val="none" w:sz="0" w:space="0" w:color="auto"/>
            <w:right w:val="none" w:sz="0" w:space="0" w:color="auto"/>
          </w:divBdr>
        </w:div>
        <w:div w:id="1647279183">
          <w:marLeft w:val="0"/>
          <w:marRight w:val="0"/>
          <w:marTop w:val="0"/>
          <w:marBottom w:val="0"/>
          <w:divBdr>
            <w:top w:val="none" w:sz="0" w:space="0" w:color="auto"/>
            <w:left w:val="none" w:sz="0" w:space="0" w:color="auto"/>
            <w:bottom w:val="none" w:sz="0" w:space="0" w:color="auto"/>
            <w:right w:val="none" w:sz="0" w:space="0" w:color="auto"/>
          </w:divBdr>
        </w:div>
        <w:div w:id="1651713979">
          <w:marLeft w:val="0"/>
          <w:marRight w:val="0"/>
          <w:marTop w:val="0"/>
          <w:marBottom w:val="0"/>
          <w:divBdr>
            <w:top w:val="none" w:sz="0" w:space="0" w:color="auto"/>
            <w:left w:val="none" w:sz="0" w:space="0" w:color="auto"/>
            <w:bottom w:val="none" w:sz="0" w:space="0" w:color="auto"/>
            <w:right w:val="none" w:sz="0" w:space="0" w:color="auto"/>
          </w:divBdr>
        </w:div>
        <w:div w:id="1699044566">
          <w:marLeft w:val="0"/>
          <w:marRight w:val="0"/>
          <w:marTop w:val="0"/>
          <w:marBottom w:val="0"/>
          <w:divBdr>
            <w:top w:val="none" w:sz="0" w:space="0" w:color="auto"/>
            <w:left w:val="none" w:sz="0" w:space="0" w:color="auto"/>
            <w:bottom w:val="none" w:sz="0" w:space="0" w:color="auto"/>
            <w:right w:val="none" w:sz="0" w:space="0" w:color="auto"/>
          </w:divBdr>
        </w:div>
        <w:div w:id="1767118694">
          <w:marLeft w:val="0"/>
          <w:marRight w:val="0"/>
          <w:marTop w:val="0"/>
          <w:marBottom w:val="0"/>
          <w:divBdr>
            <w:top w:val="none" w:sz="0" w:space="0" w:color="auto"/>
            <w:left w:val="none" w:sz="0" w:space="0" w:color="auto"/>
            <w:bottom w:val="none" w:sz="0" w:space="0" w:color="auto"/>
            <w:right w:val="none" w:sz="0" w:space="0" w:color="auto"/>
          </w:divBdr>
        </w:div>
        <w:div w:id="1777868087">
          <w:marLeft w:val="0"/>
          <w:marRight w:val="0"/>
          <w:marTop w:val="0"/>
          <w:marBottom w:val="0"/>
          <w:divBdr>
            <w:top w:val="none" w:sz="0" w:space="0" w:color="auto"/>
            <w:left w:val="none" w:sz="0" w:space="0" w:color="auto"/>
            <w:bottom w:val="none" w:sz="0" w:space="0" w:color="auto"/>
            <w:right w:val="none" w:sz="0" w:space="0" w:color="auto"/>
          </w:divBdr>
        </w:div>
        <w:div w:id="1796294317">
          <w:marLeft w:val="0"/>
          <w:marRight w:val="0"/>
          <w:marTop w:val="0"/>
          <w:marBottom w:val="0"/>
          <w:divBdr>
            <w:top w:val="none" w:sz="0" w:space="0" w:color="auto"/>
            <w:left w:val="none" w:sz="0" w:space="0" w:color="auto"/>
            <w:bottom w:val="none" w:sz="0" w:space="0" w:color="auto"/>
            <w:right w:val="none" w:sz="0" w:space="0" w:color="auto"/>
          </w:divBdr>
        </w:div>
        <w:div w:id="1807625777">
          <w:marLeft w:val="0"/>
          <w:marRight w:val="0"/>
          <w:marTop w:val="0"/>
          <w:marBottom w:val="0"/>
          <w:divBdr>
            <w:top w:val="none" w:sz="0" w:space="0" w:color="auto"/>
            <w:left w:val="none" w:sz="0" w:space="0" w:color="auto"/>
            <w:bottom w:val="none" w:sz="0" w:space="0" w:color="auto"/>
            <w:right w:val="none" w:sz="0" w:space="0" w:color="auto"/>
          </w:divBdr>
        </w:div>
        <w:div w:id="1912079803">
          <w:marLeft w:val="0"/>
          <w:marRight w:val="0"/>
          <w:marTop w:val="0"/>
          <w:marBottom w:val="0"/>
          <w:divBdr>
            <w:top w:val="none" w:sz="0" w:space="0" w:color="auto"/>
            <w:left w:val="none" w:sz="0" w:space="0" w:color="auto"/>
            <w:bottom w:val="none" w:sz="0" w:space="0" w:color="auto"/>
            <w:right w:val="none" w:sz="0" w:space="0" w:color="auto"/>
          </w:divBdr>
        </w:div>
        <w:div w:id="2107264872">
          <w:marLeft w:val="0"/>
          <w:marRight w:val="0"/>
          <w:marTop w:val="0"/>
          <w:marBottom w:val="0"/>
          <w:divBdr>
            <w:top w:val="none" w:sz="0" w:space="0" w:color="auto"/>
            <w:left w:val="none" w:sz="0" w:space="0" w:color="auto"/>
            <w:bottom w:val="none" w:sz="0" w:space="0" w:color="auto"/>
            <w:right w:val="none" w:sz="0" w:space="0" w:color="auto"/>
          </w:divBdr>
        </w:div>
      </w:divsChild>
    </w:div>
    <w:div w:id="245849684">
      <w:bodyDiv w:val="1"/>
      <w:marLeft w:val="0"/>
      <w:marRight w:val="0"/>
      <w:marTop w:val="0"/>
      <w:marBottom w:val="0"/>
      <w:divBdr>
        <w:top w:val="none" w:sz="0" w:space="0" w:color="auto"/>
        <w:left w:val="none" w:sz="0" w:space="0" w:color="auto"/>
        <w:bottom w:val="none" w:sz="0" w:space="0" w:color="auto"/>
        <w:right w:val="none" w:sz="0" w:space="0" w:color="auto"/>
      </w:divBdr>
    </w:div>
    <w:div w:id="282200442">
      <w:bodyDiv w:val="1"/>
      <w:marLeft w:val="0"/>
      <w:marRight w:val="0"/>
      <w:marTop w:val="0"/>
      <w:marBottom w:val="0"/>
      <w:divBdr>
        <w:top w:val="none" w:sz="0" w:space="0" w:color="auto"/>
        <w:left w:val="none" w:sz="0" w:space="0" w:color="auto"/>
        <w:bottom w:val="none" w:sz="0" w:space="0" w:color="auto"/>
        <w:right w:val="none" w:sz="0" w:space="0" w:color="auto"/>
      </w:divBdr>
    </w:div>
    <w:div w:id="301617080">
      <w:bodyDiv w:val="1"/>
      <w:marLeft w:val="0"/>
      <w:marRight w:val="0"/>
      <w:marTop w:val="0"/>
      <w:marBottom w:val="0"/>
      <w:divBdr>
        <w:top w:val="none" w:sz="0" w:space="0" w:color="auto"/>
        <w:left w:val="none" w:sz="0" w:space="0" w:color="auto"/>
        <w:bottom w:val="none" w:sz="0" w:space="0" w:color="auto"/>
        <w:right w:val="none" w:sz="0" w:space="0" w:color="auto"/>
      </w:divBdr>
      <w:divsChild>
        <w:div w:id="292563044">
          <w:marLeft w:val="0"/>
          <w:marRight w:val="0"/>
          <w:marTop w:val="0"/>
          <w:marBottom w:val="0"/>
          <w:divBdr>
            <w:top w:val="none" w:sz="0" w:space="0" w:color="auto"/>
            <w:left w:val="none" w:sz="0" w:space="0" w:color="auto"/>
            <w:bottom w:val="none" w:sz="0" w:space="0" w:color="auto"/>
            <w:right w:val="none" w:sz="0" w:space="0" w:color="auto"/>
          </w:divBdr>
        </w:div>
        <w:div w:id="1564676129">
          <w:marLeft w:val="0"/>
          <w:marRight w:val="0"/>
          <w:marTop w:val="0"/>
          <w:marBottom w:val="0"/>
          <w:divBdr>
            <w:top w:val="none" w:sz="0" w:space="0" w:color="auto"/>
            <w:left w:val="none" w:sz="0" w:space="0" w:color="auto"/>
            <w:bottom w:val="none" w:sz="0" w:space="0" w:color="auto"/>
            <w:right w:val="none" w:sz="0" w:space="0" w:color="auto"/>
          </w:divBdr>
        </w:div>
        <w:div w:id="1614633616">
          <w:marLeft w:val="0"/>
          <w:marRight w:val="0"/>
          <w:marTop w:val="0"/>
          <w:marBottom w:val="0"/>
          <w:divBdr>
            <w:top w:val="none" w:sz="0" w:space="0" w:color="auto"/>
            <w:left w:val="none" w:sz="0" w:space="0" w:color="auto"/>
            <w:bottom w:val="none" w:sz="0" w:space="0" w:color="auto"/>
            <w:right w:val="none" w:sz="0" w:space="0" w:color="auto"/>
          </w:divBdr>
        </w:div>
        <w:div w:id="1940674843">
          <w:marLeft w:val="0"/>
          <w:marRight w:val="0"/>
          <w:marTop w:val="0"/>
          <w:marBottom w:val="0"/>
          <w:divBdr>
            <w:top w:val="none" w:sz="0" w:space="0" w:color="auto"/>
            <w:left w:val="none" w:sz="0" w:space="0" w:color="auto"/>
            <w:bottom w:val="none" w:sz="0" w:space="0" w:color="auto"/>
            <w:right w:val="none" w:sz="0" w:space="0" w:color="auto"/>
          </w:divBdr>
        </w:div>
      </w:divsChild>
    </w:div>
    <w:div w:id="388578241">
      <w:bodyDiv w:val="1"/>
      <w:marLeft w:val="0"/>
      <w:marRight w:val="0"/>
      <w:marTop w:val="0"/>
      <w:marBottom w:val="0"/>
      <w:divBdr>
        <w:top w:val="none" w:sz="0" w:space="0" w:color="auto"/>
        <w:left w:val="none" w:sz="0" w:space="0" w:color="auto"/>
        <w:bottom w:val="none" w:sz="0" w:space="0" w:color="auto"/>
        <w:right w:val="none" w:sz="0" w:space="0" w:color="auto"/>
      </w:divBdr>
      <w:divsChild>
        <w:div w:id="735979366">
          <w:marLeft w:val="0"/>
          <w:marRight w:val="0"/>
          <w:marTop w:val="0"/>
          <w:marBottom w:val="0"/>
          <w:divBdr>
            <w:top w:val="none" w:sz="0" w:space="0" w:color="auto"/>
            <w:left w:val="none" w:sz="0" w:space="0" w:color="auto"/>
            <w:bottom w:val="none" w:sz="0" w:space="0" w:color="auto"/>
            <w:right w:val="none" w:sz="0" w:space="0" w:color="auto"/>
          </w:divBdr>
        </w:div>
        <w:div w:id="1299065803">
          <w:marLeft w:val="0"/>
          <w:marRight w:val="0"/>
          <w:marTop w:val="0"/>
          <w:marBottom w:val="0"/>
          <w:divBdr>
            <w:top w:val="none" w:sz="0" w:space="0" w:color="auto"/>
            <w:left w:val="none" w:sz="0" w:space="0" w:color="auto"/>
            <w:bottom w:val="none" w:sz="0" w:space="0" w:color="auto"/>
            <w:right w:val="none" w:sz="0" w:space="0" w:color="auto"/>
          </w:divBdr>
        </w:div>
      </w:divsChild>
    </w:div>
    <w:div w:id="407003682">
      <w:bodyDiv w:val="1"/>
      <w:marLeft w:val="0"/>
      <w:marRight w:val="0"/>
      <w:marTop w:val="0"/>
      <w:marBottom w:val="0"/>
      <w:divBdr>
        <w:top w:val="none" w:sz="0" w:space="0" w:color="auto"/>
        <w:left w:val="none" w:sz="0" w:space="0" w:color="auto"/>
        <w:bottom w:val="none" w:sz="0" w:space="0" w:color="auto"/>
        <w:right w:val="none" w:sz="0" w:space="0" w:color="auto"/>
      </w:divBdr>
      <w:divsChild>
        <w:div w:id="902370112">
          <w:marLeft w:val="0"/>
          <w:marRight w:val="0"/>
          <w:marTop w:val="0"/>
          <w:marBottom w:val="480"/>
          <w:divBdr>
            <w:top w:val="none" w:sz="0" w:space="0" w:color="auto"/>
            <w:left w:val="none" w:sz="0" w:space="0" w:color="auto"/>
            <w:bottom w:val="none" w:sz="0" w:space="0" w:color="auto"/>
            <w:right w:val="none" w:sz="0" w:space="0" w:color="auto"/>
          </w:divBdr>
          <w:divsChild>
            <w:div w:id="859122682">
              <w:marLeft w:val="0"/>
              <w:marRight w:val="0"/>
              <w:marTop w:val="0"/>
              <w:marBottom w:val="0"/>
              <w:divBdr>
                <w:top w:val="none" w:sz="0" w:space="0" w:color="auto"/>
                <w:left w:val="none" w:sz="0" w:space="0" w:color="auto"/>
                <w:bottom w:val="none" w:sz="0" w:space="0" w:color="auto"/>
                <w:right w:val="none" w:sz="0" w:space="0" w:color="auto"/>
              </w:divBdr>
              <w:divsChild>
                <w:div w:id="1992364491">
                  <w:marLeft w:val="0"/>
                  <w:marRight w:val="0"/>
                  <w:marTop w:val="0"/>
                  <w:marBottom w:val="0"/>
                  <w:divBdr>
                    <w:top w:val="none" w:sz="0" w:space="0" w:color="auto"/>
                    <w:left w:val="none" w:sz="0" w:space="0" w:color="auto"/>
                    <w:bottom w:val="none" w:sz="0" w:space="0" w:color="auto"/>
                    <w:right w:val="none" w:sz="0" w:space="0" w:color="auto"/>
                  </w:divBdr>
                  <w:divsChild>
                    <w:div w:id="1567109870">
                      <w:marLeft w:val="0"/>
                      <w:marRight w:val="0"/>
                      <w:marTop w:val="0"/>
                      <w:marBottom w:val="0"/>
                      <w:divBdr>
                        <w:top w:val="none" w:sz="0" w:space="0" w:color="auto"/>
                        <w:left w:val="none" w:sz="0" w:space="0" w:color="auto"/>
                        <w:bottom w:val="none" w:sz="0" w:space="0" w:color="auto"/>
                        <w:right w:val="none" w:sz="0" w:space="0" w:color="auto"/>
                      </w:divBdr>
                      <w:divsChild>
                        <w:div w:id="1211960286">
                          <w:marLeft w:val="0"/>
                          <w:marRight w:val="0"/>
                          <w:marTop w:val="0"/>
                          <w:marBottom w:val="0"/>
                          <w:divBdr>
                            <w:top w:val="none" w:sz="0" w:space="0" w:color="auto"/>
                            <w:left w:val="none" w:sz="0" w:space="0" w:color="auto"/>
                            <w:bottom w:val="none" w:sz="0" w:space="0" w:color="auto"/>
                            <w:right w:val="none" w:sz="0" w:space="0" w:color="auto"/>
                          </w:divBdr>
                        </w:div>
                        <w:div w:id="1386442902">
                          <w:marLeft w:val="0"/>
                          <w:marRight w:val="0"/>
                          <w:marTop w:val="0"/>
                          <w:marBottom w:val="0"/>
                          <w:divBdr>
                            <w:top w:val="none" w:sz="0" w:space="0" w:color="auto"/>
                            <w:left w:val="none" w:sz="0" w:space="0" w:color="auto"/>
                            <w:bottom w:val="none" w:sz="0" w:space="0" w:color="auto"/>
                            <w:right w:val="none" w:sz="0" w:space="0" w:color="auto"/>
                          </w:divBdr>
                        </w:div>
                        <w:div w:id="191878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2747407">
      <w:bodyDiv w:val="1"/>
      <w:marLeft w:val="0"/>
      <w:marRight w:val="0"/>
      <w:marTop w:val="0"/>
      <w:marBottom w:val="0"/>
      <w:divBdr>
        <w:top w:val="none" w:sz="0" w:space="0" w:color="auto"/>
        <w:left w:val="none" w:sz="0" w:space="0" w:color="auto"/>
        <w:bottom w:val="none" w:sz="0" w:space="0" w:color="auto"/>
        <w:right w:val="none" w:sz="0" w:space="0" w:color="auto"/>
      </w:divBdr>
    </w:div>
    <w:div w:id="461731189">
      <w:bodyDiv w:val="1"/>
      <w:marLeft w:val="0"/>
      <w:marRight w:val="0"/>
      <w:marTop w:val="0"/>
      <w:marBottom w:val="0"/>
      <w:divBdr>
        <w:top w:val="none" w:sz="0" w:space="0" w:color="auto"/>
        <w:left w:val="none" w:sz="0" w:space="0" w:color="auto"/>
        <w:bottom w:val="none" w:sz="0" w:space="0" w:color="auto"/>
        <w:right w:val="none" w:sz="0" w:space="0" w:color="auto"/>
      </w:divBdr>
      <w:divsChild>
        <w:div w:id="516893704">
          <w:marLeft w:val="0"/>
          <w:marRight w:val="0"/>
          <w:marTop w:val="0"/>
          <w:marBottom w:val="0"/>
          <w:divBdr>
            <w:top w:val="none" w:sz="0" w:space="0" w:color="auto"/>
            <w:left w:val="none" w:sz="0" w:space="0" w:color="auto"/>
            <w:bottom w:val="none" w:sz="0" w:space="0" w:color="auto"/>
            <w:right w:val="none" w:sz="0" w:space="0" w:color="auto"/>
          </w:divBdr>
        </w:div>
        <w:div w:id="594945664">
          <w:marLeft w:val="0"/>
          <w:marRight w:val="0"/>
          <w:marTop w:val="0"/>
          <w:marBottom w:val="0"/>
          <w:divBdr>
            <w:top w:val="none" w:sz="0" w:space="0" w:color="auto"/>
            <w:left w:val="none" w:sz="0" w:space="0" w:color="auto"/>
            <w:bottom w:val="none" w:sz="0" w:space="0" w:color="auto"/>
            <w:right w:val="none" w:sz="0" w:space="0" w:color="auto"/>
          </w:divBdr>
        </w:div>
        <w:div w:id="1097405112">
          <w:marLeft w:val="0"/>
          <w:marRight w:val="0"/>
          <w:marTop w:val="0"/>
          <w:marBottom w:val="0"/>
          <w:divBdr>
            <w:top w:val="none" w:sz="0" w:space="0" w:color="auto"/>
            <w:left w:val="none" w:sz="0" w:space="0" w:color="auto"/>
            <w:bottom w:val="none" w:sz="0" w:space="0" w:color="auto"/>
            <w:right w:val="none" w:sz="0" w:space="0" w:color="auto"/>
          </w:divBdr>
        </w:div>
        <w:div w:id="1933583503">
          <w:marLeft w:val="0"/>
          <w:marRight w:val="0"/>
          <w:marTop w:val="0"/>
          <w:marBottom w:val="0"/>
          <w:divBdr>
            <w:top w:val="none" w:sz="0" w:space="0" w:color="auto"/>
            <w:left w:val="none" w:sz="0" w:space="0" w:color="auto"/>
            <w:bottom w:val="none" w:sz="0" w:space="0" w:color="auto"/>
            <w:right w:val="none" w:sz="0" w:space="0" w:color="auto"/>
          </w:divBdr>
        </w:div>
      </w:divsChild>
    </w:div>
    <w:div w:id="487719649">
      <w:bodyDiv w:val="1"/>
      <w:marLeft w:val="0"/>
      <w:marRight w:val="0"/>
      <w:marTop w:val="0"/>
      <w:marBottom w:val="0"/>
      <w:divBdr>
        <w:top w:val="none" w:sz="0" w:space="0" w:color="auto"/>
        <w:left w:val="none" w:sz="0" w:space="0" w:color="auto"/>
        <w:bottom w:val="none" w:sz="0" w:space="0" w:color="auto"/>
        <w:right w:val="none" w:sz="0" w:space="0" w:color="auto"/>
      </w:divBdr>
      <w:divsChild>
        <w:div w:id="182866232">
          <w:marLeft w:val="0"/>
          <w:marRight w:val="0"/>
          <w:marTop w:val="0"/>
          <w:marBottom w:val="0"/>
          <w:divBdr>
            <w:top w:val="none" w:sz="0" w:space="0" w:color="auto"/>
            <w:left w:val="none" w:sz="0" w:space="0" w:color="auto"/>
            <w:bottom w:val="none" w:sz="0" w:space="0" w:color="auto"/>
            <w:right w:val="none" w:sz="0" w:space="0" w:color="auto"/>
          </w:divBdr>
        </w:div>
        <w:div w:id="699742891">
          <w:marLeft w:val="0"/>
          <w:marRight w:val="0"/>
          <w:marTop w:val="0"/>
          <w:marBottom w:val="0"/>
          <w:divBdr>
            <w:top w:val="none" w:sz="0" w:space="0" w:color="auto"/>
            <w:left w:val="none" w:sz="0" w:space="0" w:color="auto"/>
            <w:bottom w:val="none" w:sz="0" w:space="0" w:color="auto"/>
            <w:right w:val="none" w:sz="0" w:space="0" w:color="auto"/>
          </w:divBdr>
        </w:div>
        <w:div w:id="1558206014">
          <w:marLeft w:val="0"/>
          <w:marRight w:val="0"/>
          <w:marTop w:val="0"/>
          <w:marBottom w:val="0"/>
          <w:divBdr>
            <w:top w:val="none" w:sz="0" w:space="0" w:color="auto"/>
            <w:left w:val="none" w:sz="0" w:space="0" w:color="auto"/>
            <w:bottom w:val="none" w:sz="0" w:space="0" w:color="auto"/>
            <w:right w:val="none" w:sz="0" w:space="0" w:color="auto"/>
          </w:divBdr>
        </w:div>
        <w:div w:id="1964849617">
          <w:marLeft w:val="0"/>
          <w:marRight w:val="0"/>
          <w:marTop w:val="0"/>
          <w:marBottom w:val="0"/>
          <w:divBdr>
            <w:top w:val="none" w:sz="0" w:space="0" w:color="auto"/>
            <w:left w:val="none" w:sz="0" w:space="0" w:color="auto"/>
            <w:bottom w:val="none" w:sz="0" w:space="0" w:color="auto"/>
            <w:right w:val="none" w:sz="0" w:space="0" w:color="auto"/>
          </w:divBdr>
        </w:div>
      </w:divsChild>
    </w:div>
    <w:div w:id="880746341">
      <w:bodyDiv w:val="1"/>
      <w:marLeft w:val="0"/>
      <w:marRight w:val="0"/>
      <w:marTop w:val="0"/>
      <w:marBottom w:val="0"/>
      <w:divBdr>
        <w:top w:val="none" w:sz="0" w:space="0" w:color="auto"/>
        <w:left w:val="none" w:sz="0" w:space="0" w:color="auto"/>
        <w:bottom w:val="none" w:sz="0" w:space="0" w:color="auto"/>
        <w:right w:val="none" w:sz="0" w:space="0" w:color="auto"/>
      </w:divBdr>
    </w:div>
    <w:div w:id="908538513">
      <w:bodyDiv w:val="1"/>
      <w:marLeft w:val="0"/>
      <w:marRight w:val="0"/>
      <w:marTop w:val="0"/>
      <w:marBottom w:val="0"/>
      <w:divBdr>
        <w:top w:val="none" w:sz="0" w:space="0" w:color="auto"/>
        <w:left w:val="none" w:sz="0" w:space="0" w:color="auto"/>
        <w:bottom w:val="none" w:sz="0" w:space="0" w:color="auto"/>
        <w:right w:val="none" w:sz="0" w:space="0" w:color="auto"/>
      </w:divBdr>
    </w:div>
    <w:div w:id="948898637">
      <w:bodyDiv w:val="1"/>
      <w:marLeft w:val="0"/>
      <w:marRight w:val="0"/>
      <w:marTop w:val="0"/>
      <w:marBottom w:val="0"/>
      <w:divBdr>
        <w:top w:val="none" w:sz="0" w:space="0" w:color="auto"/>
        <w:left w:val="none" w:sz="0" w:space="0" w:color="auto"/>
        <w:bottom w:val="none" w:sz="0" w:space="0" w:color="auto"/>
        <w:right w:val="none" w:sz="0" w:space="0" w:color="auto"/>
      </w:divBdr>
      <w:divsChild>
        <w:div w:id="883567520">
          <w:marLeft w:val="0"/>
          <w:marRight w:val="0"/>
          <w:marTop w:val="0"/>
          <w:marBottom w:val="0"/>
          <w:divBdr>
            <w:top w:val="none" w:sz="0" w:space="0" w:color="auto"/>
            <w:left w:val="none" w:sz="0" w:space="0" w:color="auto"/>
            <w:bottom w:val="none" w:sz="0" w:space="0" w:color="auto"/>
            <w:right w:val="none" w:sz="0" w:space="0" w:color="auto"/>
          </w:divBdr>
        </w:div>
        <w:div w:id="921254992">
          <w:marLeft w:val="0"/>
          <w:marRight w:val="0"/>
          <w:marTop w:val="0"/>
          <w:marBottom w:val="0"/>
          <w:divBdr>
            <w:top w:val="none" w:sz="0" w:space="0" w:color="auto"/>
            <w:left w:val="none" w:sz="0" w:space="0" w:color="auto"/>
            <w:bottom w:val="none" w:sz="0" w:space="0" w:color="auto"/>
            <w:right w:val="none" w:sz="0" w:space="0" w:color="auto"/>
          </w:divBdr>
        </w:div>
        <w:div w:id="1050305037">
          <w:marLeft w:val="0"/>
          <w:marRight w:val="0"/>
          <w:marTop w:val="0"/>
          <w:marBottom w:val="0"/>
          <w:divBdr>
            <w:top w:val="none" w:sz="0" w:space="0" w:color="auto"/>
            <w:left w:val="none" w:sz="0" w:space="0" w:color="auto"/>
            <w:bottom w:val="none" w:sz="0" w:space="0" w:color="auto"/>
            <w:right w:val="none" w:sz="0" w:space="0" w:color="auto"/>
          </w:divBdr>
        </w:div>
        <w:div w:id="1717242869">
          <w:marLeft w:val="0"/>
          <w:marRight w:val="0"/>
          <w:marTop w:val="0"/>
          <w:marBottom w:val="0"/>
          <w:divBdr>
            <w:top w:val="none" w:sz="0" w:space="0" w:color="auto"/>
            <w:left w:val="none" w:sz="0" w:space="0" w:color="auto"/>
            <w:bottom w:val="none" w:sz="0" w:space="0" w:color="auto"/>
            <w:right w:val="none" w:sz="0" w:space="0" w:color="auto"/>
          </w:divBdr>
        </w:div>
      </w:divsChild>
    </w:div>
    <w:div w:id="1078477200">
      <w:bodyDiv w:val="1"/>
      <w:marLeft w:val="0"/>
      <w:marRight w:val="0"/>
      <w:marTop w:val="0"/>
      <w:marBottom w:val="0"/>
      <w:divBdr>
        <w:top w:val="none" w:sz="0" w:space="0" w:color="auto"/>
        <w:left w:val="none" w:sz="0" w:space="0" w:color="auto"/>
        <w:bottom w:val="none" w:sz="0" w:space="0" w:color="auto"/>
        <w:right w:val="none" w:sz="0" w:space="0" w:color="auto"/>
      </w:divBdr>
    </w:div>
    <w:div w:id="1134252316">
      <w:bodyDiv w:val="1"/>
      <w:marLeft w:val="0"/>
      <w:marRight w:val="0"/>
      <w:marTop w:val="0"/>
      <w:marBottom w:val="0"/>
      <w:divBdr>
        <w:top w:val="none" w:sz="0" w:space="0" w:color="auto"/>
        <w:left w:val="none" w:sz="0" w:space="0" w:color="auto"/>
        <w:bottom w:val="none" w:sz="0" w:space="0" w:color="auto"/>
        <w:right w:val="none" w:sz="0" w:space="0" w:color="auto"/>
      </w:divBdr>
    </w:div>
    <w:div w:id="1301495329">
      <w:bodyDiv w:val="1"/>
      <w:marLeft w:val="0"/>
      <w:marRight w:val="0"/>
      <w:marTop w:val="0"/>
      <w:marBottom w:val="0"/>
      <w:divBdr>
        <w:top w:val="none" w:sz="0" w:space="0" w:color="auto"/>
        <w:left w:val="none" w:sz="0" w:space="0" w:color="auto"/>
        <w:bottom w:val="none" w:sz="0" w:space="0" w:color="auto"/>
        <w:right w:val="none" w:sz="0" w:space="0" w:color="auto"/>
      </w:divBdr>
      <w:divsChild>
        <w:div w:id="1604338861">
          <w:marLeft w:val="0"/>
          <w:marRight w:val="0"/>
          <w:marTop w:val="0"/>
          <w:marBottom w:val="0"/>
          <w:divBdr>
            <w:top w:val="none" w:sz="0" w:space="0" w:color="auto"/>
            <w:left w:val="none" w:sz="0" w:space="0" w:color="auto"/>
            <w:bottom w:val="none" w:sz="0" w:space="0" w:color="auto"/>
            <w:right w:val="none" w:sz="0" w:space="0" w:color="auto"/>
          </w:divBdr>
        </w:div>
        <w:div w:id="1648628126">
          <w:marLeft w:val="0"/>
          <w:marRight w:val="0"/>
          <w:marTop w:val="0"/>
          <w:marBottom w:val="0"/>
          <w:divBdr>
            <w:top w:val="none" w:sz="0" w:space="0" w:color="auto"/>
            <w:left w:val="none" w:sz="0" w:space="0" w:color="auto"/>
            <w:bottom w:val="none" w:sz="0" w:space="0" w:color="auto"/>
            <w:right w:val="none" w:sz="0" w:space="0" w:color="auto"/>
          </w:divBdr>
        </w:div>
        <w:div w:id="1712029238">
          <w:marLeft w:val="0"/>
          <w:marRight w:val="0"/>
          <w:marTop w:val="0"/>
          <w:marBottom w:val="0"/>
          <w:divBdr>
            <w:top w:val="none" w:sz="0" w:space="0" w:color="auto"/>
            <w:left w:val="none" w:sz="0" w:space="0" w:color="auto"/>
            <w:bottom w:val="none" w:sz="0" w:space="0" w:color="auto"/>
            <w:right w:val="none" w:sz="0" w:space="0" w:color="auto"/>
          </w:divBdr>
        </w:div>
        <w:div w:id="2067145499">
          <w:marLeft w:val="0"/>
          <w:marRight w:val="0"/>
          <w:marTop w:val="0"/>
          <w:marBottom w:val="0"/>
          <w:divBdr>
            <w:top w:val="none" w:sz="0" w:space="0" w:color="auto"/>
            <w:left w:val="none" w:sz="0" w:space="0" w:color="auto"/>
            <w:bottom w:val="none" w:sz="0" w:space="0" w:color="auto"/>
            <w:right w:val="none" w:sz="0" w:space="0" w:color="auto"/>
          </w:divBdr>
        </w:div>
        <w:div w:id="2083139596">
          <w:marLeft w:val="0"/>
          <w:marRight w:val="0"/>
          <w:marTop w:val="0"/>
          <w:marBottom w:val="0"/>
          <w:divBdr>
            <w:top w:val="none" w:sz="0" w:space="0" w:color="auto"/>
            <w:left w:val="none" w:sz="0" w:space="0" w:color="auto"/>
            <w:bottom w:val="none" w:sz="0" w:space="0" w:color="auto"/>
            <w:right w:val="none" w:sz="0" w:space="0" w:color="auto"/>
          </w:divBdr>
        </w:div>
      </w:divsChild>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414470050">
      <w:bodyDiv w:val="1"/>
      <w:marLeft w:val="0"/>
      <w:marRight w:val="0"/>
      <w:marTop w:val="0"/>
      <w:marBottom w:val="0"/>
      <w:divBdr>
        <w:top w:val="none" w:sz="0" w:space="0" w:color="auto"/>
        <w:left w:val="none" w:sz="0" w:space="0" w:color="auto"/>
        <w:bottom w:val="none" w:sz="0" w:space="0" w:color="auto"/>
        <w:right w:val="none" w:sz="0" w:space="0" w:color="auto"/>
      </w:divBdr>
      <w:divsChild>
        <w:div w:id="280111356">
          <w:marLeft w:val="0"/>
          <w:marRight w:val="0"/>
          <w:marTop w:val="0"/>
          <w:marBottom w:val="0"/>
          <w:divBdr>
            <w:top w:val="none" w:sz="0" w:space="0" w:color="auto"/>
            <w:left w:val="none" w:sz="0" w:space="0" w:color="auto"/>
            <w:bottom w:val="none" w:sz="0" w:space="0" w:color="auto"/>
            <w:right w:val="none" w:sz="0" w:space="0" w:color="auto"/>
          </w:divBdr>
        </w:div>
        <w:div w:id="1922524578">
          <w:marLeft w:val="0"/>
          <w:marRight w:val="0"/>
          <w:marTop w:val="0"/>
          <w:marBottom w:val="0"/>
          <w:divBdr>
            <w:top w:val="none" w:sz="0" w:space="0" w:color="auto"/>
            <w:left w:val="none" w:sz="0" w:space="0" w:color="auto"/>
            <w:bottom w:val="none" w:sz="0" w:space="0" w:color="auto"/>
            <w:right w:val="none" w:sz="0" w:space="0" w:color="auto"/>
          </w:divBdr>
        </w:div>
      </w:divsChild>
    </w:div>
    <w:div w:id="1597901566">
      <w:bodyDiv w:val="1"/>
      <w:marLeft w:val="0"/>
      <w:marRight w:val="0"/>
      <w:marTop w:val="0"/>
      <w:marBottom w:val="0"/>
      <w:divBdr>
        <w:top w:val="none" w:sz="0" w:space="0" w:color="auto"/>
        <w:left w:val="none" w:sz="0" w:space="0" w:color="auto"/>
        <w:bottom w:val="none" w:sz="0" w:space="0" w:color="auto"/>
        <w:right w:val="none" w:sz="0" w:space="0" w:color="auto"/>
      </w:divBdr>
      <w:divsChild>
        <w:div w:id="311179419">
          <w:marLeft w:val="0"/>
          <w:marRight w:val="0"/>
          <w:marTop w:val="0"/>
          <w:marBottom w:val="0"/>
          <w:divBdr>
            <w:top w:val="none" w:sz="0" w:space="0" w:color="auto"/>
            <w:left w:val="none" w:sz="0" w:space="0" w:color="auto"/>
            <w:bottom w:val="none" w:sz="0" w:space="0" w:color="auto"/>
            <w:right w:val="none" w:sz="0" w:space="0" w:color="auto"/>
          </w:divBdr>
        </w:div>
        <w:div w:id="324556588">
          <w:marLeft w:val="0"/>
          <w:marRight w:val="0"/>
          <w:marTop w:val="0"/>
          <w:marBottom w:val="0"/>
          <w:divBdr>
            <w:top w:val="none" w:sz="0" w:space="0" w:color="auto"/>
            <w:left w:val="none" w:sz="0" w:space="0" w:color="auto"/>
            <w:bottom w:val="none" w:sz="0" w:space="0" w:color="auto"/>
            <w:right w:val="none" w:sz="0" w:space="0" w:color="auto"/>
          </w:divBdr>
        </w:div>
        <w:div w:id="911893602">
          <w:marLeft w:val="0"/>
          <w:marRight w:val="0"/>
          <w:marTop w:val="0"/>
          <w:marBottom w:val="0"/>
          <w:divBdr>
            <w:top w:val="none" w:sz="0" w:space="0" w:color="auto"/>
            <w:left w:val="none" w:sz="0" w:space="0" w:color="auto"/>
            <w:bottom w:val="none" w:sz="0" w:space="0" w:color="auto"/>
            <w:right w:val="none" w:sz="0" w:space="0" w:color="auto"/>
          </w:divBdr>
        </w:div>
        <w:div w:id="931477405">
          <w:marLeft w:val="0"/>
          <w:marRight w:val="0"/>
          <w:marTop w:val="0"/>
          <w:marBottom w:val="0"/>
          <w:divBdr>
            <w:top w:val="none" w:sz="0" w:space="0" w:color="auto"/>
            <w:left w:val="none" w:sz="0" w:space="0" w:color="auto"/>
            <w:bottom w:val="none" w:sz="0" w:space="0" w:color="auto"/>
            <w:right w:val="none" w:sz="0" w:space="0" w:color="auto"/>
          </w:divBdr>
        </w:div>
      </w:divsChild>
    </w:div>
    <w:div w:id="1620990352">
      <w:bodyDiv w:val="1"/>
      <w:marLeft w:val="0"/>
      <w:marRight w:val="0"/>
      <w:marTop w:val="0"/>
      <w:marBottom w:val="0"/>
      <w:divBdr>
        <w:top w:val="none" w:sz="0" w:space="0" w:color="auto"/>
        <w:left w:val="none" w:sz="0" w:space="0" w:color="auto"/>
        <w:bottom w:val="none" w:sz="0" w:space="0" w:color="auto"/>
        <w:right w:val="none" w:sz="0" w:space="0" w:color="auto"/>
      </w:divBdr>
      <w:divsChild>
        <w:div w:id="12541658">
          <w:marLeft w:val="0"/>
          <w:marRight w:val="0"/>
          <w:marTop w:val="0"/>
          <w:marBottom w:val="0"/>
          <w:divBdr>
            <w:top w:val="none" w:sz="0" w:space="0" w:color="auto"/>
            <w:left w:val="none" w:sz="0" w:space="0" w:color="auto"/>
            <w:bottom w:val="none" w:sz="0" w:space="0" w:color="auto"/>
            <w:right w:val="none" w:sz="0" w:space="0" w:color="auto"/>
          </w:divBdr>
        </w:div>
        <w:div w:id="76286846">
          <w:marLeft w:val="0"/>
          <w:marRight w:val="0"/>
          <w:marTop w:val="0"/>
          <w:marBottom w:val="0"/>
          <w:divBdr>
            <w:top w:val="none" w:sz="0" w:space="0" w:color="auto"/>
            <w:left w:val="none" w:sz="0" w:space="0" w:color="auto"/>
            <w:bottom w:val="none" w:sz="0" w:space="0" w:color="auto"/>
            <w:right w:val="none" w:sz="0" w:space="0" w:color="auto"/>
          </w:divBdr>
        </w:div>
        <w:div w:id="1042441930">
          <w:marLeft w:val="0"/>
          <w:marRight w:val="0"/>
          <w:marTop w:val="0"/>
          <w:marBottom w:val="0"/>
          <w:divBdr>
            <w:top w:val="none" w:sz="0" w:space="0" w:color="auto"/>
            <w:left w:val="none" w:sz="0" w:space="0" w:color="auto"/>
            <w:bottom w:val="none" w:sz="0" w:space="0" w:color="auto"/>
            <w:right w:val="none" w:sz="0" w:space="0" w:color="auto"/>
          </w:divBdr>
        </w:div>
        <w:div w:id="2106071681">
          <w:marLeft w:val="0"/>
          <w:marRight w:val="0"/>
          <w:marTop w:val="0"/>
          <w:marBottom w:val="0"/>
          <w:divBdr>
            <w:top w:val="none" w:sz="0" w:space="0" w:color="auto"/>
            <w:left w:val="none" w:sz="0" w:space="0" w:color="auto"/>
            <w:bottom w:val="none" w:sz="0" w:space="0" w:color="auto"/>
            <w:right w:val="none" w:sz="0" w:space="0" w:color="auto"/>
          </w:divBdr>
        </w:div>
      </w:divsChild>
    </w:div>
    <w:div w:id="1647006374">
      <w:bodyDiv w:val="1"/>
      <w:marLeft w:val="0"/>
      <w:marRight w:val="0"/>
      <w:marTop w:val="0"/>
      <w:marBottom w:val="0"/>
      <w:divBdr>
        <w:top w:val="none" w:sz="0" w:space="0" w:color="auto"/>
        <w:left w:val="none" w:sz="0" w:space="0" w:color="auto"/>
        <w:bottom w:val="none" w:sz="0" w:space="0" w:color="auto"/>
        <w:right w:val="none" w:sz="0" w:space="0" w:color="auto"/>
      </w:divBdr>
    </w:div>
    <w:div w:id="1701082035">
      <w:bodyDiv w:val="1"/>
      <w:marLeft w:val="0"/>
      <w:marRight w:val="0"/>
      <w:marTop w:val="0"/>
      <w:marBottom w:val="0"/>
      <w:divBdr>
        <w:top w:val="none" w:sz="0" w:space="0" w:color="auto"/>
        <w:left w:val="none" w:sz="0" w:space="0" w:color="auto"/>
        <w:bottom w:val="none" w:sz="0" w:space="0" w:color="auto"/>
        <w:right w:val="none" w:sz="0" w:space="0" w:color="auto"/>
      </w:divBdr>
    </w:div>
    <w:div w:id="1746338057">
      <w:bodyDiv w:val="1"/>
      <w:marLeft w:val="0"/>
      <w:marRight w:val="0"/>
      <w:marTop w:val="0"/>
      <w:marBottom w:val="0"/>
      <w:divBdr>
        <w:top w:val="none" w:sz="0" w:space="0" w:color="auto"/>
        <w:left w:val="none" w:sz="0" w:space="0" w:color="auto"/>
        <w:bottom w:val="none" w:sz="0" w:space="0" w:color="auto"/>
        <w:right w:val="none" w:sz="0" w:space="0" w:color="auto"/>
      </w:divBdr>
    </w:div>
    <w:div w:id="1853255206">
      <w:bodyDiv w:val="1"/>
      <w:marLeft w:val="0"/>
      <w:marRight w:val="0"/>
      <w:marTop w:val="0"/>
      <w:marBottom w:val="0"/>
      <w:divBdr>
        <w:top w:val="none" w:sz="0" w:space="0" w:color="auto"/>
        <w:left w:val="none" w:sz="0" w:space="0" w:color="auto"/>
        <w:bottom w:val="none" w:sz="0" w:space="0" w:color="auto"/>
        <w:right w:val="none" w:sz="0" w:space="0" w:color="auto"/>
      </w:divBdr>
      <w:divsChild>
        <w:div w:id="1361317338">
          <w:marLeft w:val="0"/>
          <w:marRight w:val="0"/>
          <w:marTop w:val="0"/>
          <w:marBottom w:val="480"/>
          <w:divBdr>
            <w:top w:val="none" w:sz="0" w:space="0" w:color="auto"/>
            <w:left w:val="none" w:sz="0" w:space="0" w:color="auto"/>
            <w:bottom w:val="none" w:sz="0" w:space="0" w:color="auto"/>
            <w:right w:val="none" w:sz="0" w:space="0" w:color="auto"/>
          </w:divBdr>
          <w:divsChild>
            <w:div w:id="1341005515">
              <w:marLeft w:val="0"/>
              <w:marRight w:val="0"/>
              <w:marTop w:val="0"/>
              <w:marBottom w:val="0"/>
              <w:divBdr>
                <w:top w:val="none" w:sz="0" w:space="0" w:color="auto"/>
                <w:left w:val="none" w:sz="0" w:space="0" w:color="auto"/>
                <w:bottom w:val="none" w:sz="0" w:space="0" w:color="auto"/>
                <w:right w:val="none" w:sz="0" w:space="0" w:color="auto"/>
              </w:divBdr>
              <w:divsChild>
                <w:div w:id="1763641467">
                  <w:marLeft w:val="0"/>
                  <w:marRight w:val="0"/>
                  <w:marTop w:val="0"/>
                  <w:marBottom w:val="0"/>
                  <w:divBdr>
                    <w:top w:val="none" w:sz="0" w:space="0" w:color="auto"/>
                    <w:left w:val="none" w:sz="0" w:space="0" w:color="auto"/>
                    <w:bottom w:val="none" w:sz="0" w:space="0" w:color="auto"/>
                    <w:right w:val="none" w:sz="0" w:space="0" w:color="auto"/>
                  </w:divBdr>
                  <w:divsChild>
                    <w:div w:id="451050027">
                      <w:marLeft w:val="0"/>
                      <w:marRight w:val="0"/>
                      <w:marTop w:val="0"/>
                      <w:marBottom w:val="0"/>
                      <w:divBdr>
                        <w:top w:val="none" w:sz="0" w:space="0" w:color="auto"/>
                        <w:left w:val="none" w:sz="0" w:space="0" w:color="auto"/>
                        <w:bottom w:val="none" w:sz="0" w:space="0" w:color="auto"/>
                        <w:right w:val="none" w:sz="0" w:space="0" w:color="auto"/>
                      </w:divBdr>
                      <w:divsChild>
                        <w:div w:id="742096041">
                          <w:marLeft w:val="0"/>
                          <w:marRight w:val="0"/>
                          <w:marTop w:val="0"/>
                          <w:marBottom w:val="0"/>
                          <w:divBdr>
                            <w:top w:val="none" w:sz="0" w:space="0" w:color="auto"/>
                            <w:left w:val="none" w:sz="0" w:space="0" w:color="auto"/>
                            <w:bottom w:val="none" w:sz="0" w:space="0" w:color="auto"/>
                            <w:right w:val="none" w:sz="0" w:space="0" w:color="auto"/>
                          </w:divBdr>
                        </w:div>
                        <w:div w:id="1541934192">
                          <w:marLeft w:val="0"/>
                          <w:marRight w:val="0"/>
                          <w:marTop w:val="0"/>
                          <w:marBottom w:val="0"/>
                          <w:divBdr>
                            <w:top w:val="none" w:sz="0" w:space="0" w:color="auto"/>
                            <w:left w:val="none" w:sz="0" w:space="0" w:color="auto"/>
                            <w:bottom w:val="none" w:sz="0" w:space="0" w:color="auto"/>
                            <w:right w:val="none" w:sz="0" w:space="0" w:color="auto"/>
                          </w:divBdr>
                        </w:div>
                        <w:div w:id="195489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3324479">
      <w:bodyDiv w:val="1"/>
      <w:marLeft w:val="0"/>
      <w:marRight w:val="0"/>
      <w:marTop w:val="0"/>
      <w:marBottom w:val="0"/>
      <w:divBdr>
        <w:top w:val="none" w:sz="0" w:space="0" w:color="auto"/>
        <w:left w:val="none" w:sz="0" w:space="0" w:color="auto"/>
        <w:bottom w:val="none" w:sz="0" w:space="0" w:color="auto"/>
        <w:right w:val="none" w:sz="0" w:space="0" w:color="auto"/>
      </w:divBdr>
    </w:div>
    <w:div w:id="1972594578">
      <w:bodyDiv w:val="1"/>
      <w:marLeft w:val="0"/>
      <w:marRight w:val="0"/>
      <w:marTop w:val="0"/>
      <w:marBottom w:val="0"/>
      <w:divBdr>
        <w:top w:val="none" w:sz="0" w:space="0" w:color="auto"/>
        <w:left w:val="none" w:sz="0" w:space="0" w:color="auto"/>
        <w:bottom w:val="none" w:sz="0" w:space="0" w:color="auto"/>
        <w:right w:val="none" w:sz="0" w:space="0" w:color="auto"/>
      </w:divBdr>
      <w:divsChild>
        <w:div w:id="14774454">
          <w:marLeft w:val="0"/>
          <w:marRight w:val="0"/>
          <w:marTop w:val="0"/>
          <w:marBottom w:val="0"/>
          <w:divBdr>
            <w:top w:val="none" w:sz="0" w:space="0" w:color="auto"/>
            <w:left w:val="none" w:sz="0" w:space="0" w:color="auto"/>
            <w:bottom w:val="none" w:sz="0" w:space="0" w:color="auto"/>
            <w:right w:val="none" w:sz="0" w:space="0" w:color="auto"/>
          </w:divBdr>
        </w:div>
        <w:div w:id="26835558">
          <w:marLeft w:val="0"/>
          <w:marRight w:val="0"/>
          <w:marTop w:val="0"/>
          <w:marBottom w:val="0"/>
          <w:divBdr>
            <w:top w:val="none" w:sz="0" w:space="0" w:color="auto"/>
            <w:left w:val="none" w:sz="0" w:space="0" w:color="auto"/>
            <w:bottom w:val="none" w:sz="0" w:space="0" w:color="auto"/>
            <w:right w:val="none" w:sz="0" w:space="0" w:color="auto"/>
          </w:divBdr>
        </w:div>
        <w:div w:id="102041815">
          <w:marLeft w:val="0"/>
          <w:marRight w:val="0"/>
          <w:marTop w:val="0"/>
          <w:marBottom w:val="0"/>
          <w:divBdr>
            <w:top w:val="none" w:sz="0" w:space="0" w:color="auto"/>
            <w:left w:val="none" w:sz="0" w:space="0" w:color="auto"/>
            <w:bottom w:val="none" w:sz="0" w:space="0" w:color="auto"/>
            <w:right w:val="none" w:sz="0" w:space="0" w:color="auto"/>
          </w:divBdr>
        </w:div>
        <w:div w:id="174736279">
          <w:marLeft w:val="0"/>
          <w:marRight w:val="0"/>
          <w:marTop w:val="0"/>
          <w:marBottom w:val="0"/>
          <w:divBdr>
            <w:top w:val="none" w:sz="0" w:space="0" w:color="auto"/>
            <w:left w:val="none" w:sz="0" w:space="0" w:color="auto"/>
            <w:bottom w:val="none" w:sz="0" w:space="0" w:color="auto"/>
            <w:right w:val="none" w:sz="0" w:space="0" w:color="auto"/>
          </w:divBdr>
        </w:div>
        <w:div w:id="187833646">
          <w:marLeft w:val="0"/>
          <w:marRight w:val="0"/>
          <w:marTop w:val="0"/>
          <w:marBottom w:val="0"/>
          <w:divBdr>
            <w:top w:val="none" w:sz="0" w:space="0" w:color="auto"/>
            <w:left w:val="none" w:sz="0" w:space="0" w:color="auto"/>
            <w:bottom w:val="none" w:sz="0" w:space="0" w:color="auto"/>
            <w:right w:val="none" w:sz="0" w:space="0" w:color="auto"/>
          </w:divBdr>
        </w:div>
        <w:div w:id="222254267">
          <w:marLeft w:val="0"/>
          <w:marRight w:val="0"/>
          <w:marTop w:val="0"/>
          <w:marBottom w:val="0"/>
          <w:divBdr>
            <w:top w:val="none" w:sz="0" w:space="0" w:color="auto"/>
            <w:left w:val="none" w:sz="0" w:space="0" w:color="auto"/>
            <w:bottom w:val="none" w:sz="0" w:space="0" w:color="auto"/>
            <w:right w:val="none" w:sz="0" w:space="0" w:color="auto"/>
          </w:divBdr>
        </w:div>
        <w:div w:id="297952805">
          <w:marLeft w:val="0"/>
          <w:marRight w:val="0"/>
          <w:marTop w:val="0"/>
          <w:marBottom w:val="0"/>
          <w:divBdr>
            <w:top w:val="none" w:sz="0" w:space="0" w:color="auto"/>
            <w:left w:val="none" w:sz="0" w:space="0" w:color="auto"/>
            <w:bottom w:val="none" w:sz="0" w:space="0" w:color="auto"/>
            <w:right w:val="none" w:sz="0" w:space="0" w:color="auto"/>
          </w:divBdr>
        </w:div>
        <w:div w:id="326980129">
          <w:marLeft w:val="0"/>
          <w:marRight w:val="0"/>
          <w:marTop w:val="0"/>
          <w:marBottom w:val="0"/>
          <w:divBdr>
            <w:top w:val="none" w:sz="0" w:space="0" w:color="auto"/>
            <w:left w:val="none" w:sz="0" w:space="0" w:color="auto"/>
            <w:bottom w:val="none" w:sz="0" w:space="0" w:color="auto"/>
            <w:right w:val="none" w:sz="0" w:space="0" w:color="auto"/>
          </w:divBdr>
        </w:div>
        <w:div w:id="349993339">
          <w:marLeft w:val="0"/>
          <w:marRight w:val="0"/>
          <w:marTop w:val="0"/>
          <w:marBottom w:val="0"/>
          <w:divBdr>
            <w:top w:val="none" w:sz="0" w:space="0" w:color="auto"/>
            <w:left w:val="none" w:sz="0" w:space="0" w:color="auto"/>
            <w:bottom w:val="none" w:sz="0" w:space="0" w:color="auto"/>
            <w:right w:val="none" w:sz="0" w:space="0" w:color="auto"/>
          </w:divBdr>
        </w:div>
        <w:div w:id="438991334">
          <w:marLeft w:val="0"/>
          <w:marRight w:val="0"/>
          <w:marTop w:val="0"/>
          <w:marBottom w:val="0"/>
          <w:divBdr>
            <w:top w:val="none" w:sz="0" w:space="0" w:color="auto"/>
            <w:left w:val="none" w:sz="0" w:space="0" w:color="auto"/>
            <w:bottom w:val="none" w:sz="0" w:space="0" w:color="auto"/>
            <w:right w:val="none" w:sz="0" w:space="0" w:color="auto"/>
          </w:divBdr>
        </w:div>
        <w:div w:id="444469672">
          <w:marLeft w:val="0"/>
          <w:marRight w:val="0"/>
          <w:marTop w:val="0"/>
          <w:marBottom w:val="0"/>
          <w:divBdr>
            <w:top w:val="none" w:sz="0" w:space="0" w:color="auto"/>
            <w:left w:val="none" w:sz="0" w:space="0" w:color="auto"/>
            <w:bottom w:val="none" w:sz="0" w:space="0" w:color="auto"/>
            <w:right w:val="none" w:sz="0" w:space="0" w:color="auto"/>
          </w:divBdr>
        </w:div>
        <w:div w:id="477040249">
          <w:marLeft w:val="0"/>
          <w:marRight w:val="0"/>
          <w:marTop w:val="0"/>
          <w:marBottom w:val="0"/>
          <w:divBdr>
            <w:top w:val="none" w:sz="0" w:space="0" w:color="auto"/>
            <w:left w:val="none" w:sz="0" w:space="0" w:color="auto"/>
            <w:bottom w:val="none" w:sz="0" w:space="0" w:color="auto"/>
            <w:right w:val="none" w:sz="0" w:space="0" w:color="auto"/>
          </w:divBdr>
        </w:div>
        <w:div w:id="672685553">
          <w:marLeft w:val="0"/>
          <w:marRight w:val="0"/>
          <w:marTop w:val="0"/>
          <w:marBottom w:val="0"/>
          <w:divBdr>
            <w:top w:val="none" w:sz="0" w:space="0" w:color="auto"/>
            <w:left w:val="none" w:sz="0" w:space="0" w:color="auto"/>
            <w:bottom w:val="none" w:sz="0" w:space="0" w:color="auto"/>
            <w:right w:val="none" w:sz="0" w:space="0" w:color="auto"/>
          </w:divBdr>
        </w:div>
        <w:div w:id="691996199">
          <w:marLeft w:val="0"/>
          <w:marRight w:val="0"/>
          <w:marTop w:val="0"/>
          <w:marBottom w:val="0"/>
          <w:divBdr>
            <w:top w:val="none" w:sz="0" w:space="0" w:color="auto"/>
            <w:left w:val="none" w:sz="0" w:space="0" w:color="auto"/>
            <w:bottom w:val="none" w:sz="0" w:space="0" w:color="auto"/>
            <w:right w:val="none" w:sz="0" w:space="0" w:color="auto"/>
          </w:divBdr>
        </w:div>
        <w:div w:id="697394241">
          <w:marLeft w:val="0"/>
          <w:marRight w:val="0"/>
          <w:marTop w:val="0"/>
          <w:marBottom w:val="0"/>
          <w:divBdr>
            <w:top w:val="none" w:sz="0" w:space="0" w:color="auto"/>
            <w:left w:val="none" w:sz="0" w:space="0" w:color="auto"/>
            <w:bottom w:val="none" w:sz="0" w:space="0" w:color="auto"/>
            <w:right w:val="none" w:sz="0" w:space="0" w:color="auto"/>
          </w:divBdr>
        </w:div>
        <w:div w:id="709575887">
          <w:marLeft w:val="0"/>
          <w:marRight w:val="0"/>
          <w:marTop w:val="0"/>
          <w:marBottom w:val="0"/>
          <w:divBdr>
            <w:top w:val="none" w:sz="0" w:space="0" w:color="auto"/>
            <w:left w:val="none" w:sz="0" w:space="0" w:color="auto"/>
            <w:bottom w:val="none" w:sz="0" w:space="0" w:color="auto"/>
            <w:right w:val="none" w:sz="0" w:space="0" w:color="auto"/>
          </w:divBdr>
        </w:div>
        <w:div w:id="744256383">
          <w:marLeft w:val="0"/>
          <w:marRight w:val="0"/>
          <w:marTop w:val="0"/>
          <w:marBottom w:val="0"/>
          <w:divBdr>
            <w:top w:val="none" w:sz="0" w:space="0" w:color="auto"/>
            <w:left w:val="none" w:sz="0" w:space="0" w:color="auto"/>
            <w:bottom w:val="none" w:sz="0" w:space="0" w:color="auto"/>
            <w:right w:val="none" w:sz="0" w:space="0" w:color="auto"/>
          </w:divBdr>
        </w:div>
        <w:div w:id="801459003">
          <w:marLeft w:val="0"/>
          <w:marRight w:val="0"/>
          <w:marTop w:val="0"/>
          <w:marBottom w:val="0"/>
          <w:divBdr>
            <w:top w:val="none" w:sz="0" w:space="0" w:color="auto"/>
            <w:left w:val="none" w:sz="0" w:space="0" w:color="auto"/>
            <w:bottom w:val="none" w:sz="0" w:space="0" w:color="auto"/>
            <w:right w:val="none" w:sz="0" w:space="0" w:color="auto"/>
          </w:divBdr>
        </w:div>
        <w:div w:id="836388745">
          <w:marLeft w:val="0"/>
          <w:marRight w:val="0"/>
          <w:marTop w:val="0"/>
          <w:marBottom w:val="0"/>
          <w:divBdr>
            <w:top w:val="none" w:sz="0" w:space="0" w:color="auto"/>
            <w:left w:val="none" w:sz="0" w:space="0" w:color="auto"/>
            <w:bottom w:val="none" w:sz="0" w:space="0" w:color="auto"/>
            <w:right w:val="none" w:sz="0" w:space="0" w:color="auto"/>
          </w:divBdr>
        </w:div>
        <w:div w:id="847137304">
          <w:marLeft w:val="0"/>
          <w:marRight w:val="0"/>
          <w:marTop w:val="0"/>
          <w:marBottom w:val="0"/>
          <w:divBdr>
            <w:top w:val="none" w:sz="0" w:space="0" w:color="auto"/>
            <w:left w:val="none" w:sz="0" w:space="0" w:color="auto"/>
            <w:bottom w:val="none" w:sz="0" w:space="0" w:color="auto"/>
            <w:right w:val="none" w:sz="0" w:space="0" w:color="auto"/>
          </w:divBdr>
        </w:div>
        <w:div w:id="869492381">
          <w:marLeft w:val="0"/>
          <w:marRight w:val="0"/>
          <w:marTop w:val="0"/>
          <w:marBottom w:val="0"/>
          <w:divBdr>
            <w:top w:val="none" w:sz="0" w:space="0" w:color="auto"/>
            <w:left w:val="none" w:sz="0" w:space="0" w:color="auto"/>
            <w:bottom w:val="none" w:sz="0" w:space="0" w:color="auto"/>
            <w:right w:val="none" w:sz="0" w:space="0" w:color="auto"/>
          </w:divBdr>
        </w:div>
        <w:div w:id="1063674172">
          <w:marLeft w:val="0"/>
          <w:marRight w:val="0"/>
          <w:marTop w:val="0"/>
          <w:marBottom w:val="0"/>
          <w:divBdr>
            <w:top w:val="none" w:sz="0" w:space="0" w:color="auto"/>
            <w:left w:val="none" w:sz="0" w:space="0" w:color="auto"/>
            <w:bottom w:val="none" w:sz="0" w:space="0" w:color="auto"/>
            <w:right w:val="none" w:sz="0" w:space="0" w:color="auto"/>
          </w:divBdr>
        </w:div>
        <w:div w:id="1075516530">
          <w:marLeft w:val="0"/>
          <w:marRight w:val="0"/>
          <w:marTop w:val="0"/>
          <w:marBottom w:val="0"/>
          <w:divBdr>
            <w:top w:val="none" w:sz="0" w:space="0" w:color="auto"/>
            <w:left w:val="none" w:sz="0" w:space="0" w:color="auto"/>
            <w:bottom w:val="none" w:sz="0" w:space="0" w:color="auto"/>
            <w:right w:val="none" w:sz="0" w:space="0" w:color="auto"/>
          </w:divBdr>
        </w:div>
        <w:div w:id="1096246165">
          <w:marLeft w:val="0"/>
          <w:marRight w:val="0"/>
          <w:marTop w:val="0"/>
          <w:marBottom w:val="0"/>
          <w:divBdr>
            <w:top w:val="none" w:sz="0" w:space="0" w:color="auto"/>
            <w:left w:val="none" w:sz="0" w:space="0" w:color="auto"/>
            <w:bottom w:val="none" w:sz="0" w:space="0" w:color="auto"/>
            <w:right w:val="none" w:sz="0" w:space="0" w:color="auto"/>
          </w:divBdr>
        </w:div>
        <w:div w:id="1174537224">
          <w:marLeft w:val="0"/>
          <w:marRight w:val="0"/>
          <w:marTop w:val="0"/>
          <w:marBottom w:val="0"/>
          <w:divBdr>
            <w:top w:val="none" w:sz="0" w:space="0" w:color="auto"/>
            <w:left w:val="none" w:sz="0" w:space="0" w:color="auto"/>
            <w:bottom w:val="none" w:sz="0" w:space="0" w:color="auto"/>
            <w:right w:val="none" w:sz="0" w:space="0" w:color="auto"/>
          </w:divBdr>
        </w:div>
        <w:div w:id="1238326660">
          <w:marLeft w:val="0"/>
          <w:marRight w:val="0"/>
          <w:marTop w:val="0"/>
          <w:marBottom w:val="0"/>
          <w:divBdr>
            <w:top w:val="none" w:sz="0" w:space="0" w:color="auto"/>
            <w:left w:val="none" w:sz="0" w:space="0" w:color="auto"/>
            <w:bottom w:val="none" w:sz="0" w:space="0" w:color="auto"/>
            <w:right w:val="none" w:sz="0" w:space="0" w:color="auto"/>
          </w:divBdr>
        </w:div>
        <w:div w:id="1253663107">
          <w:marLeft w:val="0"/>
          <w:marRight w:val="0"/>
          <w:marTop w:val="0"/>
          <w:marBottom w:val="0"/>
          <w:divBdr>
            <w:top w:val="none" w:sz="0" w:space="0" w:color="auto"/>
            <w:left w:val="none" w:sz="0" w:space="0" w:color="auto"/>
            <w:bottom w:val="none" w:sz="0" w:space="0" w:color="auto"/>
            <w:right w:val="none" w:sz="0" w:space="0" w:color="auto"/>
          </w:divBdr>
        </w:div>
        <w:div w:id="1277563250">
          <w:marLeft w:val="0"/>
          <w:marRight w:val="0"/>
          <w:marTop w:val="0"/>
          <w:marBottom w:val="0"/>
          <w:divBdr>
            <w:top w:val="none" w:sz="0" w:space="0" w:color="auto"/>
            <w:left w:val="none" w:sz="0" w:space="0" w:color="auto"/>
            <w:bottom w:val="none" w:sz="0" w:space="0" w:color="auto"/>
            <w:right w:val="none" w:sz="0" w:space="0" w:color="auto"/>
          </w:divBdr>
        </w:div>
        <w:div w:id="1325742104">
          <w:marLeft w:val="0"/>
          <w:marRight w:val="0"/>
          <w:marTop w:val="0"/>
          <w:marBottom w:val="0"/>
          <w:divBdr>
            <w:top w:val="none" w:sz="0" w:space="0" w:color="auto"/>
            <w:left w:val="none" w:sz="0" w:space="0" w:color="auto"/>
            <w:bottom w:val="none" w:sz="0" w:space="0" w:color="auto"/>
            <w:right w:val="none" w:sz="0" w:space="0" w:color="auto"/>
          </w:divBdr>
        </w:div>
        <w:div w:id="1414280521">
          <w:marLeft w:val="0"/>
          <w:marRight w:val="0"/>
          <w:marTop w:val="0"/>
          <w:marBottom w:val="0"/>
          <w:divBdr>
            <w:top w:val="none" w:sz="0" w:space="0" w:color="auto"/>
            <w:left w:val="none" w:sz="0" w:space="0" w:color="auto"/>
            <w:bottom w:val="none" w:sz="0" w:space="0" w:color="auto"/>
            <w:right w:val="none" w:sz="0" w:space="0" w:color="auto"/>
          </w:divBdr>
        </w:div>
        <w:div w:id="1436057436">
          <w:marLeft w:val="0"/>
          <w:marRight w:val="0"/>
          <w:marTop w:val="0"/>
          <w:marBottom w:val="0"/>
          <w:divBdr>
            <w:top w:val="none" w:sz="0" w:space="0" w:color="auto"/>
            <w:left w:val="none" w:sz="0" w:space="0" w:color="auto"/>
            <w:bottom w:val="none" w:sz="0" w:space="0" w:color="auto"/>
            <w:right w:val="none" w:sz="0" w:space="0" w:color="auto"/>
          </w:divBdr>
        </w:div>
        <w:div w:id="1578444809">
          <w:marLeft w:val="0"/>
          <w:marRight w:val="0"/>
          <w:marTop w:val="0"/>
          <w:marBottom w:val="0"/>
          <w:divBdr>
            <w:top w:val="none" w:sz="0" w:space="0" w:color="auto"/>
            <w:left w:val="none" w:sz="0" w:space="0" w:color="auto"/>
            <w:bottom w:val="none" w:sz="0" w:space="0" w:color="auto"/>
            <w:right w:val="none" w:sz="0" w:space="0" w:color="auto"/>
          </w:divBdr>
        </w:div>
        <w:div w:id="1584297633">
          <w:marLeft w:val="0"/>
          <w:marRight w:val="0"/>
          <w:marTop w:val="0"/>
          <w:marBottom w:val="0"/>
          <w:divBdr>
            <w:top w:val="none" w:sz="0" w:space="0" w:color="auto"/>
            <w:left w:val="none" w:sz="0" w:space="0" w:color="auto"/>
            <w:bottom w:val="none" w:sz="0" w:space="0" w:color="auto"/>
            <w:right w:val="none" w:sz="0" w:space="0" w:color="auto"/>
          </w:divBdr>
        </w:div>
        <w:div w:id="1634670774">
          <w:marLeft w:val="0"/>
          <w:marRight w:val="0"/>
          <w:marTop w:val="0"/>
          <w:marBottom w:val="0"/>
          <w:divBdr>
            <w:top w:val="none" w:sz="0" w:space="0" w:color="auto"/>
            <w:left w:val="none" w:sz="0" w:space="0" w:color="auto"/>
            <w:bottom w:val="none" w:sz="0" w:space="0" w:color="auto"/>
            <w:right w:val="none" w:sz="0" w:space="0" w:color="auto"/>
          </w:divBdr>
        </w:div>
        <w:div w:id="1747066951">
          <w:marLeft w:val="0"/>
          <w:marRight w:val="0"/>
          <w:marTop w:val="0"/>
          <w:marBottom w:val="0"/>
          <w:divBdr>
            <w:top w:val="none" w:sz="0" w:space="0" w:color="auto"/>
            <w:left w:val="none" w:sz="0" w:space="0" w:color="auto"/>
            <w:bottom w:val="none" w:sz="0" w:space="0" w:color="auto"/>
            <w:right w:val="none" w:sz="0" w:space="0" w:color="auto"/>
          </w:divBdr>
        </w:div>
        <w:div w:id="1802651333">
          <w:marLeft w:val="0"/>
          <w:marRight w:val="0"/>
          <w:marTop w:val="0"/>
          <w:marBottom w:val="0"/>
          <w:divBdr>
            <w:top w:val="none" w:sz="0" w:space="0" w:color="auto"/>
            <w:left w:val="none" w:sz="0" w:space="0" w:color="auto"/>
            <w:bottom w:val="none" w:sz="0" w:space="0" w:color="auto"/>
            <w:right w:val="none" w:sz="0" w:space="0" w:color="auto"/>
          </w:divBdr>
        </w:div>
        <w:div w:id="1897546801">
          <w:marLeft w:val="0"/>
          <w:marRight w:val="0"/>
          <w:marTop w:val="0"/>
          <w:marBottom w:val="0"/>
          <w:divBdr>
            <w:top w:val="none" w:sz="0" w:space="0" w:color="auto"/>
            <w:left w:val="none" w:sz="0" w:space="0" w:color="auto"/>
            <w:bottom w:val="none" w:sz="0" w:space="0" w:color="auto"/>
            <w:right w:val="none" w:sz="0" w:space="0" w:color="auto"/>
          </w:divBdr>
        </w:div>
        <w:div w:id="2025355929">
          <w:marLeft w:val="0"/>
          <w:marRight w:val="0"/>
          <w:marTop w:val="0"/>
          <w:marBottom w:val="0"/>
          <w:divBdr>
            <w:top w:val="none" w:sz="0" w:space="0" w:color="auto"/>
            <w:left w:val="none" w:sz="0" w:space="0" w:color="auto"/>
            <w:bottom w:val="none" w:sz="0" w:space="0" w:color="auto"/>
            <w:right w:val="none" w:sz="0" w:space="0" w:color="auto"/>
          </w:divBdr>
        </w:div>
        <w:div w:id="2048531169">
          <w:marLeft w:val="0"/>
          <w:marRight w:val="0"/>
          <w:marTop w:val="0"/>
          <w:marBottom w:val="0"/>
          <w:divBdr>
            <w:top w:val="none" w:sz="0" w:space="0" w:color="auto"/>
            <w:left w:val="none" w:sz="0" w:space="0" w:color="auto"/>
            <w:bottom w:val="none" w:sz="0" w:space="0" w:color="auto"/>
            <w:right w:val="none" w:sz="0" w:space="0" w:color="auto"/>
          </w:divBdr>
        </w:div>
        <w:div w:id="2091345090">
          <w:marLeft w:val="0"/>
          <w:marRight w:val="0"/>
          <w:marTop w:val="0"/>
          <w:marBottom w:val="0"/>
          <w:divBdr>
            <w:top w:val="none" w:sz="0" w:space="0" w:color="auto"/>
            <w:left w:val="none" w:sz="0" w:space="0" w:color="auto"/>
            <w:bottom w:val="none" w:sz="0" w:space="0" w:color="auto"/>
            <w:right w:val="none" w:sz="0" w:space="0" w:color="auto"/>
          </w:divBdr>
        </w:div>
        <w:div w:id="2094665811">
          <w:marLeft w:val="0"/>
          <w:marRight w:val="0"/>
          <w:marTop w:val="0"/>
          <w:marBottom w:val="0"/>
          <w:divBdr>
            <w:top w:val="none" w:sz="0" w:space="0" w:color="auto"/>
            <w:left w:val="none" w:sz="0" w:space="0" w:color="auto"/>
            <w:bottom w:val="none" w:sz="0" w:space="0" w:color="auto"/>
            <w:right w:val="none" w:sz="0" w:space="0" w:color="auto"/>
          </w:divBdr>
          <w:divsChild>
            <w:div w:id="1959487418">
              <w:marLeft w:val="-75"/>
              <w:marRight w:val="0"/>
              <w:marTop w:val="30"/>
              <w:marBottom w:val="30"/>
              <w:divBdr>
                <w:top w:val="none" w:sz="0" w:space="0" w:color="auto"/>
                <w:left w:val="none" w:sz="0" w:space="0" w:color="auto"/>
                <w:bottom w:val="none" w:sz="0" w:space="0" w:color="auto"/>
                <w:right w:val="none" w:sz="0" w:space="0" w:color="auto"/>
              </w:divBdr>
              <w:divsChild>
                <w:div w:id="34164683">
                  <w:marLeft w:val="0"/>
                  <w:marRight w:val="0"/>
                  <w:marTop w:val="0"/>
                  <w:marBottom w:val="0"/>
                  <w:divBdr>
                    <w:top w:val="none" w:sz="0" w:space="0" w:color="auto"/>
                    <w:left w:val="none" w:sz="0" w:space="0" w:color="auto"/>
                    <w:bottom w:val="none" w:sz="0" w:space="0" w:color="auto"/>
                    <w:right w:val="none" w:sz="0" w:space="0" w:color="auto"/>
                  </w:divBdr>
                  <w:divsChild>
                    <w:div w:id="588738054">
                      <w:marLeft w:val="0"/>
                      <w:marRight w:val="0"/>
                      <w:marTop w:val="0"/>
                      <w:marBottom w:val="0"/>
                      <w:divBdr>
                        <w:top w:val="none" w:sz="0" w:space="0" w:color="auto"/>
                        <w:left w:val="none" w:sz="0" w:space="0" w:color="auto"/>
                        <w:bottom w:val="none" w:sz="0" w:space="0" w:color="auto"/>
                        <w:right w:val="none" w:sz="0" w:space="0" w:color="auto"/>
                      </w:divBdr>
                    </w:div>
                  </w:divsChild>
                </w:div>
                <w:div w:id="69426953">
                  <w:marLeft w:val="0"/>
                  <w:marRight w:val="0"/>
                  <w:marTop w:val="0"/>
                  <w:marBottom w:val="0"/>
                  <w:divBdr>
                    <w:top w:val="none" w:sz="0" w:space="0" w:color="auto"/>
                    <w:left w:val="none" w:sz="0" w:space="0" w:color="auto"/>
                    <w:bottom w:val="none" w:sz="0" w:space="0" w:color="auto"/>
                    <w:right w:val="none" w:sz="0" w:space="0" w:color="auto"/>
                  </w:divBdr>
                  <w:divsChild>
                    <w:div w:id="335882023">
                      <w:marLeft w:val="0"/>
                      <w:marRight w:val="0"/>
                      <w:marTop w:val="0"/>
                      <w:marBottom w:val="0"/>
                      <w:divBdr>
                        <w:top w:val="none" w:sz="0" w:space="0" w:color="auto"/>
                        <w:left w:val="none" w:sz="0" w:space="0" w:color="auto"/>
                        <w:bottom w:val="none" w:sz="0" w:space="0" w:color="auto"/>
                        <w:right w:val="none" w:sz="0" w:space="0" w:color="auto"/>
                      </w:divBdr>
                    </w:div>
                  </w:divsChild>
                </w:div>
                <w:div w:id="159467401">
                  <w:marLeft w:val="0"/>
                  <w:marRight w:val="0"/>
                  <w:marTop w:val="0"/>
                  <w:marBottom w:val="0"/>
                  <w:divBdr>
                    <w:top w:val="none" w:sz="0" w:space="0" w:color="auto"/>
                    <w:left w:val="none" w:sz="0" w:space="0" w:color="auto"/>
                    <w:bottom w:val="none" w:sz="0" w:space="0" w:color="auto"/>
                    <w:right w:val="none" w:sz="0" w:space="0" w:color="auto"/>
                  </w:divBdr>
                  <w:divsChild>
                    <w:div w:id="235090657">
                      <w:marLeft w:val="0"/>
                      <w:marRight w:val="0"/>
                      <w:marTop w:val="0"/>
                      <w:marBottom w:val="0"/>
                      <w:divBdr>
                        <w:top w:val="none" w:sz="0" w:space="0" w:color="auto"/>
                        <w:left w:val="none" w:sz="0" w:space="0" w:color="auto"/>
                        <w:bottom w:val="none" w:sz="0" w:space="0" w:color="auto"/>
                        <w:right w:val="none" w:sz="0" w:space="0" w:color="auto"/>
                      </w:divBdr>
                    </w:div>
                  </w:divsChild>
                </w:div>
                <w:div w:id="197208279">
                  <w:marLeft w:val="0"/>
                  <w:marRight w:val="0"/>
                  <w:marTop w:val="0"/>
                  <w:marBottom w:val="0"/>
                  <w:divBdr>
                    <w:top w:val="none" w:sz="0" w:space="0" w:color="auto"/>
                    <w:left w:val="none" w:sz="0" w:space="0" w:color="auto"/>
                    <w:bottom w:val="none" w:sz="0" w:space="0" w:color="auto"/>
                    <w:right w:val="none" w:sz="0" w:space="0" w:color="auto"/>
                  </w:divBdr>
                  <w:divsChild>
                    <w:div w:id="1760911090">
                      <w:marLeft w:val="0"/>
                      <w:marRight w:val="0"/>
                      <w:marTop w:val="0"/>
                      <w:marBottom w:val="0"/>
                      <w:divBdr>
                        <w:top w:val="none" w:sz="0" w:space="0" w:color="auto"/>
                        <w:left w:val="none" w:sz="0" w:space="0" w:color="auto"/>
                        <w:bottom w:val="none" w:sz="0" w:space="0" w:color="auto"/>
                        <w:right w:val="none" w:sz="0" w:space="0" w:color="auto"/>
                      </w:divBdr>
                    </w:div>
                  </w:divsChild>
                </w:div>
                <w:div w:id="207843273">
                  <w:marLeft w:val="0"/>
                  <w:marRight w:val="0"/>
                  <w:marTop w:val="0"/>
                  <w:marBottom w:val="0"/>
                  <w:divBdr>
                    <w:top w:val="none" w:sz="0" w:space="0" w:color="auto"/>
                    <w:left w:val="none" w:sz="0" w:space="0" w:color="auto"/>
                    <w:bottom w:val="none" w:sz="0" w:space="0" w:color="auto"/>
                    <w:right w:val="none" w:sz="0" w:space="0" w:color="auto"/>
                  </w:divBdr>
                  <w:divsChild>
                    <w:div w:id="1225138332">
                      <w:marLeft w:val="0"/>
                      <w:marRight w:val="0"/>
                      <w:marTop w:val="0"/>
                      <w:marBottom w:val="0"/>
                      <w:divBdr>
                        <w:top w:val="none" w:sz="0" w:space="0" w:color="auto"/>
                        <w:left w:val="none" w:sz="0" w:space="0" w:color="auto"/>
                        <w:bottom w:val="none" w:sz="0" w:space="0" w:color="auto"/>
                        <w:right w:val="none" w:sz="0" w:space="0" w:color="auto"/>
                      </w:divBdr>
                    </w:div>
                  </w:divsChild>
                </w:div>
                <w:div w:id="244149999">
                  <w:marLeft w:val="0"/>
                  <w:marRight w:val="0"/>
                  <w:marTop w:val="0"/>
                  <w:marBottom w:val="0"/>
                  <w:divBdr>
                    <w:top w:val="none" w:sz="0" w:space="0" w:color="auto"/>
                    <w:left w:val="none" w:sz="0" w:space="0" w:color="auto"/>
                    <w:bottom w:val="none" w:sz="0" w:space="0" w:color="auto"/>
                    <w:right w:val="none" w:sz="0" w:space="0" w:color="auto"/>
                  </w:divBdr>
                  <w:divsChild>
                    <w:div w:id="132139604">
                      <w:marLeft w:val="0"/>
                      <w:marRight w:val="0"/>
                      <w:marTop w:val="0"/>
                      <w:marBottom w:val="0"/>
                      <w:divBdr>
                        <w:top w:val="none" w:sz="0" w:space="0" w:color="auto"/>
                        <w:left w:val="none" w:sz="0" w:space="0" w:color="auto"/>
                        <w:bottom w:val="none" w:sz="0" w:space="0" w:color="auto"/>
                        <w:right w:val="none" w:sz="0" w:space="0" w:color="auto"/>
                      </w:divBdr>
                    </w:div>
                  </w:divsChild>
                </w:div>
                <w:div w:id="270164091">
                  <w:marLeft w:val="0"/>
                  <w:marRight w:val="0"/>
                  <w:marTop w:val="0"/>
                  <w:marBottom w:val="0"/>
                  <w:divBdr>
                    <w:top w:val="none" w:sz="0" w:space="0" w:color="auto"/>
                    <w:left w:val="none" w:sz="0" w:space="0" w:color="auto"/>
                    <w:bottom w:val="none" w:sz="0" w:space="0" w:color="auto"/>
                    <w:right w:val="none" w:sz="0" w:space="0" w:color="auto"/>
                  </w:divBdr>
                  <w:divsChild>
                    <w:div w:id="1605527603">
                      <w:marLeft w:val="0"/>
                      <w:marRight w:val="0"/>
                      <w:marTop w:val="0"/>
                      <w:marBottom w:val="0"/>
                      <w:divBdr>
                        <w:top w:val="none" w:sz="0" w:space="0" w:color="auto"/>
                        <w:left w:val="none" w:sz="0" w:space="0" w:color="auto"/>
                        <w:bottom w:val="none" w:sz="0" w:space="0" w:color="auto"/>
                        <w:right w:val="none" w:sz="0" w:space="0" w:color="auto"/>
                      </w:divBdr>
                    </w:div>
                  </w:divsChild>
                </w:div>
                <w:div w:id="272134830">
                  <w:marLeft w:val="0"/>
                  <w:marRight w:val="0"/>
                  <w:marTop w:val="0"/>
                  <w:marBottom w:val="0"/>
                  <w:divBdr>
                    <w:top w:val="none" w:sz="0" w:space="0" w:color="auto"/>
                    <w:left w:val="none" w:sz="0" w:space="0" w:color="auto"/>
                    <w:bottom w:val="none" w:sz="0" w:space="0" w:color="auto"/>
                    <w:right w:val="none" w:sz="0" w:space="0" w:color="auto"/>
                  </w:divBdr>
                  <w:divsChild>
                    <w:div w:id="1734885164">
                      <w:marLeft w:val="0"/>
                      <w:marRight w:val="0"/>
                      <w:marTop w:val="0"/>
                      <w:marBottom w:val="0"/>
                      <w:divBdr>
                        <w:top w:val="none" w:sz="0" w:space="0" w:color="auto"/>
                        <w:left w:val="none" w:sz="0" w:space="0" w:color="auto"/>
                        <w:bottom w:val="none" w:sz="0" w:space="0" w:color="auto"/>
                        <w:right w:val="none" w:sz="0" w:space="0" w:color="auto"/>
                      </w:divBdr>
                    </w:div>
                  </w:divsChild>
                </w:div>
                <w:div w:id="292059718">
                  <w:marLeft w:val="0"/>
                  <w:marRight w:val="0"/>
                  <w:marTop w:val="0"/>
                  <w:marBottom w:val="0"/>
                  <w:divBdr>
                    <w:top w:val="none" w:sz="0" w:space="0" w:color="auto"/>
                    <w:left w:val="none" w:sz="0" w:space="0" w:color="auto"/>
                    <w:bottom w:val="none" w:sz="0" w:space="0" w:color="auto"/>
                    <w:right w:val="none" w:sz="0" w:space="0" w:color="auto"/>
                  </w:divBdr>
                  <w:divsChild>
                    <w:div w:id="1007098273">
                      <w:marLeft w:val="0"/>
                      <w:marRight w:val="0"/>
                      <w:marTop w:val="0"/>
                      <w:marBottom w:val="0"/>
                      <w:divBdr>
                        <w:top w:val="none" w:sz="0" w:space="0" w:color="auto"/>
                        <w:left w:val="none" w:sz="0" w:space="0" w:color="auto"/>
                        <w:bottom w:val="none" w:sz="0" w:space="0" w:color="auto"/>
                        <w:right w:val="none" w:sz="0" w:space="0" w:color="auto"/>
                      </w:divBdr>
                    </w:div>
                    <w:div w:id="1036199371">
                      <w:marLeft w:val="0"/>
                      <w:marRight w:val="0"/>
                      <w:marTop w:val="0"/>
                      <w:marBottom w:val="0"/>
                      <w:divBdr>
                        <w:top w:val="none" w:sz="0" w:space="0" w:color="auto"/>
                        <w:left w:val="none" w:sz="0" w:space="0" w:color="auto"/>
                        <w:bottom w:val="none" w:sz="0" w:space="0" w:color="auto"/>
                        <w:right w:val="none" w:sz="0" w:space="0" w:color="auto"/>
                      </w:divBdr>
                    </w:div>
                    <w:div w:id="1612202025">
                      <w:marLeft w:val="0"/>
                      <w:marRight w:val="0"/>
                      <w:marTop w:val="0"/>
                      <w:marBottom w:val="0"/>
                      <w:divBdr>
                        <w:top w:val="none" w:sz="0" w:space="0" w:color="auto"/>
                        <w:left w:val="none" w:sz="0" w:space="0" w:color="auto"/>
                        <w:bottom w:val="none" w:sz="0" w:space="0" w:color="auto"/>
                        <w:right w:val="none" w:sz="0" w:space="0" w:color="auto"/>
                      </w:divBdr>
                    </w:div>
                  </w:divsChild>
                </w:div>
                <w:div w:id="385178269">
                  <w:marLeft w:val="0"/>
                  <w:marRight w:val="0"/>
                  <w:marTop w:val="0"/>
                  <w:marBottom w:val="0"/>
                  <w:divBdr>
                    <w:top w:val="none" w:sz="0" w:space="0" w:color="auto"/>
                    <w:left w:val="none" w:sz="0" w:space="0" w:color="auto"/>
                    <w:bottom w:val="none" w:sz="0" w:space="0" w:color="auto"/>
                    <w:right w:val="none" w:sz="0" w:space="0" w:color="auto"/>
                  </w:divBdr>
                  <w:divsChild>
                    <w:div w:id="1723364888">
                      <w:marLeft w:val="0"/>
                      <w:marRight w:val="0"/>
                      <w:marTop w:val="0"/>
                      <w:marBottom w:val="0"/>
                      <w:divBdr>
                        <w:top w:val="none" w:sz="0" w:space="0" w:color="auto"/>
                        <w:left w:val="none" w:sz="0" w:space="0" w:color="auto"/>
                        <w:bottom w:val="none" w:sz="0" w:space="0" w:color="auto"/>
                        <w:right w:val="none" w:sz="0" w:space="0" w:color="auto"/>
                      </w:divBdr>
                    </w:div>
                  </w:divsChild>
                </w:div>
                <w:div w:id="395595612">
                  <w:marLeft w:val="0"/>
                  <w:marRight w:val="0"/>
                  <w:marTop w:val="0"/>
                  <w:marBottom w:val="0"/>
                  <w:divBdr>
                    <w:top w:val="none" w:sz="0" w:space="0" w:color="auto"/>
                    <w:left w:val="none" w:sz="0" w:space="0" w:color="auto"/>
                    <w:bottom w:val="none" w:sz="0" w:space="0" w:color="auto"/>
                    <w:right w:val="none" w:sz="0" w:space="0" w:color="auto"/>
                  </w:divBdr>
                  <w:divsChild>
                    <w:div w:id="894782572">
                      <w:marLeft w:val="0"/>
                      <w:marRight w:val="0"/>
                      <w:marTop w:val="0"/>
                      <w:marBottom w:val="0"/>
                      <w:divBdr>
                        <w:top w:val="none" w:sz="0" w:space="0" w:color="auto"/>
                        <w:left w:val="none" w:sz="0" w:space="0" w:color="auto"/>
                        <w:bottom w:val="none" w:sz="0" w:space="0" w:color="auto"/>
                        <w:right w:val="none" w:sz="0" w:space="0" w:color="auto"/>
                      </w:divBdr>
                    </w:div>
                    <w:div w:id="1115708503">
                      <w:marLeft w:val="0"/>
                      <w:marRight w:val="0"/>
                      <w:marTop w:val="0"/>
                      <w:marBottom w:val="0"/>
                      <w:divBdr>
                        <w:top w:val="none" w:sz="0" w:space="0" w:color="auto"/>
                        <w:left w:val="none" w:sz="0" w:space="0" w:color="auto"/>
                        <w:bottom w:val="none" w:sz="0" w:space="0" w:color="auto"/>
                        <w:right w:val="none" w:sz="0" w:space="0" w:color="auto"/>
                      </w:divBdr>
                    </w:div>
                    <w:div w:id="1763641450">
                      <w:marLeft w:val="0"/>
                      <w:marRight w:val="0"/>
                      <w:marTop w:val="0"/>
                      <w:marBottom w:val="0"/>
                      <w:divBdr>
                        <w:top w:val="none" w:sz="0" w:space="0" w:color="auto"/>
                        <w:left w:val="none" w:sz="0" w:space="0" w:color="auto"/>
                        <w:bottom w:val="none" w:sz="0" w:space="0" w:color="auto"/>
                        <w:right w:val="none" w:sz="0" w:space="0" w:color="auto"/>
                      </w:divBdr>
                    </w:div>
                  </w:divsChild>
                </w:div>
                <w:div w:id="459080073">
                  <w:marLeft w:val="0"/>
                  <w:marRight w:val="0"/>
                  <w:marTop w:val="0"/>
                  <w:marBottom w:val="0"/>
                  <w:divBdr>
                    <w:top w:val="none" w:sz="0" w:space="0" w:color="auto"/>
                    <w:left w:val="none" w:sz="0" w:space="0" w:color="auto"/>
                    <w:bottom w:val="none" w:sz="0" w:space="0" w:color="auto"/>
                    <w:right w:val="none" w:sz="0" w:space="0" w:color="auto"/>
                  </w:divBdr>
                  <w:divsChild>
                    <w:div w:id="30617031">
                      <w:marLeft w:val="0"/>
                      <w:marRight w:val="0"/>
                      <w:marTop w:val="0"/>
                      <w:marBottom w:val="0"/>
                      <w:divBdr>
                        <w:top w:val="none" w:sz="0" w:space="0" w:color="auto"/>
                        <w:left w:val="none" w:sz="0" w:space="0" w:color="auto"/>
                        <w:bottom w:val="none" w:sz="0" w:space="0" w:color="auto"/>
                        <w:right w:val="none" w:sz="0" w:space="0" w:color="auto"/>
                      </w:divBdr>
                    </w:div>
                    <w:div w:id="861825182">
                      <w:marLeft w:val="0"/>
                      <w:marRight w:val="0"/>
                      <w:marTop w:val="0"/>
                      <w:marBottom w:val="0"/>
                      <w:divBdr>
                        <w:top w:val="none" w:sz="0" w:space="0" w:color="auto"/>
                        <w:left w:val="none" w:sz="0" w:space="0" w:color="auto"/>
                        <w:bottom w:val="none" w:sz="0" w:space="0" w:color="auto"/>
                        <w:right w:val="none" w:sz="0" w:space="0" w:color="auto"/>
                      </w:divBdr>
                    </w:div>
                    <w:div w:id="1111054205">
                      <w:marLeft w:val="0"/>
                      <w:marRight w:val="0"/>
                      <w:marTop w:val="0"/>
                      <w:marBottom w:val="0"/>
                      <w:divBdr>
                        <w:top w:val="none" w:sz="0" w:space="0" w:color="auto"/>
                        <w:left w:val="none" w:sz="0" w:space="0" w:color="auto"/>
                        <w:bottom w:val="none" w:sz="0" w:space="0" w:color="auto"/>
                        <w:right w:val="none" w:sz="0" w:space="0" w:color="auto"/>
                      </w:divBdr>
                    </w:div>
                  </w:divsChild>
                </w:div>
                <w:div w:id="482166507">
                  <w:marLeft w:val="0"/>
                  <w:marRight w:val="0"/>
                  <w:marTop w:val="0"/>
                  <w:marBottom w:val="0"/>
                  <w:divBdr>
                    <w:top w:val="none" w:sz="0" w:space="0" w:color="auto"/>
                    <w:left w:val="none" w:sz="0" w:space="0" w:color="auto"/>
                    <w:bottom w:val="none" w:sz="0" w:space="0" w:color="auto"/>
                    <w:right w:val="none" w:sz="0" w:space="0" w:color="auto"/>
                  </w:divBdr>
                  <w:divsChild>
                    <w:div w:id="1501847164">
                      <w:marLeft w:val="0"/>
                      <w:marRight w:val="0"/>
                      <w:marTop w:val="0"/>
                      <w:marBottom w:val="0"/>
                      <w:divBdr>
                        <w:top w:val="none" w:sz="0" w:space="0" w:color="auto"/>
                        <w:left w:val="none" w:sz="0" w:space="0" w:color="auto"/>
                        <w:bottom w:val="none" w:sz="0" w:space="0" w:color="auto"/>
                        <w:right w:val="none" w:sz="0" w:space="0" w:color="auto"/>
                      </w:divBdr>
                    </w:div>
                    <w:div w:id="1684547804">
                      <w:marLeft w:val="0"/>
                      <w:marRight w:val="0"/>
                      <w:marTop w:val="0"/>
                      <w:marBottom w:val="0"/>
                      <w:divBdr>
                        <w:top w:val="none" w:sz="0" w:space="0" w:color="auto"/>
                        <w:left w:val="none" w:sz="0" w:space="0" w:color="auto"/>
                        <w:bottom w:val="none" w:sz="0" w:space="0" w:color="auto"/>
                        <w:right w:val="none" w:sz="0" w:space="0" w:color="auto"/>
                      </w:divBdr>
                    </w:div>
                  </w:divsChild>
                </w:div>
                <w:div w:id="490491894">
                  <w:marLeft w:val="0"/>
                  <w:marRight w:val="0"/>
                  <w:marTop w:val="0"/>
                  <w:marBottom w:val="0"/>
                  <w:divBdr>
                    <w:top w:val="none" w:sz="0" w:space="0" w:color="auto"/>
                    <w:left w:val="none" w:sz="0" w:space="0" w:color="auto"/>
                    <w:bottom w:val="none" w:sz="0" w:space="0" w:color="auto"/>
                    <w:right w:val="none" w:sz="0" w:space="0" w:color="auto"/>
                  </w:divBdr>
                  <w:divsChild>
                    <w:div w:id="2106459047">
                      <w:marLeft w:val="0"/>
                      <w:marRight w:val="0"/>
                      <w:marTop w:val="0"/>
                      <w:marBottom w:val="0"/>
                      <w:divBdr>
                        <w:top w:val="none" w:sz="0" w:space="0" w:color="auto"/>
                        <w:left w:val="none" w:sz="0" w:space="0" w:color="auto"/>
                        <w:bottom w:val="none" w:sz="0" w:space="0" w:color="auto"/>
                        <w:right w:val="none" w:sz="0" w:space="0" w:color="auto"/>
                      </w:divBdr>
                    </w:div>
                  </w:divsChild>
                </w:div>
                <w:div w:id="541216174">
                  <w:marLeft w:val="0"/>
                  <w:marRight w:val="0"/>
                  <w:marTop w:val="0"/>
                  <w:marBottom w:val="0"/>
                  <w:divBdr>
                    <w:top w:val="none" w:sz="0" w:space="0" w:color="auto"/>
                    <w:left w:val="none" w:sz="0" w:space="0" w:color="auto"/>
                    <w:bottom w:val="none" w:sz="0" w:space="0" w:color="auto"/>
                    <w:right w:val="none" w:sz="0" w:space="0" w:color="auto"/>
                  </w:divBdr>
                  <w:divsChild>
                    <w:div w:id="766074310">
                      <w:marLeft w:val="0"/>
                      <w:marRight w:val="0"/>
                      <w:marTop w:val="0"/>
                      <w:marBottom w:val="0"/>
                      <w:divBdr>
                        <w:top w:val="none" w:sz="0" w:space="0" w:color="auto"/>
                        <w:left w:val="none" w:sz="0" w:space="0" w:color="auto"/>
                        <w:bottom w:val="none" w:sz="0" w:space="0" w:color="auto"/>
                        <w:right w:val="none" w:sz="0" w:space="0" w:color="auto"/>
                      </w:divBdr>
                    </w:div>
                  </w:divsChild>
                </w:div>
                <w:div w:id="660157529">
                  <w:marLeft w:val="0"/>
                  <w:marRight w:val="0"/>
                  <w:marTop w:val="0"/>
                  <w:marBottom w:val="0"/>
                  <w:divBdr>
                    <w:top w:val="none" w:sz="0" w:space="0" w:color="auto"/>
                    <w:left w:val="none" w:sz="0" w:space="0" w:color="auto"/>
                    <w:bottom w:val="none" w:sz="0" w:space="0" w:color="auto"/>
                    <w:right w:val="none" w:sz="0" w:space="0" w:color="auto"/>
                  </w:divBdr>
                  <w:divsChild>
                    <w:div w:id="476606987">
                      <w:marLeft w:val="0"/>
                      <w:marRight w:val="0"/>
                      <w:marTop w:val="0"/>
                      <w:marBottom w:val="0"/>
                      <w:divBdr>
                        <w:top w:val="none" w:sz="0" w:space="0" w:color="auto"/>
                        <w:left w:val="none" w:sz="0" w:space="0" w:color="auto"/>
                        <w:bottom w:val="none" w:sz="0" w:space="0" w:color="auto"/>
                        <w:right w:val="none" w:sz="0" w:space="0" w:color="auto"/>
                      </w:divBdr>
                    </w:div>
                  </w:divsChild>
                </w:div>
                <w:div w:id="729770945">
                  <w:marLeft w:val="0"/>
                  <w:marRight w:val="0"/>
                  <w:marTop w:val="0"/>
                  <w:marBottom w:val="0"/>
                  <w:divBdr>
                    <w:top w:val="none" w:sz="0" w:space="0" w:color="auto"/>
                    <w:left w:val="none" w:sz="0" w:space="0" w:color="auto"/>
                    <w:bottom w:val="none" w:sz="0" w:space="0" w:color="auto"/>
                    <w:right w:val="none" w:sz="0" w:space="0" w:color="auto"/>
                  </w:divBdr>
                  <w:divsChild>
                    <w:div w:id="2029259975">
                      <w:marLeft w:val="0"/>
                      <w:marRight w:val="0"/>
                      <w:marTop w:val="0"/>
                      <w:marBottom w:val="0"/>
                      <w:divBdr>
                        <w:top w:val="none" w:sz="0" w:space="0" w:color="auto"/>
                        <w:left w:val="none" w:sz="0" w:space="0" w:color="auto"/>
                        <w:bottom w:val="none" w:sz="0" w:space="0" w:color="auto"/>
                        <w:right w:val="none" w:sz="0" w:space="0" w:color="auto"/>
                      </w:divBdr>
                    </w:div>
                  </w:divsChild>
                </w:div>
                <w:div w:id="936017309">
                  <w:marLeft w:val="0"/>
                  <w:marRight w:val="0"/>
                  <w:marTop w:val="0"/>
                  <w:marBottom w:val="0"/>
                  <w:divBdr>
                    <w:top w:val="none" w:sz="0" w:space="0" w:color="auto"/>
                    <w:left w:val="none" w:sz="0" w:space="0" w:color="auto"/>
                    <w:bottom w:val="none" w:sz="0" w:space="0" w:color="auto"/>
                    <w:right w:val="none" w:sz="0" w:space="0" w:color="auto"/>
                  </w:divBdr>
                  <w:divsChild>
                    <w:div w:id="1437362041">
                      <w:marLeft w:val="0"/>
                      <w:marRight w:val="0"/>
                      <w:marTop w:val="0"/>
                      <w:marBottom w:val="0"/>
                      <w:divBdr>
                        <w:top w:val="none" w:sz="0" w:space="0" w:color="auto"/>
                        <w:left w:val="none" w:sz="0" w:space="0" w:color="auto"/>
                        <w:bottom w:val="none" w:sz="0" w:space="0" w:color="auto"/>
                        <w:right w:val="none" w:sz="0" w:space="0" w:color="auto"/>
                      </w:divBdr>
                    </w:div>
                  </w:divsChild>
                </w:div>
                <w:div w:id="1174611014">
                  <w:marLeft w:val="0"/>
                  <w:marRight w:val="0"/>
                  <w:marTop w:val="0"/>
                  <w:marBottom w:val="0"/>
                  <w:divBdr>
                    <w:top w:val="none" w:sz="0" w:space="0" w:color="auto"/>
                    <w:left w:val="none" w:sz="0" w:space="0" w:color="auto"/>
                    <w:bottom w:val="none" w:sz="0" w:space="0" w:color="auto"/>
                    <w:right w:val="none" w:sz="0" w:space="0" w:color="auto"/>
                  </w:divBdr>
                  <w:divsChild>
                    <w:div w:id="622926368">
                      <w:marLeft w:val="0"/>
                      <w:marRight w:val="0"/>
                      <w:marTop w:val="0"/>
                      <w:marBottom w:val="0"/>
                      <w:divBdr>
                        <w:top w:val="none" w:sz="0" w:space="0" w:color="auto"/>
                        <w:left w:val="none" w:sz="0" w:space="0" w:color="auto"/>
                        <w:bottom w:val="none" w:sz="0" w:space="0" w:color="auto"/>
                        <w:right w:val="none" w:sz="0" w:space="0" w:color="auto"/>
                      </w:divBdr>
                    </w:div>
                  </w:divsChild>
                </w:div>
                <w:div w:id="1249536123">
                  <w:marLeft w:val="0"/>
                  <w:marRight w:val="0"/>
                  <w:marTop w:val="0"/>
                  <w:marBottom w:val="0"/>
                  <w:divBdr>
                    <w:top w:val="none" w:sz="0" w:space="0" w:color="auto"/>
                    <w:left w:val="none" w:sz="0" w:space="0" w:color="auto"/>
                    <w:bottom w:val="none" w:sz="0" w:space="0" w:color="auto"/>
                    <w:right w:val="none" w:sz="0" w:space="0" w:color="auto"/>
                  </w:divBdr>
                  <w:divsChild>
                    <w:div w:id="1464157201">
                      <w:marLeft w:val="0"/>
                      <w:marRight w:val="0"/>
                      <w:marTop w:val="0"/>
                      <w:marBottom w:val="0"/>
                      <w:divBdr>
                        <w:top w:val="none" w:sz="0" w:space="0" w:color="auto"/>
                        <w:left w:val="none" w:sz="0" w:space="0" w:color="auto"/>
                        <w:bottom w:val="none" w:sz="0" w:space="0" w:color="auto"/>
                        <w:right w:val="none" w:sz="0" w:space="0" w:color="auto"/>
                      </w:divBdr>
                    </w:div>
                  </w:divsChild>
                </w:div>
                <w:div w:id="1534462923">
                  <w:marLeft w:val="0"/>
                  <w:marRight w:val="0"/>
                  <w:marTop w:val="0"/>
                  <w:marBottom w:val="0"/>
                  <w:divBdr>
                    <w:top w:val="none" w:sz="0" w:space="0" w:color="auto"/>
                    <w:left w:val="none" w:sz="0" w:space="0" w:color="auto"/>
                    <w:bottom w:val="none" w:sz="0" w:space="0" w:color="auto"/>
                    <w:right w:val="none" w:sz="0" w:space="0" w:color="auto"/>
                  </w:divBdr>
                  <w:divsChild>
                    <w:div w:id="274799390">
                      <w:marLeft w:val="0"/>
                      <w:marRight w:val="0"/>
                      <w:marTop w:val="0"/>
                      <w:marBottom w:val="0"/>
                      <w:divBdr>
                        <w:top w:val="none" w:sz="0" w:space="0" w:color="auto"/>
                        <w:left w:val="none" w:sz="0" w:space="0" w:color="auto"/>
                        <w:bottom w:val="none" w:sz="0" w:space="0" w:color="auto"/>
                        <w:right w:val="none" w:sz="0" w:space="0" w:color="auto"/>
                      </w:divBdr>
                    </w:div>
                  </w:divsChild>
                </w:div>
                <w:div w:id="1683168954">
                  <w:marLeft w:val="0"/>
                  <w:marRight w:val="0"/>
                  <w:marTop w:val="0"/>
                  <w:marBottom w:val="0"/>
                  <w:divBdr>
                    <w:top w:val="none" w:sz="0" w:space="0" w:color="auto"/>
                    <w:left w:val="none" w:sz="0" w:space="0" w:color="auto"/>
                    <w:bottom w:val="none" w:sz="0" w:space="0" w:color="auto"/>
                    <w:right w:val="none" w:sz="0" w:space="0" w:color="auto"/>
                  </w:divBdr>
                  <w:divsChild>
                    <w:div w:id="1594778643">
                      <w:marLeft w:val="0"/>
                      <w:marRight w:val="0"/>
                      <w:marTop w:val="0"/>
                      <w:marBottom w:val="0"/>
                      <w:divBdr>
                        <w:top w:val="none" w:sz="0" w:space="0" w:color="auto"/>
                        <w:left w:val="none" w:sz="0" w:space="0" w:color="auto"/>
                        <w:bottom w:val="none" w:sz="0" w:space="0" w:color="auto"/>
                        <w:right w:val="none" w:sz="0" w:space="0" w:color="auto"/>
                      </w:divBdr>
                    </w:div>
                  </w:divsChild>
                </w:div>
                <w:div w:id="1714034468">
                  <w:marLeft w:val="0"/>
                  <w:marRight w:val="0"/>
                  <w:marTop w:val="0"/>
                  <w:marBottom w:val="0"/>
                  <w:divBdr>
                    <w:top w:val="none" w:sz="0" w:space="0" w:color="auto"/>
                    <w:left w:val="none" w:sz="0" w:space="0" w:color="auto"/>
                    <w:bottom w:val="none" w:sz="0" w:space="0" w:color="auto"/>
                    <w:right w:val="none" w:sz="0" w:space="0" w:color="auto"/>
                  </w:divBdr>
                  <w:divsChild>
                    <w:div w:id="1597178199">
                      <w:marLeft w:val="0"/>
                      <w:marRight w:val="0"/>
                      <w:marTop w:val="0"/>
                      <w:marBottom w:val="0"/>
                      <w:divBdr>
                        <w:top w:val="none" w:sz="0" w:space="0" w:color="auto"/>
                        <w:left w:val="none" w:sz="0" w:space="0" w:color="auto"/>
                        <w:bottom w:val="none" w:sz="0" w:space="0" w:color="auto"/>
                        <w:right w:val="none" w:sz="0" w:space="0" w:color="auto"/>
                      </w:divBdr>
                    </w:div>
                  </w:divsChild>
                </w:div>
                <w:div w:id="1769807425">
                  <w:marLeft w:val="0"/>
                  <w:marRight w:val="0"/>
                  <w:marTop w:val="0"/>
                  <w:marBottom w:val="0"/>
                  <w:divBdr>
                    <w:top w:val="none" w:sz="0" w:space="0" w:color="auto"/>
                    <w:left w:val="none" w:sz="0" w:space="0" w:color="auto"/>
                    <w:bottom w:val="none" w:sz="0" w:space="0" w:color="auto"/>
                    <w:right w:val="none" w:sz="0" w:space="0" w:color="auto"/>
                  </w:divBdr>
                  <w:divsChild>
                    <w:div w:id="577592192">
                      <w:marLeft w:val="0"/>
                      <w:marRight w:val="0"/>
                      <w:marTop w:val="0"/>
                      <w:marBottom w:val="0"/>
                      <w:divBdr>
                        <w:top w:val="none" w:sz="0" w:space="0" w:color="auto"/>
                        <w:left w:val="none" w:sz="0" w:space="0" w:color="auto"/>
                        <w:bottom w:val="none" w:sz="0" w:space="0" w:color="auto"/>
                        <w:right w:val="none" w:sz="0" w:space="0" w:color="auto"/>
                      </w:divBdr>
                    </w:div>
                  </w:divsChild>
                </w:div>
                <w:div w:id="1857384340">
                  <w:marLeft w:val="0"/>
                  <w:marRight w:val="0"/>
                  <w:marTop w:val="0"/>
                  <w:marBottom w:val="0"/>
                  <w:divBdr>
                    <w:top w:val="none" w:sz="0" w:space="0" w:color="auto"/>
                    <w:left w:val="none" w:sz="0" w:space="0" w:color="auto"/>
                    <w:bottom w:val="none" w:sz="0" w:space="0" w:color="auto"/>
                    <w:right w:val="none" w:sz="0" w:space="0" w:color="auto"/>
                  </w:divBdr>
                  <w:divsChild>
                    <w:div w:id="1801149930">
                      <w:marLeft w:val="0"/>
                      <w:marRight w:val="0"/>
                      <w:marTop w:val="0"/>
                      <w:marBottom w:val="0"/>
                      <w:divBdr>
                        <w:top w:val="none" w:sz="0" w:space="0" w:color="auto"/>
                        <w:left w:val="none" w:sz="0" w:space="0" w:color="auto"/>
                        <w:bottom w:val="none" w:sz="0" w:space="0" w:color="auto"/>
                        <w:right w:val="none" w:sz="0" w:space="0" w:color="auto"/>
                      </w:divBdr>
                    </w:div>
                  </w:divsChild>
                </w:div>
                <w:div w:id="1898197800">
                  <w:marLeft w:val="0"/>
                  <w:marRight w:val="0"/>
                  <w:marTop w:val="0"/>
                  <w:marBottom w:val="0"/>
                  <w:divBdr>
                    <w:top w:val="none" w:sz="0" w:space="0" w:color="auto"/>
                    <w:left w:val="none" w:sz="0" w:space="0" w:color="auto"/>
                    <w:bottom w:val="none" w:sz="0" w:space="0" w:color="auto"/>
                    <w:right w:val="none" w:sz="0" w:space="0" w:color="auto"/>
                  </w:divBdr>
                  <w:divsChild>
                    <w:div w:id="2033610432">
                      <w:marLeft w:val="0"/>
                      <w:marRight w:val="0"/>
                      <w:marTop w:val="0"/>
                      <w:marBottom w:val="0"/>
                      <w:divBdr>
                        <w:top w:val="none" w:sz="0" w:space="0" w:color="auto"/>
                        <w:left w:val="none" w:sz="0" w:space="0" w:color="auto"/>
                        <w:bottom w:val="none" w:sz="0" w:space="0" w:color="auto"/>
                        <w:right w:val="none" w:sz="0" w:space="0" w:color="auto"/>
                      </w:divBdr>
                    </w:div>
                  </w:divsChild>
                </w:div>
                <w:div w:id="1916667475">
                  <w:marLeft w:val="0"/>
                  <w:marRight w:val="0"/>
                  <w:marTop w:val="0"/>
                  <w:marBottom w:val="0"/>
                  <w:divBdr>
                    <w:top w:val="none" w:sz="0" w:space="0" w:color="auto"/>
                    <w:left w:val="none" w:sz="0" w:space="0" w:color="auto"/>
                    <w:bottom w:val="none" w:sz="0" w:space="0" w:color="auto"/>
                    <w:right w:val="none" w:sz="0" w:space="0" w:color="auto"/>
                  </w:divBdr>
                  <w:divsChild>
                    <w:div w:id="824275465">
                      <w:marLeft w:val="0"/>
                      <w:marRight w:val="0"/>
                      <w:marTop w:val="0"/>
                      <w:marBottom w:val="0"/>
                      <w:divBdr>
                        <w:top w:val="none" w:sz="0" w:space="0" w:color="auto"/>
                        <w:left w:val="none" w:sz="0" w:space="0" w:color="auto"/>
                        <w:bottom w:val="none" w:sz="0" w:space="0" w:color="auto"/>
                        <w:right w:val="none" w:sz="0" w:space="0" w:color="auto"/>
                      </w:divBdr>
                    </w:div>
                  </w:divsChild>
                </w:div>
                <w:div w:id="1919169472">
                  <w:marLeft w:val="0"/>
                  <w:marRight w:val="0"/>
                  <w:marTop w:val="0"/>
                  <w:marBottom w:val="0"/>
                  <w:divBdr>
                    <w:top w:val="none" w:sz="0" w:space="0" w:color="auto"/>
                    <w:left w:val="none" w:sz="0" w:space="0" w:color="auto"/>
                    <w:bottom w:val="none" w:sz="0" w:space="0" w:color="auto"/>
                    <w:right w:val="none" w:sz="0" w:space="0" w:color="auto"/>
                  </w:divBdr>
                  <w:divsChild>
                    <w:div w:id="52511174">
                      <w:marLeft w:val="0"/>
                      <w:marRight w:val="0"/>
                      <w:marTop w:val="0"/>
                      <w:marBottom w:val="0"/>
                      <w:divBdr>
                        <w:top w:val="none" w:sz="0" w:space="0" w:color="auto"/>
                        <w:left w:val="none" w:sz="0" w:space="0" w:color="auto"/>
                        <w:bottom w:val="none" w:sz="0" w:space="0" w:color="auto"/>
                        <w:right w:val="none" w:sz="0" w:space="0" w:color="auto"/>
                      </w:divBdr>
                    </w:div>
                    <w:div w:id="497574805">
                      <w:marLeft w:val="0"/>
                      <w:marRight w:val="0"/>
                      <w:marTop w:val="0"/>
                      <w:marBottom w:val="0"/>
                      <w:divBdr>
                        <w:top w:val="none" w:sz="0" w:space="0" w:color="auto"/>
                        <w:left w:val="none" w:sz="0" w:space="0" w:color="auto"/>
                        <w:bottom w:val="none" w:sz="0" w:space="0" w:color="auto"/>
                        <w:right w:val="none" w:sz="0" w:space="0" w:color="auto"/>
                      </w:divBdr>
                    </w:div>
                    <w:div w:id="1850677743">
                      <w:marLeft w:val="0"/>
                      <w:marRight w:val="0"/>
                      <w:marTop w:val="0"/>
                      <w:marBottom w:val="0"/>
                      <w:divBdr>
                        <w:top w:val="none" w:sz="0" w:space="0" w:color="auto"/>
                        <w:left w:val="none" w:sz="0" w:space="0" w:color="auto"/>
                        <w:bottom w:val="none" w:sz="0" w:space="0" w:color="auto"/>
                        <w:right w:val="none" w:sz="0" w:space="0" w:color="auto"/>
                      </w:divBdr>
                    </w:div>
                  </w:divsChild>
                </w:div>
                <w:div w:id="1948585827">
                  <w:marLeft w:val="0"/>
                  <w:marRight w:val="0"/>
                  <w:marTop w:val="0"/>
                  <w:marBottom w:val="0"/>
                  <w:divBdr>
                    <w:top w:val="none" w:sz="0" w:space="0" w:color="auto"/>
                    <w:left w:val="none" w:sz="0" w:space="0" w:color="auto"/>
                    <w:bottom w:val="none" w:sz="0" w:space="0" w:color="auto"/>
                    <w:right w:val="none" w:sz="0" w:space="0" w:color="auto"/>
                  </w:divBdr>
                  <w:divsChild>
                    <w:div w:id="297340315">
                      <w:marLeft w:val="0"/>
                      <w:marRight w:val="0"/>
                      <w:marTop w:val="0"/>
                      <w:marBottom w:val="0"/>
                      <w:divBdr>
                        <w:top w:val="none" w:sz="0" w:space="0" w:color="auto"/>
                        <w:left w:val="none" w:sz="0" w:space="0" w:color="auto"/>
                        <w:bottom w:val="none" w:sz="0" w:space="0" w:color="auto"/>
                        <w:right w:val="none" w:sz="0" w:space="0" w:color="auto"/>
                      </w:divBdr>
                    </w:div>
                  </w:divsChild>
                </w:div>
                <w:div w:id="1952280235">
                  <w:marLeft w:val="0"/>
                  <w:marRight w:val="0"/>
                  <w:marTop w:val="0"/>
                  <w:marBottom w:val="0"/>
                  <w:divBdr>
                    <w:top w:val="none" w:sz="0" w:space="0" w:color="auto"/>
                    <w:left w:val="none" w:sz="0" w:space="0" w:color="auto"/>
                    <w:bottom w:val="none" w:sz="0" w:space="0" w:color="auto"/>
                    <w:right w:val="none" w:sz="0" w:space="0" w:color="auto"/>
                  </w:divBdr>
                  <w:divsChild>
                    <w:div w:id="1624464080">
                      <w:marLeft w:val="0"/>
                      <w:marRight w:val="0"/>
                      <w:marTop w:val="0"/>
                      <w:marBottom w:val="0"/>
                      <w:divBdr>
                        <w:top w:val="none" w:sz="0" w:space="0" w:color="auto"/>
                        <w:left w:val="none" w:sz="0" w:space="0" w:color="auto"/>
                        <w:bottom w:val="none" w:sz="0" w:space="0" w:color="auto"/>
                        <w:right w:val="none" w:sz="0" w:space="0" w:color="auto"/>
                      </w:divBdr>
                    </w:div>
                  </w:divsChild>
                </w:div>
                <w:div w:id="2114934969">
                  <w:marLeft w:val="0"/>
                  <w:marRight w:val="0"/>
                  <w:marTop w:val="0"/>
                  <w:marBottom w:val="0"/>
                  <w:divBdr>
                    <w:top w:val="none" w:sz="0" w:space="0" w:color="auto"/>
                    <w:left w:val="none" w:sz="0" w:space="0" w:color="auto"/>
                    <w:bottom w:val="none" w:sz="0" w:space="0" w:color="auto"/>
                    <w:right w:val="none" w:sz="0" w:space="0" w:color="auto"/>
                  </w:divBdr>
                  <w:divsChild>
                    <w:div w:id="953825437">
                      <w:marLeft w:val="0"/>
                      <w:marRight w:val="0"/>
                      <w:marTop w:val="0"/>
                      <w:marBottom w:val="0"/>
                      <w:divBdr>
                        <w:top w:val="none" w:sz="0" w:space="0" w:color="auto"/>
                        <w:left w:val="none" w:sz="0" w:space="0" w:color="auto"/>
                        <w:bottom w:val="none" w:sz="0" w:space="0" w:color="auto"/>
                        <w:right w:val="none" w:sz="0" w:space="0" w:color="auto"/>
                      </w:divBdr>
                    </w:div>
                  </w:divsChild>
                </w:div>
                <w:div w:id="2138452242">
                  <w:marLeft w:val="0"/>
                  <w:marRight w:val="0"/>
                  <w:marTop w:val="0"/>
                  <w:marBottom w:val="0"/>
                  <w:divBdr>
                    <w:top w:val="none" w:sz="0" w:space="0" w:color="auto"/>
                    <w:left w:val="none" w:sz="0" w:space="0" w:color="auto"/>
                    <w:bottom w:val="none" w:sz="0" w:space="0" w:color="auto"/>
                    <w:right w:val="none" w:sz="0" w:space="0" w:color="auto"/>
                  </w:divBdr>
                  <w:divsChild>
                    <w:div w:id="736902158">
                      <w:marLeft w:val="0"/>
                      <w:marRight w:val="0"/>
                      <w:marTop w:val="0"/>
                      <w:marBottom w:val="0"/>
                      <w:divBdr>
                        <w:top w:val="none" w:sz="0" w:space="0" w:color="auto"/>
                        <w:left w:val="none" w:sz="0" w:space="0" w:color="auto"/>
                        <w:bottom w:val="none" w:sz="0" w:space="0" w:color="auto"/>
                        <w:right w:val="none" w:sz="0" w:space="0" w:color="auto"/>
                      </w:divBdr>
                    </w:div>
                    <w:div w:id="1052116163">
                      <w:marLeft w:val="0"/>
                      <w:marRight w:val="0"/>
                      <w:marTop w:val="0"/>
                      <w:marBottom w:val="0"/>
                      <w:divBdr>
                        <w:top w:val="none" w:sz="0" w:space="0" w:color="auto"/>
                        <w:left w:val="none" w:sz="0" w:space="0" w:color="auto"/>
                        <w:bottom w:val="none" w:sz="0" w:space="0" w:color="auto"/>
                        <w:right w:val="none" w:sz="0" w:space="0" w:color="auto"/>
                      </w:divBdr>
                    </w:div>
                    <w:div w:id="119642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70524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hbr.org/1987/11/competing-on-the-eight-dimensions-of-quality" TargetMode="External"/><Relationship Id="rId18" Type="http://schemas.openxmlformats.org/officeDocument/2006/relationships/hyperlink" Target="https://www.freepress.com" TargetMode="External"/><Relationship Id="rId26" Type="http://schemas.openxmlformats.org/officeDocument/2006/relationships/hyperlink" Target="https://www.samhsa.gov" TargetMode="External"/><Relationship Id="rId3" Type="http://schemas.openxmlformats.org/officeDocument/2006/relationships/styles" Target="styles.xml"/><Relationship Id="rId21" Type="http://schemas.openxmlformats.org/officeDocument/2006/relationships/hyperlink" Target="https://www.wiley.com" TargetMode="External"/><Relationship Id="rId7" Type="http://schemas.openxmlformats.org/officeDocument/2006/relationships/endnotes" Target="endnotes.xml"/><Relationship Id="rId12" Type="http://schemas.openxmlformats.org/officeDocument/2006/relationships/hyperlink" Target="https://mitpress.mit.edu/books/quality-productivity-and-competitive-position" TargetMode="External"/><Relationship Id="rId17" Type="http://schemas.openxmlformats.org/officeDocument/2006/relationships/hyperlink" Target="https://www.hse.gov.uk" TargetMode="External"/><Relationship Id="rId25" Type="http://schemas.openxmlformats.org/officeDocument/2006/relationships/hyperlink" Target="https://safeguardingboard.wal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br.org" TargetMode="External"/><Relationship Id="rId20" Type="http://schemas.openxmlformats.org/officeDocument/2006/relationships/hyperlink" Target="https://www.wiley.com" TargetMode="External"/><Relationship Id="rId29" Type="http://schemas.openxmlformats.org/officeDocument/2006/relationships/hyperlink" Target="https://www.cambridge.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inspectorate.wales" TargetMode="External"/><Relationship Id="rId24" Type="http://schemas.openxmlformats.org/officeDocument/2006/relationships/hyperlink" Target="https://hbr.org/2003/12/the-one-number-you-need-to-grow"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home/jsr" TargetMode="External"/><Relationship Id="rId23" Type="http://schemas.openxmlformats.org/officeDocument/2006/relationships/hyperlink" Target="https://www.freepress.com" TargetMode="External"/><Relationship Id="rId28" Type="http://schemas.openxmlformats.org/officeDocument/2006/relationships/hyperlink" Target="https://journals.sagepub.com/home/jams" TargetMode="External"/><Relationship Id="rId10" Type="http://schemas.openxmlformats.org/officeDocument/2006/relationships/hyperlink" Target="https://www.pearson.com" TargetMode="External"/><Relationship Id="rId19" Type="http://schemas.openxmlformats.org/officeDocument/2006/relationships/hyperlink" Target="https://www.pearson.com" TargetMode="External"/><Relationship Id="rId31" Type="http://schemas.openxmlformats.org/officeDocument/2006/relationships/image" Target="media/image2.gif"/><Relationship Id="rId4" Type="http://schemas.openxmlformats.org/officeDocument/2006/relationships/settings" Target="settings.xml"/><Relationship Id="rId9" Type="http://schemas.openxmlformats.org/officeDocument/2006/relationships/hyperlink" Target="https://hbr.org/2016/09/the-elements-of-value" TargetMode="External"/><Relationship Id="rId14" Type="http://schemas.openxmlformats.org/officeDocument/2006/relationships/hyperlink" Target="https://gdpr-info.eu" TargetMode="External"/><Relationship Id="rId22" Type="http://schemas.openxmlformats.org/officeDocument/2006/relationships/hyperlink" Target="https://journals.sagepub.com/home/jmt" TargetMode="External"/><Relationship Id="rId27" Type="http://schemas.openxmlformats.org/officeDocument/2006/relationships/hyperlink" Target="https://journals.sagepub.com/home/jams" TargetMode="External"/><Relationship Id="rId30" Type="http://schemas.openxmlformats.org/officeDocument/2006/relationships/hyperlink" Target="https://gov.wales/care-inspectorate-wales-report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47BAE-E18D-452C-BC99-AC572834F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8394</Words>
  <Characters>47852</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MAYNE</dc:creator>
  <cp:keywords/>
  <dc:description/>
  <cp:lastModifiedBy>CLARE MAYNE</cp:lastModifiedBy>
  <cp:revision>31</cp:revision>
  <dcterms:created xsi:type="dcterms:W3CDTF">2026-07-31T12:22:00Z</dcterms:created>
  <dcterms:modified xsi:type="dcterms:W3CDTF">2026-08-02T21:08:00Z</dcterms:modified>
</cp:coreProperties>
</file>