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A52FE5" w14:textId="325818A5" w:rsidR="00F1284C" w:rsidRDefault="00F1284C">
      <w:pPr>
        <w:rPr>
          <w:b/>
          <w:bCs/>
        </w:rPr>
      </w:pPr>
      <w:r>
        <w:rPr>
          <w:b/>
          <w:bCs/>
        </w:rPr>
        <w:t>The Warren Cup:</w:t>
      </w:r>
      <w:r w:rsidR="00F70222">
        <w:rPr>
          <w:b/>
          <w:bCs/>
        </w:rPr>
        <w:t xml:space="preserve"> Fantasies of</w:t>
      </w:r>
      <w:r w:rsidR="00530E98">
        <w:rPr>
          <w:b/>
          <w:bCs/>
        </w:rPr>
        <w:t xml:space="preserve"> a Roman noble</w:t>
      </w:r>
      <w:r w:rsidR="00F70222">
        <w:rPr>
          <w:b/>
          <w:bCs/>
        </w:rPr>
        <w:t>, or representations of reality?</w:t>
      </w:r>
    </w:p>
    <w:p w14:paraId="3963AB6B" w14:textId="77777777" w:rsidR="00F70222" w:rsidRDefault="00F70222">
      <w:pPr>
        <w:rPr>
          <w:b/>
          <w:bCs/>
        </w:rPr>
      </w:pPr>
    </w:p>
    <w:p w14:paraId="00FB0C94" w14:textId="1C5706DF" w:rsidR="00B477FC" w:rsidRDefault="004378BE">
      <w:r>
        <w:t>There are many examples of literature and iconography that cover male sexuality and homoerotic scenes in the ancient world but one eye-catching and astounding piece is the Warren Cup</w:t>
      </w:r>
      <w:sdt>
        <w:sdtPr>
          <w:id w:val="1592579966"/>
          <w:citation/>
        </w:sdtPr>
        <w:sdtContent>
          <w:r w:rsidR="00D13A0B">
            <w:fldChar w:fldCharType="begin"/>
          </w:r>
          <w:r w:rsidR="00D13A0B">
            <w:instrText xml:space="preserve"> CITATION Wil06 \l 2057 </w:instrText>
          </w:r>
          <w:r w:rsidR="00D13A0B">
            <w:fldChar w:fldCharType="separate"/>
          </w:r>
          <w:r w:rsidR="00D4214F">
            <w:rPr>
              <w:noProof/>
            </w:rPr>
            <w:t xml:space="preserve"> </w:t>
          </w:r>
          <w:r w:rsidR="00D4214F" w:rsidRPr="00D4214F">
            <w:rPr>
              <w:noProof/>
            </w:rPr>
            <w:t>(Williams, 2006)</w:t>
          </w:r>
          <w:r w:rsidR="00D13A0B">
            <w:fldChar w:fldCharType="end"/>
          </w:r>
        </w:sdtContent>
      </w:sdt>
      <w:r>
        <w:t xml:space="preserve">. </w:t>
      </w:r>
      <w:r w:rsidR="00B477FC">
        <w:t>This essay will give a brief overview of the object and its background, focusing on how it relates to the study of gender issues as pertaining to the ancient world. Following this, the essay will examine how useful the piece is as a source of knowledge of gender</w:t>
      </w:r>
      <w:r w:rsidR="00A23A41">
        <w:t xml:space="preserve">. </w:t>
      </w:r>
      <w:r w:rsidR="00B477FC">
        <w:t>By looking at how academia has used this source, the essay concludes by explaining what the Warren Cup tells us about homoerotic life in the ancient world as well as how masculinity and gender was portrayed.</w:t>
      </w:r>
    </w:p>
    <w:p w14:paraId="678AB648" w14:textId="5C42E8F7" w:rsidR="004378BE" w:rsidRDefault="004378BE">
      <w:r>
        <w:t xml:space="preserve">The </w:t>
      </w:r>
      <w:r w:rsidR="00A23A41">
        <w:t>cup</w:t>
      </w:r>
      <w:r w:rsidR="009A3E2E">
        <w:t>, named after its first modern owner Edward Perry Warren,</w:t>
      </w:r>
      <w:r>
        <w:t xml:space="preserve"> has been dated as from 5-15 AD and is of </w:t>
      </w:r>
      <w:r w:rsidR="00541EF5">
        <w:t xml:space="preserve">Roman origin, though the scenes it depicts are </w:t>
      </w:r>
      <w:r w:rsidR="00D27C53">
        <w:t xml:space="preserve">suggested to be </w:t>
      </w:r>
      <w:r w:rsidR="00541EF5">
        <w:t>from Greek culture</w:t>
      </w:r>
      <w:r w:rsidR="00A23A41">
        <w:t>.</w:t>
      </w:r>
      <w:sdt>
        <w:sdtPr>
          <w:id w:val="-1769158983"/>
          <w:citation/>
        </w:sdtPr>
        <w:sdtContent>
          <w:r w:rsidR="00541EF5">
            <w:fldChar w:fldCharType="begin"/>
          </w:r>
          <w:r w:rsidR="00541EF5">
            <w:instrText xml:space="preserve"> CITATION Ski13 \l 2057 </w:instrText>
          </w:r>
          <w:r w:rsidR="00541EF5">
            <w:fldChar w:fldCharType="separate"/>
          </w:r>
          <w:r w:rsidR="00D4214F">
            <w:rPr>
              <w:noProof/>
            </w:rPr>
            <w:t xml:space="preserve"> </w:t>
          </w:r>
          <w:r w:rsidR="00D4214F" w:rsidRPr="00D4214F">
            <w:rPr>
              <w:noProof/>
            </w:rPr>
            <w:t>(Skinner, 2013)</w:t>
          </w:r>
          <w:r w:rsidR="00541EF5">
            <w:fldChar w:fldCharType="end"/>
          </w:r>
        </w:sdtContent>
      </w:sdt>
      <w:r>
        <w:t xml:space="preserve">. The </w:t>
      </w:r>
      <w:r w:rsidR="00A23A41">
        <w:t xml:space="preserve">luxuriously crafted </w:t>
      </w:r>
      <w:r>
        <w:t>cup</w:t>
      </w:r>
      <w:r w:rsidR="00A23A41">
        <w:t xml:space="preserve"> was</w:t>
      </w:r>
      <w:r>
        <w:t xml:space="preserve"> made </w:t>
      </w:r>
      <w:r w:rsidR="00A23A41">
        <w:t>from</w:t>
      </w:r>
      <w:r>
        <w:t xml:space="preserve"> silver and designed for drinking at Roman dinner parties</w:t>
      </w:r>
      <w:r w:rsidR="00D13A0B">
        <w:t xml:space="preserve"> </w:t>
      </w:r>
      <w:r>
        <w:t>by the social elite</w:t>
      </w:r>
      <w:r w:rsidR="00A23A41">
        <w:t>.</w:t>
      </w:r>
      <w:r w:rsidR="006525C9">
        <w:t xml:space="preserve"> </w:t>
      </w:r>
      <w:r w:rsidR="00A23A41">
        <w:t>T</w:t>
      </w:r>
      <w:r w:rsidR="006525C9">
        <w:t>hese parties may have involved lewdness between guests and would potentially have been a private affair not to be discussed outside of the group.</w:t>
      </w:r>
    </w:p>
    <w:p w14:paraId="1568F737" w14:textId="61D04DF4" w:rsidR="00C02E92" w:rsidRDefault="00A23A41">
      <w:r>
        <w:t xml:space="preserve">Though the cup </w:t>
      </w:r>
      <w:r w:rsidRPr="00A23A41">
        <w:rPr>
          <w:i/>
          <w:iCs/>
        </w:rPr>
        <w:t>was</w:t>
      </w:r>
      <w:r>
        <w:t xml:space="preserve"> used for drinking wine, it was mostly intended to be admired. </w:t>
      </w:r>
      <w:r w:rsidR="00C02E92">
        <w:t xml:space="preserve">The construction of the cup </w:t>
      </w:r>
      <w:r>
        <w:t>was</w:t>
      </w:r>
      <w:r w:rsidR="00C02E92">
        <w:t xml:space="preserve"> intricate and required expert handling to create. The silver would have been beaten into shape from the inside of the cup with the use of tools such as chisels and hammers</w:t>
      </w:r>
      <w:r w:rsidR="00DB5A53">
        <w:t xml:space="preserve"> and</w:t>
      </w:r>
      <w:r w:rsidR="00C02E92">
        <w:t xml:space="preserve"> </w:t>
      </w:r>
      <w:r w:rsidR="006525C9">
        <w:t xml:space="preserve">was </w:t>
      </w:r>
      <w:r w:rsidR="00C02E92">
        <w:t>made from five pieces in total</w:t>
      </w:r>
      <w:sdt>
        <w:sdtPr>
          <w:id w:val="-1983775458"/>
          <w:citation/>
        </w:sdtPr>
        <w:sdtContent>
          <w:r w:rsidR="00C02E92">
            <w:fldChar w:fldCharType="begin"/>
          </w:r>
          <w:r w:rsidR="00C02E92">
            <w:instrText xml:space="preserve"> CITATION Wil06 \l 2057 </w:instrText>
          </w:r>
          <w:r w:rsidR="00C02E92">
            <w:fldChar w:fldCharType="separate"/>
          </w:r>
          <w:r w:rsidR="00D4214F">
            <w:rPr>
              <w:noProof/>
            </w:rPr>
            <w:t xml:space="preserve"> </w:t>
          </w:r>
          <w:r w:rsidR="00D4214F" w:rsidRPr="00D4214F">
            <w:rPr>
              <w:noProof/>
            </w:rPr>
            <w:t>(Williams, 2006)</w:t>
          </w:r>
          <w:r w:rsidR="00C02E92">
            <w:fldChar w:fldCharType="end"/>
          </w:r>
        </w:sdtContent>
      </w:sdt>
      <w:r w:rsidR="00C02E92">
        <w:t xml:space="preserve">. </w:t>
      </w:r>
      <w:r>
        <w:t>T</w:t>
      </w:r>
      <w:r w:rsidR="00C02E92">
        <w:t>he main bowl</w:t>
      </w:r>
      <w:r>
        <w:t xml:space="preserve"> would have been made first and then</w:t>
      </w:r>
      <w:r w:rsidR="00C02E92">
        <w:t xml:space="preserve"> finished on the exterior with the figures in relief. A secondary plain inner bowl of silver designed to be easy to clean after use came </w:t>
      </w:r>
      <w:r w:rsidR="00DB5A53">
        <w:t>next</w:t>
      </w:r>
      <w:r w:rsidR="00C02E92">
        <w:t xml:space="preserve">. </w:t>
      </w:r>
      <w:r>
        <w:t>T</w:t>
      </w:r>
      <w:r w:rsidR="00C02E92">
        <w:t>he base, a foot and two handles</w:t>
      </w:r>
      <w:r>
        <w:t xml:space="preserve"> were added to finish the piece though sadly the handles have been lost</w:t>
      </w:r>
      <w:r w:rsidR="00C02E92">
        <w:t>.</w:t>
      </w:r>
      <w:sdt>
        <w:sdtPr>
          <w:id w:val="1320462144"/>
          <w:citation/>
        </w:sdtPr>
        <w:sdtContent>
          <w:r w:rsidR="00C02E92">
            <w:fldChar w:fldCharType="begin"/>
          </w:r>
          <w:r w:rsidR="00C02E92">
            <w:instrText xml:space="preserve">CITATION The14 \l 2057 </w:instrText>
          </w:r>
          <w:r w:rsidR="00C02E92">
            <w:fldChar w:fldCharType="separate"/>
          </w:r>
          <w:r w:rsidR="00D4214F">
            <w:rPr>
              <w:noProof/>
            </w:rPr>
            <w:t xml:space="preserve"> </w:t>
          </w:r>
          <w:r w:rsidR="00D4214F" w:rsidRPr="00D4214F">
            <w:rPr>
              <w:noProof/>
            </w:rPr>
            <w:t>(British Museum, 2014)</w:t>
          </w:r>
          <w:r w:rsidR="00C02E92">
            <w:fldChar w:fldCharType="end"/>
          </w:r>
        </w:sdtContent>
      </w:sdt>
      <w:r w:rsidR="00C02E92">
        <w:t>.</w:t>
      </w:r>
    </w:p>
    <w:p w14:paraId="1ED61BC9" w14:textId="77777777" w:rsidR="00A23A41" w:rsidRDefault="00E87988">
      <w:r>
        <w:rPr>
          <w:noProof/>
        </w:rPr>
        <mc:AlternateContent>
          <mc:Choice Requires="wps">
            <w:drawing>
              <wp:anchor distT="45720" distB="45720" distL="114300" distR="114300" simplePos="0" relativeHeight="251660288" behindDoc="0" locked="0" layoutInCell="1" allowOverlap="1" wp14:anchorId="133D04B6" wp14:editId="7DC0657F">
                <wp:simplePos x="0" y="0"/>
                <wp:positionH relativeFrom="margin">
                  <wp:posOffset>3495675</wp:posOffset>
                </wp:positionH>
                <wp:positionV relativeFrom="paragraph">
                  <wp:posOffset>2494280</wp:posOffset>
                </wp:positionV>
                <wp:extent cx="1943100" cy="4095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409575"/>
                        </a:xfrm>
                        <a:prstGeom prst="rect">
                          <a:avLst/>
                        </a:prstGeom>
                        <a:solidFill>
                          <a:srgbClr val="FFFFFF"/>
                        </a:solidFill>
                        <a:ln w="9525">
                          <a:solidFill>
                            <a:schemeClr val="bg1"/>
                          </a:solidFill>
                          <a:miter lim="800000"/>
                          <a:headEnd/>
                          <a:tailEnd/>
                        </a:ln>
                      </wps:spPr>
                      <wps:txbx>
                        <w:txbxContent>
                          <w:p w14:paraId="79DFAF29" w14:textId="5902C1E1" w:rsidR="00AE3C92" w:rsidRPr="00E87988" w:rsidRDefault="00AE3C92">
                            <w:pPr>
                              <w:rPr>
                                <w:sz w:val="18"/>
                                <w:szCs w:val="18"/>
                              </w:rPr>
                            </w:pPr>
                            <w:r w:rsidRPr="00E87988">
                              <w:rPr>
                                <w:sz w:val="18"/>
                                <w:szCs w:val="18"/>
                              </w:rPr>
                              <w:t>Fig.1 Side A of the Warren Cup</w:t>
                            </w:r>
                            <w:r>
                              <w:rPr>
                                <w:sz w:val="18"/>
                                <w:szCs w:val="18"/>
                              </w:rPr>
                              <w:t xml:space="preserve"> (Photo: Nguyen M,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3D04B6" id="_x0000_t202" coordsize="21600,21600" o:spt="202" path="m,l,21600r21600,l21600,xe">
                <v:stroke joinstyle="miter"/>
                <v:path gradientshapeok="t" o:connecttype="rect"/>
              </v:shapetype>
              <v:shape id="Text Box 2" o:spid="_x0000_s1026" type="#_x0000_t202" style="position:absolute;margin-left:275.25pt;margin-top:196.4pt;width:153pt;height:32.2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" strokecolor="white [3212]">
                <v:textbox>
                  <w:txbxContent>
                    <w:p w14:paraId="79DFAF29" w14:textId="5902C1E1" w:rsidR="00AE3C92" w:rsidRPr="00E87988" w:rsidRDefault="00AE3C92">
                      <w:pPr>
                        <w:rPr>
                          <w:sz w:val="18"/>
                          <w:szCs w:val="18"/>
                        </w:rPr>
                      </w:pPr>
                      <w:r w:rsidRPr="00E87988">
                        <w:rPr>
                          <w:sz w:val="18"/>
                          <w:szCs w:val="18"/>
                        </w:rPr>
                        <w:t>Fig.1 Side A of the Warren Cup</w:t>
                      </w:r>
                      <w:r>
                        <w:rPr>
                          <w:sz w:val="18"/>
                          <w:szCs w:val="18"/>
                        </w:rPr>
                        <w:t xml:space="preserve"> (Photo: Nguyen M, 2011)</w:t>
                      </w:r>
                    </w:p>
                  </w:txbxContent>
                </v:textbox>
                <w10:wrap type="square" anchorx="margin"/>
              </v:shape>
            </w:pict>
          </mc:Fallback>
        </mc:AlternateContent>
      </w:r>
      <w:r w:rsidRPr="00E87988">
        <w:drawing>
          <wp:anchor distT="0" distB="0" distL="114300" distR="114300" simplePos="0" relativeHeight="251658240" behindDoc="0" locked="0" layoutInCell="1" allowOverlap="1" wp14:anchorId="790CE2C6" wp14:editId="281406C7">
            <wp:simplePos x="0" y="0"/>
            <wp:positionH relativeFrom="margin">
              <wp:posOffset>2933700</wp:posOffset>
            </wp:positionH>
            <wp:positionV relativeFrom="paragraph">
              <wp:posOffset>266065</wp:posOffset>
            </wp:positionV>
            <wp:extent cx="2760345" cy="22098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60345" cy="2209800"/>
                    </a:xfrm>
                    <a:prstGeom prst="rect">
                      <a:avLst/>
                    </a:prstGeom>
                  </pic:spPr>
                </pic:pic>
              </a:graphicData>
            </a:graphic>
            <wp14:sizeRelH relativeFrom="margin">
              <wp14:pctWidth>0</wp14:pctWidth>
            </wp14:sizeRelH>
            <wp14:sizeRelV relativeFrom="margin">
              <wp14:pctHeight>0</wp14:pctHeight>
            </wp14:sizeRelV>
          </wp:anchor>
        </w:drawing>
      </w:r>
      <w:r w:rsidR="00A23A41">
        <w:t>A masterpiece of art, The Warren Cup is</w:t>
      </w:r>
      <w:r w:rsidR="00B477FC">
        <w:t xml:space="preserve"> </w:t>
      </w:r>
      <w:r w:rsidR="006525C9">
        <w:t>best known</w:t>
      </w:r>
      <w:r w:rsidR="00B477FC">
        <w:t xml:space="preserve"> for the two scenes it depicts, one for each side of the cup. On </w:t>
      </w:r>
      <w:r>
        <w:t>side A</w:t>
      </w:r>
      <w:r w:rsidR="00A23A41">
        <w:t xml:space="preserve"> (fig.1)</w:t>
      </w:r>
      <w:r>
        <w:t>, an</w:t>
      </w:r>
      <w:r w:rsidR="00541EF5">
        <w:t xml:space="preserve"> older bearded man (an </w:t>
      </w:r>
      <w:proofErr w:type="spellStart"/>
      <w:r w:rsidR="00541EF5" w:rsidRPr="00541EF5">
        <w:rPr>
          <w:i/>
          <w:iCs/>
        </w:rPr>
        <w:t>erastes</w:t>
      </w:r>
      <w:proofErr w:type="spellEnd"/>
      <w:r w:rsidR="00541EF5">
        <w:t>) lays down on a comfortable couch as a younger</w:t>
      </w:r>
      <w:r w:rsidR="00A23A41">
        <w:t xml:space="preserve"> </w:t>
      </w:r>
      <w:r w:rsidR="00541EF5">
        <w:t xml:space="preserve">smooth faced boy (an </w:t>
      </w:r>
      <w:proofErr w:type="spellStart"/>
      <w:r w:rsidR="00541EF5" w:rsidRPr="00541EF5">
        <w:rPr>
          <w:i/>
          <w:iCs/>
        </w:rPr>
        <w:t>eromenos</w:t>
      </w:r>
      <w:proofErr w:type="spellEnd"/>
      <w:r w:rsidR="00541EF5">
        <w:t>) lowers himself down onto his lap to engage in anal sex.</w:t>
      </w:r>
      <w:r w:rsidR="00D27C53">
        <w:t xml:space="preserve"> </w:t>
      </w:r>
      <w:r w:rsidR="00774EAE">
        <w:t xml:space="preserve">Another young boy, likely a slave, peeks voyeuristically at the couple from a partially opened door. </w:t>
      </w:r>
    </w:p>
    <w:p w14:paraId="45BD7814" w14:textId="634F0EFA" w:rsidR="00774EAE" w:rsidRDefault="00541EF5">
      <w:r>
        <w:t xml:space="preserve">The </w:t>
      </w:r>
      <w:proofErr w:type="spellStart"/>
      <w:r>
        <w:t>erastes</w:t>
      </w:r>
      <w:proofErr w:type="spellEnd"/>
      <w:r>
        <w:t xml:space="preserve"> is denoted as such by both the beard and the wearing of a wreath, symbolising his status as the </w:t>
      </w:r>
      <w:r w:rsidRPr="00541EF5">
        <w:rPr>
          <w:i/>
          <w:iCs/>
        </w:rPr>
        <w:t xml:space="preserve">active </w:t>
      </w:r>
      <w:r>
        <w:t>partner</w:t>
      </w:r>
      <w:r w:rsidR="00A23A41">
        <w:t>. Some</w:t>
      </w:r>
      <w:r w:rsidR="006525C9">
        <w:t xml:space="preserve"> argue that the myrtle wreath, a sign of victory in battle, was used as a visual pun to suggest that penetrating a boy was an “easy victory”</w:t>
      </w:r>
      <w:r>
        <w:t xml:space="preserve">. The boy </w:t>
      </w:r>
      <w:r w:rsidR="006525C9">
        <w:t xml:space="preserve">here </w:t>
      </w:r>
      <w:r>
        <w:t>uses a sash or rope of sorts to help lower himself on to the penis of the</w:t>
      </w:r>
      <w:r w:rsidR="00D27C53">
        <w:t xml:space="preserve"> bearded</w:t>
      </w:r>
      <w:r>
        <w:t xml:space="preserve"> male</w:t>
      </w:r>
      <w:r w:rsidR="006525C9">
        <w:t>, avoiding putting too much weight on his lover</w:t>
      </w:r>
      <w:sdt>
        <w:sdtPr>
          <w:id w:val="-184595624"/>
          <w:citation/>
        </w:sdtPr>
        <w:sdtContent>
          <w:r w:rsidR="002223CE">
            <w:fldChar w:fldCharType="begin"/>
          </w:r>
          <w:r w:rsidR="002223CE">
            <w:instrText xml:space="preserve"> CITATION Cla93 \l 2057 </w:instrText>
          </w:r>
          <w:r w:rsidR="002223CE">
            <w:fldChar w:fldCharType="separate"/>
          </w:r>
          <w:r w:rsidR="00D4214F">
            <w:rPr>
              <w:noProof/>
            </w:rPr>
            <w:t xml:space="preserve"> </w:t>
          </w:r>
          <w:r w:rsidR="00D4214F" w:rsidRPr="00D4214F">
            <w:rPr>
              <w:noProof/>
            </w:rPr>
            <w:t>(Clarke, 1993)</w:t>
          </w:r>
          <w:r w:rsidR="002223CE">
            <w:fldChar w:fldCharType="end"/>
          </w:r>
        </w:sdtContent>
      </w:sdt>
      <w:r>
        <w:t xml:space="preserve">. </w:t>
      </w:r>
    </w:p>
    <w:p w14:paraId="5A0EF4DE" w14:textId="143BD6CE" w:rsidR="00774EAE" w:rsidRDefault="00E460A4">
      <w:r>
        <w:t>It is worth noting at this point that sex between two males was acceptable in both Roman and Greek cultures</w:t>
      </w:r>
      <w:r w:rsidR="00A23A41">
        <w:t xml:space="preserve">, </w:t>
      </w:r>
      <w:r>
        <w:t>though viewed differently</w:t>
      </w:r>
      <w:sdt>
        <w:sdtPr>
          <w:id w:val="-211195904"/>
          <w:citation/>
        </w:sdtPr>
        <w:sdtContent>
          <w:r w:rsidR="002223CE">
            <w:fldChar w:fldCharType="begin"/>
          </w:r>
          <w:r w:rsidR="002223CE">
            <w:instrText xml:space="preserve"> CITATION Hub03 \l 2057 </w:instrText>
          </w:r>
          <w:r w:rsidR="002223CE">
            <w:fldChar w:fldCharType="separate"/>
          </w:r>
          <w:r w:rsidR="00D4214F">
            <w:rPr>
              <w:noProof/>
            </w:rPr>
            <w:t xml:space="preserve"> </w:t>
          </w:r>
          <w:r w:rsidR="00D4214F" w:rsidRPr="00D4214F">
            <w:rPr>
              <w:noProof/>
            </w:rPr>
            <w:t>(Hubbard, 2003)</w:t>
          </w:r>
          <w:r w:rsidR="002223CE">
            <w:fldChar w:fldCharType="end"/>
          </w:r>
        </w:sdtContent>
      </w:sdt>
      <w:r>
        <w:t xml:space="preserve">. In Greece, the </w:t>
      </w:r>
      <w:proofErr w:type="spellStart"/>
      <w:r>
        <w:t>erastes</w:t>
      </w:r>
      <w:proofErr w:type="spellEnd"/>
      <w:r>
        <w:t>, an older man, would find a young adolescent boy to be his “apprentice” and raise him socially</w:t>
      </w:r>
      <w:r w:rsidR="00A23A41">
        <w:t xml:space="preserve"> as well as</w:t>
      </w:r>
      <w:r>
        <w:t xml:space="preserve"> educationally and sexually</w:t>
      </w:r>
      <w:r w:rsidR="006525C9">
        <w:t xml:space="preserve">, a tradition known as </w:t>
      </w:r>
      <w:r w:rsidR="00A23A41">
        <w:t>p</w:t>
      </w:r>
      <w:r w:rsidR="006525C9">
        <w:t>ederasty</w:t>
      </w:r>
      <w:r>
        <w:t xml:space="preserve">. Once the </w:t>
      </w:r>
      <w:proofErr w:type="spellStart"/>
      <w:r>
        <w:t>eromenos</w:t>
      </w:r>
      <w:proofErr w:type="spellEnd"/>
      <w:r>
        <w:t xml:space="preserve"> came of age, they too would find a boy of their own to mentor. In Rome, there was no formal arrangement for this</w:t>
      </w:r>
      <w:r w:rsidR="00A23A41">
        <w:t>.</w:t>
      </w:r>
      <w:r>
        <w:t xml:space="preserve"> </w:t>
      </w:r>
      <w:r w:rsidR="00A23A41">
        <w:t>I</w:t>
      </w:r>
      <w:r>
        <w:t xml:space="preserve">nstead, the dominant male was free to choose partners of either gender, the focus being on the sexual </w:t>
      </w:r>
      <w:r w:rsidRPr="00A23A41">
        <w:rPr>
          <w:i/>
          <w:iCs/>
        </w:rPr>
        <w:t>role</w:t>
      </w:r>
      <w:r>
        <w:t xml:space="preserve">. It was deemed </w:t>
      </w:r>
      <w:r>
        <w:lastRenderedPageBreak/>
        <w:t xml:space="preserve">acceptable for a man to engage in sex with other men or boys, so long as the dominant male was the penetrating partner. To be submissive, orally or anally, was seen as feminine and would be shameful. As such, most boys who were sexually submissive to men were slaves or prostitutes. </w:t>
      </w:r>
    </w:p>
    <w:p w14:paraId="58E1FEC4" w14:textId="38C24A6B" w:rsidR="00B477FC" w:rsidRDefault="00E87988" w:rsidP="0024439E">
      <w:r>
        <w:rPr>
          <w:noProof/>
        </w:rPr>
        <mc:AlternateContent>
          <mc:Choice Requires="wps">
            <w:drawing>
              <wp:anchor distT="45720" distB="45720" distL="114300" distR="114300" simplePos="0" relativeHeight="251663360" behindDoc="0" locked="0" layoutInCell="1" allowOverlap="1" wp14:anchorId="6F9E6772" wp14:editId="294DF256">
                <wp:simplePos x="0" y="0"/>
                <wp:positionH relativeFrom="column">
                  <wp:posOffset>243840</wp:posOffset>
                </wp:positionH>
                <wp:positionV relativeFrom="paragraph">
                  <wp:posOffset>3026410</wp:posOffset>
                </wp:positionV>
                <wp:extent cx="2101850" cy="40005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400050"/>
                        </a:xfrm>
                        <a:prstGeom prst="rect">
                          <a:avLst/>
                        </a:prstGeom>
                        <a:solidFill>
                          <a:srgbClr val="FFFFFF"/>
                        </a:solidFill>
                        <a:ln w="9525">
                          <a:solidFill>
                            <a:schemeClr val="bg1"/>
                          </a:solidFill>
                          <a:miter lim="800000"/>
                          <a:headEnd/>
                          <a:tailEnd/>
                        </a:ln>
                      </wps:spPr>
                      <wps:txbx>
                        <w:txbxContent>
                          <w:p w14:paraId="1FE93CFB" w14:textId="1E4A85D8" w:rsidR="00AE3C92" w:rsidRDefault="00AE3C92">
                            <w:pPr>
                              <w:rPr>
                                <w:sz w:val="18"/>
                                <w:szCs w:val="18"/>
                              </w:rPr>
                            </w:pPr>
                            <w:r w:rsidRPr="00E87988">
                              <w:rPr>
                                <w:sz w:val="18"/>
                                <w:szCs w:val="18"/>
                              </w:rPr>
                              <w:t>Fig.2 Side B of the Warren Cup</w:t>
                            </w:r>
                            <w:r>
                              <w:rPr>
                                <w:sz w:val="18"/>
                                <w:szCs w:val="18"/>
                              </w:rPr>
                              <w:t xml:space="preserve"> (Photo: Nguyen, M, 2011)</w:t>
                            </w:r>
                          </w:p>
                          <w:p w14:paraId="52145497" w14:textId="5D77CFB6" w:rsidR="00AE3C92" w:rsidRPr="00E87988" w:rsidRDefault="00AE3C92">
                            <w:pPr>
                              <w:rPr>
                                <w:sz w:val="18"/>
                                <w:szCs w:val="18"/>
                              </w:rPr>
                            </w:pPr>
                            <w:r>
                              <w:rPr>
                                <w:sz w:val="18"/>
                                <w:szCs w:val="18"/>
                              </w:rPr>
                              <w:t>(Ph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9E6772" id="_x0000_s1027" type="#_x0000_t202" style="position:absolute;margin-left:19.2pt;margin-top:238.3pt;width:165.5pt;height:3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" strokecolor="white [3212]">
                <v:textbox>
                  <w:txbxContent>
                    <w:p w14:paraId="1FE93CFB" w14:textId="1E4A85D8" w:rsidR="00AE3C92" w:rsidRDefault="00AE3C92">
                      <w:pPr>
                        <w:rPr>
                          <w:sz w:val="18"/>
                          <w:szCs w:val="18"/>
                        </w:rPr>
                      </w:pPr>
                      <w:r w:rsidRPr="00E87988">
                        <w:rPr>
                          <w:sz w:val="18"/>
                          <w:szCs w:val="18"/>
                        </w:rPr>
                        <w:t>Fig.2 Side B of the Warren Cup</w:t>
                      </w:r>
                      <w:r>
                        <w:rPr>
                          <w:sz w:val="18"/>
                          <w:szCs w:val="18"/>
                        </w:rPr>
                        <w:t xml:space="preserve"> (Photo: Nguyen, M, 2011)</w:t>
                      </w:r>
                    </w:p>
                    <w:p w14:paraId="52145497" w14:textId="5D77CFB6" w:rsidR="00AE3C92" w:rsidRPr="00E87988" w:rsidRDefault="00AE3C92">
                      <w:pPr>
                        <w:rPr>
                          <w:sz w:val="18"/>
                          <w:szCs w:val="18"/>
                        </w:rPr>
                      </w:pPr>
                      <w:r>
                        <w:rPr>
                          <w:sz w:val="18"/>
                          <w:szCs w:val="18"/>
                        </w:rPr>
                        <w:t>(Ph</w:t>
                      </w:r>
                    </w:p>
                  </w:txbxContent>
                </v:textbox>
                <w10:wrap type="square"/>
              </v:shape>
            </w:pict>
          </mc:Fallback>
        </mc:AlternateContent>
      </w:r>
      <w:r w:rsidRPr="00E87988">
        <w:drawing>
          <wp:anchor distT="0" distB="0" distL="114300" distR="114300" simplePos="0" relativeHeight="251661312" behindDoc="0" locked="0" layoutInCell="1" allowOverlap="1" wp14:anchorId="1B4D8B81" wp14:editId="794E4786">
            <wp:simplePos x="0" y="0"/>
            <wp:positionH relativeFrom="margin">
              <wp:align>left</wp:align>
            </wp:positionH>
            <wp:positionV relativeFrom="paragraph">
              <wp:posOffset>645160</wp:posOffset>
            </wp:positionV>
            <wp:extent cx="2628900" cy="23672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632692" cy="2370997"/>
                    </a:xfrm>
                    <a:prstGeom prst="rect">
                      <a:avLst/>
                    </a:prstGeom>
                  </pic:spPr>
                </pic:pic>
              </a:graphicData>
            </a:graphic>
            <wp14:sizeRelH relativeFrom="margin">
              <wp14:pctWidth>0</wp14:pctWidth>
            </wp14:sizeRelH>
            <wp14:sizeRelV relativeFrom="margin">
              <wp14:pctHeight>0</wp14:pctHeight>
            </wp14:sizeRelV>
          </wp:anchor>
        </w:drawing>
      </w:r>
      <w:r w:rsidR="00E460A4">
        <w:t xml:space="preserve">Comparing this to Greece where </w:t>
      </w:r>
      <w:r w:rsidR="00313668">
        <w:t>p</w:t>
      </w:r>
      <w:r w:rsidR="00E460A4">
        <w:t xml:space="preserve">ederasty was for the freeborn </w:t>
      </w:r>
      <w:r w:rsidR="00A23A41">
        <w:t xml:space="preserve">and </w:t>
      </w:r>
      <w:r w:rsidR="00E460A4">
        <w:t>men of good standing in the community, it makes the Greek scenes on the Roman cup all the more intriguing</w:t>
      </w:r>
      <w:sdt>
        <w:sdtPr>
          <w:id w:val="-699702535"/>
          <w:citation/>
        </w:sdtPr>
        <w:sdtContent>
          <w:r w:rsidR="002223CE">
            <w:fldChar w:fldCharType="begin"/>
          </w:r>
          <w:r w:rsidR="002223CE">
            <w:instrText xml:space="preserve"> CITATION Dov89 \l 2057 </w:instrText>
          </w:r>
          <w:r w:rsidR="002223CE">
            <w:fldChar w:fldCharType="separate"/>
          </w:r>
          <w:r w:rsidR="00D4214F">
            <w:rPr>
              <w:noProof/>
            </w:rPr>
            <w:t xml:space="preserve"> </w:t>
          </w:r>
          <w:r w:rsidR="00D4214F" w:rsidRPr="00D4214F">
            <w:rPr>
              <w:noProof/>
            </w:rPr>
            <w:t>(Dover, 1989)</w:t>
          </w:r>
          <w:r w:rsidR="002223CE">
            <w:fldChar w:fldCharType="end"/>
          </w:r>
        </w:sdtContent>
      </w:sdt>
      <w:r w:rsidR="00E460A4">
        <w:t>.</w:t>
      </w:r>
      <w:r w:rsidR="00774EAE">
        <w:t xml:space="preserve"> This leads on </w:t>
      </w:r>
      <w:r w:rsidR="00A23A41">
        <w:t xml:space="preserve">to side B of the cup (fig.2). </w:t>
      </w:r>
      <w:r w:rsidR="00425F07">
        <w:t>Another</w:t>
      </w:r>
      <w:r w:rsidR="00774EAE">
        <w:t xml:space="preserve"> scene of male lovemaking</w:t>
      </w:r>
      <w:r w:rsidR="00425F07">
        <w:t xml:space="preserve"> is displayed</w:t>
      </w:r>
      <w:r w:rsidR="00774EAE">
        <w:t>, only this time</w:t>
      </w:r>
      <w:r w:rsidR="00425F07">
        <w:t xml:space="preserve"> </w:t>
      </w:r>
      <w:r w:rsidR="00774EAE">
        <w:t xml:space="preserve">the </w:t>
      </w:r>
      <w:r w:rsidR="0024439E">
        <w:t xml:space="preserve">males are very different ages with the submissive boy seeming to be adolescent and resembling a </w:t>
      </w:r>
      <w:proofErr w:type="spellStart"/>
      <w:r w:rsidR="0024439E" w:rsidRPr="00541EF5">
        <w:rPr>
          <w:i/>
          <w:iCs/>
        </w:rPr>
        <w:t>puer</w:t>
      </w:r>
      <w:proofErr w:type="spellEnd"/>
      <w:r w:rsidR="0024439E" w:rsidRPr="00541EF5">
        <w:rPr>
          <w:i/>
          <w:iCs/>
        </w:rPr>
        <w:t xml:space="preserve"> </w:t>
      </w:r>
      <w:proofErr w:type="spellStart"/>
      <w:r w:rsidR="0024439E" w:rsidRPr="00541EF5">
        <w:rPr>
          <w:i/>
          <w:iCs/>
        </w:rPr>
        <w:t>delicatus</w:t>
      </w:r>
      <w:proofErr w:type="spellEnd"/>
      <w:r w:rsidR="0024439E">
        <w:rPr>
          <w:i/>
          <w:iCs/>
        </w:rPr>
        <w:t xml:space="preserve">, </w:t>
      </w:r>
      <w:r w:rsidR="0024439E">
        <w:t>an exquisite or small and dainty young boy, chosen by their master for their sweetness and beauty</w:t>
      </w:r>
      <w:sdt>
        <w:sdtPr>
          <w:id w:val="299505431"/>
          <w:citation/>
        </w:sdtPr>
        <w:sdtContent>
          <w:r w:rsidR="0024439E">
            <w:fldChar w:fldCharType="begin"/>
          </w:r>
          <w:r w:rsidR="0024439E">
            <w:instrText xml:space="preserve"> CITATION Pol99 \l 2057 </w:instrText>
          </w:r>
          <w:r w:rsidR="0024439E">
            <w:fldChar w:fldCharType="separate"/>
          </w:r>
          <w:r w:rsidR="00D4214F">
            <w:rPr>
              <w:noProof/>
            </w:rPr>
            <w:t xml:space="preserve"> </w:t>
          </w:r>
          <w:r w:rsidR="00D4214F" w:rsidRPr="00D4214F">
            <w:rPr>
              <w:noProof/>
            </w:rPr>
            <w:t>(Pollini, 1999)</w:t>
          </w:r>
          <w:r w:rsidR="0024439E">
            <w:fldChar w:fldCharType="end"/>
          </w:r>
        </w:sdtContent>
      </w:sdt>
      <w:r w:rsidR="0024439E">
        <w:t>.  Neither</w:t>
      </w:r>
      <w:r w:rsidR="00774EAE">
        <w:t xml:space="preserve"> male sport</w:t>
      </w:r>
      <w:r w:rsidR="0024439E">
        <w:t>s</w:t>
      </w:r>
      <w:r w:rsidR="00774EAE">
        <w:t xml:space="preserve"> a beard</w:t>
      </w:r>
      <w:r w:rsidR="00425F07">
        <w:t>,</w:t>
      </w:r>
      <w:r w:rsidR="00774EAE">
        <w:t xml:space="preserve"> though the active partner </w:t>
      </w:r>
      <w:r w:rsidR="0024439E">
        <w:t xml:space="preserve">is </w:t>
      </w:r>
      <w:r w:rsidR="00774EAE">
        <w:t xml:space="preserve">displaying a </w:t>
      </w:r>
      <w:r w:rsidR="006525C9">
        <w:t>myrtle</w:t>
      </w:r>
      <w:r w:rsidR="00C23F43">
        <w:t xml:space="preserve"> </w:t>
      </w:r>
      <w:r w:rsidR="00774EAE">
        <w:t>wreath in his hair</w:t>
      </w:r>
      <w:r w:rsidR="00425F07">
        <w:t xml:space="preserve"> like the male on side A</w:t>
      </w:r>
      <w:r w:rsidR="00774EAE">
        <w:t xml:space="preserve"> to show he is the </w:t>
      </w:r>
      <w:proofErr w:type="spellStart"/>
      <w:r w:rsidR="00774EAE">
        <w:t>erastes</w:t>
      </w:r>
      <w:proofErr w:type="spellEnd"/>
      <w:r w:rsidR="006525C9">
        <w:t xml:space="preserve"> and the “conqueror”</w:t>
      </w:r>
      <w:r w:rsidR="00774EAE">
        <w:t>.</w:t>
      </w:r>
      <w:r w:rsidR="002223CE">
        <w:t xml:space="preserve"> In this scene, the young </w:t>
      </w:r>
      <w:proofErr w:type="spellStart"/>
      <w:r w:rsidR="002223CE">
        <w:t>eromenos</w:t>
      </w:r>
      <w:proofErr w:type="spellEnd"/>
      <w:r w:rsidR="002223CE">
        <w:t xml:space="preserve"> is sprawled on</w:t>
      </w:r>
      <w:r w:rsidR="00425F07">
        <w:t xml:space="preserve"> his side on</w:t>
      </w:r>
      <w:r w:rsidR="002223CE">
        <w:t xml:space="preserve"> the luxurious sheets with his lover behind him who </w:t>
      </w:r>
      <w:r w:rsidR="00425F07">
        <w:t xml:space="preserve">is lifting </w:t>
      </w:r>
      <w:r w:rsidR="002223CE">
        <w:t xml:space="preserve">the younger boy’s thigh with a hand to </w:t>
      </w:r>
      <w:r w:rsidR="00425F07">
        <w:t>help facilitate anal penetration</w:t>
      </w:r>
      <w:r w:rsidR="006525C9">
        <w:t>, as can be seen by the position of the active partners testicles right behind the boys</w:t>
      </w:r>
      <w:r w:rsidR="002223CE">
        <w:t xml:space="preserve">. The </w:t>
      </w:r>
      <w:r w:rsidR="00425F07">
        <w:t>scene seems</w:t>
      </w:r>
      <w:r w:rsidR="002223CE">
        <w:t xml:space="preserve"> one of mutual desire and suggests this relationship to be loving rather than that of a master/slave</w:t>
      </w:r>
      <w:r w:rsidR="006525C9">
        <w:t xml:space="preserve">, though some argue otherwise due to the </w:t>
      </w:r>
      <w:proofErr w:type="spellStart"/>
      <w:r w:rsidR="006525C9">
        <w:t>erastes</w:t>
      </w:r>
      <w:proofErr w:type="spellEnd"/>
      <w:r w:rsidR="006525C9">
        <w:t xml:space="preserve"> looking away from the boy rather than gazing toward him</w:t>
      </w:r>
      <w:sdt>
        <w:sdtPr>
          <w:id w:val="1333731342"/>
          <w:citation/>
        </w:sdtPr>
        <w:sdtContent>
          <w:r w:rsidR="006525C9">
            <w:fldChar w:fldCharType="begin"/>
          </w:r>
          <w:r w:rsidR="006525C9">
            <w:instrText xml:space="preserve"> CITATION Cla93 \l 2057 </w:instrText>
          </w:r>
          <w:r w:rsidR="006525C9">
            <w:fldChar w:fldCharType="separate"/>
          </w:r>
          <w:r w:rsidR="006525C9">
            <w:rPr>
              <w:noProof/>
            </w:rPr>
            <w:t xml:space="preserve"> </w:t>
          </w:r>
          <w:r w:rsidR="006525C9" w:rsidRPr="006525C9">
            <w:rPr>
              <w:noProof/>
            </w:rPr>
            <w:t>(Clarke, 1993)</w:t>
          </w:r>
          <w:r w:rsidR="006525C9">
            <w:fldChar w:fldCharType="end"/>
          </w:r>
        </w:sdtContent>
      </w:sdt>
      <w:r w:rsidR="006525C9">
        <w:t>.</w:t>
      </w:r>
    </w:p>
    <w:p w14:paraId="7052671E" w14:textId="2A80A956" w:rsidR="00970404" w:rsidRDefault="00D27C53">
      <w:r>
        <w:t xml:space="preserve">There has been a lack of academic interest in the piece for many years and only relatively recently have academics begun to study the </w:t>
      </w:r>
      <w:r w:rsidR="006525C9">
        <w:t>cup</w:t>
      </w:r>
      <w:r>
        <w:t xml:space="preserve"> </w:t>
      </w:r>
      <w:r w:rsidR="00425F07">
        <w:t xml:space="preserve">as historical art. </w:t>
      </w:r>
      <w:r>
        <w:t xml:space="preserve">This is likely down to the content being homoerotic and social issues of the time finding such homosexual imagery obscene. In fact, many museums declined to buy the piece due to the </w:t>
      </w:r>
      <w:r w:rsidR="00425F07">
        <w:t xml:space="preserve">erotic </w:t>
      </w:r>
      <w:r>
        <w:t xml:space="preserve">nature of the cup and in 1953, the cup was </w:t>
      </w:r>
      <w:r w:rsidR="00425F07">
        <w:t>refused entry to the United States due to this “obscenity”</w:t>
      </w:r>
      <w:sdt>
        <w:sdtPr>
          <w:id w:val="-353501964"/>
          <w:citation/>
        </w:sdtPr>
        <w:sdtContent>
          <w:r w:rsidR="00970404">
            <w:fldChar w:fldCharType="begin"/>
          </w:r>
          <w:r w:rsidR="00970404">
            <w:instrText xml:space="preserve"> CITATION Ken06 \l 2057 </w:instrText>
          </w:r>
          <w:r w:rsidR="00970404">
            <w:fldChar w:fldCharType="separate"/>
          </w:r>
          <w:r w:rsidR="00D4214F">
            <w:rPr>
              <w:noProof/>
            </w:rPr>
            <w:t xml:space="preserve"> </w:t>
          </w:r>
          <w:r w:rsidR="00D4214F" w:rsidRPr="00D4214F">
            <w:rPr>
              <w:noProof/>
            </w:rPr>
            <w:t>(Kennedy, 2006)</w:t>
          </w:r>
          <w:r w:rsidR="00970404">
            <w:fldChar w:fldCharType="end"/>
          </w:r>
        </w:sdtContent>
      </w:sdt>
      <w:r w:rsidR="00970404">
        <w:t>. It was purchased in 1999</w:t>
      </w:r>
      <w:r w:rsidR="006525C9">
        <w:t xml:space="preserve"> </w:t>
      </w:r>
      <w:r w:rsidR="00970404">
        <w:t>by the British Museum where it is still on display today and the centrepiece of silver in their Greco-Roman displays</w:t>
      </w:r>
      <w:sdt>
        <w:sdtPr>
          <w:id w:val="-1875302779"/>
          <w:citation/>
        </w:sdtPr>
        <w:sdtContent>
          <w:r w:rsidR="00970404">
            <w:fldChar w:fldCharType="begin"/>
          </w:r>
          <w:r w:rsidR="00970404">
            <w:instrText xml:space="preserve"> CITATION The14 \l 2057 </w:instrText>
          </w:r>
          <w:r w:rsidR="00970404">
            <w:fldChar w:fldCharType="separate"/>
          </w:r>
          <w:r w:rsidR="00D4214F">
            <w:rPr>
              <w:noProof/>
            </w:rPr>
            <w:t xml:space="preserve"> </w:t>
          </w:r>
          <w:r w:rsidR="00D4214F" w:rsidRPr="00D4214F">
            <w:rPr>
              <w:noProof/>
            </w:rPr>
            <w:t>(British Museum, 2014)</w:t>
          </w:r>
          <w:r w:rsidR="00970404">
            <w:fldChar w:fldCharType="end"/>
          </w:r>
        </w:sdtContent>
      </w:sdt>
      <w:r w:rsidR="00970404">
        <w:t>.</w:t>
      </w:r>
    </w:p>
    <w:p w14:paraId="2F20E543" w14:textId="0C44AFC7" w:rsidR="00970404" w:rsidRDefault="009A3E2E">
      <w:r>
        <w:t>The first thorough analysis o</w:t>
      </w:r>
      <w:r w:rsidR="00425F07">
        <w:t>f</w:t>
      </w:r>
      <w:r>
        <w:t xml:space="preserve"> the cup was written in 1993 by John Clarke who </w:t>
      </w:r>
      <w:r w:rsidR="00425F07">
        <w:t>examined</w:t>
      </w:r>
      <w:r>
        <w:t xml:space="preserve"> the Warren Cup from an artistic </w:t>
      </w:r>
      <w:r w:rsidR="00425F07">
        <w:t>viewpoint</w:t>
      </w:r>
      <w:r>
        <w:t>. Describing the scenes depicted on the cup with specific focus on the surroundings, such as the draperies, the musical instruments</w:t>
      </w:r>
      <w:r w:rsidR="00425F07">
        <w:t xml:space="preserve"> and such</w:t>
      </w:r>
      <w:r>
        <w:t xml:space="preserve">, </w:t>
      </w:r>
      <w:r w:rsidR="00425F07">
        <w:t xml:space="preserve">Clarke finds it </w:t>
      </w:r>
      <w:r w:rsidR="00FA0820">
        <w:t>indicative of an elite private party</w:t>
      </w:r>
      <w:r w:rsidR="00425F07">
        <w:t xml:space="preserve">. </w:t>
      </w:r>
      <w:r>
        <w:t xml:space="preserve">Clarke </w:t>
      </w:r>
      <w:r w:rsidR="00425F07">
        <w:t>was</w:t>
      </w:r>
      <w:r>
        <w:t xml:space="preserve"> interested in context, claiming that “</w:t>
      </w:r>
      <w:r w:rsidRPr="009A3E2E">
        <w:rPr>
          <w:i/>
          <w:iCs/>
        </w:rPr>
        <w:t>Nowhere does one find satisfactory discussion of the broad contexts surrounding images of male-to-male lovemaking</w:t>
      </w:r>
      <w:r>
        <w:t>…</w:t>
      </w:r>
      <w:r w:rsidRPr="009A3E2E">
        <w:rPr>
          <w:i/>
          <w:iCs/>
        </w:rPr>
        <w:t>and the persons who would have paid for them and enjoyed looking at them</w:t>
      </w:r>
      <w:sdt>
        <w:sdtPr>
          <w:rPr>
            <w:i/>
            <w:iCs/>
          </w:rPr>
          <w:id w:val="1404490936"/>
          <w:citation/>
        </w:sdtPr>
        <w:sdtContent>
          <w:r>
            <w:rPr>
              <w:i/>
              <w:iCs/>
            </w:rPr>
            <w:fldChar w:fldCharType="begin"/>
          </w:r>
          <w:r>
            <w:rPr>
              <w:i/>
              <w:iCs/>
            </w:rPr>
            <w:instrText xml:space="preserve"> CITATION Cla93 \l 2057 </w:instrText>
          </w:r>
          <w:r>
            <w:rPr>
              <w:i/>
              <w:iCs/>
            </w:rPr>
            <w:fldChar w:fldCharType="separate"/>
          </w:r>
          <w:r w:rsidR="00D4214F">
            <w:rPr>
              <w:i/>
              <w:iCs/>
              <w:noProof/>
            </w:rPr>
            <w:t xml:space="preserve"> </w:t>
          </w:r>
          <w:r w:rsidR="00D4214F" w:rsidRPr="00D4214F">
            <w:rPr>
              <w:noProof/>
            </w:rPr>
            <w:t>(Clarke, 1993)</w:t>
          </w:r>
          <w:r>
            <w:rPr>
              <w:i/>
              <w:iCs/>
            </w:rPr>
            <w:fldChar w:fldCharType="end"/>
          </w:r>
        </w:sdtContent>
      </w:sdt>
      <w:r>
        <w:t>”</w:t>
      </w:r>
    </w:p>
    <w:p w14:paraId="27E13BE1" w14:textId="1C327302" w:rsidR="009A3E2E" w:rsidRDefault="009A3E2E">
      <w:r>
        <w:t>Clarke</w:t>
      </w:r>
      <w:r w:rsidR="00E87988">
        <w:t xml:space="preserve"> puts into context </w:t>
      </w:r>
      <w:r w:rsidR="00425F07">
        <w:t xml:space="preserve">the entire scene displayed on the cup and how it </w:t>
      </w:r>
      <w:r w:rsidR="00E87988">
        <w:t>relat</w:t>
      </w:r>
      <w:r w:rsidR="00425F07">
        <w:t>es</w:t>
      </w:r>
      <w:r w:rsidR="00E87988">
        <w:t xml:space="preserve"> to the time it was made.</w:t>
      </w:r>
      <w:r w:rsidR="00FA0820">
        <w:t xml:space="preserve"> </w:t>
      </w:r>
      <w:r w:rsidR="00425F07">
        <w:t>For example, the cup is from the</w:t>
      </w:r>
      <w:r w:rsidR="00D4214F">
        <w:t xml:space="preserve"> Augustan era and it is known </w:t>
      </w:r>
      <w:r w:rsidR="00425F07">
        <w:t>that</w:t>
      </w:r>
      <w:r w:rsidR="00D4214F">
        <w:t xml:space="preserve"> in Rome</w:t>
      </w:r>
      <w:r w:rsidR="00425F07">
        <w:t xml:space="preserve"> at this time</w:t>
      </w:r>
      <w:r w:rsidR="00D4214F">
        <w:t>, the traditional hairstyle for men was short and cropped, as seen on both males on Side A</w:t>
      </w:r>
      <w:r w:rsidR="00FA0820">
        <w:t xml:space="preserve">. </w:t>
      </w:r>
      <w:r w:rsidR="00D4214F">
        <w:t>This, Clarke suggests, shows that the</w:t>
      </w:r>
      <w:r w:rsidR="00425F07">
        <w:t>se</w:t>
      </w:r>
      <w:r w:rsidR="00D4214F">
        <w:t xml:space="preserve"> Augustan styled men were men of good standing and the young adolescent boy on Side B with his long flowing curls was a foreigner, likely a slave</w:t>
      </w:r>
      <w:sdt>
        <w:sdtPr>
          <w:id w:val="-1914228392"/>
          <w:citation/>
        </w:sdtPr>
        <w:sdtContent>
          <w:r w:rsidR="00D4214F">
            <w:fldChar w:fldCharType="begin"/>
          </w:r>
          <w:r w:rsidR="00D4214F">
            <w:instrText xml:space="preserve"> CITATION Cla93 \l 2057 </w:instrText>
          </w:r>
          <w:r w:rsidR="00D4214F">
            <w:fldChar w:fldCharType="separate"/>
          </w:r>
          <w:r w:rsidR="00D4214F">
            <w:rPr>
              <w:noProof/>
            </w:rPr>
            <w:t xml:space="preserve"> </w:t>
          </w:r>
          <w:r w:rsidR="00D4214F" w:rsidRPr="00D4214F">
            <w:rPr>
              <w:noProof/>
            </w:rPr>
            <w:t>(Clarke, 1993)</w:t>
          </w:r>
          <w:r w:rsidR="00D4214F">
            <w:fldChar w:fldCharType="end"/>
          </w:r>
        </w:sdtContent>
      </w:sdt>
      <w:r w:rsidR="00D4214F">
        <w:t xml:space="preserve">. </w:t>
      </w:r>
    </w:p>
    <w:p w14:paraId="5E915330" w14:textId="219861B1" w:rsidR="000F7B9E" w:rsidRDefault="000F7B9E">
      <w:r>
        <w:t xml:space="preserve">The unusual part of </w:t>
      </w:r>
      <w:r w:rsidR="00313668">
        <w:t>s</w:t>
      </w:r>
      <w:r>
        <w:t>ide A, as Clarke agrees, is that both men seem of similar age and in fact the passive partner is of such a similar “masculine” size and shape</w:t>
      </w:r>
      <w:r w:rsidR="00425F07">
        <w:t xml:space="preserve"> </w:t>
      </w:r>
      <w:r>
        <w:t xml:space="preserve">like his lover, that he needs the use of the strap to help lower himself onto the penis of his </w:t>
      </w:r>
      <w:proofErr w:type="spellStart"/>
      <w:r>
        <w:t>erastes</w:t>
      </w:r>
      <w:proofErr w:type="spellEnd"/>
      <w:r>
        <w:t xml:space="preserve"> so as not to crush him. In Rome, being </w:t>
      </w:r>
      <w:r>
        <w:lastRenderedPageBreak/>
        <w:t>the passive partner was shameful, but this scene seems mutually satisfying for both parties and potentially romantic</w:t>
      </w:r>
      <w:sdt>
        <w:sdtPr>
          <w:id w:val="-422878951"/>
          <w:citation/>
        </w:sdtPr>
        <w:sdtContent>
          <w:r>
            <w:fldChar w:fldCharType="begin"/>
          </w:r>
          <w:r>
            <w:instrText xml:space="preserve"> CITATION Cla93 \l 2057 </w:instrText>
          </w:r>
          <w:r>
            <w:fldChar w:fldCharType="separate"/>
          </w:r>
          <w:r>
            <w:rPr>
              <w:noProof/>
            </w:rPr>
            <w:t xml:space="preserve"> </w:t>
          </w:r>
          <w:r w:rsidRPr="000F7B9E">
            <w:rPr>
              <w:noProof/>
            </w:rPr>
            <w:t>(Clarke, 1993)</w:t>
          </w:r>
          <w:r>
            <w:fldChar w:fldCharType="end"/>
          </w:r>
        </w:sdtContent>
      </w:sdt>
      <w:r>
        <w:t>.</w:t>
      </w:r>
    </w:p>
    <w:p w14:paraId="31FD02A0" w14:textId="5DA5C2E5" w:rsidR="000F7B9E" w:rsidRDefault="000F7B9E">
      <w:r>
        <w:t xml:space="preserve">Interestingly, Clarke’s views are not shared by everyone. In fact, </w:t>
      </w:r>
      <w:r w:rsidR="00BD46B7">
        <w:t>during a recent</w:t>
      </w:r>
      <w:r>
        <w:t xml:space="preserve"> BBC </w:t>
      </w:r>
      <w:r w:rsidR="00D05F31">
        <w:t xml:space="preserve">radio </w:t>
      </w:r>
      <w:r>
        <w:t>show</w:t>
      </w:r>
      <w:r w:rsidR="00BD46B7">
        <w:t>:</w:t>
      </w:r>
      <w:r>
        <w:t xml:space="preserve"> “</w:t>
      </w:r>
      <w:r w:rsidR="00D05F31">
        <w:t>A History of the World in 100 Objects”</w:t>
      </w:r>
      <w:r w:rsidR="00BD46B7">
        <w:t>,</w:t>
      </w:r>
      <w:r>
        <w:t xml:space="preserve"> </w:t>
      </w:r>
      <w:r w:rsidR="00FA0820">
        <w:t>the director of the British Museum</w:t>
      </w:r>
      <w:r w:rsidR="00BD46B7">
        <w:t xml:space="preserve">, </w:t>
      </w:r>
      <w:r w:rsidR="00FA0820">
        <w:t xml:space="preserve">Neil </w:t>
      </w:r>
      <w:r w:rsidR="004879C8">
        <w:t>MacGregor, discussed</w:t>
      </w:r>
      <w:r>
        <w:t xml:space="preserve"> the cup and refuted the contextual claims Clarke makes. According to </w:t>
      </w:r>
      <w:r w:rsidR="00FA0820">
        <w:t>MacGregor</w:t>
      </w:r>
      <w:r>
        <w:t>, the setting is “clear</w:t>
      </w:r>
      <w:r w:rsidR="00BD46B7">
        <w:t>ly”</w:t>
      </w:r>
      <w:r>
        <w:t xml:space="preserve"> classical Greece and the males on side B were both young boys, claiming their long hair to be sign of their youth, as was the style </w:t>
      </w:r>
      <w:r w:rsidR="00FA0820">
        <w:t xml:space="preserve">for free-born boys </w:t>
      </w:r>
      <w:r>
        <w:t>in Greece at that time</w:t>
      </w:r>
      <w:r w:rsidR="00FA0820">
        <w:t xml:space="preserve"> (They would have their hair cut between the age of 16-18 and offered to the gods as a sign of their entry to manhood)</w:t>
      </w:r>
      <w:sdt>
        <w:sdtPr>
          <w:id w:val="-1040743320"/>
          <w:citation/>
        </w:sdtPr>
        <w:sdtContent>
          <w:r w:rsidR="00FA0820">
            <w:fldChar w:fldCharType="begin"/>
          </w:r>
          <w:r w:rsidR="00FA0820">
            <w:instrText xml:space="preserve"> CITATION BBC10 \l 2057 </w:instrText>
          </w:r>
          <w:r w:rsidR="00FA0820">
            <w:fldChar w:fldCharType="separate"/>
          </w:r>
          <w:r w:rsidR="00FA0820">
            <w:rPr>
              <w:noProof/>
            </w:rPr>
            <w:t xml:space="preserve"> </w:t>
          </w:r>
          <w:r w:rsidR="00FA0820" w:rsidRPr="00FA0820">
            <w:rPr>
              <w:noProof/>
            </w:rPr>
            <w:t>(BBC, 2010)</w:t>
          </w:r>
          <w:r w:rsidR="00FA0820">
            <w:fldChar w:fldCharType="end"/>
          </w:r>
        </w:sdtContent>
      </w:sdt>
      <w:r>
        <w:t>.</w:t>
      </w:r>
    </w:p>
    <w:p w14:paraId="54663706" w14:textId="3C454697" w:rsidR="004879C8" w:rsidRDefault="004879C8">
      <w:r>
        <w:t xml:space="preserve">During the same radio production, </w:t>
      </w:r>
      <w:r w:rsidR="00313668">
        <w:t>h</w:t>
      </w:r>
      <w:r>
        <w:t xml:space="preserve">istorian Bettany Hughes says that in Rome, it was seen that you should seek a good wife so that there was less need for male sex and that we </w:t>
      </w:r>
      <w:r w:rsidRPr="00BD46B7">
        <w:rPr>
          <w:i/>
          <w:iCs/>
        </w:rPr>
        <w:t>know</w:t>
      </w:r>
      <w:r>
        <w:t xml:space="preserve"> from romantic poetry and art that homoerotic sex happened, especially among the aristocratic circles and that the cup is hard evidence on the use of male-to-male lovemaking in the elite of ancient Rome</w:t>
      </w:r>
      <w:sdt>
        <w:sdtPr>
          <w:id w:val="1851534002"/>
          <w:citation/>
        </w:sdtPr>
        <w:sdtContent>
          <w:r>
            <w:fldChar w:fldCharType="begin"/>
          </w:r>
          <w:r>
            <w:instrText xml:space="preserve"> CITATION BBC10 \l 2057 </w:instrText>
          </w:r>
          <w:r>
            <w:fldChar w:fldCharType="separate"/>
          </w:r>
          <w:r>
            <w:rPr>
              <w:noProof/>
            </w:rPr>
            <w:t xml:space="preserve"> </w:t>
          </w:r>
          <w:r w:rsidRPr="004879C8">
            <w:rPr>
              <w:noProof/>
            </w:rPr>
            <w:t>(BBC, 2010)</w:t>
          </w:r>
          <w:r>
            <w:fldChar w:fldCharType="end"/>
          </w:r>
        </w:sdtContent>
      </w:sdt>
      <w:r>
        <w:t>.</w:t>
      </w:r>
    </w:p>
    <w:p w14:paraId="5A21666D" w14:textId="0D47F815" w:rsidR="00324040" w:rsidRDefault="00324040">
      <w:r>
        <w:t>Another scholar named Pollini directly responds to Clarke’s paper agreeing with it in part but also giving his own unique interpretation of the scenes on the cup, most notably drawing on experience of other such drinking vessels, such as the Menander treasure from Pompeii</w:t>
      </w:r>
      <w:sdt>
        <w:sdtPr>
          <w:id w:val="1096370301"/>
          <w:citation/>
        </w:sdtPr>
        <w:sdtContent>
          <w:r>
            <w:fldChar w:fldCharType="begin"/>
          </w:r>
          <w:r>
            <w:instrText xml:space="preserve">CITATION Rog06 \l 2057 </w:instrText>
          </w:r>
          <w:r>
            <w:fldChar w:fldCharType="separate"/>
          </w:r>
          <w:r>
            <w:rPr>
              <w:noProof/>
            </w:rPr>
            <w:t xml:space="preserve"> </w:t>
          </w:r>
          <w:r w:rsidRPr="00324040">
            <w:rPr>
              <w:noProof/>
            </w:rPr>
            <w:t>(Painter, 2001)</w:t>
          </w:r>
          <w:r>
            <w:fldChar w:fldCharType="end"/>
          </w:r>
        </w:sdtContent>
      </w:sdt>
      <w:r>
        <w:t>. He states that it is likely the Warren Cup was part of a set and that we miss context from its absent partner</w:t>
      </w:r>
      <w:r w:rsidR="00BD46B7">
        <w:t>/s</w:t>
      </w:r>
      <w:sdt>
        <w:sdtPr>
          <w:id w:val="1359166479"/>
          <w:citation/>
        </w:sdtPr>
        <w:sdtContent>
          <w:r w:rsidR="002D7F26">
            <w:fldChar w:fldCharType="begin"/>
          </w:r>
          <w:r w:rsidR="002D7F26">
            <w:instrText xml:space="preserve"> CITATION Pol99 \l 2057 </w:instrText>
          </w:r>
          <w:r w:rsidR="002D7F26">
            <w:fldChar w:fldCharType="separate"/>
          </w:r>
          <w:r w:rsidR="002D7F26">
            <w:rPr>
              <w:noProof/>
            </w:rPr>
            <w:t xml:space="preserve"> </w:t>
          </w:r>
          <w:r w:rsidR="002D7F26" w:rsidRPr="002D7F26">
            <w:rPr>
              <w:noProof/>
            </w:rPr>
            <w:t>(Pollini, 1999)</w:t>
          </w:r>
          <w:r w:rsidR="002D7F26">
            <w:fldChar w:fldCharType="end"/>
          </w:r>
        </w:sdtContent>
      </w:sdt>
      <w:r>
        <w:t>.</w:t>
      </w:r>
      <w:r w:rsidR="002D7F26">
        <w:t xml:space="preserve"> </w:t>
      </w:r>
    </w:p>
    <w:p w14:paraId="564BB8A8" w14:textId="5884DFDF" w:rsidR="00EE4A5B" w:rsidRDefault="002D7F26">
      <w:r>
        <w:t xml:space="preserve">Pollini argues that the scenes on the cup represent the pederastic </w:t>
      </w:r>
      <w:proofErr w:type="spellStart"/>
      <w:r>
        <w:t>erastes-eromenos</w:t>
      </w:r>
      <w:proofErr w:type="spellEnd"/>
      <w:r>
        <w:t xml:space="preserve"> relationship that was founded in Greece but goes on to s</w:t>
      </w:r>
      <w:r w:rsidR="005C5FCC">
        <w:t>uggest</w:t>
      </w:r>
      <w:r>
        <w:t xml:space="preserve"> this had been emulated</w:t>
      </w:r>
      <w:r w:rsidR="005C5FCC">
        <w:t xml:space="preserve"> </w:t>
      </w:r>
      <w:r>
        <w:t>in private, by the elite of Rome and it had become chic and fashionable to have a young male partner for sex and company. Pollini acknowledges that the passive partner on side A of the cup is fully grown but believes him to still be a teenager, possibly 1</w:t>
      </w:r>
      <w:r w:rsidR="00AD5619">
        <w:t>7-18</w:t>
      </w:r>
      <w:r>
        <w:t xml:space="preserve"> years old and so at the very end of his “youth”. </w:t>
      </w:r>
    </w:p>
    <w:p w14:paraId="03724D71" w14:textId="77777777" w:rsidR="005C5FCC" w:rsidRDefault="00F1284C">
      <w:r w:rsidRPr="00F1284C">
        <w:drawing>
          <wp:anchor distT="0" distB="0" distL="114300" distR="114300" simplePos="0" relativeHeight="251664384" behindDoc="1" locked="0" layoutInCell="1" allowOverlap="1" wp14:anchorId="0E40866D" wp14:editId="438F3872">
            <wp:simplePos x="0" y="0"/>
            <wp:positionH relativeFrom="margin">
              <wp:posOffset>2967742</wp:posOffset>
            </wp:positionH>
            <wp:positionV relativeFrom="paragraph">
              <wp:posOffset>977191</wp:posOffset>
            </wp:positionV>
            <wp:extent cx="2588260" cy="1858010"/>
            <wp:effectExtent l="0" t="0" r="2540" b="8890"/>
            <wp:wrapTight wrapText="bothSides">
              <wp:wrapPolygon edited="0">
                <wp:start x="0" y="0"/>
                <wp:lineTo x="0" y="21482"/>
                <wp:lineTo x="21462" y="21482"/>
                <wp:lineTo x="2146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88260" cy="1858010"/>
                    </a:xfrm>
                    <a:prstGeom prst="rect">
                      <a:avLst/>
                    </a:prstGeom>
                  </pic:spPr>
                </pic:pic>
              </a:graphicData>
            </a:graphic>
            <wp14:sizeRelH relativeFrom="page">
              <wp14:pctWidth>0</wp14:pctWidth>
            </wp14:sizeRelH>
            <wp14:sizeRelV relativeFrom="page">
              <wp14:pctHeight>0</wp14:pctHeight>
            </wp14:sizeRelV>
          </wp:anchor>
        </w:drawing>
      </w:r>
      <w:r w:rsidR="00AD5619">
        <w:t>In</w:t>
      </w:r>
      <w:r w:rsidR="005C5FCC">
        <w:t>terestingly</w:t>
      </w:r>
      <w:r w:rsidR="00AD5619">
        <w:t xml:space="preserve">, Pollini ponders whether the </w:t>
      </w:r>
      <w:proofErr w:type="spellStart"/>
      <w:r w:rsidR="00AD5619">
        <w:t>erastes</w:t>
      </w:r>
      <w:proofErr w:type="spellEnd"/>
      <w:r w:rsidR="00AD5619">
        <w:t xml:space="preserve"> on side A represents Zeus and his love for Ganymede as the style of beard and look of the older male is consistent with images of Zeus from that time</w:t>
      </w:r>
      <w:sdt>
        <w:sdtPr>
          <w:id w:val="905340808"/>
          <w:citation/>
        </w:sdtPr>
        <w:sdtContent>
          <w:r w:rsidR="00AD5619">
            <w:fldChar w:fldCharType="begin"/>
          </w:r>
          <w:r w:rsidR="00AD5619">
            <w:instrText xml:space="preserve"> CITATION Pol99 \l 2057 </w:instrText>
          </w:r>
          <w:r w:rsidR="00AD5619">
            <w:fldChar w:fldCharType="separate"/>
          </w:r>
          <w:r w:rsidR="00AD5619">
            <w:rPr>
              <w:noProof/>
            </w:rPr>
            <w:t xml:space="preserve"> </w:t>
          </w:r>
          <w:r w:rsidR="00AD5619" w:rsidRPr="00AD5619">
            <w:rPr>
              <w:noProof/>
            </w:rPr>
            <w:t>(Pollini, 1999)</w:t>
          </w:r>
          <w:r w:rsidR="00AD5619">
            <w:fldChar w:fldCharType="end"/>
          </w:r>
        </w:sdtContent>
      </w:sdt>
      <w:r w:rsidR="00AD5619">
        <w:t xml:space="preserve">. </w:t>
      </w:r>
    </w:p>
    <w:p w14:paraId="6D7EF8B5" w14:textId="1D47CD6A" w:rsidR="002D7F26" w:rsidRDefault="005C5FCC">
      <w:r>
        <w:rPr>
          <w:noProof/>
        </w:rPr>
        <mc:AlternateContent>
          <mc:Choice Requires="wps">
            <w:drawing>
              <wp:anchor distT="45720" distB="45720" distL="114300" distR="114300" simplePos="0" relativeHeight="251666432" behindDoc="0" locked="0" layoutInCell="1" allowOverlap="1" wp14:anchorId="6A730269" wp14:editId="6234A40B">
                <wp:simplePos x="0" y="0"/>
                <wp:positionH relativeFrom="column">
                  <wp:posOffset>3073400</wp:posOffset>
                </wp:positionH>
                <wp:positionV relativeFrom="paragraph">
                  <wp:posOffset>2198370</wp:posOffset>
                </wp:positionV>
                <wp:extent cx="2327275" cy="398145"/>
                <wp:effectExtent l="0" t="0" r="15875" b="2095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7275" cy="398145"/>
                        </a:xfrm>
                        <a:prstGeom prst="rect">
                          <a:avLst/>
                        </a:prstGeom>
                        <a:solidFill>
                          <a:srgbClr val="FFFFFF"/>
                        </a:solidFill>
                        <a:ln w="9525">
                          <a:solidFill>
                            <a:schemeClr val="bg1"/>
                          </a:solidFill>
                          <a:miter lim="800000"/>
                          <a:headEnd/>
                          <a:tailEnd/>
                        </a:ln>
                      </wps:spPr>
                      <wps:txbx>
                        <w:txbxContent>
                          <w:p w14:paraId="7C11F31D" w14:textId="54F67B37" w:rsidR="00AE3C92" w:rsidRPr="00F1284C" w:rsidRDefault="00AE3C92">
                            <w:pPr>
                              <w:rPr>
                                <w:sz w:val="18"/>
                                <w:szCs w:val="18"/>
                              </w:rPr>
                            </w:pPr>
                            <w:r w:rsidRPr="00F1284C">
                              <w:rPr>
                                <w:sz w:val="18"/>
                                <w:szCs w:val="18"/>
                              </w:rPr>
                              <w:t xml:space="preserve">Fig.3. Tibiae, a musical instrument banned for free boys (Photo: Van </w:t>
                            </w:r>
                            <w:proofErr w:type="spellStart"/>
                            <w:r w:rsidRPr="00F1284C">
                              <w:rPr>
                                <w:sz w:val="18"/>
                                <w:szCs w:val="18"/>
                              </w:rPr>
                              <w:t>Haeften</w:t>
                            </w:r>
                            <w:proofErr w:type="spellEnd"/>
                            <w:r w:rsidRPr="00F1284C">
                              <w:rPr>
                                <w:sz w:val="18"/>
                                <w:szCs w:val="18"/>
                              </w:rPr>
                              <w:t>,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730269" id="_x0000_s1028" type="#_x0000_t202" style="position:absolute;margin-left:242pt;margin-top:173.1pt;width:183.25pt;height:31.3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" strokecolor="white [3212]">
                <v:textbox>
                  <w:txbxContent>
                    <w:p w14:paraId="7C11F31D" w14:textId="54F67B37" w:rsidR="00AE3C92" w:rsidRPr="00F1284C" w:rsidRDefault="00AE3C92">
                      <w:pPr>
                        <w:rPr>
                          <w:sz w:val="18"/>
                          <w:szCs w:val="18"/>
                        </w:rPr>
                      </w:pPr>
                      <w:r w:rsidRPr="00F1284C">
                        <w:rPr>
                          <w:sz w:val="18"/>
                          <w:szCs w:val="18"/>
                        </w:rPr>
                        <w:t xml:space="preserve">Fig.3. Tibiae, a musical instrument banned for free boys (Photo: Van </w:t>
                      </w:r>
                      <w:proofErr w:type="spellStart"/>
                      <w:r w:rsidRPr="00F1284C">
                        <w:rPr>
                          <w:sz w:val="18"/>
                          <w:szCs w:val="18"/>
                        </w:rPr>
                        <w:t>Haeften</w:t>
                      </w:r>
                      <w:proofErr w:type="spellEnd"/>
                      <w:r w:rsidRPr="00F1284C">
                        <w:rPr>
                          <w:sz w:val="18"/>
                          <w:szCs w:val="18"/>
                        </w:rPr>
                        <w:t>, A)</w:t>
                      </w:r>
                    </w:p>
                  </w:txbxContent>
                </v:textbox>
                <w10:wrap type="square"/>
              </v:shape>
            </w:pict>
          </mc:Fallback>
        </mc:AlternateContent>
      </w:r>
      <w:r w:rsidR="00AD5619">
        <w:t xml:space="preserve">This ties in with </w:t>
      </w:r>
      <w:r>
        <w:t xml:space="preserve">philosopher </w:t>
      </w:r>
      <w:r w:rsidR="0086662E">
        <w:t>Stratos’s</w:t>
      </w:r>
      <w:r w:rsidR="00AD5619">
        <w:t xml:space="preserve"> words about the ripe age of a slave for anal sex. He said: “</w:t>
      </w:r>
      <w:r w:rsidR="00AD5619" w:rsidRPr="00EE4A5B">
        <w:rPr>
          <w:i/>
          <w:iCs/>
        </w:rPr>
        <w:t>I delight in the prime of a twelve-year-old boy, but much more desirable is one of thirteen. One of fourteen is a sweeter flower of love, but one beginning his fifteenth year is more of a pleasure. The sixteenth year is that of the gods. Yet the seventeenth is not mine but for Zeus to seek. If, however, one has a passion for those still older, he no longer "plays," but forthwith "receives his reply</w:t>
      </w:r>
      <w:r w:rsidR="00AD5619">
        <w:t>”</w:t>
      </w:r>
      <w:sdt>
        <w:sdtPr>
          <w:id w:val="-280026713"/>
          <w:citation/>
        </w:sdtPr>
        <w:sdtContent>
          <w:r w:rsidR="00EE4A5B">
            <w:fldChar w:fldCharType="begin"/>
          </w:r>
          <w:r w:rsidR="00EE4A5B">
            <w:instrText xml:space="preserve"> CITATION Hin01 \l 2057 </w:instrText>
          </w:r>
          <w:r w:rsidR="00EE4A5B">
            <w:fldChar w:fldCharType="separate"/>
          </w:r>
          <w:r w:rsidR="00EE4A5B">
            <w:rPr>
              <w:noProof/>
            </w:rPr>
            <w:t xml:space="preserve"> </w:t>
          </w:r>
          <w:r w:rsidR="00EE4A5B" w:rsidRPr="00EE4A5B">
            <w:rPr>
              <w:noProof/>
            </w:rPr>
            <w:t>(Hine, 2001)</w:t>
          </w:r>
          <w:r w:rsidR="00EE4A5B">
            <w:fldChar w:fldCharType="end"/>
          </w:r>
        </w:sdtContent>
      </w:sdt>
      <w:r w:rsidR="00EE4A5B">
        <w:t>.</w:t>
      </w:r>
      <w:r w:rsidR="00F1284C">
        <w:t xml:space="preserve"> Pollini guesses the boy to be around twelve years old and the older man to be around seventeen, representing both ends of </w:t>
      </w:r>
      <w:r w:rsidR="0086662E">
        <w:t>Stratos’s</w:t>
      </w:r>
      <w:r w:rsidR="00F1284C">
        <w:t xml:space="preserve"> age limit</w:t>
      </w:r>
      <w:sdt>
        <w:sdtPr>
          <w:id w:val="-1650666236"/>
          <w:citation/>
        </w:sdtPr>
        <w:sdtContent>
          <w:r w:rsidR="00F1284C">
            <w:fldChar w:fldCharType="begin"/>
          </w:r>
          <w:r w:rsidR="00F1284C">
            <w:instrText xml:space="preserve"> CITATION Pol99 \l 2057 </w:instrText>
          </w:r>
          <w:r w:rsidR="00F1284C">
            <w:fldChar w:fldCharType="separate"/>
          </w:r>
          <w:r w:rsidR="00F1284C">
            <w:rPr>
              <w:noProof/>
            </w:rPr>
            <w:t xml:space="preserve"> </w:t>
          </w:r>
          <w:r w:rsidR="00F1284C" w:rsidRPr="00F1284C">
            <w:rPr>
              <w:noProof/>
            </w:rPr>
            <w:t>(Pollini, 1999)</w:t>
          </w:r>
          <w:r w:rsidR="00F1284C">
            <w:fldChar w:fldCharType="end"/>
          </w:r>
        </w:sdtContent>
      </w:sdt>
      <w:r w:rsidR="00F1284C">
        <w:t>.</w:t>
      </w:r>
    </w:p>
    <w:p w14:paraId="5CD5B355" w14:textId="094C7BB4" w:rsidR="002D7F26" w:rsidRDefault="002D7F26">
      <w:r>
        <w:t>On side B, the presence of the musical instrument</w:t>
      </w:r>
      <w:r w:rsidR="005C5FCC">
        <w:t xml:space="preserve"> (</w:t>
      </w:r>
      <w:r>
        <w:t xml:space="preserve">a </w:t>
      </w:r>
      <w:r w:rsidR="00AE65CF" w:rsidRPr="002D7F26">
        <w:rPr>
          <w:i/>
          <w:iCs/>
        </w:rPr>
        <w:t>tibia</w:t>
      </w:r>
      <w:r w:rsidR="00AE65CF">
        <w:rPr>
          <w:i/>
          <w:iCs/>
        </w:rPr>
        <w:t>e</w:t>
      </w:r>
      <w:r w:rsidR="00AE65CF" w:rsidRPr="002D7F26">
        <w:rPr>
          <w:i/>
          <w:iCs/>
        </w:rPr>
        <w:t xml:space="preserve"> (Fig.3)</w:t>
      </w:r>
      <w:r w:rsidR="005C5FCC">
        <w:rPr>
          <w:i/>
          <w:iCs/>
        </w:rPr>
        <w:t>)</w:t>
      </w:r>
      <w:r w:rsidR="00F1284C">
        <w:t xml:space="preserve"> </w:t>
      </w:r>
      <w:r>
        <w:t xml:space="preserve">near the adolescent boy is a clear sign, says Pollini, that the boy was a slave as free born males were banned from playing the instrument. </w:t>
      </w:r>
      <w:r w:rsidR="00AD5619">
        <w:t xml:space="preserve">Hairstyle </w:t>
      </w:r>
      <w:r w:rsidR="005C5FCC">
        <w:t>is once again mentioned, as</w:t>
      </w:r>
      <w:r w:rsidR="00AD5619">
        <w:t xml:space="preserve"> slave boys had their hair styled after female members of the Imperial family to feminise them and </w:t>
      </w:r>
      <w:r w:rsidR="00AD5619">
        <w:lastRenderedPageBreak/>
        <w:t>distinguish them from freed boys and to feed the desire Roman men had for androgyny</w:t>
      </w:r>
      <w:sdt>
        <w:sdtPr>
          <w:id w:val="-395042159"/>
          <w:citation/>
        </w:sdtPr>
        <w:sdtContent>
          <w:r w:rsidR="00AD5619">
            <w:fldChar w:fldCharType="begin"/>
          </w:r>
          <w:r w:rsidR="00AD5619">
            <w:instrText xml:space="preserve"> CITATION Sen25 \l 2057 </w:instrText>
          </w:r>
          <w:r w:rsidR="00AD5619">
            <w:fldChar w:fldCharType="separate"/>
          </w:r>
          <w:r w:rsidR="00AD5619">
            <w:rPr>
              <w:noProof/>
            </w:rPr>
            <w:t xml:space="preserve"> </w:t>
          </w:r>
          <w:r w:rsidR="00AD5619" w:rsidRPr="00AD5619">
            <w:rPr>
              <w:noProof/>
            </w:rPr>
            <w:t>(Seneca, 1925)</w:t>
          </w:r>
          <w:r w:rsidR="00AD5619">
            <w:fldChar w:fldCharType="end"/>
          </w:r>
        </w:sdtContent>
      </w:sdt>
      <w:r w:rsidR="00AD5619">
        <w:t>.</w:t>
      </w:r>
      <w:r w:rsidR="00F1284C" w:rsidRPr="00F1284C">
        <w:rPr>
          <w:noProof/>
        </w:rPr>
        <w:t xml:space="preserve"> </w:t>
      </w:r>
    </w:p>
    <w:p w14:paraId="3D2A29F4" w14:textId="090CA0C0" w:rsidR="002D7F26" w:rsidRDefault="002D7F26" w:rsidP="002D7F26">
      <w:r>
        <w:t>Another academic</w:t>
      </w:r>
      <w:r w:rsidR="005C5FCC">
        <w:t xml:space="preserve">, </w:t>
      </w:r>
      <w:proofErr w:type="spellStart"/>
      <w:r>
        <w:t>Vermeule</w:t>
      </w:r>
      <w:proofErr w:type="spellEnd"/>
      <w:r>
        <w:t xml:space="preserve">, had originally claimed the passive boys were two Julio-Claudian princes, the sons of the Emperor himself, but Clarke argues that because of the ages and hairstyles this is untrue and that </w:t>
      </w:r>
      <w:proofErr w:type="spellStart"/>
      <w:r>
        <w:t>Vermeule</w:t>
      </w:r>
      <w:proofErr w:type="spellEnd"/>
      <w:r>
        <w:t xml:space="preserve"> perhaps is being satirical</w:t>
      </w:r>
      <w:sdt>
        <w:sdtPr>
          <w:id w:val="83274228"/>
          <w:citation/>
        </w:sdtPr>
        <w:sdtContent>
          <w:r>
            <w:fldChar w:fldCharType="begin"/>
          </w:r>
          <w:r>
            <w:instrText xml:space="preserve">CITATION Ver63 \l 2057 </w:instrText>
          </w:r>
          <w:r>
            <w:fldChar w:fldCharType="separate"/>
          </w:r>
          <w:r>
            <w:rPr>
              <w:noProof/>
            </w:rPr>
            <w:t xml:space="preserve"> </w:t>
          </w:r>
          <w:r w:rsidRPr="00D4214F">
            <w:rPr>
              <w:noProof/>
            </w:rPr>
            <w:t>(Vermeule, 1963)</w:t>
          </w:r>
          <w:r>
            <w:fldChar w:fldCharType="end"/>
          </w:r>
        </w:sdtContent>
      </w:sdt>
      <w:r>
        <w:t xml:space="preserve"> but Pollini refutes this, saying that though satire was not uncommon, the likelihood of a satirical scene on such an expensive piece </w:t>
      </w:r>
      <w:r w:rsidR="005C5FCC">
        <w:t xml:space="preserve">was </w:t>
      </w:r>
      <w:r>
        <w:t>unlikely and echoe</w:t>
      </w:r>
      <w:r w:rsidR="005C5FCC">
        <w:t>d</w:t>
      </w:r>
      <w:r>
        <w:t xml:space="preserve"> Clarke’s comments about the incorrect hairstyles of those </w:t>
      </w:r>
      <w:r w:rsidR="00D756CA">
        <w:t>portrayed</w:t>
      </w:r>
      <w:sdt>
        <w:sdtPr>
          <w:id w:val="-1647050820"/>
          <w:citation/>
        </w:sdtPr>
        <w:sdtContent>
          <w:r>
            <w:fldChar w:fldCharType="begin"/>
          </w:r>
          <w:r>
            <w:instrText xml:space="preserve"> CITATION Pol99 \l 2057 </w:instrText>
          </w:r>
          <w:r>
            <w:fldChar w:fldCharType="separate"/>
          </w:r>
          <w:r>
            <w:rPr>
              <w:noProof/>
            </w:rPr>
            <w:t xml:space="preserve"> </w:t>
          </w:r>
          <w:r w:rsidRPr="002D7F26">
            <w:rPr>
              <w:noProof/>
            </w:rPr>
            <w:t>(Pollini, 1999)</w:t>
          </w:r>
          <w:r>
            <w:fldChar w:fldCharType="end"/>
          </w:r>
        </w:sdtContent>
      </w:sdt>
      <w:r>
        <w:t>.</w:t>
      </w:r>
    </w:p>
    <w:p w14:paraId="504A1FC3" w14:textId="5542F1CC" w:rsidR="00F70222" w:rsidRDefault="00F70222" w:rsidP="00F70222">
      <w:r>
        <w:rPr>
          <w:noProof/>
        </w:rPr>
        <mc:AlternateContent>
          <mc:Choice Requires="wps">
            <w:drawing>
              <wp:anchor distT="45720" distB="45720" distL="114300" distR="114300" simplePos="0" relativeHeight="251669504" behindDoc="0" locked="0" layoutInCell="1" allowOverlap="1" wp14:anchorId="7F0E9790" wp14:editId="1C5B7A42">
                <wp:simplePos x="0" y="0"/>
                <wp:positionH relativeFrom="column">
                  <wp:posOffset>1828800</wp:posOffset>
                </wp:positionH>
                <wp:positionV relativeFrom="paragraph">
                  <wp:posOffset>3330575</wp:posOffset>
                </wp:positionV>
                <wp:extent cx="2360930" cy="226060"/>
                <wp:effectExtent l="0" t="0" r="12700" b="2159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6060"/>
                        </a:xfrm>
                        <a:prstGeom prst="rect">
                          <a:avLst/>
                        </a:prstGeom>
                        <a:solidFill>
                          <a:srgbClr val="FFFFFF"/>
                        </a:solidFill>
                        <a:ln w="9525">
                          <a:solidFill>
                            <a:schemeClr val="bg1"/>
                          </a:solidFill>
                          <a:miter lim="800000"/>
                          <a:headEnd/>
                          <a:tailEnd/>
                        </a:ln>
                      </wps:spPr>
                      <wps:txbx>
                        <w:txbxContent>
                          <w:p w14:paraId="7332B95B" w14:textId="2AEC1000" w:rsidR="00AE3C92" w:rsidRPr="00150A78" w:rsidRDefault="00AE3C92">
                            <w:pPr>
                              <w:rPr>
                                <w:sz w:val="18"/>
                                <w:szCs w:val="18"/>
                              </w:rPr>
                            </w:pPr>
                            <w:r w:rsidRPr="00150A78">
                              <w:rPr>
                                <w:sz w:val="18"/>
                                <w:szCs w:val="18"/>
                              </w:rPr>
                              <w:t>Fig.4. The Teratogenic Grid by Holt Parker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F0E9790" id="_x0000_s1029" type="#_x0000_t202" style="position:absolute;margin-left:2in;margin-top:262.25pt;width:185.9pt;height:17.8pt;z-index:25166950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" strokecolor="white [3212]">
                <v:textbox>
                  <w:txbxContent>
                    <w:p w14:paraId="7332B95B" w14:textId="2AEC1000" w:rsidR="00AE3C92" w:rsidRPr="00150A78" w:rsidRDefault="00AE3C92">
                      <w:pPr>
                        <w:rPr>
                          <w:sz w:val="18"/>
                          <w:szCs w:val="18"/>
                        </w:rPr>
                      </w:pPr>
                      <w:r w:rsidRPr="00150A78">
                        <w:rPr>
                          <w:sz w:val="18"/>
                          <w:szCs w:val="18"/>
                        </w:rPr>
                        <w:t>Fig.4. The Teratogenic Grid by Holt Parker</w:t>
                      </w:r>
                    </w:p>
                  </w:txbxContent>
                </v:textbox>
                <w10:wrap type="square"/>
              </v:shape>
            </w:pict>
          </mc:Fallback>
        </mc:AlternateContent>
      </w:r>
      <w:r w:rsidR="002400A6">
        <w:rPr>
          <w:noProof/>
        </w:rPr>
        <w:drawing>
          <wp:anchor distT="0" distB="0" distL="114300" distR="114300" simplePos="0" relativeHeight="251667456" behindDoc="0" locked="0" layoutInCell="1" allowOverlap="1" wp14:anchorId="288BA47E" wp14:editId="77D8A5DA">
            <wp:simplePos x="0" y="0"/>
            <wp:positionH relativeFrom="margin">
              <wp:align>center</wp:align>
            </wp:positionH>
            <wp:positionV relativeFrom="paragraph">
              <wp:posOffset>1405667</wp:posOffset>
            </wp:positionV>
            <wp:extent cx="3930650" cy="1959610"/>
            <wp:effectExtent l="0" t="0" r="0"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0650" cy="1959610"/>
                    </a:xfrm>
                    <a:prstGeom prst="rect">
                      <a:avLst/>
                    </a:prstGeom>
                    <a:noFill/>
                    <a:ln>
                      <a:noFill/>
                    </a:ln>
                  </pic:spPr>
                </pic:pic>
              </a:graphicData>
            </a:graphic>
          </wp:anchor>
        </w:drawing>
      </w:r>
      <w:r w:rsidR="00150A78">
        <w:t>The Warren Cup and the academics who write about it tell us a lot about how gender</w:t>
      </w:r>
      <w:r w:rsidR="005C5FCC">
        <w:t xml:space="preserve"> and </w:t>
      </w:r>
      <w:r w:rsidR="00150A78">
        <w:t>masculinity in particular</w:t>
      </w:r>
      <w:r w:rsidR="005C5FCC">
        <w:t xml:space="preserve"> </w:t>
      </w:r>
      <w:r w:rsidR="00150A78">
        <w:t xml:space="preserve">were perceived in ancient Rome. </w:t>
      </w:r>
      <w:r>
        <w:t xml:space="preserve">Plato once said that males who preferred other males </w:t>
      </w:r>
      <w:r w:rsidRPr="00F70222">
        <w:rPr>
          <w:i/>
          <w:iCs/>
        </w:rPr>
        <w:t>“delight to lie with them and to be clasped in men’s embraces…are the finest boys and young men, for they have the most manly nature…Their behaviour is due to daring, manliness and virility, since they are quick to welcome their like”</w:t>
      </w:r>
      <w:sdt>
        <w:sdtPr>
          <w:rPr>
            <w:i/>
            <w:iCs/>
          </w:rPr>
          <w:id w:val="1437397307"/>
          <w:citation/>
        </w:sdtPr>
        <w:sdtContent>
          <w:r>
            <w:rPr>
              <w:i/>
              <w:iCs/>
            </w:rPr>
            <w:fldChar w:fldCharType="begin"/>
          </w:r>
          <w:r>
            <w:rPr>
              <w:i/>
              <w:iCs/>
            </w:rPr>
            <w:instrText xml:space="preserve"> CITATION Bur02 \l 2057 </w:instrText>
          </w:r>
          <w:r>
            <w:rPr>
              <w:i/>
              <w:iCs/>
            </w:rPr>
            <w:fldChar w:fldCharType="separate"/>
          </w:r>
          <w:r>
            <w:rPr>
              <w:i/>
              <w:iCs/>
              <w:noProof/>
            </w:rPr>
            <w:t xml:space="preserve"> </w:t>
          </w:r>
          <w:r w:rsidRPr="00F70222">
            <w:rPr>
              <w:noProof/>
            </w:rPr>
            <w:t>(Burg, 2002)</w:t>
          </w:r>
          <w:r>
            <w:rPr>
              <w:i/>
              <w:iCs/>
            </w:rPr>
            <w:fldChar w:fldCharType="end"/>
          </w:r>
        </w:sdtContent>
      </w:sdt>
      <w:r w:rsidRPr="00F70222">
        <w:rPr>
          <w:i/>
          <w:iCs/>
        </w:rPr>
        <w:t>.</w:t>
      </w:r>
      <w:r>
        <w:rPr>
          <w:i/>
          <w:iCs/>
        </w:rPr>
        <w:t xml:space="preserve"> </w:t>
      </w:r>
      <w:r>
        <w:t xml:space="preserve">Plato’s quote tells us that some thought of homosexual relations to be more masculine than heterosexual ones, because loving other men made you brave, virile and manly. </w:t>
      </w:r>
    </w:p>
    <w:p w14:paraId="1802FAFA" w14:textId="46B161AB" w:rsidR="00F70222" w:rsidRDefault="00F70222" w:rsidP="002D7F26"/>
    <w:p w14:paraId="4CA20F76" w14:textId="6D8B75C9" w:rsidR="00150A78" w:rsidRDefault="00150A78" w:rsidP="002D7F26">
      <w:r>
        <w:t xml:space="preserve">The images </w:t>
      </w:r>
      <w:r w:rsidR="00F70222">
        <w:t xml:space="preserve">on the Warren Cup </w:t>
      </w:r>
      <w:r>
        <w:t>reinforce the understanding that masculinity was not about whether you had a penis or a certain chromosome but that it was how a male presented himself in life. This can best be represented by Parker’s “Teratogenic Grid” seen in Fig.4</w:t>
      </w:r>
      <w:sdt>
        <w:sdtPr>
          <w:id w:val="-866531570"/>
          <w:citation/>
        </w:sdtPr>
        <w:sdtContent>
          <w:r>
            <w:fldChar w:fldCharType="begin"/>
          </w:r>
          <w:r>
            <w:instrText xml:space="preserve"> CITATION Par97 \l 2057 </w:instrText>
          </w:r>
          <w:r>
            <w:fldChar w:fldCharType="separate"/>
          </w:r>
          <w:r>
            <w:rPr>
              <w:noProof/>
            </w:rPr>
            <w:t xml:space="preserve"> </w:t>
          </w:r>
          <w:r w:rsidRPr="00150A78">
            <w:rPr>
              <w:noProof/>
            </w:rPr>
            <w:t>(Parker, 1997)</w:t>
          </w:r>
          <w:r>
            <w:fldChar w:fldCharType="end"/>
          </w:r>
        </w:sdtContent>
      </w:sdt>
      <w:r>
        <w:t xml:space="preserve">. </w:t>
      </w:r>
    </w:p>
    <w:p w14:paraId="40CE7E36" w14:textId="4A72A2B7" w:rsidR="00150A78" w:rsidRDefault="00150A78" w:rsidP="002D7F26">
      <w:r>
        <w:t xml:space="preserve">Parker </w:t>
      </w:r>
      <w:r w:rsidR="002400A6">
        <w:t xml:space="preserve">shows the many terms and roles a person, regardless of gender, can assume. As the grid shows, this comes down to who is the partner penetrating during sex. By this definition, a man can be penetrated in the anus or mouth by a </w:t>
      </w:r>
      <w:proofErr w:type="spellStart"/>
      <w:r w:rsidR="002400A6">
        <w:rPr>
          <w:i/>
          <w:iCs/>
        </w:rPr>
        <w:t>pedic</w:t>
      </w:r>
      <w:r w:rsidR="005F3E5E">
        <w:rPr>
          <w:i/>
          <w:iCs/>
        </w:rPr>
        <w:t>ator</w:t>
      </w:r>
      <w:proofErr w:type="spellEnd"/>
      <w:r w:rsidR="002400A6">
        <w:rPr>
          <w:i/>
          <w:iCs/>
        </w:rPr>
        <w:t>/</w:t>
      </w:r>
      <w:proofErr w:type="spellStart"/>
      <w:r w:rsidR="002400A6">
        <w:rPr>
          <w:i/>
          <w:iCs/>
        </w:rPr>
        <w:t>irruma</w:t>
      </w:r>
      <w:r w:rsidR="005F3E5E">
        <w:rPr>
          <w:i/>
          <w:iCs/>
        </w:rPr>
        <w:t>tor</w:t>
      </w:r>
      <w:proofErr w:type="spellEnd"/>
      <w:r w:rsidR="002400A6">
        <w:t xml:space="preserve"> but if this man is of good free standing, the act would be shameful as it is not the masculine way. He would be deemed to be </w:t>
      </w:r>
      <w:r w:rsidR="002400A6">
        <w:rPr>
          <w:i/>
          <w:iCs/>
        </w:rPr>
        <w:t xml:space="preserve">muliebral </w:t>
      </w:r>
      <w:proofErr w:type="spellStart"/>
      <w:r w:rsidR="002400A6">
        <w:rPr>
          <w:i/>
          <w:iCs/>
        </w:rPr>
        <w:t>pati</w:t>
      </w:r>
      <w:proofErr w:type="spellEnd"/>
      <w:r w:rsidR="002400A6">
        <w:t xml:space="preserve"> which in English means he would “suffer a woman’s part” thus he would be like a woman</w:t>
      </w:r>
      <w:sdt>
        <w:sdtPr>
          <w:id w:val="-1001506559"/>
          <w:citation/>
        </w:sdtPr>
        <w:sdtContent>
          <w:r w:rsidR="00F70222">
            <w:fldChar w:fldCharType="begin"/>
          </w:r>
          <w:r w:rsidR="00F70222">
            <w:instrText xml:space="preserve"> CITATION Pol99 \l 2057 </w:instrText>
          </w:r>
          <w:r w:rsidR="00F70222">
            <w:fldChar w:fldCharType="separate"/>
          </w:r>
          <w:r w:rsidR="00F70222">
            <w:rPr>
              <w:noProof/>
            </w:rPr>
            <w:t xml:space="preserve"> </w:t>
          </w:r>
          <w:r w:rsidR="00F70222" w:rsidRPr="00F70222">
            <w:rPr>
              <w:noProof/>
            </w:rPr>
            <w:t>(Pollini, 1999)</w:t>
          </w:r>
          <w:r w:rsidR="00F70222">
            <w:fldChar w:fldCharType="end"/>
          </w:r>
        </w:sdtContent>
      </w:sdt>
      <w:r w:rsidR="002400A6">
        <w:t>.</w:t>
      </w:r>
    </w:p>
    <w:p w14:paraId="7505019E" w14:textId="710C8C82" w:rsidR="002400A6" w:rsidRDefault="002400A6" w:rsidP="002D7F26">
      <w:r>
        <w:t>In the context of the Warren Cup, neither</w:t>
      </w:r>
      <w:r>
        <w:rPr>
          <w:i/>
          <w:iCs/>
        </w:rPr>
        <w:t xml:space="preserve"> </w:t>
      </w:r>
      <w:r>
        <w:t xml:space="preserve">passive partner is made to look </w:t>
      </w:r>
      <w:r w:rsidR="005C5FCC">
        <w:t>weak or ugly</w:t>
      </w:r>
      <w:r>
        <w:t>, like in other pieces of art but instead made them beautiful</w:t>
      </w:r>
      <w:r w:rsidR="005C5FCC">
        <w:t xml:space="preserve"> </w:t>
      </w:r>
      <w:r>
        <w:t xml:space="preserve">like the masculine partner and in fact, on side A, the passive partner is actively encouraging the sex, his hand on the arm of the </w:t>
      </w:r>
      <w:proofErr w:type="spellStart"/>
      <w:r>
        <w:t>erastes</w:t>
      </w:r>
      <w:proofErr w:type="spellEnd"/>
      <w:r>
        <w:t>, pulling him closer. This suggests that the “correct” way for a man to act may have been just one school of thought and that some men bucked the trend, enjoying male love regardless of stigma and law</w:t>
      </w:r>
      <w:sdt>
        <w:sdtPr>
          <w:id w:val="-1905675473"/>
          <w:citation/>
        </w:sdtPr>
        <w:sdtContent>
          <w:r w:rsidR="00F70222">
            <w:fldChar w:fldCharType="begin"/>
          </w:r>
          <w:r w:rsidR="00F70222">
            <w:instrText xml:space="preserve"> CITATION Pol99 \l 2057 </w:instrText>
          </w:r>
          <w:r w:rsidR="00F70222">
            <w:fldChar w:fldCharType="separate"/>
          </w:r>
          <w:r w:rsidR="00F70222">
            <w:rPr>
              <w:noProof/>
            </w:rPr>
            <w:t xml:space="preserve"> </w:t>
          </w:r>
          <w:r w:rsidR="00F70222" w:rsidRPr="00F70222">
            <w:rPr>
              <w:noProof/>
            </w:rPr>
            <w:t>(Pollini, 1999)</w:t>
          </w:r>
          <w:r w:rsidR="00F70222">
            <w:fldChar w:fldCharType="end"/>
          </w:r>
        </w:sdtContent>
      </w:sdt>
      <w:sdt>
        <w:sdtPr>
          <w:id w:val="-444918740"/>
          <w:citation/>
        </w:sdtPr>
        <w:sdtContent>
          <w:r w:rsidR="00F70222">
            <w:fldChar w:fldCharType="begin"/>
          </w:r>
          <w:r w:rsidR="00F70222">
            <w:instrText xml:space="preserve"> CITATION Hub03 \l 2057 </w:instrText>
          </w:r>
          <w:r w:rsidR="00F70222">
            <w:fldChar w:fldCharType="separate"/>
          </w:r>
          <w:r w:rsidR="00F70222">
            <w:rPr>
              <w:noProof/>
            </w:rPr>
            <w:t xml:space="preserve"> </w:t>
          </w:r>
          <w:r w:rsidR="00F70222" w:rsidRPr="00F70222">
            <w:rPr>
              <w:noProof/>
            </w:rPr>
            <w:t>(Hubbard, 2003)</w:t>
          </w:r>
          <w:r w:rsidR="00F70222">
            <w:fldChar w:fldCharType="end"/>
          </w:r>
        </w:sdtContent>
      </w:sdt>
      <w:r>
        <w:t>.</w:t>
      </w:r>
    </w:p>
    <w:p w14:paraId="4D919759" w14:textId="77777777" w:rsidR="00F70222" w:rsidRPr="002400A6" w:rsidRDefault="00F70222" w:rsidP="002D7F26"/>
    <w:p w14:paraId="72887EF0" w14:textId="1CBF2BF4" w:rsidR="00EE4A5B" w:rsidRDefault="00EE4A5B" w:rsidP="002D7F26">
      <w:r>
        <w:lastRenderedPageBreak/>
        <w:t>As can be seen from the evidence provided, there are key differences of opinion but also common threads across all of academia. It can be safely seen that the Warren Cup depicts acts of male lovemaking and that the purpose of the cup was to show off the exotic nature of this homoerotic love in private to show wealth, status and the exotic lustful interests of the owner.</w:t>
      </w:r>
    </w:p>
    <w:p w14:paraId="726D529D" w14:textId="20821BE3" w:rsidR="00AE65CF" w:rsidRDefault="00AE65CF" w:rsidP="004879C8">
      <w:r>
        <w:t xml:space="preserve">Can the cup be used as a piece of evidence to tell how Roman society acted in regard to same sex coupling though? </w:t>
      </w:r>
      <w:r w:rsidR="00EE4A5B">
        <w:t>As Hughes said, the existence of the cup itself is hard evidence of the fact that homoerotic acts among the elite happened and even if this was in secret at private parties, it</w:t>
      </w:r>
      <w:r w:rsidR="005C5FCC">
        <w:t xml:space="preserve">’s </w:t>
      </w:r>
      <w:r w:rsidR="00EE4A5B">
        <w:t>a good argument to suggest that sexuality was indeed rather fluid among the elite</w:t>
      </w:r>
      <w:sdt>
        <w:sdtPr>
          <w:id w:val="-1480459605"/>
          <w:citation/>
        </w:sdtPr>
        <w:sdtContent>
          <w:r>
            <w:fldChar w:fldCharType="begin"/>
          </w:r>
          <w:r>
            <w:instrText xml:space="preserve"> CITATION BBC10 \l 2057 </w:instrText>
          </w:r>
          <w:r>
            <w:fldChar w:fldCharType="separate"/>
          </w:r>
          <w:r>
            <w:rPr>
              <w:noProof/>
            </w:rPr>
            <w:t xml:space="preserve"> </w:t>
          </w:r>
          <w:r w:rsidRPr="00AE65CF">
            <w:rPr>
              <w:noProof/>
            </w:rPr>
            <w:t>(BBC, 2010)</w:t>
          </w:r>
          <w:r>
            <w:fldChar w:fldCharType="end"/>
          </w:r>
        </w:sdtContent>
      </w:sdt>
      <w:r w:rsidR="00EE4A5B">
        <w:t>.</w:t>
      </w:r>
      <w:r>
        <w:t xml:space="preserve"> Pollini mentions in his article that some people think the scene on the cup is set in a brothel but how he believes it to be more a private party which matches the theories of Clarke, Hughes and MacGregor</w:t>
      </w:r>
      <w:r w:rsidR="005C5FCC">
        <w:t xml:space="preserve">, </w:t>
      </w:r>
      <w:r>
        <w:t xml:space="preserve">giving this theory </w:t>
      </w:r>
      <w:r w:rsidR="005C5FCC">
        <w:t xml:space="preserve">more </w:t>
      </w:r>
      <w:r>
        <w:t>consistency an</w:t>
      </w:r>
      <w:r w:rsidR="00BC70C9">
        <w:t>d credence.</w:t>
      </w:r>
    </w:p>
    <w:p w14:paraId="7CC27BA6" w14:textId="7D81498E" w:rsidR="00F70222" w:rsidRDefault="00AE65CF">
      <w:r>
        <w:t>However, there is also much disagreement</w:t>
      </w:r>
      <w:r w:rsidR="00BC70C9">
        <w:t>, for example</w:t>
      </w:r>
      <w:r>
        <w:t xml:space="preserve"> the ages of each male, the relationships they have, as well as their backgrounds and origins. This lack of clarity can lead to a weakening of the source as it does not </w:t>
      </w:r>
      <w:r w:rsidR="00BC70C9">
        <w:t>clearly tell</w:t>
      </w:r>
      <w:r>
        <w:t xml:space="preserve"> the whole story</w:t>
      </w:r>
      <w:sdt>
        <w:sdtPr>
          <w:id w:val="-2057313737"/>
          <w:citation/>
        </w:sdtPr>
        <w:sdtContent>
          <w:r>
            <w:fldChar w:fldCharType="begin"/>
          </w:r>
          <w:r>
            <w:instrText xml:space="preserve"> CITATION Cla93 \l 2057 </w:instrText>
          </w:r>
          <w:r>
            <w:fldChar w:fldCharType="separate"/>
          </w:r>
          <w:r>
            <w:rPr>
              <w:noProof/>
            </w:rPr>
            <w:t xml:space="preserve"> </w:t>
          </w:r>
          <w:r w:rsidRPr="00AE65CF">
            <w:rPr>
              <w:noProof/>
            </w:rPr>
            <w:t>(Clarke, 1993)</w:t>
          </w:r>
          <w:r>
            <w:fldChar w:fldCharType="end"/>
          </w:r>
        </w:sdtContent>
      </w:sdt>
      <w:r>
        <w:t xml:space="preserve">. What it does </w:t>
      </w:r>
      <w:r w:rsidR="00BC70C9">
        <w:t>tell us</w:t>
      </w:r>
      <w:r>
        <w:t xml:space="preserve"> is striking and it is a </w:t>
      </w:r>
      <w:r w:rsidR="00BC70C9">
        <w:t xml:space="preserve">beautiful </w:t>
      </w:r>
      <w:r>
        <w:t xml:space="preserve">rare object, being the only </w:t>
      </w:r>
      <w:r w:rsidR="00BC70C9">
        <w:t>known</w:t>
      </w:r>
      <w:r>
        <w:t xml:space="preserve"> precious metal cup to show homoerotic penetration from the ancient world. Even if the artwork </w:t>
      </w:r>
      <w:r w:rsidR="00BC70C9" w:rsidRPr="00BC70C9">
        <w:rPr>
          <w:i/>
          <w:iCs/>
        </w:rPr>
        <w:t>does</w:t>
      </w:r>
      <w:r w:rsidR="00BC70C9">
        <w:t xml:space="preserve"> </w:t>
      </w:r>
      <w:r w:rsidRPr="00BC70C9">
        <w:t>represent</w:t>
      </w:r>
      <w:r>
        <w:t xml:space="preserve"> fantasy, it can be assumed that fantasy has a grounding in reality</w:t>
      </w:r>
      <w:r w:rsidR="00F70222">
        <w:t xml:space="preserve"> and that parties with music, drinking and sex with other men and boys did indeed happen in the rich aristocratic societies of Rome.</w:t>
      </w:r>
    </w:p>
    <w:p w14:paraId="259DCBC1" w14:textId="77777777" w:rsidR="00F70222" w:rsidRDefault="00F70222">
      <w:r>
        <w:br w:type="page"/>
      </w:r>
    </w:p>
    <w:sdt>
      <w:sdtPr>
        <w:id w:val="53369654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28EC384" w14:textId="5023FE83" w:rsidR="00F70222" w:rsidRDefault="00F70222">
          <w:pPr>
            <w:pStyle w:val="Heading1"/>
          </w:pPr>
          <w:r>
            <w:t>Bibliography</w:t>
          </w:r>
        </w:p>
        <w:sdt>
          <w:sdtPr>
            <w:id w:val="111145805"/>
            <w:bibliography/>
          </w:sdtPr>
          <w:sdtContent>
            <w:p w14:paraId="10938655" w14:textId="77777777" w:rsidR="00F70222" w:rsidRDefault="00F70222" w:rsidP="00F70222">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2010. </w:t>
              </w:r>
              <w:r>
                <w:rPr>
                  <w:i/>
                  <w:iCs/>
                  <w:noProof/>
                  <w:lang w:val="en-US"/>
                </w:rPr>
                <w:t xml:space="preserve">A History of the World in 100 Objects. </w:t>
              </w:r>
              <w:r>
                <w:rPr>
                  <w:noProof/>
                  <w:lang w:val="en-US"/>
                </w:rPr>
                <w:t>London: s.n.</w:t>
              </w:r>
            </w:p>
            <w:p w14:paraId="06953536" w14:textId="77777777" w:rsidR="00F70222" w:rsidRDefault="00F70222" w:rsidP="00F70222">
              <w:pPr>
                <w:pStyle w:val="Bibliography"/>
                <w:rPr>
                  <w:noProof/>
                  <w:lang w:val="en-US"/>
                </w:rPr>
              </w:pPr>
              <w:r>
                <w:rPr>
                  <w:noProof/>
                  <w:lang w:val="en-US"/>
                </w:rPr>
                <w:t xml:space="preserve">British Museum, 2014. </w:t>
              </w:r>
              <w:r>
                <w:rPr>
                  <w:i/>
                  <w:iCs/>
                  <w:noProof/>
                  <w:lang w:val="en-US"/>
                </w:rPr>
                <w:t xml:space="preserve">The Warren Cup. </w:t>
              </w:r>
              <w:r>
                <w:rPr>
                  <w:noProof/>
                  <w:lang w:val="en-US"/>
                </w:rPr>
                <w:t xml:space="preserve">[Online] </w:t>
              </w:r>
              <w:r>
                <w:rPr>
                  <w:noProof/>
                  <w:lang w:val="en-US"/>
                </w:rPr>
                <w:br/>
                <w:t xml:space="preserve">Available at: </w:t>
              </w:r>
              <w:r>
                <w:rPr>
                  <w:noProof/>
                  <w:u w:val="single"/>
                  <w:lang w:val="en-US"/>
                </w:rPr>
                <w:t>https://www.britishmuseum.org/collection/object/G_1999-0426-1</w:t>
              </w:r>
              <w:r>
                <w:rPr>
                  <w:noProof/>
                  <w:lang w:val="en-US"/>
                </w:rPr>
                <w:br/>
                <w:t>[Accessed 3 November 2020].</w:t>
              </w:r>
            </w:p>
            <w:p w14:paraId="2527134A" w14:textId="77777777" w:rsidR="00F70222" w:rsidRDefault="00F70222" w:rsidP="00F70222">
              <w:pPr>
                <w:pStyle w:val="Bibliography"/>
                <w:rPr>
                  <w:noProof/>
                  <w:lang w:val="en-US"/>
                </w:rPr>
              </w:pPr>
              <w:r>
                <w:rPr>
                  <w:noProof/>
                  <w:lang w:val="en-US"/>
                </w:rPr>
                <w:t xml:space="preserve">Burg, B. R., 2002. </w:t>
              </w:r>
              <w:r>
                <w:rPr>
                  <w:i/>
                  <w:iCs/>
                  <w:noProof/>
                  <w:lang w:val="en-US"/>
                </w:rPr>
                <w:t xml:space="preserve">Gay Warriors. </w:t>
              </w:r>
              <w:r>
                <w:rPr>
                  <w:noProof/>
                  <w:lang w:val="en-US"/>
                </w:rPr>
                <w:t>New York: New York University Press.</w:t>
              </w:r>
            </w:p>
            <w:p w14:paraId="671BB9F9" w14:textId="77777777" w:rsidR="00F70222" w:rsidRDefault="00F70222" w:rsidP="00F70222">
              <w:pPr>
                <w:pStyle w:val="Bibliography"/>
                <w:rPr>
                  <w:noProof/>
                  <w:lang w:val="en-US"/>
                </w:rPr>
              </w:pPr>
              <w:r>
                <w:rPr>
                  <w:noProof/>
                  <w:lang w:val="en-US"/>
                </w:rPr>
                <w:t xml:space="preserve">Clarke, J. R., 1993. The Warren Cup and the Contexts for Representations of Male-to-Male Lovemaking in Augustan and Early Julio-Claudian Art. </w:t>
              </w:r>
              <w:r>
                <w:rPr>
                  <w:i/>
                  <w:iCs/>
                  <w:noProof/>
                  <w:lang w:val="en-US"/>
                </w:rPr>
                <w:t xml:space="preserve">The Art Bulletin, </w:t>
              </w:r>
              <w:r>
                <w:rPr>
                  <w:noProof/>
                  <w:lang w:val="en-US"/>
                </w:rPr>
                <w:t>75(2), pp. 275-294.</w:t>
              </w:r>
            </w:p>
            <w:p w14:paraId="2DBA7939" w14:textId="77777777" w:rsidR="00F70222" w:rsidRDefault="00F70222" w:rsidP="00F70222">
              <w:pPr>
                <w:pStyle w:val="Bibliography"/>
                <w:rPr>
                  <w:noProof/>
                  <w:lang w:val="en-US"/>
                </w:rPr>
              </w:pPr>
              <w:r>
                <w:rPr>
                  <w:noProof/>
                  <w:lang w:val="en-US"/>
                </w:rPr>
                <w:t xml:space="preserve">Dover, K. J., 1989. </w:t>
              </w:r>
              <w:r>
                <w:rPr>
                  <w:i/>
                  <w:iCs/>
                  <w:noProof/>
                  <w:lang w:val="en-US"/>
                </w:rPr>
                <w:t xml:space="preserve">Greek Homosexuality. </w:t>
              </w:r>
              <w:r>
                <w:rPr>
                  <w:noProof/>
                  <w:lang w:val="en-US"/>
                </w:rPr>
                <w:t>Cambridge, Massachusetts: Harvard University Press.</w:t>
              </w:r>
            </w:p>
            <w:p w14:paraId="65C94B88" w14:textId="77777777" w:rsidR="00F70222" w:rsidRDefault="00F70222" w:rsidP="00F70222">
              <w:pPr>
                <w:pStyle w:val="Bibliography"/>
                <w:rPr>
                  <w:noProof/>
                  <w:lang w:val="en-US"/>
                </w:rPr>
              </w:pPr>
              <w:r>
                <w:rPr>
                  <w:noProof/>
                  <w:lang w:val="en-US"/>
                </w:rPr>
                <w:t xml:space="preserve">Hine, D., 2001. </w:t>
              </w:r>
              <w:r>
                <w:rPr>
                  <w:i/>
                  <w:iCs/>
                  <w:noProof/>
                  <w:lang w:val="en-US"/>
                </w:rPr>
                <w:t xml:space="preserve">Puerilities: Erotic Epigrams of The Greek Anthology. </w:t>
              </w:r>
              <w:r>
                <w:rPr>
                  <w:noProof/>
                  <w:lang w:val="en-US"/>
                </w:rPr>
                <w:t>s.l.:Princeton University Press.</w:t>
              </w:r>
            </w:p>
            <w:p w14:paraId="766399B6" w14:textId="77777777" w:rsidR="00F70222" w:rsidRDefault="00F70222" w:rsidP="00F70222">
              <w:pPr>
                <w:pStyle w:val="Bibliography"/>
                <w:rPr>
                  <w:noProof/>
                  <w:lang w:val="en-US"/>
                </w:rPr>
              </w:pPr>
              <w:r>
                <w:rPr>
                  <w:noProof/>
                  <w:lang w:val="en-US"/>
                </w:rPr>
                <w:t xml:space="preserve">Hubbard, T. K., 2003. </w:t>
              </w:r>
              <w:r>
                <w:rPr>
                  <w:i/>
                  <w:iCs/>
                  <w:noProof/>
                  <w:lang w:val="en-US"/>
                </w:rPr>
                <w:t xml:space="preserve">Homosexuality in Greece and Rome: A Sourcebook of Basic Documents. </w:t>
              </w:r>
              <w:r>
                <w:rPr>
                  <w:noProof/>
                  <w:lang w:val="en-US"/>
                </w:rPr>
                <w:t>1 ed. s.l.:University of California Press.</w:t>
              </w:r>
            </w:p>
            <w:p w14:paraId="660CDE3D" w14:textId="77777777" w:rsidR="00F70222" w:rsidRDefault="00F70222" w:rsidP="00F70222">
              <w:pPr>
                <w:pStyle w:val="Bibliography"/>
                <w:rPr>
                  <w:noProof/>
                  <w:lang w:val="en-US"/>
                </w:rPr>
              </w:pPr>
              <w:r>
                <w:rPr>
                  <w:noProof/>
                  <w:lang w:val="en-US"/>
                </w:rPr>
                <w:t xml:space="preserve">Kennedy, M., 2006. </w:t>
              </w:r>
              <w:r>
                <w:rPr>
                  <w:i/>
                  <w:iCs/>
                  <w:noProof/>
                  <w:lang w:val="en-US"/>
                </w:rPr>
                <w:t xml:space="preserve">The Observer. </w:t>
              </w:r>
              <w:r>
                <w:rPr>
                  <w:noProof/>
                  <w:lang w:val="en-US"/>
                </w:rPr>
                <w:t xml:space="preserve">[Online] </w:t>
              </w:r>
              <w:r>
                <w:rPr>
                  <w:noProof/>
                  <w:lang w:val="en-US"/>
                </w:rPr>
                <w:br/>
                <w:t xml:space="preserve">Available at: </w:t>
              </w:r>
              <w:r>
                <w:rPr>
                  <w:noProof/>
                  <w:u w:val="single"/>
                  <w:lang w:val="en-US"/>
                </w:rPr>
                <w:t>https://www.theguardian.com/uk/2006/may/12/arts.artsnews</w:t>
              </w:r>
              <w:r>
                <w:rPr>
                  <w:noProof/>
                  <w:lang w:val="en-US"/>
                </w:rPr>
                <w:br/>
                <w:t>[Accessed 20 November 2020].</w:t>
              </w:r>
            </w:p>
            <w:p w14:paraId="16B6C592" w14:textId="77777777" w:rsidR="00F70222" w:rsidRDefault="00F70222" w:rsidP="00F70222">
              <w:pPr>
                <w:pStyle w:val="Bibliography"/>
                <w:rPr>
                  <w:noProof/>
                  <w:lang w:val="en-US"/>
                </w:rPr>
              </w:pPr>
              <w:r>
                <w:rPr>
                  <w:noProof/>
                  <w:lang w:val="en-US"/>
                </w:rPr>
                <w:t xml:space="preserve">Painter, K. S., 2001. </w:t>
              </w:r>
              <w:r>
                <w:rPr>
                  <w:i/>
                  <w:iCs/>
                  <w:noProof/>
                  <w:lang w:val="en-US"/>
                </w:rPr>
                <w:t xml:space="preserve">The Insula of the Menander at Pompeii : The Silver Treasure. </w:t>
              </w:r>
              <w:r>
                <w:rPr>
                  <w:noProof/>
                  <w:lang w:val="en-US"/>
                </w:rPr>
                <w:t>Oxford: Clarendon Press.</w:t>
              </w:r>
            </w:p>
            <w:p w14:paraId="7CC62BBB" w14:textId="77777777" w:rsidR="00F70222" w:rsidRDefault="00F70222" w:rsidP="00F70222">
              <w:pPr>
                <w:pStyle w:val="Bibliography"/>
                <w:rPr>
                  <w:noProof/>
                  <w:lang w:val="en-US"/>
                </w:rPr>
              </w:pPr>
              <w:r>
                <w:rPr>
                  <w:noProof/>
                  <w:lang w:val="en-US"/>
                </w:rPr>
                <w:t xml:space="preserve">Parker, H. N., 1997. The Teratogenic Grid. In: </w:t>
              </w:r>
              <w:r>
                <w:rPr>
                  <w:i/>
                  <w:iCs/>
                  <w:noProof/>
                  <w:lang w:val="en-US"/>
                </w:rPr>
                <w:t xml:space="preserve">Roman Sexualities. </w:t>
              </w:r>
              <w:r>
                <w:rPr>
                  <w:noProof/>
                  <w:lang w:val="en-US"/>
                </w:rPr>
                <w:t>Princeton: Princeton University Press, pp. 47-65.</w:t>
              </w:r>
            </w:p>
            <w:p w14:paraId="59889FE4" w14:textId="77777777" w:rsidR="00F70222" w:rsidRDefault="00F70222" w:rsidP="00F70222">
              <w:pPr>
                <w:pStyle w:val="Bibliography"/>
                <w:rPr>
                  <w:noProof/>
                  <w:lang w:val="en-US"/>
                </w:rPr>
              </w:pPr>
              <w:r>
                <w:rPr>
                  <w:noProof/>
                  <w:lang w:val="en-US"/>
                </w:rPr>
                <w:t xml:space="preserve">Pollini, J., 1999. The Warren Cup: Homoerotic Love and Symposial Rhetoric in Silver. </w:t>
              </w:r>
              <w:r>
                <w:rPr>
                  <w:i/>
                  <w:iCs/>
                  <w:noProof/>
                  <w:lang w:val="en-US"/>
                </w:rPr>
                <w:t xml:space="preserve">The Art Bulletin, </w:t>
              </w:r>
              <w:r>
                <w:rPr>
                  <w:noProof/>
                  <w:lang w:val="en-US"/>
                </w:rPr>
                <w:t>81(1), pp. 21-52.</w:t>
              </w:r>
            </w:p>
            <w:p w14:paraId="696ACA83" w14:textId="77777777" w:rsidR="00F70222" w:rsidRDefault="00F70222" w:rsidP="00F70222">
              <w:pPr>
                <w:pStyle w:val="Bibliography"/>
                <w:rPr>
                  <w:noProof/>
                  <w:lang w:val="en-US"/>
                </w:rPr>
              </w:pPr>
              <w:r>
                <w:rPr>
                  <w:noProof/>
                  <w:lang w:val="en-US"/>
                </w:rPr>
                <w:t xml:space="preserve">Seneca, 1925. </w:t>
              </w:r>
              <w:r>
                <w:rPr>
                  <w:i/>
                  <w:iCs/>
                  <w:noProof/>
                  <w:lang w:val="en-US"/>
                </w:rPr>
                <w:t xml:space="preserve">Epistles 93-124. </w:t>
              </w:r>
              <w:r>
                <w:rPr>
                  <w:noProof/>
                  <w:lang w:val="en-US"/>
                </w:rPr>
                <w:t>Cambridge, MA: Harvard University Press.</w:t>
              </w:r>
            </w:p>
            <w:p w14:paraId="40E7F7E1" w14:textId="77777777" w:rsidR="00F70222" w:rsidRDefault="00F70222" w:rsidP="00F70222">
              <w:pPr>
                <w:pStyle w:val="Bibliography"/>
                <w:rPr>
                  <w:noProof/>
                  <w:lang w:val="en-US"/>
                </w:rPr>
              </w:pPr>
              <w:r>
                <w:rPr>
                  <w:noProof/>
                  <w:lang w:val="en-US"/>
                </w:rPr>
                <w:t xml:space="preserve">Skinner, M. B., 2013. </w:t>
              </w:r>
              <w:r>
                <w:rPr>
                  <w:i/>
                  <w:iCs/>
                  <w:noProof/>
                  <w:lang w:val="en-US"/>
                </w:rPr>
                <w:t xml:space="preserve">Sexuality in Greek and Roman Culture. </w:t>
              </w:r>
              <w:r>
                <w:rPr>
                  <w:noProof/>
                  <w:lang w:val="en-US"/>
                </w:rPr>
                <w:t>s.l.:John Wiley &amp; Sons.</w:t>
              </w:r>
            </w:p>
            <w:p w14:paraId="1E1D48FC" w14:textId="77777777" w:rsidR="00F70222" w:rsidRDefault="00F70222" w:rsidP="00F70222">
              <w:pPr>
                <w:pStyle w:val="Bibliography"/>
                <w:rPr>
                  <w:noProof/>
                  <w:lang w:val="en-US"/>
                </w:rPr>
              </w:pPr>
              <w:r>
                <w:rPr>
                  <w:noProof/>
                  <w:lang w:val="en-US"/>
                </w:rPr>
                <w:t xml:space="preserve">Vermeule, C., 1963. Augustan and Julio-Claudian Court Silver. </w:t>
              </w:r>
              <w:r>
                <w:rPr>
                  <w:i/>
                  <w:iCs/>
                  <w:noProof/>
                  <w:lang w:val="en-US"/>
                </w:rPr>
                <w:t xml:space="preserve">Antike Kunst, </w:t>
              </w:r>
              <w:r>
                <w:rPr>
                  <w:noProof/>
                  <w:lang w:val="en-US"/>
                </w:rPr>
                <w:t>Volume 6, pp. 33-46.</w:t>
              </w:r>
            </w:p>
            <w:p w14:paraId="6485A1A5" w14:textId="77777777" w:rsidR="00F70222" w:rsidRDefault="00F70222" w:rsidP="00F70222">
              <w:pPr>
                <w:pStyle w:val="Bibliography"/>
                <w:rPr>
                  <w:noProof/>
                  <w:lang w:val="en-US"/>
                </w:rPr>
              </w:pPr>
              <w:r>
                <w:rPr>
                  <w:noProof/>
                  <w:lang w:val="en-US"/>
                </w:rPr>
                <w:t xml:space="preserve">Williams, D., 2006. The Warren Cup. In: </w:t>
              </w:r>
              <w:r>
                <w:rPr>
                  <w:i/>
                  <w:iCs/>
                  <w:noProof/>
                  <w:lang w:val="en-US"/>
                </w:rPr>
                <w:t xml:space="preserve">British Museum Objects in Focus. </w:t>
              </w:r>
              <w:r>
                <w:rPr>
                  <w:noProof/>
                  <w:lang w:val="en-US"/>
                </w:rPr>
                <w:t>s.l.:The British Museum Press.</w:t>
              </w:r>
            </w:p>
            <w:p w14:paraId="69EF92F1" w14:textId="7E66FDD0" w:rsidR="00F70222" w:rsidRDefault="00F70222" w:rsidP="00F70222">
              <w:r>
                <w:rPr>
                  <w:b/>
                  <w:bCs/>
                  <w:noProof/>
                </w:rPr>
                <w:fldChar w:fldCharType="end"/>
              </w:r>
            </w:p>
          </w:sdtContent>
        </w:sdt>
      </w:sdtContent>
    </w:sdt>
    <w:p w14:paraId="78FFE5C9" w14:textId="77777777" w:rsidR="00970404" w:rsidRPr="00D27C53" w:rsidRDefault="00970404"/>
    <w:p w14:paraId="43EF6189" w14:textId="20E61B8A" w:rsidR="004879C8" w:rsidRPr="004879C8" w:rsidRDefault="004879C8">
      <w:pPr>
        <w:rPr>
          <w:b/>
          <w:bCs/>
        </w:rPr>
      </w:pPr>
    </w:p>
    <w:sectPr w:rsidR="004879C8" w:rsidRPr="004879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24F"/>
    <w:rsid w:val="00072A9E"/>
    <w:rsid w:val="000F7B9E"/>
    <w:rsid w:val="00150A78"/>
    <w:rsid w:val="002223CE"/>
    <w:rsid w:val="002400A6"/>
    <w:rsid w:val="0024439E"/>
    <w:rsid w:val="002D7F26"/>
    <w:rsid w:val="00313668"/>
    <w:rsid w:val="00324040"/>
    <w:rsid w:val="003F0B10"/>
    <w:rsid w:val="00425F07"/>
    <w:rsid w:val="004378BE"/>
    <w:rsid w:val="004879C8"/>
    <w:rsid w:val="00530E98"/>
    <w:rsid w:val="00541EF5"/>
    <w:rsid w:val="005C5FCC"/>
    <w:rsid w:val="005F3E5E"/>
    <w:rsid w:val="006525C9"/>
    <w:rsid w:val="00774EAE"/>
    <w:rsid w:val="0086662E"/>
    <w:rsid w:val="00970404"/>
    <w:rsid w:val="009A3E2E"/>
    <w:rsid w:val="009B4E6C"/>
    <w:rsid w:val="00A23A41"/>
    <w:rsid w:val="00AD5619"/>
    <w:rsid w:val="00AE3C92"/>
    <w:rsid w:val="00AE65CF"/>
    <w:rsid w:val="00B477FC"/>
    <w:rsid w:val="00BC70C9"/>
    <w:rsid w:val="00BD46B7"/>
    <w:rsid w:val="00C02E92"/>
    <w:rsid w:val="00C23F43"/>
    <w:rsid w:val="00D05F31"/>
    <w:rsid w:val="00D13A0B"/>
    <w:rsid w:val="00D27C53"/>
    <w:rsid w:val="00D3424F"/>
    <w:rsid w:val="00D4214F"/>
    <w:rsid w:val="00D756CA"/>
    <w:rsid w:val="00DB5A53"/>
    <w:rsid w:val="00E460A4"/>
    <w:rsid w:val="00E87988"/>
    <w:rsid w:val="00EE4A5B"/>
    <w:rsid w:val="00F1284C"/>
    <w:rsid w:val="00F70222"/>
    <w:rsid w:val="00FA0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23975"/>
  <w15:chartTrackingRefBased/>
  <w15:docId w15:val="{A0A7B777-5E9F-4305-B529-D592E4E99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3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3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223CE"/>
  </w:style>
  <w:style w:type="paragraph" w:styleId="Caption">
    <w:name w:val="caption"/>
    <w:basedOn w:val="Normal"/>
    <w:next w:val="Normal"/>
    <w:uiPriority w:val="35"/>
    <w:unhideWhenUsed/>
    <w:qFormat/>
    <w:rsid w:val="00E8798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50238">
      <w:bodyDiv w:val="1"/>
      <w:marLeft w:val="0"/>
      <w:marRight w:val="0"/>
      <w:marTop w:val="0"/>
      <w:marBottom w:val="0"/>
      <w:divBdr>
        <w:top w:val="none" w:sz="0" w:space="0" w:color="auto"/>
        <w:left w:val="none" w:sz="0" w:space="0" w:color="auto"/>
        <w:bottom w:val="none" w:sz="0" w:space="0" w:color="auto"/>
        <w:right w:val="none" w:sz="0" w:space="0" w:color="auto"/>
      </w:divBdr>
    </w:div>
    <w:div w:id="33307813">
      <w:bodyDiv w:val="1"/>
      <w:marLeft w:val="0"/>
      <w:marRight w:val="0"/>
      <w:marTop w:val="0"/>
      <w:marBottom w:val="0"/>
      <w:divBdr>
        <w:top w:val="none" w:sz="0" w:space="0" w:color="auto"/>
        <w:left w:val="none" w:sz="0" w:space="0" w:color="auto"/>
        <w:bottom w:val="none" w:sz="0" w:space="0" w:color="auto"/>
        <w:right w:val="none" w:sz="0" w:space="0" w:color="auto"/>
      </w:divBdr>
    </w:div>
    <w:div w:id="56053842">
      <w:bodyDiv w:val="1"/>
      <w:marLeft w:val="0"/>
      <w:marRight w:val="0"/>
      <w:marTop w:val="0"/>
      <w:marBottom w:val="0"/>
      <w:divBdr>
        <w:top w:val="none" w:sz="0" w:space="0" w:color="auto"/>
        <w:left w:val="none" w:sz="0" w:space="0" w:color="auto"/>
        <w:bottom w:val="none" w:sz="0" w:space="0" w:color="auto"/>
        <w:right w:val="none" w:sz="0" w:space="0" w:color="auto"/>
      </w:divBdr>
    </w:div>
    <w:div w:id="64228457">
      <w:bodyDiv w:val="1"/>
      <w:marLeft w:val="0"/>
      <w:marRight w:val="0"/>
      <w:marTop w:val="0"/>
      <w:marBottom w:val="0"/>
      <w:divBdr>
        <w:top w:val="none" w:sz="0" w:space="0" w:color="auto"/>
        <w:left w:val="none" w:sz="0" w:space="0" w:color="auto"/>
        <w:bottom w:val="none" w:sz="0" w:space="0" w:color="auto"/>
        <w:right w:val="none" w:sz="0" w:space="0" w:color="auto"/>
      </w:divBdr>
    </w:div>
    <w:div w:id="68430536">
      <w:bodyDiv w:val="1"/>
      <w:marLeft w:val="0"/>
      <w:marRight w:val="0"/>
      <w:marTop w:val="0"/>
      <w:marBottom w:val="0"/>
      <w:divBdr>
        <w:top w:val="none" w:sz="0" w:space="0" w:color="auto"/>
        <w:left w:val="none" w:sz="0" w:space="0" w:color="auto"/>
        <w:bottom w:val="none" w:sz="0" w:space="0" w:color="auto"/>
        <w:right w:val="none" w:sz="0" w:space="0" w:color="auto"/>
      </w:divBdr>
    </w:div>
    <w:div w:id="170267866">
      <w:bodyDiv w:val="1"/>
      <w:marLeft w:val="0"/>
      <w:marRight w:val="0"/>
      <w:marTop w:val="0"/>
      <w:marBottom w:val="0"/>
      <w:divBdr>
        <w:top w:val="none" w:sz="0" w:space="0" w:color="auto"/>
        <w:left w:val="none" w:sz="0" w:space="0" w:color="auto"/>
        <w:bottom w:val="none" w:sz="0" w:space="0" w:color="auto"/>
        <w:right w:val="none" w:sz="0" w:space="0" w:color="auto"/>
      </w:divBdr>
    </w:div>
    <w:div w:id="171649532">
      <w:bodyDiv w:val="1"/>
      <w:marLeft w:val="0"/>
      <w:marRight w:val="0"/>
      <w:marTop w:val="0"/>
      <w:marBottom w:val="0"/>
      <w:divBdr>
        <w:top w:val="none" w:sz="0" w:space="0" w:color="auto"/>
        <w:left w:val="none" w:sz="0" w:space="0" w:color="auto"/>
        <w:bottom w:val="none" w:sz="0" w:space="0" w:color="auto"/>
        <w:right w:val="none" w:sz="0" w:space="0" w:color="auto"/>
      </w:divBdr>
    </w:div>
    <w:div w:id="331877553">
      <w:bodyDiv w:val="1"/>
      <w:marLeft w:val="0"/>
      <w:marRight w:val="0"/>
      <w:marTop w:val="0"/>
      <w:marBottom w:val="0"/>
      <w:divBdr>
        <w:top w:val="none" w:sz="0" w:space="0" w:color="auto"/>
        <w:left w:val="none" w:sz="0" w:space="0" w:color="auto"/>
        <w:bottom w:val="none" w:sz="0" w:space="0" w:color="auto"/>
        <w:right w:val="none" w:sz="0" w:space="0" w:color="auto"/>
      </w:divBdr>
    </w:div>
    <w:div w:id="424346455">
      <w:bodyDiv w:val="1"/>
      <w:marLeft w:val="0"/>
      <w:marRight w:val="0"/>
      <w:marTop w:val="0"/>
      <w:marBottom w:val="0"/>
      <w:divBdr>
        <w:top w:val="none" w:sz="0" w:space="0" w:color="auto"/>
        <w:left w:val="none" w:sz="0" w:space="0" w:color="auto"/>
        <w:bottom w:val="none" w:sz="0" w:space="0" w:color="auto"/>
        <w:right w:val="none" w:sz="0" w:space="0" w:color="auto"/>
      </w:divBdr>
    </w:div>
    <w:div w:id="466775681">
      <w:bodyDiv w:val="1"/>
      <w:marLeft w:val="0"/>
      <w:marRight w:val="0"/>
      <w:marTop w:val="0"/>
      <w:marBottom w:val="0"/>
      <w:divBdr>
        <w:top w:val="none" w:sz="0" w:space="0" w:color="auto"/>
        <w:left w:val="none" w:sz="0" w:space="0" w:color="auto"/>
        <w:bottom w:val="none" w:sz="0" w:space="0" w:color="auto"/>
        <w:right w:val="none" w:sz="0" w:space="0" w:color="auto"/>
      </w:divBdr>
    </w:div>
    <w:div w:id="468285361">
      <w:bodyDiv w:val="1"/>
      <w:marLeft w:val="0"/>
      <w:marRight w:val="0"/>
      <w:marTop w:val="0"/>
      <w:marBottom w:val="0"/>
      <w:divBdr>
        <w:top w:val="none" w:sz="0" w:space="0" w:color="auto"/>
        <w:left w:val="none" w:sz="0" w:space="0" w:color="auto"/>
        <w:bottom w:val="none" w:sz="0" w:space="0" w:color="auto"/>
        <w:right w:val="none" w:sz="0" w:space="0" w:color="auto"/>
      </w:divBdr>
    </w:div>
    <w:div w:id="555046443">
      <w:bodyDiv w:val="1"/>
      <w:marLeft w:val="0"/>
      <w:marRight w:val="0"/>
      <w:marTop w:val="0"/>
      <w:marBottom w:val="0"/>
      <w:divBdr>
        <w:top w:val="none" w:sz="0" w:space="0" w:color="auto"/>
        <w:left w:val="none" w:sz="0" w:space="0" w:color="auto"/>
        <w:bottom w:val="none" w:sz="0" w:space="0" w:color="auto"/>
        <w:right w:val="none" w:sz="0" w:space="0" w:color="auto"/>
      </w:divBdr>
    </w:div>
    <w:div w:id="597325496">
      <w:bodyDiv w:val="1"/>
      <w:marLeft w:val="0"/>
      <w:marRight w:val="0"/>
      <w:marTop w:val="0"/>
      <w:marBottom w:val="0"/>
      <w:divBdr>
        <w:top w:val="none" w:sz="0" w:space="0" w:color="auto"/>
        <w:left w:val="none" w:sz="0" w:space="0" w:color="auto"/>
        <w:bottom w:val="none" w:sz="0" w:space="0" w:color="auto"/>
        <w:right w:val="none" w:sz="0" w:space="0" w:color="auto"/>
      </w:divBdr>
    </w:div>
    <w:div w:id="614597358">
      <w:bodyDiv w:val="1"/>
      <w:marLeft w:val="0"/>
      <w:marRight w:val="0"/>
      <w:marTop w:val="0"/>
      <w:marBottom w:val="0"/>
      <w:divBdr>
        <w:top w:val="none" w:sz="0" w:space="0" w:color="auto"/>
        <w:left w:val="none" w:sz="0" w:space="0" w:color="auto"/>
        <w:bottom w:val="none" w:sz="0" w:space="0" w:color="auto"/>
        <w:right w:val="none" w:sz="0" w:space="0" w:color="auto"/>
      </w:divBdr>
    </w:div>
    <w:div w:id="648751693">
      <w:bodyDiv w:val="1"/>
      <w:marLeft w:val="0"/>
      <w:marRight w:val="0"/>
      <w:marTop w:val="0"/>
      <w:marBottom w:val="0"/>
      <w:divBdr>
        <w:top w:val="none" w:sz="0" w:space="0" w:color="auto"/>
        <w:left w:val="none" w:sz="0" w:space="0" w:color="auto"/>
        <w:bottom w:val="none" w:sz="0" w:space="0" w:color="auto"/>
        <w:right w:val="none" w:sz="0" w:space="0" w:color="auto"/>
      </w:divBdr>
    </w:div>
    <w:div w:id="652491644">
      <w:bodyDiv w:val="1"/>
      <w:marLeft w:val="0"/>
      <w:marRight w:val="0"/>
      <w:marTop w:val="0"/>
      <w:marBottom w:val="0"/>
      <w:divBdr>
        <w:top w:val="none" w:sz="0" w:space="0" w:color="auto"/>
        <w:left w:val="none" w:sz="0" w:space="0" w:color="auto"/>
        <w:bottom w:val="none" w:sz="0" w:space="0" w:color="auto"/>
        <w:right w:val="none" w:sz="0" w:space="0" w:color="auto"/>
      </w:divBdr>
    </w:div>
    <w:div w:id="659236187">
      <w:bodyDiv w:val="1"/>
      <w:marLeft w:val="0"/>
      <w:marRight w:val="0"/>
      <w:marTop w:val="0"/>
      <w:marBottom w:val="0"/>
      <w:divBdr>
        <w:top w:val="none" w:sz="0" w:space="0" w:color="auto"/>
        <w:left w:val="none" w:sz="0" w:space="0" w:color="auto"/>
        <w:bottom w:val="none" w:sz="0" w:space="0" w:color="auto"/>
        <w:right w:val="none" w:sz="0" w:space="0" w:color="auto"/>
      </w:divBdr>
    </w:div>
    <w:div w:id="683441149">
      <w:bodyDiv w:val="1"/>
      <w:marLeft w:val="0"/>
      <w:marRight w:val="0"/>
      <w:marTop w:val="0"/>
      <w:marBottom w:val="0"/>
      <w:divBdr>
        <w:top w:val="none" w:sz="0" w:space="0" w:color="auto"/>
        <w:left w:val="none" w:sz="0" w:space="0" w:color="auto"/>
        <w:bottom w:val="none" w:sz="0" w:space="0" w:color="auto"/>
        <w:right w:val="none" w:sz="0" w:space="0" w:color="auto"/>
      </w:divBdr>
    </w:div>
    <w:div w:id="698049630">
      <w:bodyDiv w:val="1"/>
      <w:marLeft w:val="0"/>
      <w:marRight w:val="0"/>
      <w:marTop w:val="0"/>
      <w:marBottom w:val="0"/>
      <w:divBdr>
        <w:top w:val="none" w:sz="0" w:space="0" w:color="auto"/>
        <w:left w:val="none" w:sz="0" w:space="0" w:color="auto"/>
        <w:bottom w:val="none" w:sz="0" w:space="0" w:color="auto"/>
        <w:right w:val="none" w:sz="0" w:space="0" w:color="auto"/>
      </w:divBdr>
    </w:div>
    <w:div w:id="710344912">
      <w:bodyDiv w:val="1"/>
      <w:marLeft w:val="0"/>
      <w:marRight w:val="0"/>
      <w:marTop w:val="0"/>
      <w:marBottom w:val="0"/>
      <w:divBdr>
        <w:top w:val="none" w:sz="0" w:space="0" w:color="auto"/>
        <w:left w:val="none" w:sz="0" w:space="0" w:color="auto"/>
        <w:bottom w:val="none" w:sz="0" w:space="0" w:color="auto"/>
        <w:right w:val="none" w:sz="0" w:space="0" w:color="auto"/>
      </w:divBdr>
    </w:div>
    <w:div w:id="837231167">
      <w:bodyDiv w:val="1"/>
      <w:marLeft w:val="0"/>
      <w:marRight w:val="0"/>
      <w:marTop w:val="0"/>
      <w:marBottom w:val="0"/>
      <w:divBdr>
        <w:top w:val="none" w:sz="0" w:space="0" w:color="auto"/>
        <w:left w:val="none" w:sz="0" w:space="0" w:color="auto"/>
        <w:bottom w:val="none" w:sz="0" w:space="0" w:color="auto"/>
        <w:right w:val="none" w:sz="0" w:space="0" w:color="auto"/>
      </w:divBdr>
    </w:div>
    <w:div w:id="891305344">
      <w:bodyDiv w:val="1"/>
      <w:marLeft w:val="0"/>
      <w:marRight w:val="0"/>
      <w:marTop w:val="0"/>
      <w:marBottom w:val="0"/>
      <w:divBdr>
        <w:top w:val="none" w:sz="0" w:space="0" w:color="auto"/>
        <w:left w:val="none" w:sz="0" w:space="0" w:color="auto"/>
        <w:bottom w:val="none" w:sz="0" w:space="0" w:color="auto"/>
        <w:right w:val="none" w:sz="0" w:space="0" w:color="auto"/>
      </w:divBdr>
    </w:div>
    <w:div w:id="917441041">
      <w:bodyDiv w:val="1"/>
      <w:marLeft w:val="0"/>
      <w:marRight w:val="0"/>
      <w:marTop w:val="0"/>
      <w:marBottom w:val="0"/>
      <w:divBdr>
        <w:top w:val="none" w:sz="0" w:space="0" w:color="auto"/>
        <w:left w:val="none" w:sz="0" w:space="0" w:color="auto"/>
        <w:bottom w:val="none" w:sz="0" w:space="0" w:color="auto"/>
        <w:right w:val="none" w:sz="0" w:space="0" w:color="auto"/>
      </w:divBdr>
    </w:div>
    <w:div w:id="995915399">
      <w:bodyDiv w:val="1"/>
      <w:marLeft w:val="0"/>
      <w:marRight w:val="0"/>
      <w:marTop w:val="0"/>
      <w:marBottom w:val="0"/>
      <w:divBdr>
        <w:top w:val="none" w:sz="0" w:space="0" w:color="auto"/>
        <w:left w:val="none" w:sz="0" w:space="0" w:color="auto"/>
        <w:bottom w:val="none" w:sz="0" w:space="0" w:color="auto"/>
        <w:right w:val="none" w:sz="0" w:space="0" w:color="auto"/>
      </w:divBdr>
    </w:div>
    <w:div w:id="1020083821">
      <w:bodyDiv w:val="1"/>
      <w:marLeft w:val="0"/>
      <w:marRight w:val="0"/>
      <w:marTop w:val="0"/>
      <w:marBottom w:val="0"/>
      <w:divBdr>
        <w:top w:val="none" w:sz="0" w:space="0" w:color="auto"/>
        <w:left w:val="none" w:sz="0" w:space="0" w:color="auto"/>
        <w:bottom w:val="none" w:sz="0" w:space="0" w:color="auto"/>
        <w:right w:val="none" w:sz="0" w:space="0" w:color="auto"/>
      </w:divBdr>
    </w:div>
    <w:div w:id="1047681523">
      <w:bodyDiv w:val="1"/>
      <w:marLeft w:val="0"/>
      <w:marRight w:val="0"/>
      <w:marTop w:val="0"/>
      <w:marBottom w:val="0"/>
      <w:divBdr>
        <w:top w:val="none" w:sz="0" w:space="0" w:color="auto"/>
        <w:left w:val="none" w:sz="0" w:space="0" w:color="auto"/>
        <w:bottom w:val="none" w:sz="0" w:space="0" w:color="auto"/>
        <w:right w:val="none" w:sz="0" w:space="0" w:color="auto"/>
      </w:divBdr>
    </w:div>
    <w:div w:id="1047878406">
      <w:bodyDiv w:val="1"/>
      <w:marLeft w:val="0"/>
      <w:marRight w:val="0"/>
      <w:marTop w:val="0"/>
      <w:marBottom w:val="0"/>
      <w:divBdr>
        <w:top w:val="none" w:sz="0" w:space="0" w:color="auto"/>
        <w:left w:val="none" w:sz="0" w:space="0" w:color="auto"/>
        <w:bottom w:val="none" w:sz="0" w:space="0" w:color="auto"/>
        <w:right w:val="none" w:sz="0" w:space="0" w:color="auto"/>
      </w:divBdr>
    </w:div>
    <w:div w:id="1082993466">
      <w:bodyDiv w:val="1"/>
      <w:marLeft w:val="0"/>
      <w:marRight w:val="0"/>
      <w:marTop w:val="0"/>
      <w:marBottom w:val="0"/>
      <w:divBdr>
        <w:top w:val="none" w:sz="0" w:space="0" w:color="auto"/>
        <w:left w:val="none" w:sz="0" w:space="0" w:color="auto"/>
        <w:bottom w:val="none" w:sz="0" w:space="0" w:color="auto"/>
        <w:right w:val="none" w:sz="0" w:space="0" w:color="auto"/>
      </w:divBdr>
    </w:div>
    <w:div w:id="1128662333">
      <w:bodyDiv w:val="1"/>
      <w:marLeft w:val="0"/>
      <w:marRight w:val="0"/>
      <w:marTop w:val="0"/>
      <w:marBottom w:val="0"/>
      <w:divBdr>
        <w:top w:val="none" w:sz="0" w:space="0" w:color="auto"/>
        <w:left w:val="none" w:sz="0" w:space="0" w:color="auto"/>
        <w:bottom w:val="none" w:sz="0" w:space="0" w:color="auto"/>
        <w:right w:val="none" w:sz="0" w:space="0" w:color="auto"/>
      </w:divBdr>
    </w:div>
    <w:div w:id="1131752688">
      <w:bodyDiv w:val="1"/>
      <w:marLeft w:val="0"/>
      <w:marRight w:val="0"/>
      <w:marTop w:val="0"/>
      <w:marBottom w:val="0"/>
      <w:divBdr>
        <w:top w:val="none" w:sz="0" w:space="0" w:color="auto"/>
        <w:left w:val="none" w:sz="0" w:space="0" w:color="auto"/>
        <w:bottom w:val="none" w:sz="0" w:space="0" w:color="auto"/>
        <w:right w:val="none" w:sz="0" w:space="0" w:color="auto"/>
      </w:divBdr>
    </w:div>
    <w:div w:id="1174690736">
      <w:bodyDiv w:val="1"/>
      <w:marLeft w:val="0"/>
      <w:marRight w:val="0"/>
      <w:marTop w:val="0"/>
      <w:marBottom w:val="0"/>
      <w:divBdr>
        <w:top w:val="none" w:sz="0" w:space="0" w:color="auto"/>
        <w:left w:val="none" w:sz="0" w:space="0" w:color="auto"/>
        <w:bottom w:val="none" w:sz="0" w:space="0" w:color="auto"/>
        <w:right w:val="none" w:sz="0" w:space="0" w:color="auto"/>
      </w:divBdr>
    </w:div>
    <w:div w:id="1255016491">
      <w:bodyDiv w:val="1"/>
      <w:marLeft w:val="0"/>
      <w:marRight w:val="0"/>
      <w:marTop w:val="0"/>
      <w:marBottom w:val="0"/>
      <w:divBdr>
        <w:top w:val="none" w:sz="0" w:space="0" w:color="auto"/>
        <w:left w:val="none" w:sz="0" w:space="0" w:color="auto"/>
        <w:bottom w:val="none" w:sz="0" w:space="0" w:color="auto"/>
        <w:right w:val="none" w:sz="0" w:space="0" w:color="auto"/>
      </w:divBdr>
    </w:div>
    <w:div w:id="1300377917">
      <w:bodyDiv w:val="1"/>
      <w:marLeft w:val="0"/>
      <w:marRight w:val="0"/>
      <w:marTop w:val="0"/>
      <w:marBottom w:val="0"/>
      <w:divBdr>
        <w:top w:val="none" w:sz="0" w:space="0" w:color="auto"/>
        <w:left w:val="none" w:sz="0" w:space="0" w:color="auto"/>
        <w:bottom w:val="none" w:sz="0" w:space="0" w:color="auto"/>
        <w:right w:val="none" w:sz="0" w:space="0" w:color="auto"/>
      </w:divBdr>
    </w:div>
    <w:div w:id="1302270970">
      <w:bodyDiv w:val="1"/>
      <w:marLeft w:val="0"/>
      <w:marRight w:val="0"/>
      <w:marTop w:val="0"/>
      <w:marBottom w:val="0"/>
      <w:divBdr>
        <w:top w:val="none" w:sz="0" w:space="0" w:color="auto"/>
        <w:left w:val="none" w:sz="0" w:space="0" w:color="auto"/>
        <w:bottom w:val="none" w:sz="0" w:space="0" w:color="auto"/>
        <w:right w:val="none" w:sz="0" w:space="0" w:color="auto"/>
      </w:divBdr>
    </w:div>
    <w:div w:id="1306084474">
      <w:bodyDiv w:val="1"/>
      <w:marLeft w:val="0"/>
      <w:marRight w:val="0"/>
      <w:marTop w:val="0"/>
      <w:marBottom w:val="0"/>
      <w:divBdr>
        <w:top w:val="none" w:sz="0" w:space="0" w:color="auto"/>
        <w:left w:val="none" w:sz="0" w:space="0" w:color="auto"/>
        <w:bottom w:val="none" w:sz="0" w:space="0" w:color="auto"/>
        <w:right w:val="none" w:sz="0" w:space="0" w:color="auto"/>
      </w:divBdr>
    </w:div>
    <w:div w:id="1309284998">
      <w:bodyDiv w:val="1"/>
      <w:marLeft w:val="0"/>
      <w:marRight w:val="0"/>
      <w:marTop w:val="0"/>
      <w:marBottom w:val="0"/>
      <w:divBdr>
        <w:top w:val="none" w:sz="0" w:space="0" w:color="auto"/>
        <w:left w:val="none" w:sz="0" w:space="0" w:color="auto"/>
        <w:bottom w:val="none" w:sz="0" w:space="0" w:color="auto"/>
        <w:right w:val="none" w:sz="0" w:space="0" w:color="auto"/>
      </w:divBdr>
    </w:div>
    <w:div w:id="1335189368">
      <w:bodyDiv w:val="1"/>
      <w:marLeft w:val="0"/>
      <w:marRight w:val="0"/>
      <w:marTop w:val="0"/>
      <w:marBottom w:val="0"/>
      <w:divBdr>
        <w:top w:val="none" w:sz="0" w:space="0" w:color="auto"/>
        <w:left w:val="none" w:sz="0" w:space="0" w:color="auto"/>
        <w:bottom w:val="none" w:sz="0" w:space="0" w:color="auto"/>
        <w:right w:val="none" w:sz="0" w:space="0" w:color="auto"/>
      </w:divBdr>
    </w:div>
    <w:div w:id="1349135597">
      <w:bodyDiv w:val="1"/>
      <w:marLeft w:val="0"/>
      <w:marRight w:val="0"/>
      <w:marTop w:val="0"/>
      <w:marBottom w:val="0"/>
      <w:divBdr>
        <w:top w:val="none" w:sz="0" w:space="0" w:color="auto"/>
        <w:left w:val="none" w:sz="0" w:space="0" w:color="auto"/>
        <w:bottom w:val="none" w:sz="0" w:space="0" w:color="auto"/>
        <w:right w:val="none" w:sz="0" w:space="0" w:color="auto"/>
      </w:divBdr>
    </w:div>
    <w:div w:id="1358190452">
      <w:bodyDiv w:val="1"/>
      <w:marLeft w:val="0"/>
      <w:marRight w:val="0"/>
      <w:marTop w:val="0"/>
      <w:marBottom w:val="0"/>
      <w:divBdr>
        <w:top w:val="none" w:sz="0" w:space="0" w:color="auto"/>
        <w:left w:val="none" w:sz="0" w:space="0" w:color="auto"/>
        <w:bottom w:val="none" w:sz="0" w:space="0" w:color="auto"/>
        <w:right w:val="none" w:sz="0" w:space="0" w:color="auto"/>
      </w:divBdr>
    </w:div>
    <w:div w:id="1403020725">
      <w:bodyDiv w:val="1"/>
      <w:marLeft w:val="0"/>
      <w:marRight w:val="0"/>
      <w:marTop w:val="0"/>
      <w:marBottom w:val="0"/>
      <w:divBdr>
        <w:top w:val="none" w:sz="0" w:space="0" w:color="auto"/>
        <w:left w:val="none" w:sz="0" w:space="0" w:color="auto"/>
        <w:bottom w:val="none" w:sz="0" w:space="0" w:color="auto"/>
        <w:right w:val="none" w:sz="0" w:space="0" w:color="auto"/>
      </w:divBdr>
    </w:div>
    <w:div w:id="1406144461">
      <w:bodyDiv w:val="1"/>
      <w:marLeft w:val="0"/>
      <w:marRight w:val="0"/>
      <w:marTop w:val="0"/>
      <w:marBottom w:val="0"/>
      <w:divBdr>
        <w:top w:val="none" w:sz="0" w:space="0" w:color="auto"/>
        <w:left w:val="none" w:sz="0" w:space="0" w:color="auto"/>
        <w:bottom w:val="none" w:sz="0" w:space="0" w:color="auto"/>
        <w:right w:val="none" w:sz="0" w:space="0" w:color="auto"/>
      </w:divBdr>
    </w:div>
    <w:div w:id="1446846655">
      <w:bodyDiv w:val="1"/>
      <w:marLeft w:val="0"/>
      <w:marRight w:val="0"/>
      <w:marTop w:val="0"/>
      <w:marBottom w:val="0"/>
      <w:divBdr>
        <w:top w:val="none" w:sz="0" w:space="0" w:color="auto"/>
        <w:left w:val="none" w:sz="0" w:space="0" w:color="auto"/>
        <w:bottom w:val="none" w:sz="0" w:space="0" w:color="auto"/>
        <w:right w:val="none" w:sz="0" w:space="0" w:color="auto"/>
      </w:divBdr>
    </w:div>
    <w:div w:id="1471361913">
      <w:bodyDiv w:val="1"/>
      <w:marLeft w:val="0"/>
      <w:marRight w:val="0"/>
      <w:marTop w:val="0"/>
      <w:marBottom w:val="0"/>
      <w:divBdr>
        <w:top w:val="none" w:sz="0" w:space="0" w:color="auto"/>
        <w:left w:val="none" w:sz="0" w:space="0" w:color="auto"/>
        <w:bottom w:val="none" w:sz="0" w:space="0" w:color="auto"/>
        <w:right w:val="none" w:sz="0" w:space="0" w:color="auto"/>
      </w:divBdr>
    </w:div>
    <w:div w:id="1523544419">
      <w:bodyDiv w:val="1"/>
      <w:marLeft w:val="0"/>
      <w:marRight w:val="0"/>
      <w:marTop w:val="0"/>
      <w:marBottom w:val="0"/>
      <w:divBdr>
        <w:top w:val="none" w:sz="0" w:space="0" w:color="auto"/>
        <w:left w:val="none" w:sz="0" w:space="0" w:color="auto"/>
        <w:bottom w:val="none" w:sz="0" w:space="0" w:color="auto"/>
        <w:right w:val="none" w:sz="0" w:space="0" w:color="auto"/>
      </w:divBdr>
    </w:div>
    <w:div w:id="1559976606">
      <w:bodyDiv w:val="1"/>
      <w:marLeft w:val="0"/>
      <w:marRight w:val="0"/>
      <w:marTop w:val="0"/>
      <w:marBottom w:val="0"/>
      <w:divBdr>
        <w:top w:val="none" w:sz="0" w:space="0" w:color="auto"/>
        <w:left w:val="none" w:sz="0" w:space="0" w:color="auto"/>
        <w:bottom w:val="none" w:sz="0" w:space="0" w:color="auto"/>
        <w:right w:val="none" w:sz="0" w:space="0" w:color="auto"/>
      </w:divBdr>
    </w:div>
    <w:div w:id="1661419773">
      <w:bodyDiv w:val="1"/>
      <w:marLeft w:val="0"/>
      <w:marRight w:val="0"/>
      <w:marTop w:val="0"/>
      <w:marBottom w:val="0"/>
      <w:divBdr>
        <w:top w:val="none" w:sz="0" w:space="0" w:color="auto"/>
        <w:left w:val="none" w:sz="0" w:space="0" w:color="auto"/>
        <w:bottom w:val="none" w:sz="0" w:space="0" w:color="auto"/>
        <w:right w:val="none" w:sz="0" w:space="0" w:color="auto"/>
      </w:divBdr>
    </w:div>
    <w:div w:id="1815752320">
      <w:bodyDiv w:val="1"/>
      <w:marLeft w:val="0"/>
      <w:marRight w:val="0"/>
      <w:marTop w:val="0"/>
      <w:marBottom w:val="0"/>
      <w:divBdr>
        <w:top w:val="none" w:sz="0" w:space="0" w:color="auto"/>
        <w:left w:val="none" w:sz="0" w:space="0" w:color="auto"/>
        <w:bottom w:val="none" w:sz="0" w:space="0" w:color="auto"/>
        <w:right w:val="none" w:sz="0" w:space="0" w:color="auto"/>
      </w:divBdr>
    </w:div>
    <w:div w:id="1825196142">
      <w:bodyDiv w:val="1"/>
      <w:marLeft w:val="0"/>
      <w:marRight w:val="0"/>
      <w:marTop w:val="0"/>
      <w:marBottom w:val="0"/>
      <w:divBdr>
        <w:top w:val="none" w:sz="0" w:space="0" w:color="auto"/>
        <w:left w:val="none" w:sz="0" w:space="0" w:color="auto"/>
        <w:bottom w:val="none" w:sz="0" w:space="0" w:color="auto"/>
        <w:right w:val="none" w:sz="0" w:space="0" w:color="auto"/>
      </w:divBdr>
    </w:div>
    <w:div w:id="1885673571">
      <w:bodyDiv w:val="1"/>
      <w:marLeft w:val="0"/>
      <w:marRight w:val="0"/>
      <w:marTop w:val="0"/>
      <w:marBottom w:val="0"/>
      <w:divBdr>
        <w:top w:val="none" w:sz="0" w:space="0" w:color="auto"/>
        <w:left w:val="none" w:sz="0" w:space="0" w:color="auto"/>
        <w:bottom w:val="none" w:sz="0" w:space="0" w:color="auto"/>
        <w:right w:val="none" w:sz="0" w:space="0" w:color="auto"/>
      </w:divBdr>
    </w:div>
    <w:div w:id="1930625169">
      <w:bodyDiv w:val="1"/>
      <w:marLeft w:val="0"/>
      <w:marRight w:val="0"/>
      <w:marTop w:val="0"/>
      <w:marBottom w:val="0"/>
      <w:divBdr>
        <w:top w:val="none" w:sz="0" w:space="0" w:color="auto"/>
        <w:left w:val="none" w:sz="0" w:space="0" w:color="auto"/>
        <w:bottom w:val="none" w:sz="0" w:space="0" w:color="auto"/>
        <w:right w:val="none" w:sz="0" w:space="0" w:color="auto"/>
      </w:divBdr>
    </w:div>
    <w:div w:id="1944410327">
      <w:bodyDiv w:val="1"/>
      <w:marLeft w:val="0"/>
      <w:marRight w:val="0"/>
      <w:marTop w:val="0"/>
      <w:marBottom w:val="0"/>
      <w:divBdr>
        <w:top w:val="none" w:sz="0" w:space="0" w:color="auto"/>
        <w:left w:val="none" w:sz="0" w:space="0" w:color="auto"/>
        <w:bottom w:val="none" w:sz="0" w:space="0" w:color="auto"/>
        <w:right w:val="none" w:sz="0" w:space="0" w:color="auto"/>
      </w:divBdr>
    </w:div>
    <w:div w:id="1955600572">
      <w:bodyDiv w:val="1"/>
      <w:marLeft w:val="0"/>
      <w:marRight w:val="0"/>
      <w:marTop w:val="0"/>
      <w:marBottom w:val="0"/>
      <w:divBdr>
        <w:top w:val="none" w:sz="0" w:space="0" w:color="auto"/>
        <w:left w:val="none" w:sz="0" w:space="0" w:color="auto"/>
        <w:bottom w:val="none" w:sz="0" w:space="0" w:color="auto"/>
        <w:right w:val="none" w:sz="0" w:space="0" w:color="auto"/>
      </w:divBdr>
    </w:div>
    <w:div w:id="2008629582">
      <w:bodyDiv w:val="1"/>
      <w:marLeft w:val="0"/>
      <w:marRight w:val="0"/>
      <w:marTop w:val="0"/>
      <w:marBottom w:val="0"/>
      <w:divBdr>
        <w:top w:val="none" w:sz="0" w:space="0" w:color="auto"/>
        <w:left w:val="none" w:sz="0" w:space="0" w:color="auto"/>
        <w:bottom w:val="none" w:sz="0" w:space="0" w:color="auto"/>
        <w:right w:val="none" w:sz="0" w:space="0" w:color="auto"/>
      </w:divBdr>
    </w:div>
    <w:div w:id="2040660787">
      <w:bodyDiv w:val="1"/>
      <w:marLeft w:val="0"/>
      <w:marRight w:val="0"/>
      <w:marTop w:val="0"/>
      <w:marBottom w:val="0"/>
      <w:divBdr>
        <w:top w:val="none" w:sz="0" w:space="0" w:color="auto"/>
        <w:left w:val="none" w:sz="0" w:space="0" w:color="auto"/>
        <w:bottom w:val="none" w:sz="0" w:space="0" w:color="auto"/>
        <w:right w:val="none" w:sz="0" w:space="0" w:color="auto"/>
      </w:divBdr>
    </w:div>
    <w:div w:id="2064867913">
      <w:bodyDiv w:val="1"/>
      <w:marLeft w:val="0"/>
      <w:marRight w:val="0"/>
      <w:marTop w:val="0"/>
      <w:marBottom w:val="0"/>
      <w:divBdr>
        <w:top w:val="none" w:sz="0" w:space="0" w:color="auto"/>
        <w:left w:val="none" w:sz="0" w:space="0" w:color="auto"/>
        <w:bottom w:val="none" w:sz="0" w:space="0" w:color="auto"/>
        <w:right w:val="none" w:sz="0" w:space="0" w:color="auto"/>
      </w:divBdr>
    </w:div>
    <w:div w:id="2098356916">
      <w:bodyDiv w:val="1"/>
      <w:marLeft w:val="0"/>
      <w:marRight w:val="0"/>
      <w:marTop w:val="0"/>
      <w:marBottom w:val="0"/>
      <w:divBdr>
        <w:top w:val="none" w:sz="0" w:space="0" w:color="auto"/>
        <w:left w:val="none" w:sz="0" w:space="0" w:color="auto"/>
        <w:bottom w:val="none" w:sz="0" w:space="0" w:color="auto"/>
        <w:right w:val="none" w:sz="0" w:space="0" w:color="auto"/>
      </w:divBdr>
    </w:div>
    <w:div w:id="2132741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Wil06</b:Tag>
    <b:SourceType>BookSection</b:SourceType>
    <b:Guid>{F949E51B-5ED6-43A5-B15C-74A759FD228B}</b:Guid>
    <b:Title>The Warren Cup</b:Title>
    <b:Year>2006</b:Year>
    <b:Publisher>The British Museum Press</b:Publisher>
    <b:Author>
      <b:Author>
        <b:NameList>
          <b:Person>
            <b:Last>Williams</b:Last>
            <b:First>Dyfri</b:First>
          </b:Person>
        </b:NameList>
      </b:Author>
    </b:Author>
    <b:BookTitle>British Museum Objects in Focus</b:BookTitle>
    <b:RefOrder>1</b:RefOrder>
  </b:Source>
  <b:Source>
    <b:Tag>The14</b:Tag>
    <b:SourceType>InternetSite</b:SourceType>
    <b:Guid>{527F08D6-D747-4CEF-84C5-AD0DE617ACD9}</b:Guid>
    <b:Title>The Warren Cup</b:Title>
    <b:Year>2014</b:Year>
    <b:YearAccessed>2020</b:YearAccessed>
    <b:MonthAccessed>November</b:MonthAccessed>
    <b:DayAccessed>3</b:DayAccessed>
    <b:URL>https://www.britishmuseum.org/collection/object/G_1999-0426-1</b:URL>
    <b:Author>
      <b:Author>
        <b:Corporate>British Museum</b:Corporate>
      </b:Author>
    </b:Author>
    <b:RefOrder>3</b:RefOrder>
  </b:Source>
  <b:Source>
    <b:Tag>Ski13</b:Tag>
    <b:SourceType>Book</b:SourceType>
    <b:Guid>{2702D5D4-9418-4AB6-A7A6-084C38907CAD}</b:Guid>
    <b:Title>Sexuality in Greek and Roman Culture</b:Title>
    <b:Year>2013</b:Year>
    <b:Publisher>John Wiley &amp; Sons</b:Publisher>
    <b:Author>
      <b:Author>
        <b:NameList>
          <b:Person>
            <b:Last>Skinner</b:Last>
            <b:Middle>B</b:Middle>
            <b:First>Marilyn</b:First>
          </b:Person>
        </b:NameList>
      </b:Author>
    </b:Author>
    <b:RefOrder>2</b:RefOrder>
  </b:Source>
  <b:Source>
    <b:Tag>Cla93</b:Tag>
    <b:SourceType>JournalArticle</b:SourceType>
    <b:Guid>{01F29A25-7F2D-4006-BF8D-F9EA116AE093}</b:Guid>
    <b:Title>The Warren Cup and the Contexts for Representations of Male-to-Male Lovemaking in Augustan and Early Julio-Claudian Art</b:Title>
    <b:Year>1993</b:Year>
    <b:JournalName>The Art Bulletin</b:JournalName>
    <b:Pages>275-294</b:Pages>
    <b:Volume>75</b:Volume>
    <b:Issue>2</b:Issue>
    <b:Author>
      <b:Author>
        <b:NameList>
          <b:Person>
            <b:Last>Clarke</b:Last>
            <b:Middle>R</b:Middle>
            <b:First>John</b:First>
          </b:Person>
        </b:NameList>
      </b:Author>
    </b:Author>
    <b:RefOrder>5</b:RefOrder>
  </b:Source>
  <b:Source>
    <b:Tag>Pol99</b:Tag>
    <b:SourceType>JournalArticle</b:SourceType>
    <b:Guid>{406085B0-68AC-4849-BD22-17081ED221E4}</b:Guid>
    <b:Title>The Warren Cup: Homoerotic Love and Symposial Rhetoric in Silver</b:Title>
    <b:JournalName>The Art Bulletin</b:JournalName>
    <b:Year>1999</b:Year>
    <b:Pages>21-52</b:Pages>
    <b:Volume>81</b:Volume>
    <b:Issue>1</b:Issue>
    <b:Author>
      <b:Author>
        <b:NameList>
          <b:Person>
            <b:Last>Pollini</b:Last>
            <b:First>John</b:First>
          </b:Person>
        </b:NameList>
      </b:Author>
    </b:Author>
    <b:RefOrder>4</b:RefOrder>
  </b:Source>
  <b:Source>
    <b:Tag>Hub03</b:Tag>
    <b:SourceType>Book</b:SourceType>
    <b:Guid>{111DDD38-310E-4CB8-BC97-2BF2480230C7}</b:Guid>
    <b:Author>
      <b:Author>
        <b:NameList>
          <b:Person>
            <b:Last>Hubbard</b:Last>
            <b:Middle>K</b:Middle>
            <b:First>Thomas</b:First>
          </b:Person>
        </b:NameList>
      </b:Author>
    </b:Author>
    <b:Title>Homosexuality in Greece and Rome: A Sourcebook of Basic Documents</b:Title>
    <b:Year>2003</b:Year>
    <b:Publisher>University of California Press</b:Publisher>
    <b:Edition>1</b:Edition>
    <b:RefOrder>6</b:RefOrder>
  </b:Source>
  <b:Source>
    <b:Tag>Dov89</b:Tag>
    <b:SourceType>Book</b:SourceType>
    <b:Guid>{9DEA946E-4D77-48AD-9C3A-A0DB2AA164A1}</b:Guid>
    <b:Title>Greek Homosexuality</b:Title>
    <b:Year>1989</b:Year>
    <b:City>Cambridge, Massachusetts</b:City>
    <b:Publisher>Harvard University Press</b:Publisher>
    <b:Author>
      <b:Author>
        <b:NameList>
          <b:Person>
            <b:Last>Dover</b:Last>
            <b:Middle>J</b:Middle>
            <b:First>Kenneth</b:First>
          </b:Person>
        </b:NameList>
      </b:Author>
    </b:Author>
    <b:RefOrder>7</b:RefOrder>
  </b:Source>
  <b:Source>
    <b:Tag>Ken06</b:Tag>
    <b:SourceType>InternetSite</b:SourceType>
    <b:Guid>{74E796D3-B66D-47CE-8D57-63F9085D9F94}</b:Guid>
    <b:Title>The Observer</b:Title>
    <b:Year>2006</b:Year>
    <b:Author>
      <b:Author>
        <b:NameList>
          <b:Person>
            <b:Last>Kennedy</b:Last>
            <b:First>Maev</b:First>
          </b:Person>
        </b:NameList>
      </b:Author>
    </b:Author>
    <b:YearAccessed>2020</b:YearAccessed>
    <b:MonthAccessed>November</b:MonthAccessed>
    <b:DayAccessed>20</b:DayAccessed>
    <b:URL>https://www.theguardian.com/uk/2006/may/12/arts.artsnews</b:URL>
    <b:RefOrder>8</b:RefOrder>
  </b:Source>
  <b:Source>
    <b:Tag>Ver63</b:Tag>
    <b:SourceType>JournalArticle</b:SourceType>
    <b:Guid>{D4438184-C19A-48D8-9C8D-256CD33CD1C5}</b:Guid>
    <b:Title>Augustan and Julio-Claudian Court Silver</b:Title>
    <b:Year>1963</b:Year>
    <b:Author>
      <b:Author>
        <b:NameList>
          <b:Person>
            <b:Last>Vermeule</b:Last>
            <b:First>C</b:First>
          </b:Person>
        </b:NameList>
      </b:Author>
    </b:Author>
    <b:JournalName>Antike Kunst</b:JournalName>
    <b:Pages>33-46</b:Pages>
    <b:Volume>6</b:Volume>
    <b:RefOrder>13</b:RefOrder>
  </b:Source>
  <b:Source>
    <b:Tag>BBC10</b:Tag>
    <b:SourceType>Misc</b:SourceType>
    <b:Guid>{FBA48934-857E-424C-AB7D-717DBD275908}</b:Guid>
    <b:Title>A History of the World in 100 Objects</b:Title>
    <b:Year>2010</b:Year>
    <b:ProductionCompany>BBC</b:ProductionCompany>
    <b:City>London</b:City>
    <b:Author>
      <b:Author>
        <b:Corporate>BBC</b:Corporate>
      </b:Author>
    </b:Author>
    <b:Month>May</b:Month>
    <b:Day>24</b:Day>
    <b:RefOrder>9</b:RefOrder>
  </b:Source>
  <b:Source>
    <b:Tag>Rog06</b:Tag>
    <b:SourceType>Book</b:SourceType>
    <b:Guid>{94179F53-23DE-4D3F-B42E-AA60833CB3F9}</b:Guid>
    <b:Title>The Insula of the Menander at Pompeii : The Silver Treasure</b:Title>
    <b:Year>2001</b:Year>
    <b:City>Oxford</b:City>
    <b:Publisher>Clarendon Press</b:Publisher>
    <b:Author>
      <b:Author>
        <b:NameList>
          <b:Person>
            <b:Last>Painter</b:Last>
            <b:Middle>S</b:Middle>
            <b:First>Kenneth</b:First>
          </b:Person>
        </b:NameList>
      </b:Author>
    </b:Author>
    <b:Volume>IV</b:Volume>
    <b:RefOrder>10</b:RefOrder>
  </b:Source>
  <b:Source>
    <b:Tag>Sen25</b:Tag>
    <b:SourceType>Book</b:SourceType>
    <b:Guid>{56CECF07-7401-46A8-8E94-C974F38BA734}</b:Guid>
    <b:Author>
      <b:Author>
        <b:NameList>
          <b:Person>
            <b:Last>Seneca</b:Last>
          </b:Person>
        </b:NameList>
      </b:Author>
      <b:Translator>
        <b:NameList>
          <b:Person>
            <b:Last>Gummere</b:Last>
            <b:First>Richard</b:First>
          </b:Person>
        </b:NameList>
      </b:Translator>
    </b:Author>
    <b:Title>Epistles 93-124</b:Title>
    <b:Year>1925</b:Year>
    <b:City>Cambridge, MA</b:City>
    <b:Publisher>Harvard University Press</b:Publisher>
    <b:Volume>3</b:Volume>
    <b:RefOrder>12</b:RefOrder>
  </b:Source>
  <b:Source>
    <b:Tag>Hin01</b:Tag>
    <b:SourceType>Book</b:SourceType>
    <b:Guid>{2731FC28-31BA-46E9-A7D0-BB33EF771210}</b:Guid>
    <b:Title>Puerilities: Erotic Epigrams of The Greek Anthology</b:Title>
    <b:Year>2001</b:Year>
    <b:Publisher>Princeton University Press</b:Publisher>
    <b:Author>
      <b:Author>
        <b:NameList>
          <b:Person>
            <b:Last>Hine</b:Last>
            <b:First>Daryl</b:First>
          </b:Person>
        </b:NameList>
      </b:Author>
    </b:Author>
    <b:RefOrder>11</b:RefOrder>
  </b:Source>
  <b:Source>
    <b:Tag>Par97</b:Tag>
    <b:SourceType>BookSection</b:SourceType>
    <b:Guid>{8DD31CD4-50F0-481F-A127-A917F73C0989}</b:Guid>
    <b:Title>The Teratogenic Grid</b:Title>
    <b:Year>1997</b:Year>
    <b:City>Princeton</b:City>
    <b:Publisher>Princeton University Press</b:Publisher>
    <b:BookTitle>Roman Sexualities</b:BookTitle>
    <b:Pages>47-65</b:Pages>
    <b:Author>
      <b:Author>
        <b:NameList>
          <b:Person>
            <b:Last>Parker</b:Last>
            <b:Middle>N</b:Middle>
            <b:First>Holt</b:First>
          </b:Person>
        </b:NameList>
      </b:Author>
      <b:BookAuthor>
        <b:NameList>
          <b:Person>
            <b:Last>Hallett</b:Last>
            <b:Middle>P</b:Middle>
            <b:First>Judith</b:First>
          </b:Person>
          <b:Person>
            <b:Last>Skinner</b:Last>
            <b:Middle>B</b:Middle>
            <b:First>Marilyn</b:First>
          </b:Person>
        </b:NameList>
      </b:BookAuthor>
    </b:Author>
    <b:RefOrder>15</b:RefOrder>
  </b:Source>
  <b:Source>
    <b:Tag>Bur02</b:Tag>
    <b:SourceType>Book</b:SourceType>
    <b:Guid>{50449BD3-3CDD-4584-A8FD-5D07F142429A}</b:Guid>
    <b:Title>Gay Warriors</b:Title>
    <b:Year>2002</b:Year>
    <b:City>New York</b:City>
    <b:Publisher>New York University Press</b:Publisher>
    <b:Author>
      <b:Author>
        <b:NameList>
          <b:Person>
            <b:Last>Burg</b:Last>
            <b:Middle>R.</b:Middle>
            <b:First>B.</b:First>
          </b:Person>
        </b:NameList>
      </b:Author>
    </b:Author>
    <b:RefOrder>14</b:RefOrder>
  </b:Source>
</b:Sources>
</file>

<file path=customXml/itemProps1.xml><?xml version="1.0" encoding="utf-8"?>
<ds:datastoreItem xmlns:ds="http://schemas.openxmlformats.org/officeDocument/2006/customXml" ds:itemID="{C36E663C-A646-4054-8787-23625ABB7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6</Pages>
  <Words>2519</Words>
  <Characters>14362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Kaspian Oaken</dc:creator>
  <cp:keywords/>
  <dc:description/>
  <cp:lastModifiedBy>Kaspian Oaken</cp:lastModifiedBy>
  <cp:revision>10</cp:revision>
  <dcterms:created xsi:type="dcterms:W3CDTF">2020-11-20T15:18:00Z</dcterms:created>
  <dcterms:modified xsi:type="dcterms:W3CDTF">2020-11-20T22:01:00Z</dcterms:modified>
</cp:coreProperties>
</file>