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11AEC072" w:rsidP="11AEC072" w:rsidRDefault="11AEC072" w14:paraId="44DE1B73" w14:textId="7926252B">
      <w:pPr>
        <w:jc w:val="center"/>
      </w:pPr>
      <w:r w:rsidRPr="11AEC072" w:rsidR="11AEC072">
        <w:rPr>
          <w:rFonts w:ascii="Arial" w:hAnsi="Arial" w:eastAsia="Arial" w:cs="Arial"/>
          <w:b w:val="1"/>
          <w:bCs w:val="1"/>
          <w:i w:val="0"/>
          <w:iCs w:val="0"/>
          <w:strike w:val="0"/>
          <w:dstrike w:val="0"/>
          <w:noProof w:val="0"/>
          <w:color w:val="000000" w:themeColor="text1" w:themeTint="FF" w:themeShade="FF"/>
          <w:sz w:val="22"/>
          <w:szCs w:val="22"/>
          <w:u w:val="single"/>
          <w:lang w:val="en-GB"/>
        </w:rPr>
        <w:t>A critical evaluation and the identification of next teaching and learning steps focusing on a case study of an individual learner or a group of learners, based on an observed critical incident.</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RDefault="11AEC072" w14:paraId="01488543" w14:textId="02E6536B">
      <w:r w:rsidRPr="11AEC072" w:rsidR="11AEC072">
        <w:rPr>
          <w:rFonts w:ascii="Arial" w:hAnsi="Arial" w:eastAsia="Arial" w:cs="Arial"/>
          <w:b w:val="1"/>
          <w:bCs w:val="1"/>
          <w:i w:val="0"/>
          <w:iCs w:val="0"/>
          <w:strike w:val="0"/>
          <w:dstrike w:val="0"/>
          <w:noProof w:val="0"/>
          <w:color w:val="000000" w:themeColor="text1" w:themeTint="FF" w:themeShade="FF"/>
          <w:sz w:val="22"/>
          <w:szCs w:val="22"/>
          <w:u w:val="none"/>
          <w:lang w:val="en-GB"/>
        </w:rPr>
        <w:t>Introduction</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RDefault="11AEC072" w14:paraId="61214A68" w14:textId="7B717537">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This essay is a critical evaluation and an identification of the next teaching and learning steps focusing on a case study of an individual learner or a group of learners, based on a critical incident I observed. A critical incident can be defined as ‘an interpretation of the significance of an event. To take something as a critical incident is a value judgment we make, and the basis of that judgment is a significance we attach to the meaning of the incident’ (Tripp, 1993). The use of the word ‘critical’ can cause confusion to the meaning, as rather than it being an incident, in which is ‘critical’, it is a ‘typical’ everyday incident in which is analysed critically.  </w:t>
      </w:r>
    </w:p>
    <w:p w:rsidR="11AEC072" w:rsidRDefault="11AEC072" w14:paraId="6BF8113B" w14:textId="0BB54FAD">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Before delving further into the essay, I believe providing the structure and how the essay will be laid out is necessary. Following this introduction, the essay will look at the role of critical reflection, by discussing reflective models and linking to the professional standards for teaching. Next, will be providing context to the observation setting, ensuring the compliance of BERA. This will lead into the next section in which the critical incident will be discussed, providing a link to at least one of the four purposes for the curriculum of Wales. Following this, will be the literature review, in which literature will be linked to the critical incident, with a critical conclusion. Next, will be the reflection and evaluation, using a reflective model. Finally, concluding and summarising the areas discussed and linking to the professional standards for teaching and leadership.   </w:t>
      </w:r>
    </w:p>
    <w:p w:rsidR="11AEC072" w:rsidP="11AEC072" w:rsidRDefault="11AEC072" w14:paraId="6EED4944" w14:textId="406C2B9A">
      <w:pPr>
        <w:rPr>
          <w:rFonts w:ascii="Arial" w:hAnsi="Arial" w:eastAsia="Arial" w:cs="Arial"/>
          <w:b w:val="1"/>
          <w:bCs w:val="1"/>
          <w:i w:val="0"/>
          <w:iCs w:val="0"/>
          <w:strike w:val="0"/>
          <w:dstrike w:val="0"/>
          <w:noProof w:val="0"/>
          <w:color w:val="000000" w:themeColor="text1" w:themeTint="FF" w:themeShade="FF"/>
          <w:sz w:val="22"/>
          <w:szCs w:val="22"/>
          <w:u w:val="none"/>
          <w:lang w:val="en-GB"/>
        </w:rPr>
      </w:pPr>
    </w:p>
    <w:p w:rsidR="11AEC072" w:rsidRDefault="11AEC072" w14:paraId="79A75BB7" w14:textId="55AAE521">
      <w:r w:rsidRPr="11AEC072" w:rsidR="11AEC072">
        <w:rPr>
          <w:rFonts w:ascii="Arial" w:hAnsi="Arial" w:eastAsia="Arial" w:cs="Arial"/>
          <w:b w:val="1"/>
          <w:bCs w:val="1"/>
          <w:i w:val="0"/>
          <w:iCs w:val="0"/>
          <w:strike w:val="0"/>
          <w:dstrike w:val="0"/>
          <w:noProof w:val="0"/>
          <w:color w:val="000000" w:themeColor="text1" w:themeTint="FF" w:themeShade="FF"/>
          <w:sz w:val="22"/>
          <w:szCs w:val="22"/>
          <w:u w:val="none"/>
          <w:lang w:val="en-GB"/>
        </w:rPr>
        <w:t>The role of critical reflection</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RDefault="11AEC072" w14:paraId="7D11B0EE" w14:textId="39585A79">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When observing and assessing your own or another’s teaching in practice, it is important to reflect. Winch et al. (2013) supports this by suggesting that to have the capacity to critically reflect is a hallmark of the professional teacher</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addition good teaching is developed through interrogating practice and making assumptions and values that underpin it. Dewey (1993) believes that you can’t just reflect, you need three key attributes to be a reflective individual, those three being: </w:t>
      </w:r>
    </w:p>
    <w:p w:rsidR="11AEC072" w:rsidP="11AEC072" w:rsidRDefault="11AEC072" w14:paraId="60BF51CA" w14:textId="4A6FC7FE">
      <w:pPr>
        <w:pStyle w:val="ListParagraph"/>
        <w:numPr>
          <w:ilvl w:val="0"/>
          <w:numId w:val="3"/>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Open-Mindedness  </w:t>
      </w:r>
    </w:p>
    <w:p w:rsidR="11AEC072" w:rsidP="11AEC072" w:rsidRDefault="11AEC072" w14:paraId="03036673" w14:textId="75C55410">
      <w:pPr>
        <w:pStyle w:val="ListParagraph"/>
        <w:numPr>
          <w:ilvl w:val="0"/>
          <w:numId w:val="3"/>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Responsibility  </w:t>
      </w:r>
    </w:p>
    <w:p w:rsidR="11AEC072" w:rsidP="11AEC072" w:rsidRDefault="11AEC072" w14:paraId="20407E7E" w14:textId="703B2CF4">
      <w:pPr>
        <w:pStyle w:val="ListParagraph"/>
        <w:numPr>
          <w:ilvl w:val="0"/>
          <w:numId w:val="3"/>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Wholeheartedness  </w:t>
      </w:r>
    </w:p>
    <w:p w:rsidR="11AEC072" w:rsidRDefault="11AEC072" w14:paraId="5598973F" w14:textId="7D05E9F2">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When reflecting it is suggested and advantageous to use a reflective model, some of the well-known and regularly used models are; Kolbs (1975 and 1984), Gibbs (1988), Schon (1978) and Brookfield (1998 and 2005). The one in which I feel will help my reflection and professional development is Gibbs’ (1988) reflective model. This cycle consists of 6 stages: </w:t>
      </w:r>
    </w:p>
    <w:p w:rsidR="11AEC072" w:rsidP="11AEC072" w:rsidRDefault="11AEC072" w14:paraId="19279D79" w14:textId="1D2F6FF8">
      <w:pPr>
        <w:pStyle w:val="ListParagraph"/>
        <w:numPr>
          <w:ilvl w:val="0"/>
          <w:numId w:val="3"/>
        </w:numPr>
        <w:rPr>
          <w:rFonts w:ascii="Arial" w:hAnsi="Arial" w:eastAsia="Arial" w:cs="Arial" w:asciiTheme="minorAscii" w:hAnsiTheme="minorAscii" w:eastAsiaTheme="minorAscii" w:cstheme="minorAscii"/>
          <w:b w:val="1"/>
          <w:bCs w:val="1"/>
          <w:i w:val="0"/>
          <w:iCs w:val="0"/>
          <w:color w:val="000000" w:themeColor="text1" w:themeTint="FF" w:themeShade="FF"/>
          <w:sz w:val="22"/>
          <w:szCs w:val="22"/>
        </w:rPr>
      </w:pPr>
      <w:r w:rsidRPr="11AEC072" w:rsidR="11AEC072">
        <w:rPr>
          <w:rFonts w:ascii="Arial" w:hAnsi="Arial" w:eastAsia="Arial" w:cs="Arial"/>
          <w:b w:val="1"/>
          <w:bCs w:val="1"/>
          <w:i w:val="0"/>
          <w:iCs w:val="0"/>
          <w:strike w:val="0"/>
          <w:dstrike w:val="0"/>
          <w:noProof w:val="0"/>
          <w:color w:val="000000" w:themeColor="text1" w:themeTint="FF" w:themeShade="FF"/>
          <w:sz w:val="22"/>
          <w:szCs w:val="22"/>
          <w:u w:val="none"/>
          <w:lang w:val="en-GB"/>
        </w:rPr>
        <w:t>Description</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of experience </w:t>
      </w:r>
    </w:p>
    <w:p w:rsidR="11AEC072" w:rsidP="11AEC072" w:rsidRDefault="11AEC072" w14:paraId="7014C99E" w14:textId="115195BB">
      <w:pPr>
        <w:pStyle w:val="ListParagraph"/>
        <w:numPr>
          <w:ilvl w:val="0"/>
          <w:numId w:val="3"/>
        </w:numPr>
        <w:rPr>
          <w:rFonts w:ascii="Arial" w:hAnsi="Arial" w:eastAsia="Arial" w:cs="Arial" w:asciiTheme="minorAscii" w:hAnsiTheme="minorAscii" w:eastAsiaTheme="minorAscii" w:cstheme="minorAscii"/>
          <w:b w:val="1"/>
          <w:bCs w:val="1"/>
          <w:i w:val="0"/>
          <w:iCs w:val="0"/>
          <w:color w:val="000000" w:themeColor="text1" w:themeTint="FF" w:themeShade="FF"/>
          <w:sz w:val="22"/>
          <w:szCs w:val="22"/>
        </w:rPr>
      </w:pPr>
      <w:r w:rsidRPr="11AEC072" w:rsidR="11AEC072">
        <w:rPr>
          <w:rFonts w:ascii="Arial" w:hAnsi="Arial" w:eastAsia="Arial" w:cs="Arial"/>
          <w:b w:val="1"/>
          <w:bCs w:val="1"/>
          <w:i w:val="0"/>
          <w:iCs w:val="0"/>
          <w:strike w:val="0"/>
          <w:dstrike w:val="0"/>
          <w:noProof w:val="0"/>
          <w:color w:val="000000" w:themeColor="text1" w:themeTint="FF" w:themeShade="FF"/>
          <w:sz w:val="22"/>
          <w:szCs w:val="22"/>
          <w:u w:val="none"/>
          <w:lang w:val="en-GB"/>
        </w:rPr>
        <w:t>Feelings</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thoughts about the experience  </w:t>
      </w:r>
    </w:p>
    <w:p w:rsidR="11AEC072" w:rsidP="11AEC072" w:rsidRDefault="11AEC072" w14:paraId="03353BBE" w14:textId="52A894CB">
      <w:pPr>
        <w:pStyle w:val="ListParagraph"/>
        <w:numPr>
          <w:ilvl w:val="0"/>
          <w:numId w:val="3"/>
        </w:numPr>
        <w:rPr>
          <w:rFonts w:ascii="Arial" w:hAnsi="Arial" w:eastAsia="Arial" w:cs="Arial" w:asciiTheme="minorAscii" w:hAnsiTheme="minorAscii" w:eastAsiaTheme="minorAscii" w:cstheme="minorAscii"/>
          <w:b w:val="1"/>
          <w:bCs w:val="1"/>
          <w:i w:val="0"/>
          <w:iCs w:val="0"/>
          <w:color w:val="000000" w:themeColor="text1" w:themeTint="FF" w:themeShade="FF"/>
          <w:sz w:val="22"/>
          <w:szCs w:val="22"/>
        </w:rPr>
      </w:pPr>
      <w:r w:rsidRPr="11AEC072" w:rsidR="11AEC072">
        <w:rPr>
          <w:rFonts w:ascii="Arial" w:hAnsi="Arial" w:eastAsia="Arial" w:cs="Arial"/>
          <w:b w:val="1"/>
          <w:bCs w:val="1"/>
          <w:i w:val="0"/>
          <w:iCs w:val="0"/>
          <w:strike w:val="0"/>
          <w:dstrike w:val="0"/>
          <w:noProof w:val="0"/>
          <w:color w:val="000000" w:themeColor="text1" w:themeTint="FF" w:themeShade="FF"/>
          <w:sz w:val="22"/>
          <w:szCs w:val="22"/>
          <w:u w:val="none"/>
          <w:lang w:val="en-GB"/>
        </w:rPr>
        <w:t>Evaluation</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of the experience, both good and bad </w:t>
      </w:r>
    </w:p>
    <w:p w:rsidR="11AEC072" w:rsidP="11AEC072" w:rsidRDefault="11AEC072" w14:paraId="33698680" w14:textId="206C3BB9">
      <w:pPr>
        <w:pStyle w:val="ListParagraph"/>
        <w:numPr>
          <w:ilvl w:val="0"/>
          <w:numId w:val="3"/>
        </w:numPr>
        <w:rPr>
          <w:rFonts w:ascii="Arial" w:hAnsi="Arial" w:eastAsia="Arial" w:cs="Arial" w:asciiTheme="minorAscii" w:hAnsiTheme="minorAscii" w:eastAsiaTheme="minorAscii" w:cstheme="minorAscii"/>
          <w:b w:val="1"/>
          <w:bCs w:val="1"/>
          <w:i w:val="0"/>
          <w:iCs w:val="0"/>
          <w:color w:val="000000" w:themeColor="text1" w:themeTint="FF" w:themeShade="FF"/>
          <w:sz w:val="22"/>
          <w:szCs w:val="22"/>
        </w:rPr>
      </w:pPr>
      <w:r w:rsidRPr="11AEC072" w:rsidR="11AEC072">
        <w:rPr>
          <w:rFonts w:ascii="Arial" w:hAnsi="Arial" w:eastAsia="Arial" w:cs="Arial"/>
          <w:b w:val="1"/>
          <w:bCs w:val="1"/>
          <w:i w:val="0"/>
          <w:iCs w:val="0"/>
          <w:strike w:val="0"/>
          <w:dstrike w:val="0"/>
          <w:noProof w:val="0"/>
          <w:color w:val="000000" w:themeColor="text1" w:themeTint="FF" w:themeShade="FF"/>
          <w:sz w:val="22"/>
          <w:szCs w:val="22"/>
          <w:u w:val="none"/>
          <w:lang w:val="en-GB"/>
        </w:rPr>
        <w:t>Analysis</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to make sense of the situation </w:t>
      </w:r>
    </w:p>
    <w:p w:rsidR="11AEC072" w:rsidP="11AEC072" w:rsidRDefault="11AEC072" w14:paraId="2FFDECD8" w14:textId="688F0424">
      <w:pPr>
        <w:pStyle w:val="ListParagraph"/>
        <w:numPr>
          <w:ilvl w:val="0"/>
          <w:numId w:val="3"/>
        </w:numPr>
        <w:rPr>
          <w:rFonts w:ascii="Arial" w:hAnsi="Arial" w:eastAsia="Arial" w:cs="Arial" w:asciiTheme="minorAscii" w:hAnsiTheme="minorAscii" w:eastAsiaTheme="minorAscii" w:cstheme="minorAscii"/>
          <w:b w:val="1"/>
          <w:bCs w:val="1"/>
          <w:i w:val="0"/>
          <w:iCs w:val="0"/>
          <w:color w:val="000000" w:themeColor="text1" w:themeTint="FF" w:themeShade="FF"/>
          <w:sz w:val="22"/>
          <w:szCs w:val="22"/>
        </w:rPr>
      </w:pPr>
      <w:r w:rsidRPr="11AEC072" w:rsidR="11AEC072">
        <w:rPr>
          <w:rFonts w:ascii="Arial" w:hAnsi="Arial" w:eastAsia="Arial" w:cs="Arial"/>
          <w:b w:val="1"/>
          <w:bCs w:val="1"/>
          <w:i w:val="0"/>
          <w:iCs w:val="0"/>
          <w:strike w:val="0"/>
          <w:dstrike w:val="0"/>
          <w:noProof w:val="0"/>
          <w:color w:val="000000" w:themeColor="text1" w:themeTint="FF" w:themeShade="FF"/>
          <w:sz w:val="22"/>
          <w:szCs w:val="22"/>
          <w:u w:val="none"/>
          <w:lang w:val="en-GB"/>
        </w:rPr>
        <w:t>Conclusion</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about what you learned and what you could have done differently </w:t>
      </w:r>
    </w:p>
    <w:p w:rsidR="11AEC072" w:rsidP="11AEC072" w:rsidRDefault="11AEC072" w14:paraId="67111948" w14:textId="5BD3E236">
      <w:pPr>
        <w:pStyle w:val="ListParagraph"/>
        <w:numPr>
          <w:ilvl w:val="0"/>
          <w:numId w:val="3"/>
        </w:numPr>
        <w:rPr>
          <w:rFonts w:ascii="Arial" w:hAnsi="Arial" w:eastAsia="Arial" w:cs="Arial" w:asciiTheme="minorAscii" w:hAnsiTheme="minorAscii" w:eastAsiaTheme="minorAscii" w:cstheme="minorAscii"/>
          <w:b w:val="1"/>
          <w:bCs w:val="1"/>
          <w:i w:val="0"/>
          <w:iCs w:val="0"/>
          <w:color w:val="000000" w:themeColor="text1" w:themeTint="FF" w:themeShade="FF"/>
          <w:sz w:val="22"/>
          <w:szCs w:val="22"/>
        </w:rPr>
      </w:pPr>
      <w:r w:rsidRPr="11AEC072" w:rsidR="11AEC072">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Action plan </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for how you would deal with similar situations in the future, or general changes you might find appropriate (Gibbs, 1988). </w:t>
      </w:r>
    </w:p>
    <w:p w:rsidR="11AEC072" w:rsidRDefault="11AEC072" w14:paraId="4DCAF331" w14:textId="14445521">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RDefault="11AEC072" w14:paraId="53D76E5A" w14:textId="73D636CF">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To reflect on one's teaching practice it is important to understand the Qualified Teacher Statues (QTS) standards in order to provide further development plans to reach said standards. Gov. Wales (2021) emphasises the importance of QTS, as without these legislated standards you are not able to become a teacher and teach in a maintained school in Wales, these standards are to be met after completing a period of Initial Teacher Education (ITE). Gov.Wales (2021) outlines the standards briefly as; Pedagogy (Refining Teaching, Advancing Learning, and Influencing Learners), Collaboration, Professional Learning, and Innovation. To have an understanding for these in depth will provide the important information and knowledge in order to reflect and develop the mentioned standards to a level that will achieve QTS. The standards in which are most relevant to develop in this assignment will be, pedagogy, this is due to the fact this assignment is looking at a behaviour and student development strategy in the form of Class Dojo. In which hopefully will provide myself with the knowledge and understanding on said strategy and the literature surrounding it. This also links to professional learning as I will hopefully ‘extend knowledge, skills and understanding and can show how reflection and openness to challenge and support informs professional learning to progressively develop pedagogy’ (Gov.Wales, 2018). </w:t>
      </w:r>
    </w:p>
    <w:p w:rsidR="11AEC072" w:rsidRDefault="11AEC072" w14:paraId="28D68060" w14:textId="28071826">
      <w:r w:rsidRPr="11AEC072" w:rsidR="11AEC072">
        <w:rPr>
          <w:rFonts w:ascii="Arial" w:hAnsi="Arial" w:eastAsia="Arial" w:cs="Arial"/>
          <w:b w:val="0"/>
          <w:bCs w:val="0"/>
          <w:i w:val="0"/>
          <w:iCs w:val="0"/>
          <w:strike w:val="0"/>
          <w:dstrike w:val="0"/>
          <w:noProof w:val="0"/>
          <w:color w:val="FF0000"/>
          <w:sz w:val="22"/>
          <w:szCs w:val="22"/>
          <w:u w:val="none"/>
          <w:lang w:val="en-GB"/>
        </w:rPr>
        <w:t xml:space="preserve"> </w:t>
      </w:r>
    </w:p>
    <w:p w:rsidR="11AEC072" w:rsidRDefault="11AEC072" w14:paraId="17ED6CC7" w14:textId="165C4E8B">
      <w:r w:rsidRPr="11AEC072" w:rsidR="11AEC072">
        <w:rPr>
          <w:rFonts w:ascii="Arial" w:hAnsi="Arial" w:eastAsia="Arial" w:cs="Arial"/>
          <w:b w:val="1"/>
          <w:bCs w:val="1"/>
          <w:i w:val="0"/>
          <w:iCs w:val="0"/>
          <w:strike w:val="0"/>
          <w:dstrike w:val="0"/>
          <w:noProof w:val="0"/>
          <w:color w:val="000000" w:themeColor="text1" w:themeTint="FF" w:themeShade="FF"/>
          <w:sz w:val="22"/>
          <w:szCs w:val="22"/>
          <w:u w:val="none"/>
          <w:lang w:val="en-GB"/>
        </w:rPr>
        <w:t>Observation/Context</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RDefault="11AEC072" w14:paraId="0B6D9AD6" w14:textId="0264572B">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As BERA (2018) states the confidential and anonymous treatment of participants’ data is considered the norm for the conduct of research. This therefore means the school, staff, pupils etc. will remain anonymous throughout the essay.  </w:t>
      </w:r>
    </w:p>
    <w:p w:rsidR="11AEC072" w:rsidRDefault="11AEC072" w14:paraId="2E1EFFA6" w14:textId="64749B42">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observation took place in a mixed- gender primary school located in Newton, near Mumbles and in the Swansea local authority. There are 235 pupils between three and 11 years of age on the school register, including 28 part-time nursery pupils. ‘Most pupils live near the school and very few pupils come from outside the catchment area. Around 2% of pupils receive free school meals. This is well below the average for primary schools in Wales. The school has identified approximately 3% of its pupils as having additional learning needs. This is significantly below the average for Wales. English is the day-to-day language of the school and pupils learn Welsh as a second language. Nearly all pupils come from homes where English is the main language. A very few pupils come from ethnic minority backgrounds and have English as an additional language, but no pupils receive support to learn English’ (ESTYN, 2014). ‘The individual school budget per pupil for Newton Primary School in 2013-2014 means that the budget is £3,081 per pupil. The maximum per pupil in the primary schools in Swansea is £15,824 and the minimum is £2,673. Newton Primary School is 71st out of the 80 primary schools in Swansea in terms of its school budget per pupil’ (ESTYN, 2014). </w:t>
      </w:r>
    </w:p>
    <w:p w:rsidR="11AEC072" w:rsidRDefault="11AEC072" w14:paraId="2EF09BDE" w14:textId="6786A754">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708866D8" w14:textId="6210B90C">
      <w:pPr>
        <w:jc w:val="both"/>
      </w:pPr>
      <w:r w:rsidRPr="11AEC072" w:rsidR="11AEC072">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Critical Incident </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21B3ACA5" w14:textId="4A8564D2">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It was registration for the class, they were supposed to be sitting on the carpet in the correct position, singing along to an alphabet song. A large majority of the class were not sitting with legs crossed and were distracting each other and talking, however, one pupil was sitting properly and singing along to the music just as they were asked. Instead of shouting at the pupils for being naughty, the teacher out loud said “well-done” to the pupil and how brilliant they were, and for this good behaviour they will receive a Dojo point. ‘Class Dojo 'is a software that allows students, and their parents to follow the activity levels in the classroom using fun avatars. Giving feedback and rewarding good behaviour in the form of points’ (Cetin, H &amp; Cetin, I, 2018). Anyway, following this action taken by the teacher, the misbehaving pupils quickly sat properly and followed the teachers’ instructions by singing along to the music. This seemed to be due to the suggestion of dojo points for a pupil who was leading by example and following the teachers’ previous instructions. Looking at this situation that arose in the classroom, the critical incident that stood out was the way in which the teacher used dojo points to reward and improve the behaviour of the classroom, all without getting angry or raising their voice. You will see this critical incident sheet (critical incident sheet 3) and two others in the appendices. </w:t>
      </w:r>
    </w:p>
    <w:p w:rsidR="11AEC072" w:rsidP="11AEC072" w:rsidRDefault="11AEC072" w14:paraId="2520D8A4" w14:textId="039960BB">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When looking at this critical incident, it seems to link to a couple of the four purposes of the curriculum for Wales. </w:t>
      </w:r>
      <w:proofErr w:type="spellStart"/>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Gov.Wales</w:t>
      </w:r>
      <w:proofErr w:type="spellEnd"/>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(2015) suggesting the four purposes being ambitious, capable learners; Healthy, confident individuals; Enterprising, creative contributors; and Ethical, informed citizens. The first purpose that links to this incident, is the ‘Ethical, informed citizens who: understand and consider the impact of their actions when making choices and acting’. This links to the critical incident as this experience provides the pupils an understanding of their actions, as for someone choosing to be responsibility and </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sensible,</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they were rewarded and the teacher showed appreciation, however, pupils who were acting irresponsibly and silly they could see the negative impact it has on the teacher and how the teacher only appreciated good behaviour. This is something that can impact the students as they will gain an understanding for how their behaviour and actions can cause a negative or positive reaction/impact on others. The second link from the critical incident is to ‘Healthy, confident individuals who: form positive relationships based upon trust and mutual respect’. For the pupil who was sitting and behaving fantastically, this creates a mutual respect and therefore trust between the pupil and the teacher, as the teacher can trust this pupil will follow rules and act in a mature manner, hence the teacher awarding Dojo points. This also impacts the pupils who see how the teacher responds to the respect given by the pupil and would hopefully follow by example and respect the teachers rules and orders.  </w:t>
      </w:r>
    </w:p>
    <w:p w:rsidR="11AEC072" w:rsidP="11AEC072" w:rsidRDefault="11AEC072" w14:paraId="66BCA833" w14:textId="77EF19EF">
      <w:pPr>
        <w:ind w:firstLine="1701"/>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43F6538F" w14:textId="4EEC4357">
      <w:pPr>
        <w:ind w:firstLine="0"/>
        <w:jc w:val="both"/>
      </w:pPr>
      <w:r w:rsidRPr="11AEC072" w:rsidR="11AEC072">
        <w:rPr>
          <w:rFonts w:ascii="Arial" w:hAnsi="Arial" w:eastAsia="Arial" w:cs="Arial"/>
          <w:b w:val="1"/>
          <w:bCs w:val="1"/>
          <w:i w:val="0"/>
          <w:iCs w:val="0"/>
          <w:strike w:val="0"/>
          <w:dstrike w:val="0"/>
          <w:noProof w:val="0"/>
          <w:color w:val="000000" w:themeColor="text1" w:themeTint="FF" w:themeShade="FF"/>
          <w:sz w:val="22"/>
          <w:szCs w:val="22"/>
          <w:u w:val="none"/>
          <w:lang w:val="en-GB"/>
        </w:rPr>
        <w:t>Literature Review</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7A838FF7" w14:textId="06E594F4">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From this critical incident, there is literature/theory in which it can be linked to, some of this literature may support said incident, whoever some may create an argument against. Within this literature review will be the review of Positive reinforcement and Operant conditioning, also it will be looking at the comparison of intrinsic motivation and extrinsic rewarding, followed by an evaluation and comparison of class Dojo’s and other forms of behavioural management methods.  </w:t>
      </w:r>
    </w:p>
    <w:p w:rsidR="11AEC072" w:rsidP="11AEC072" w:rsidRDefault="11AEC072" w14:paraId="49D8BB60" w14:textId="6D3E524C">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To start off this literature review, an area of theory in which supports the critical incident is skinners (1948) Operant Conditioning theory. Skinner (1948) defines operant conditioning as a theory in which positive behaviour is reinforced with rewards, whilst poor behaviour is punished. This in turn would make it more likely for the positive behaviour to be repeated and lessen the occurrence of the negative behaviour. Cherry (2021) suggests that there are different types of positive reinforcement, the one in which fits the critical incident mentioned prior is the ‘Token reinforcement’, in which is a points or token (Dojo points) based rewarding system for certain positive actions. However, Cherry (2021) suggests a downside to this is that tokens or points won’t be as effective for pupils at an older year group as they don’t value these points as much as foundation phase and Key Stage 1 pupils. </w:t>
      </w:r>
      <w:proofErr w:type="spellStart"/>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Kazepides</w:t>
      </w:r>
      <w:proofErr w:type="spellEnd"/>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(1976) also highlights an area of scepticism for operant conditioning, as he outlines that it may be appropriate for establishing certain habits in which repetition is needed, however it is not effective for the acquisition of propositional learning. So, in simple terms the pupil can sing a ten times table song but may not have the cognitive understanding of how to do it, so it is just a memory process rather than a comprehension of the work. However, </w:t>
      </w:r>
      <w:proofErr w:type="spellStart"/>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Kazepides</w:t>
      </w:r>
      <w:proofErr w:type="spellEnd"/>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(1976) empathises with the theory by suggesting that it is used more as an incentive for learners to get involved in activity or improve a student’s performance or behaviour. Overall, implying that it may be a limited tool for developing pupils understating, but rather a way of aiding or driving a learner to get involved in an activity.  </w:t>
      </w:r>
    </w:p>
    <w:p w:rsidR="11AEC072" w:rsidP="11AEC072" w:rsidRDefault="11AEC072" w14:paraId="0DF07D0F" w14:textId="5AD69772">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 key aspect to operant conditioning is positive reinforcement, Maag (2001) and Kohn (1993), suggest that the use of positive reinforcement is a principle that naturally occurs in an education setting, and therefore educators should plan for its occurrence in order to promote and increase appropriate behaviour, rather than incorrectly promote inappropriate behaviour. Both suggest that to correctly use positive reinforcement, educators should prepare to use it in a manner that promotes the positive behaviour in the classroom, otherwise creating a focus on negative behaviour rather than the appropriate behaviour. Sigler &amp; </w:t>
      </w:r>
      <w:proofErr w:type="spellStart"/>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Aamidor</w:t>
      </w:r>
      <w:proofErr w:type="spellEnd"/>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(2005) support the previously suggested use of positive reinforcement, as they believe it is an effective tool to identify and teach appropriate student behaviours. Lane et al. (2008) adds to this argument by suggesting that not only is it beneficial for teaching individual students the correct behaviour but can be implemented as a school wide positive behavioural support system.  </w:t>
      </w:r>
    </w:p>
    <w:p w:rsidR="11AEC072" w:rsidP="11AEC072" w:rsidRDefault="11AEC072" w14:paraId="1E6187B9" w14:textId="109C4556">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Additional literature in which coincides with the previously discussed critical incident, is the comparison and discussion of extrinsic rewards and intrinsic motivation. Intrinsic motivation is the motivation to do something for its own sake, for the sheer enjoyment of the task itself. Extrinsic motivation is the motivation to do something in order to attain some external goal or meet some externally imposed constraint (Hennessey et al., 2015). Deci et al. (2001) highlights that psychological research has shown that extrinsic rewarding negatively affects students’ intrinsic motivation to learn. They outline that this could be down to the extrinsic rewards undermine the intrinsic self-motivation, curiosity, interest, and persistence at learning tasks. Looking at this may suggest that extrinsic rewarding may be a short-term solution to motivating pupils but in the long term leads to pupils not having the intrinsic motivation they need. In addition, Boggiano et al. (1987) suggest that extrinsic rewarding is the most effective way of promoting positive behaviour, but, for younger children in a primary school environment. As for pupils at a college or secondary school age range, they aren’t as easily motivated by rewards but rather are motivated intrinsically on how they feel they should or want to behave/act, thus backing up Deci’s suggestion that extrinsic motivation isn’t something that works long-term or as you get older but is rather the intrinsic side that motivates you as you are older. When going more specifically into the forms of external rewarding, Deci (1971) suggested that the more tangible form of rewarding such as giving out points and prizes, can decrease one's intrinsic motivation, however suggesting verbal rewards actually increases intrinsic motivation. This raises the question, if you are given a dojo point in which the teacher praises you but also gives the dojo point, is this going to cause a negative or positive effect on intrinsic motivation. However, Cameron and Pierce (1994) argue that teachers should implement any form of incentive systems in the classroom, whilst also diminishing Deci’s theory that extrinsic rewarding can negatively affect intrinsic motivation, as they believe all forms are positive in a classroom environment. But theory backing Cameron and Pierce is limited as Deci et al. (2001) concluded through research and studies that tangible extrinsic forms of rewarding for school aged children, massively undermines intrinsic motivation. This being a problem as in this study it suggested intrinsic motivation links to high-quality learning. This study, although seeming very well done and very well informed, does seem to have an air of bias when promoting intrinsic rewarding over intrinsic motivation due to the prior books in which Deci and others have written on intrinsic motivation and its greatness. But you cannot argue with the other theorists in which backup said conclusion, and the limited data that suggests otherwise.  </w:t>
      </w:r>
    </w:p>
    <w:p w:rsidR="11AEC072" w:rsidP="11AEC072" w:rsidRDefault="11AEC072" w14:paraId="02C839CA" w14:textId="1E82AF82">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When looking specifically at Class Dojo, there is a lot of literature surrounding this, which is both positive and negative. Krach et al. (2017) expresses an issue in which they believe Dojo can be used as a shame-based tool, as all pupils are able to see on the interactive whiteboard how many points each pupil has, in which they found parents shared this concern, suggesting the points should only be shared with specific students and parents. Singer (2014) added to concerns by suggesting that the showing and ‘shaming’ approach that class dojo takes is a violation of children and family rights to privacy and record protection, under the Family Educational Rights Privacy Act (FERPA, 1974). But this can be simply resolved by the teacher using a handheld device to track Dojo points. Warschauer et al. (2004); Leach and Tan (1996) all suggest a key issue with Dojo is that for low socio-economic schools, it is unlikely that the parents will have access to their children’s data, as they have limited computer or internet access. Whereas it will be a more available tool for children in higher socioeconomic areas. Along with this data against Class Dojo, there is also data supporting Dojo. Krach and McCreery (2016) believe that Class Dojo provides much more data for teachers to use in decision making about children’s needs and the level of service students need, compared to other behavioural management services. In another study carried out by Krach et al. (2017) Class Dojo resulted in 17 times more data points than other school approved methods, 4 times more than teacher made methods. This suggests Class Dojo could be the most effective behavioural management service, but this doesn’t necessarily mean it's very effective in the grand scheme of things. A limitation to this study is that it was only taken in a single school.  </w:t>
      </w:r>
    </w:p>
    <w:p w:rsidR="11AEC072" w:rsidP="11AEC072" w:rsidRDefault="11AEC072" w14:paraId="42F28FE7" w14:textId="695C08E9">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When looking to compare Class Dojo with paper-based behavioural management charts (BMCs). Tillery et al. (2010) suggest that teachers who use paper-based BMCs did not consistently provide ratings for pupils, and are more likely to lose data on pupils. Whereas Class Dojo is able to store and save data on pupils which can be used to inform teaching and behavioural decisions.  </w:t>
      </w:r>
    </w:p>
    <w:p w:rsidR="11AEC072" w:rsidP="11AEC072" w:rsidRDefault="11AEC072" w14:paraId="4FED7A46" w14:textId="517760F7">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To conclude, the use of operant conditioning in education, seems to be a very useful tool when trying to gain incentive for pupils beginning a task or improve students' performance and behaviour. However, it may be a limited tool for developing pupils understating, but rather a way of aiding or driving a learner to get involved in an activity. Secondly, when looking at the use of external rewarding and internal motivation, literature suggested that external rewarding is a useful tool to motivate young children, however it can negatively affect future intrinsic motivation, therefore suggesting external motivation should be used but in proportion to ensure pupils still have the ability to intrinsically motivate one's self. Lastly, when looking at literature on the use of Class Dojo as a tool for behavioural management, it seems that currently it is the most effective way of measuring and collecting data on behaviour, but comes with issues such as privacy and pupil shaming, and finally the issue of accessibility for lower socioeconomic areas compared to the higher socioeconomic areas, creating a divide in accessibility of resources.  </w:t>
      </w:r>
    </w:p>
    <w:p w:rsidR="11AEC072" w:rsidP="11AEC072" w:rsidRDefault="11AEC072" w14:paraId="70AC25A8" w14:textId="1E05536B">
      <w:pPr>
        <w:ind w:firstLine="1701"/>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67D92D23" w14:textId="15596806">
      <w:pPr>
        <w:ind w:firstLine="0"/>
        <w:jc w:val="both"/>
      </w:pPr>
      <w:r w:rsidRPr="11AEC072" w:rsidR="11AEC072">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Reflection and evaluation </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50E9ACF5" w14:textId="6E0D378F">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As previously discussed, to maximise professional development, the use of critical reflection is key. Going forward, it is important to reflect on the mentioned critical incident and the literature which supported or was against it, therefore being able to analyse and draw conclusions in which will help to create a plan to further develop my professional standards and development.  </w:t>
      </w:r>
    </w:p>
    <w:p w:rsidR="11AEC072" w:rsidP="11AEC072" w:rsidRDefault="11AEC072" w14:paraId="51BBDAA7" w14:textId="4EED4BF1">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As mentioned in the ‘role of critical reflection’ section of this essay, I will be using Gibbs (1988) reflective model to evaluate and reflect what has been discussed in this essay. This cycle consists of 6 stages: </w:t>
      </w:r>
    </w:p>
    <w:p w:rsidR="11AEC072" w:rsidP="11AEC072" w:rsidRDefault="11AEC072" w14:paraId="3B190CF3" w14:textId="2A2E4A32">
      <w:pPr>
        <w:pStyle w:val="ListParagraph"/>
        <w:numPr>
          <w:ilvl w:val="0"/>
          <w:numId w:val="3"/>
        </w:numPr>
        <w:jc w:val="both"/>
        <w:rPr>
          <w:rFonts w:ascii="Arial" w:hAnsi="Arial" w:eastAsia="Arial" w:cs="Arial" w:asciiTheme="minorAscii" w:hAnsiTheme="minorAscii" w:eastAsiaTheme="minorAscii" w:cstheme="minorAscii"/>
          <w:b w:val="1"/>
          <w:bCs w:val="1"/>
          <w:i w:val="0"/>
          <w:iCs w:val="0"/>
          <w:color w:val="000000" w:themeColor="text1" w:themeTint="FF" w:themeShade="FF"/>
          <w:sz w:val="22"/>
          <w:szCs w:val="22"/>
        </w:rPr>
      </w:pPr>
      <w:r w:rsidRPr="11AEC072" w:rsidR="11AEC072">
        <w:rPr>
          <w:rFonts w:ascii="Arial" w:hAnsi="Arial" w:eastAsia="Arial" w:cs="Arial"/>
          <w:b w:val="1"/>
          <w:bCs w:val="1"/>
          <w:i w:val="0"/>
          <w:iCs w:val="0"/>
          <w:strike w:val="0"/>
          <w:dstrike w:val="0"/>
          <w:noProof w:val="0"/>
          <w:color w:val="000000" w:themeColor="text1" w:themeTint="FF" w:themeShade="FF"/>
          <w:sz w:val="22"/>
          <w:szCs w:val="22"/>
          <w:u w:val="none"/>
          <w:lang w:val="en-GB"/>
        </w:rPr>
        <w:t>Description</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of experience </w:t>
      </w:r>
    </w:p>
    <w:p w:rsidR="11AEC072" w:rsidP="11AEC072" w:rsidRDefault="11AEC072" w14:paraId="575F6277" w14:textId="640C9CAA">
      <w:pPr>
        <w:pStyle w:val="ListParagraph"/>
        <w:numPr>
          <w:ilvl w:val="0"/>
          <w:numId w:val="3"/>
        </w:numPr>
        <w:jc w:val="both"/>
        <w:rPr>
          <w:rFonts w:ascii="Arial" w:hAnsi="Arial" w:eastAsia="Arial" w:cs="Arial" w:asciiTheme="minorAscii" w:hAnsiTheme="minorAscii" w:eastAsiaTheme="minorAscii" w:cstheme="minorAscii"/>
          <w:b w:val="1"/>
          <w:bCs w:val="1"/>
          <w:i w:val="0"/>
          <w:iCs w:val="0"/>
          <w:color w:val="000000" w:themeColor="text1" w:themeTint="FF" w:themeShade="FF"/>
          <w:sz w:val="22"/>
          <w:szCs w:val="22"/>
        </w:rPr>
      </w:pPr>
      <w:r w:rsidRPr="11AEC072" w:rsidR="11AEC072">
        <w:rPr>
          <w:rFonts w:ascii="Arial" w:hAnsi="Arial" w:eastAsia="Arial" w:cs="Arial"/>
          <w:b w:val="1"/>
          <w:bCs w:val="1"/>
          <w:i w:val="0"/>
          <w:iCs w:val="0"/>
          <w:strike w:val="0"/>
          <w:dstrike w:val="0"/>
          <w:noProof w:val="0"/>
          <w:color w:val="000000" w:themeColor="text1" w:themeTint="FF" w:themeShade="FF"/>
          <w:sz w:val="22"/>
          <w:szCs w:val="22"/>
          <w:u w:val="none"/>
          <w:lang w:val="en-GB"/>
        </w:rPr>
        <w:t>Feelings</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thoughts about the experience  </w:t>
      </w:r>
    </w:p>
    <w:p w:rsidR="11AEC072" w:rsidP="11AEC072" w:rsidRDefault="11AEC072" w14:paraId="34288DFD" w14:textId="7A8DE59E">
      <w:pPr>
        <w:pStyle w:val="ListParagraph"/>
        <w:numPr>
          <w:ilvl w:val="0"/>
          <w:numId w:val="3"/>
        </w:numPr>
        <w:jc w:val="both"/>
        <w:rPr>
          <w:rFonts w:ascii="Arial" w:hAnsi="Arial" w:eastAsia="Arial" w:cs="Arial" w:asciiTheme="minorAscii" w:hAnsiTheme="minorAscii" w:eastAsiaTheme="minorAscii" w:cstheme="minorAscii"/>
          <w:b w:val="1"/>
          <w:bCs w:val="1"/>
          <w:i w:val="0"/>
          <w:iCs w:val="0"/>
          <w:color w:val="000000" w:themeColor="text1" w:themeTint="FF" w:themeShade="FF"/>
          <w:sz w:val="22"/>
          <w:szCs w:val="22"/>
        </w:rPr>
      </w:pPr>
      <w:r w:rsidRPr="11AEC072" w:rsidR="11AEC072">
        <w:rPr>
          <w:rFonts w:ascii="Arial" w:hAnsi="Arial" w:eastAsia="Arial" w:cs="Arial"/>
          <w:b w:val="1"/>
          <w:bCs w:val="1"/>
          <w:i w:val="0"/>
          <w:iCs w:val="0"/>
          <w:strike w:val="0"/>
          <w:dstrike w:val="0"/>
          <w:noProof w:val="0"/>
          <w:color w:val="000000" w:themeColor="text1" w:themeTint="FF" w:themeShade="FF"/>
          <w:sz w:val="22"/>
          <w:szCs w:val="22"/>
          <w:u w:val="none"/>
          <w:lang w:val="en-GB"/>
        </w:rPr>
        <w:t>Evaluation</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of the experience, both good and bad </w:t>
      </w:r>
    </w:p>
    <w:p w:rsidR="11AEC072" w:rsidP="11AEC072" w:rsidRDefault="11AEC072" w14:paraId="40A0E766" w14:textId="22AA0EE8">
      <w:pPr>
        <w:pStyle w:val="ListParagraph"/>
        <w:numPr>
          <w:ilvl w:val="0"/>
          <w:numId w:val="3"/>
        </w:numPr>
        <w:jc w:val="both"/>
        <w:rPr>
          <w:rFonts w:ascii="Arial" w:hAnsi="Arial" w:eastAsia="Arial" w:cs="Arial" w:asciiTheme="minorAscii" w:hAnsiTheme="minorAscii" w:eastAsiaTheme="minorAscii" w:cstheme="minorAscii"/>
          <w:b w:val="1"/>
          <w:bCs w:val="1"/>
          <w:i w:val="0"/>
          <w:iCs w:val="0"/>
          <w:color w:val="000000" w:themeColor="text1" w:themeTint="FF" w:themeShade="FF"/>
          <w:sz w:val="22"/>
          <w:szCs w:val="22"/>
        </w:rPr>
      </w:pPr>
      <w:r w:rsidRPr="11AEC072" w:rsidR="11AEC072">
        <w:rPr>
          <w:rFonts w:ascii="Arial" w:hAnsi="Arial" w:eastAsia="Arial" w:cs="Arial"/>
          <w:b w:val="1"/>
          <w:bCs w:val="1"/>
          <w:i w:val="0"/>
          <w:iCs w:val="0"/>
          <w:strike w:val="0"/>
          <w:dstrike w:val="0"/>
          <w:noProof w:val="0"/>
          <w:color w:val="000000" w:themeColor="text1" w:themeTint="FF" w:themeShade="FF"/>
          <w:sz w:val="22"/>
          <w:szCs w:val="22"/>
          <w:u w:val="none"/>
          <w:lang w:val="en-GB"/>
        </w:rPr>
        <w:t>Analysis</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to make sense of the situation </w:t>
      </w:r>
    </w:p>
    <w:p w:rsidR="11AEC072" w:rsidP="11AEC072" w:rsidRDefault="11AEC072" w14:paraId="4DE1036F" w14:textId="12C3CE55">
      <w:pPr>
        <w:pStyle w:val="ListParagraph"/>
        <w:numPr>
          <w:ilvl w:val="0"/>
          <w:numId w:val="3"/>
        </w:numPr>
        <w:jc w:val="both"/>
        <w:rPr>
          <w:rFonts w:ascii="Arial" w:hAnsi="Arial" w:eastAsia="Arial" w:cs="Arial" w:asciiTheme="minorAscii" w:hAnsiTheme="minorAscii" w:eastAsiaTheme="minorAscii" w:cstheme="minorAscii"/>
          <w:b w:val="1"/>
          <w:bCs w:val="1"/>
          <w:i w:val="0"/>
          <w:iCs w:val="0"/>
          <w:color w:val="000000" w:themeColor="text1" w:themeTint="FF" w:themeShade="FF"/>
          <w:sz w:val="22"/>
          <w:szCs w:val="22"/>
        </w:rPr>
      </w:pPr>
      <w:r w:rsidRPr="11AEC072" w:rsidR="11AEC072">
        <w:rPr>
          <w:rFonts w:ascii="Arial" w:hAnsi="Arial" w:eastAsia="Arial" w:cs="Arial"/>
          <w:b w:val="1"/>
          <w:bCs w:val="1"/>
          <w:i w:val="0"/>
          <w:iCs w:val="0"/>
          <w:strike w:val="0"/>
          <w:dstrike w:val="0"/>
          <w:noProof w:val="0"/>
          <w:color w:val="000000" w:themeColor="text1" w:themeTint="FF" w:themeShade="FF"/>
          <w:sz w:val="22"/>
          <w:szCs w:val="22"/>
          <w:u w:val="none"/>
          <w:lang w:val="en-GB"/>
        </w:rPr>
        <w:t>Conclusion</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about what you learned and what you could have done differently </w:t>
      </w:r>
    </w:p>
    <w:p w:rsidR="11AEC072" w:rsidP="11AEC072" w:rsidRDefault="11AEC072" w14:paraId="555339B4" w14:textId="21E60733">
      <w:pPr>
        <w:pStyle w:val="ListParagraph"/>
        <w:numPr>
          <w:ilvl w:val="0"/>
          <w:numId w:val="3"/>
        </w:numPr>
        <w:jc w:val="both"/>
        <w:rPr>
          <w:rFonts w:ascii="Arial" w:hAnsi="Arial" w:eastAsia="Arial" w:cs="Arial" w:asciiTheme="minorAscii" w:hAnsiTheme="minorAscii" w:eastAsiaTheme="minorAscii" w:cstheme="minorAscii"/>
          <w:b w:val="1"/>
          <w:bCs w:val="1"/>
          <w:i w:val="0"/>
          <w:iCs w:val="0"/>
          <w:color w:val="000000" w:themeColor="text1" w:themeTint="FF" w:themeShade="FF"/>
          <w:sz w:val="22"/>
          <w:szCs w:val="22"/>
        </w:rPr>
      </w:pPr>
      <w:r w:rsidRPr="11AEC072" w:rsidR="11AEC072">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Action plan </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for how you would deal with similar situations in the future, or general changes you might find appropriate (Gibbs, 1988). </w:t>
      </w:r>
    </w:p>
    <w:p w:rsidR="11AEC072" w:rsidP="11AEC072" w:rsidRDefault="11AEC072" w14:paraId="71E75FEB" w14:textId="4689F4BF">
      <w:pPr>
        <w:ind w:firstLine="1701"/>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40E35B37" w14:textId="7E7150BA">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First of all, to describe the experience; It was registration and a large portion of the class were not sitting sensibly and talking, instead of the teacher highlighting this and telling them off, she loud and clearly picked a student who was sitting perfectly and said how well they were sitting, in which has earned them a Dojo point. This led to the rest of the class reacting positively by following the example that student had made, and the whole class was quiet and ready to listen.  </w:t>
      </w:r>
    </w:p>
    <w:p w:rsidR="11AEC072" w:rsidP="11AEC072" w:rsidRDefault="11AEC072" w14:paraId="59E0E428" w14:textId="5EB15470">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Secondly, my initial thoughts and feelings were that this seemed like a great behavioural management technique as rather than focusing on the poor behaviour it highlighted the great behaviour and gave that pupil a reward. As for when teachers just tell off bad behaviour, normally the pupils behaving well are just ignored and rewarded for good behaviour. Secondly, it made me very intrigued to know what other areas of teaching and educating that Class Dojo could be used to increase performance and whether this may only be effective for lower age groups.  </w:t>
      </w:r>
    </w:p>
    <w:p w:rsidR="11AEC072" w:rsidP="11AEC072" w:rsidRDefault="11AEC072" w14:paraId="12B522A8" w14:textId="316C46F0">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next obvious step to take was to evaluate and analyse the experience and to look at supporting and opposing literature to see whether this was as good as it seemed at first glance. When reviewing literature, it seemed necessary to look into operant conditioning and positive reinforcement, in which data supported the use for behaviour management and getting pupils into a task, however suggested limitations for developing pupils and gaining a cognitive understanding. Secondly, a comparison between external rewards (Dojo points) and internal motivation. This literature allowed me to discover that for younger children, external rewarding is a great tool, but too much can negatively affect one’s internal motivation. Literature also suggests that as students get older, they become less motivated or persuaded by external rewards, but rather internally motivate or demotivate themselves. Finally, I reviewed literature in which discussed the pros and cons for Class Dojo, in which to summarise, indicated that compared to other methods of behavioural management was one of the best methods, but had its problems, such as it being used to shame pupils who hadn't had as many points as others in the class, also the limitations to the accessibility of ClassDojo for parents in a </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low socioeconomic area</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082A22C3" w14:textId="4FBB9292">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To conclude, it seems that the use of Class Dojo is a great tool for behavioural management in early years, Key stage 2, also can be used as a tool to create incentive for pupils to start tasks and do it to the best of their ability. However, clearly there are limitations for the use of operant conditioning methods such as Class Dojo for developing a student's cognitive learning. Also, it seems that external rewarding is great to use for primary age groups, however it loses its emphasis and motivation as students get older, that is why it's important to not over use external rewarding as it may negatively affect a student's internal motivation. </w:t>
      </w:r>
    </w:p>
    <w:p w:rsidR="11AEC072" w:rsidP="11AEC072" w:rsidRDefault="11AEC072" w14:paraId="7A2B62D0" w14:textId="063E3493">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Finally, when reflecting on what has been discussed and analysed above for my own professional development, the data suggest that in a similar situation to the critical incident mentioned I would deal with it in the same way, as it was a very effective method for behavioural management. However, the literature review was very necessary as it allowed a further scope on when and when not for this method to be used, in which I can take into future teaching practice.  </w:t>
      </w:r>
    </w:p>
    <w:p w:rsidR="11AEC072" w:rsidP="11AEC072" w:rsidRDefault="11AEC072" w14:paraId="1FD74D9B" w14:textId="6C12CB5A">
      <w:pPr>
        <w:ind w:firstLine="1701"/>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012ED6E0" w14:textId="3467B76A">
      <w:pPr>
        <w:ind w:firstLine="0"/>
        <w:jc w:val="both"/>
      </w:pPr>
      <w:r w:rsidRPr="11AEC072" w:rsidR="11AEC072">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Conclusion </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3B79046B" w14:textId="311FFC47">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To summarise and conclude from viewing the mentioned critical incident and undertaking a literature review, with the previous use of a reflective model it seems there are both pros and cons to the use of Class Dojo. Literature outlined that Class Dojo is a beneficial tool for behaviour management and getting children to start tasks, and is one of the best BMC’s available to teachers (Kazepides,1976; Maag, 2001; Sigler &amp; </w:t>
      </w:r>
      <w:proofErr w:type="spellStart"/>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Aamidor</w:t>
      </w:r>
      <w:proofErr w:type="spellEnd"/>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2005; Tillery et al. 2010; Krach et al., 2017). However, opposing literature suggests that external rewarding such as Class Dojo shouldn’t be used too regularly as its negative effect intrinsic motivation, also is not an effective method for children to gain cognitive understanding (Deci et al., 2001; </w:t>
      </w:r>
      <w:proofErr w:type="spellStart"/>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Kazepides</w:t>
      </w:r>
      <w:proofErr w:type="spellEnd"/>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1976). To draw a conclusion from these points and my personal experience, I feel Class Dojo is a great tool when used in proportion, to avoid over use. </w:t>
      </w:r>
    </w:p>
    <w:p w:rsidR="11AEC072" w:rsidP="11AEC072" w:rsidRDefault="11AEC072" w14:paraId="3432F36A" w14:textId="273E5D5A">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Finally, in the ‘Role of critical reflection’ section of the essay, I outlined the </w:t>
      </w:r>
      <w:proofErr w:type="spellStart"/>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Gov.Wales</w:t>
      </w:r>
      <w:proofErr w:type="spellEnd"/>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(2018) professional standard which was most relevant for development in this essay. The first was ‘Pedagogy’, this standard was exercised as I feel through research of the critical incident, I am able to refine my teaching in order to find the best outcome for advancing and influencing learners. Lastly, was professional learning, and as </w:t>
      </w:r>
      <w:proofErr w:type="spellStart"/>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Gov.Wales</w:t>
      </w:r>
      <w:proofErr w:type="spellEnd"/>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(2018) suggests, I believe I was able to ‘extend knowledge, skills and understanding and can show how reflection and openness to challenge and support informs professional learning to progressively develop pedagogy’. To conclude, this essay was a great way to reflect on professional practice which is a key way of developing as a teacher and providing me with tools for future teaching.  </w:t>
      </w:r>
    </w:p>
    <w:p w:rsidR="11AEC072" w:rsidP="11AEC072" w:rsidRDefault="11AEC072" w14:paraId="65524B1F" w14:textId="44B6F683">
      <w:pPr>
        <w:ind w:firstLine="1701"/>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7966664B" w14:textId="31ABB1B7">
      <w:pPr>
        <w:ind w:firstLine="0"/>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w:rsidR="11AEC072" w:rsidP="11AEC072" w:rsidRDefault="11AEC072" w14:paraId="6609297F" w14:textId="5C7304CD">
      <w:pPr>
        <w:ind w:firstLine="0"/>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w:rsidR="11AEC072" w:rsidP="11AEC072" w:rsidRDefault="11AEC072" w14:paraId="6F2E6F32" w14:textId="6281E1A4">
      <w:pPr>
        <w:ind w:firstLine="0"/>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w:rsidR="11AEC072" w:rsidP="11AEC072" w:rsidRDefault="11AEC072" w14:paraId="47BA376F" w14:textId="5C3803B8">
      <w:pPr>
        <w:ind w:firstLine="0"/>
        <w:jc w:val="both"/>
      </w:pPr>
      <w:r w:rsidRPr="11AEC072" w:rsidR="11AEC072">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Appendices </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104E60B6" w14:textId="581C58FE">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Incident Sheet 1  </w:t>
      </w:r>
    </w:p>
    <w:p w:rsidR="11AEC072" w:rsidP="11AEC072" w:rsidRDefault="11AEC072" w14:paraId="2DCB8043" w14:textId="11C7521F">
      <w:pPr>
        <w:ind w:firstLine="0"/>
        <w:jc w:val="both"/>
      </w:pPr>
      <w:r>
        <w:drawing>
          <wp:inline wp14:editId="39861645" wp14:anchorId="171D2D40">
            <wp:extent cx="5381624" cy="4267200"/>
            <wp:effectExtent l="0" t="0" r="0" b="0"/>
            <wp:docPr id="1977286860" name="" title=""/>
            <wp:cNvGraphicFramePr>
              <a:graphicFrameLocks noChangeAspect="1"/>
            </wp:cNvGraphicFramePr>
            <a:graphic>
              <a:graphicData uri="http://schemas.openxmlformats.org/drawingml/2006/picture">
                <pic:pic>
                  <pic:nvPicPr>
                    <pic:cNvPr id="0" name=""/>
                    <pic:cNvPicPr/>
                  </pic:nvPicPr>
                  <pic:blipFill>
                    <a:blip r:embed="Rd83be96274d64177">
                      <a:extLst>
                        <a:ext xmlns:a="http://schemas.openxmlformats.org/drawingml/2006/main" uri="{28A0092B-C50C-407E-A947-70E740481C1C}">
                          <a14:useLocalDpi val="0"/>
                        </a:ext>
                      </a:extLst>
                    </a:blip>
                    <a:stretch>
                      <a:fillRect/>
                    </a:stretch>
                  </pic:blipFill>
                  <pic:spPr>
                    <a:xfrm>
                      <a:off x="0" y="0"/>
                      <a:ext cx="5381624" cy="4267200"/>
                    </a:xfrm>
                    <a:prstGeom prst="rect">
                      <a:avLst/>
                    </a:prstGeom>
                  </pic:spPr>
                </pic:pic>
              </a:graphicData>
            </a:graphic>
          </wp:inline>
        </w:drawing>
      </w:r>
    </w:p>
    <w:p w:rsidR="11AEC072" w:rsidP="11AEC072" w:rsidRDefault="11AEC072" w14:paraId="4B5EE869" w14:textId="1045EE9D">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Incident Sheet 2 </w:t>
      </w:r>
    </w:p>
    <w:p w:rsidR="11AEC072" w:rsidP="11AEC072" w:rsidRDefault="11AEC072" w14:paraId="4445726B" w14:textId="7408F6F1">
      <w:pPr>
        <w:ind w:firstLine="0"/>
        <w:jc w:val="both"/>
      </w:pPr>
      <w:r>
        <w:drawing>
          <wp:inline wp14:editId="25E31494" wp14:anchorId="1B54A1F5">
            <wp:extent cx="5248276" cy="4829175"/>
            <wp:effectExtent l="0" t="0" r="0" b="0"/>
            <wp:docPr id="1977286860" name="" title=""/>
            <wp:cNvGraphicFramePr>
              <a:graphicFrameLocks noChangeAspect="1"/>
            </wp:cNvGraphicFramePr>
            <a:graphic>
              <a:graphicData uri="http://schemas.openxmlformats.org/drawingml/2006/picture">
                <pic:pic>
                  <pic:nvPicPr>
                    <pic:cNvPr id="0" name=""/>
                    <pic:cNvPicPr/>
                  </pic:nvPicPr>
                  <pic:blipFill>
                    <a:blip r:embed="R29c3dc8c7a5b41a3">
                      <a:extLst>
                        <a:ext xmlns:a="http://schemas.openxmlformats.org/drawingml/2006/main" uri="{28A0092B-C50C-407E-A947-70E740481C1C}">
                          <a14:useLocalDpi val="0"/>
                        </a:ext>
                      </a:extLst>
                    </a:blip>
                    <a:stretch>
                      <a:fillRect/>
                    </a:stretch>
                  </pic:blipFill>
                  <pic:spPr>
                    <a:xfrm>
                      <a:off x="0" y="0"/>
                      <a:ext cx="5248276" cy="4829175"/>
                    </a:xfrm>
                    <a:prstGeom prst="rect">
                      <a:avLst/>
                    </a:prstGeom>
                  </pic:spPr>
                </pic:pic>
              </a:graphicData>
            </a:graphic>
          </wp:inline>
        </w:drawing>
      </w:r>
    </w:p>
    <w:p w:rsidR="11AEC072" w:rsidP="11AEC072" w:rsidRDefault="11AEC072" w14:paraId="31BFF4BE" w14:textId="422B5816">
      <w:pPr>
        <w:ind w:firstLine="1701"/>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3843722C" w14:textId="064578EC">
      <w:pPr>
        <w:ind w:firstLine="1701"/>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3604F066" w14:textId="6D3C9AFF">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Incident Sheet 3 </w:t>
      </w:r>
    </w:p>
    <w:p w:rsidR="11AEC072" w:rsidP="11AEC072" w:rsidRDefault="11AEC072" w14:paraId="64D3E2F9" w14:textId="2EBD7EBF">
      <w:pPr>
        <w:pStyle w:val="Normal"/>
        <w:ind w:firstLine="0"/>
        <w:jc w:val="both"/>
      </w:pPr>
      <w:r>
        <w:drawing>
          <wp:inline wp14:editId="3DAC4648" wp14:anchorId="6C422421">
            <wp:extent cx="4734620" cy="5667375"/>
            <wp:effectExtent l="0" t="0" r="0" b="0"/>
            <wp:docPr id="2046784282" name="" title=""/>
            <wp:cNvGraphicFramePr>
              <a:graphicFrameLocks noChangeAspect="1"/>
            </wp:cNvGraphicFramePr>
            <a:graphic>
              <a:graphicData uri="http://schemas.openxmlformats.org/drawingml/2006/picture">
                <pic:pic>
                  <pic:nvPicPr>
                    <pic:cNvPr id="0" name=""/>
                    <pic:cNvPicPr/>
                  </pic:nvPicPr>
                  <pic:blipFill>
                    <a:blip r:embed="Re892523a893b412f">
                      <a:extLst>
                        <a:ext xmlns:a="http://schemas.openxmlformats.org/drawingml/2006/main" uri="{28A0092B-C50C-407E-A947-70E740481C1C}">
                          <a14:useLocalDpi val="0"/>
                        </a:ext>
                      </a:extLst>
                    </a:blip>
                    <a:stretch>
                      <a:fillRect/>
                    </a:stretch>
                  </pic:blipFill>
                  <pic:spPr>
                    <a:xfrm>
                      <a:off x="0" y="0"/>
                      <a:ext cx="4734620" cy="5667375"/>
                    </a:xfrm>
                    <a:prstGeom prst="rect">
                      <a:avLst/>
                    </a:prstGeom>
                  </pic:spPr>
                </pic:pic>
              </a:graphicData>
            </a:graphic>
          </wp:inline>
        </w:drawing>
      </w:r>
    </w:p>
    <w:p w:rsidR="11AEC072" w:rsidP="11AEC072" w:rsidRDefault="11AEC072" w14:paraId="4BC6559A" w14:textId="0F274AA4">
      <w:pPr>
        <w:ind w:firstLine="1701"/>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45F43B64" w14:textId="36050B36">
      <w:pPr>
        <w:ind w:firstLine="1701"/>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78A5A620" w14:textId="240F6F0A">
      <w:pPr>
        <w:ind w:firstLine="1701"/>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2A2736DD" w14:textId="2E59DB0C">
      <w:pPr>
        <w:ind w:firstLine="1701"/>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4C4D04F5" w14:textId="272DE6DA">
      <w:pPr>
        <w:ind w:firstLine="1701"/>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5E52BB08" w14:textId="5EEFA0B1">
      <w:pPr>
        <w:ind w:firstLine="1701"/>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707C6FBB" w14:textId="139B3137">
      <w:pPr>
        <w:ind w:firstLine="1701"/>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54F81FF7" w14:textId="7712D167">
      <w:pPr>
        <w:ind w:firstLine="1701"/>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773889CB" w14:textId="7774FEC2">
      <w:pPr>
        <w:ind w:firstLine="1701"/>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1DE6434B" w14:textId="31334E0B">
      <w:pPr>
        <w:ind w:firstLine="1701"/>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465EF123" w14:textId="54C465C0">
      <w:pPr>
        <w:ind w:firstLine="1701"/>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4A7FA17F" w14:textId="37A4C429">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single"/>
          <w:lang w:val="en-GB"/>
        </w:rPr>
        <w:t>References</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2C605D22" w14:textId="0B995B35">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Boggiano, A. K., Barrett, M., Weiher, A. W., McClelland, G. H., &amp; Lusk, C. M. (1987). Use of the maximal-operant principle to motivate children's intrinsic interest. Journal of Personality and Social Psychology, 53, 866-879 </w:t>
      </w:r>
    </w:p>
    <w:p w:rsidR="11AEC072" w:rsidP="11AEC072" w:rsidRDefault="11AEC072" w14:paraId="011C31EF" w14:textId="5C816061">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Cameron, J., &amp; Pierce, W. D. (1994). Reinforcement, reward, and intrinsic motivation: A meta-analysis. Review of Educational Research, 64, 363-423. </w:t>
      </w:r>
    </w:p>
    <w:p w:rsidR="11AEC072" w:rsidP="11AEC072" w:rsidRDefault="11AEC072" w14:paraId="7C8212B0" w14:textId="4EC29FC0">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Cetin, H., &amp; Cetin, I. (2018). Views of Middle School Students about Class Dojo Education Technology. </w:t>
      </w:r>
      <w:r w:rsidRPr="11AEC072" w:rsidR="11AEC072">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Acta </w:t>
      </w:r>
      <w:proofErr w:type="spellStart"/>
      <w:r w:rsidRPr="11AEC072" w:rsidR="11AEC072">
        <w:rPr>
          <w:rFonts w:ascii="Arial" w:hAnsi="Arial" w:eastAsia="Arial" w:cs="Arial"/>
          <w:b w:val="0"/>
          <w:bCs w:val="0"/>
          <w:i w:val="1"/>
          <w:iCs w:val="1"/>
          <w:strike w:val="0"/>
          <w:dstrike w:val="0"/>
          <w:noProof w:val="0"/>
          <w:color w:val="000000" w:themeColor="text1" w:themeTint="FF" w:themeShade="FF"/>
          <w:sz w:val="22"/>
          <w:szCs w:val="22"/>
          <w:u w:val="none"/>
          <w:lang w:val="en-GB"/>
        </w:rPr>
        <w:t>Didactica</w:t>
      </w:r>
      <w:proofErr w:type="spellEnd"/>
      <w:r w:rsidRPr="11AEC072" w:rsidR="11AEC072">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 </w:t>
      </w:r>
      <w:proofErr w:type="spellStart"/>
      <w:r w:rsidRPr="11AEC072" w:rsidR="11AEC072">
        <w:rPr>
          <w:rFonts w:ascii="Arial" w:hAnsi="Arial" w:eastAsia="Arial" w:cs="Arial"/>
          <w:b w:val="0"/>
          <w:bCs w:val="0"/>
          <w:i w:val="1"/>
          <w:iCs w:val="1"/>
          <w:strike w:val="0"/>
          <w:dstrike w:val="0"/>
          <w:noProof w:val="0"/>
          <w:color w:val="000000" w:themeColor="text1" w:themeTint="FF" w:themeShade="FF"/>
          <w:sz w:val="22"/>
          <w:szCs w:val="22"/>
          <w:u w:val="none"/>
          <w:lang w:val="en-GB"/>
        </w:rPr>
        <w:t>Napocensia</w:t>
      </w:r>
      <w:proofErr w:type="spellEnd"/>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w:t>
      </w:r>
      <w:r w:rsidRPr="11AEC072" w:rsidR="11AEC072">
        <w:rPr>
          <w:rFonts w:ascii="Arial" w:hAnsi="Arial" w:eastAsia="Arial" w:cs="Arial"/>
          <w:b w:val="0"/>
          <w:bCs w:val="0"/>
          <w:i w:val="1"/>
          <w:iCs w:val="1"/>
          <w:strike w:val="0"/>
          <w:dstrike w:val="0"/>
          <w:noProof w:val="0"/>
          <w:color w:val="000000" w:themeColor="text1" w:themeTint="FF" w:themeShade="FF"/>
          <w:sz w:val="22"/>
          <w:szCs w:val="22"/>
          <w:u w:val="none"/>
          <w:lang w:val="en-GB"/>
        </w:rPr>
        <w:t>11</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(3-4), 89–96.  </w:t>
      </w:r>
    </w:p>
    <w:p w:rsidR="11AEC072" w:rsidP="11AEC072" w:rsidRDefault="11AEC072" w14:paraId="4C6B8802" w14:textId="3E4F3C8F">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Cherry, K. (2021) Positive Reinforcement and Operant Conditioning. Available at: </w:t>
      </w:r>
      <w:hyperlink r:id="R72bec84fb91649a8">
        <w:r w:rsidRPr="11AEC072" w:rsidR="11AEC072">
          <w:rPr>
            <w:rStyle w:val="Hyperlink"/>
            <w:rFonts w:ascii="Arial" w:hAnsi="Arial" w:eastAsia="Arial" w:cs="Arial"/>
            <w:b w:val="0"/>
            <w:bCs w:val="0"/>
            <w:i w:val="0"/>
            <w:iCs w:val="0"/>
            <w:strike w:val="0"/>
            <w:dstrike w:val="0"/>
            <w:noProof w:val="0"/>
            <w:sz w:val="22"/>
            <w:szCs w:val="22"/>
            <w:lang w:val="en-GB"/>
          </w:rPr>
          <w:t>Positive Reinforcement and Operant Conditioning (verywellmind.com)</w:t>
        </w:r>
      </w:hyperlink>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18/10/2021) </w:t>
      </w:r>
    </w:p>
    <w:p w:rsidR="11AEC072" w:rsidP="11AEC072" w:rsidRDefault="11AEC072" w14:paraId="0B857BFD" w14:textId="3BF68421">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Deci, E. L. (1971). Effects of externally mediated rewards on intrinsic motivation. Journal of Personality and Social Psychology, 18, 105-1 </w:t>
      </w:r>
    </w:p>
    <w:p w:rsidR="11AEC072" w:rsidP="11AEC072" w:rsidRDefault="11AEC072" w14:paraId="7265CA65" w14:textId="19EE4551">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Deci, E. L., Koestner, R., &amp; Ryan, R. M. (2001). Extrinsic Rewards and Intrinsic Motivation in Education: Reconsidered Once Again. Review of Educational Research, 71(1), 1–27. </w:t>
      </w:r>
      <w:hyperlink r:id="Rec69d0e596e64743">
        <w:r w:rsidRPr="11AEC072" w:rsidR="11AEC072">
          <w:rPr>
            <w:rStyle w:val="Hyperlink"/>
            <w:rFonts w:ascii="Arial" w:hAnsi="Arial" w:eastAsia="Arial" w:cs="Arial"/>
            <w:b w:val="0"/>
            <w:bCs w:val="0"/>
            <w:i w:val="0"/>
            <w:iCs w:val="0"/>
            <w:strike w:val="0"/>
            <w:dstrike w:val="0"/>
            <w:noProof w:val="0"/>
            <w:sz w:val="22"/>
            <w:szCs w:val="22"/>
            <w:lang w:val="en-GB"/>
          </w:rPr>
          <w:t>https://doi.org/10.3102/00346543071001001</w:t>
        </w:r>
      </w:hyperlink>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1AEC072" w:rsidP="11AEC072" w:rsidRDefault="11AEC072" w14:paraId="75E661D5" w14:textId="6EE9E065">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Dewey, J. (1933) How we think: A restatement of the relation of reflective thinking to the education process. Boston, MA: D.C. Heath &amp; Co publishers. </w:t>
      </w:r>
    </w:p>
    <w:p w:rsidR="11AEC072" w:rsidP="11AEC072" w:rsidRDefault="11AEC072" w14:paraId="05BAD21F" w14:textId="43566FA5">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ESTYN. (2014). </w:t>
      </w:r>
      <w:r w:rsidRPr="11AEC072" w:rsidR="11AEC072">
        <w:rPr>
          <w:rFonts w:ascii="Arial" w:hAnsi="Arial" w:eastAsia="Arial" w:cs="Arial"/>
          <w:b w:val="0"/>
          <w:bCs w:val="0"/>
          <w:i w:val="0"/>
          <w:iCs w:val="0"/>
          <w:strike w:val="0"/>
          <w:dstrike w:val="0"/>
          <w:noProof w:val="0"/>
          <w:color w:val="000000" w:themeColor="text1" w:themeTint="FF" w:themeShade="FF"/>
          <w:sz w:val="22"/>
          <w:szCs w:val="22"/>
          <w:highlight w:val="black"/>
          <w:u w:val="none"/>
          <w:lang w:val="en-GB"/>
        </w:rPr>
        <w:t>Newton Primary</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School Report. Available at: </w:t>
      </w:r>
      <w:hyperlink r:id="Rafc692e2d4514d5f">
        <w:r w:rsidRPr="11AEC072" w:rsidR="11AEC072">
          <w:rPr>
            <w:rStyle w:val="Hyperlink"/>
            <w:rFonts w:ascii="Arial" w:hAnsi="Arial" w:eastAsia="Arial" w:cs="Arial"/>
            <w:b w:val="0"/>
            <w:bCs w:val="0"/>
            <w:i w:val="0"/>
            <w:iCs w:val="0"/>
            <w:strike w:val="0"/>
            <w:dstrike w:val="0"/>
            <w:noProof w:val="0"/>
            <w:sz w:val="22"/>
            <w:szCs w:val="22"/>
            <w:lang w:val="en-GB"/>
          </w:rPr>
          <w:t xml:space="preserve">Microsoft Word - </w:t>
        </w:r>
        <w:r w:rsidRPr="11AEC072" w:rsidR="11AEC072">
          <w:rPr>
            <w:rStyle w:val="Hyperlink"/>
            <w:rFonts w:ascii="Arial" w:hAnsi="Arial" w:eastAsia="Arial" w:cs="Arial"/>
            <w:b w:val="0"/>
            <w:bCs w:val="0"/>
            <w:i w:val="0"/>
            <w:iCs w:val="0"/>
            <w:strike w:val="0"/>
            <w:dstrike w:val="0"/>
            <w:noProof w:val="0"/>
            <w:sz w:val="22"/>
            <w:szCs w:val="22"/>
            <w:highlight w:val="blue"/>
            <w:lang w:val="en-GB"/>
          </w:rPr>
          <w:t>Newton Primary</w:t>
        </w:r>
        <w:r w:rsidRPr="11AEC072" w:rsidR="11AEC072">
          <w:rPr>
            <w:rStyle w:val="Hyperlink"/>
            <w:rFonts w:ascii="Arial" w:hAnsi="Arial" w:eastAsia="Arial" w:cs="Arial"/>
            <w:b w:val="0"/>
            <w:bCs w:val="0"/>
            <w:i w:val="0"/>
            <w:iCs w:val="0"/>
            <w:strike w:val="0"/>
            <w:dstrike w:val="0"/>
            <w:noProof w:val="0"/>
            <w:sz w:val="22"/>
            <w:szCs w:val="22"/>
            <w:lang w:val="en-GB"/>
          </w:rPr>
          <w:t xml:space="preserve"> School.docx (gov.wales)</w:t>
        </w:r>
      </w:hyperlink>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05/10/2021) </w:t>
      </w:r>
    </w:p>
    <w:p w:rsidR="11AEC072" w:rsidP="11AEC072" w:rsidRDefault="11AEC072" w14:paraId="1F4EA83B" w14:textId="1465F0AA">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Family Educational Rights and Privacy Act of 1974 (1974). 20 U.S.C. 1232 g. </w:t>
      </w:r>
    </w:p>
    <w:p w:rsidR="11AEC072" w:rsidP="11AEC072" w:rsidRDefault="11AEC072" w14:paraId="45214319" w14:textId="1F636095">
      <w:pPr>
        <w:ind w:firstLine="0"/>
        <w:jc w:val="both"/>
      </w:pPr>
      <w:proofErr w:type="spellStart"/>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Gov.Wales</w:t>
      </w:r>
      <w:proofErr w:type="spellEnd"/>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(2015). The new curriculum: poster. </w:t>
      </w:r>
      <w:r w:rsidRPr="11AEC072" w:rsidR="11AEC072">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The 4 purposes of the curriculum for Wales. </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Available at: </w:t>
      </w:r>
      <w:hyperlink r:id="R46b131e54f6c451e">
        <w:r w:rsidRPr="11AEC072" w:rsidR="11AEC072">
          <w:rPr>
            <w:rStyle w:val="Hyperlink"/>
            <w:rFonts w:ascii="Arial" w:hAnsi="Arial" w:eastAsia="Arial" w:cs="Arial"/>
            <w:b w:val="0"/>
            <w:bCs w:val="0"/>
            <w:i w:val="0"/>
            <w:iCs w:val="0"/>
            <w:strike w:val="0"/>
            <w:dstrike w:val="0"/>
            <w:noProof w:val="0"/>
            <w:sz w:val="22"/>
            <w:szCs w:val="22"/>
            <w:lang w:val="en-GB"/>
          </w:rPr>
          <w:t>the-four-purposes-of-the-curriculum-for-wales.pdf (gov.wales)</w:t>
        </w:r>
      </w:hyperlink>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12/10/2021) </w:t>
      </w:r>
    </w:p>
    <w:p w:rsidR="11AEC072" w:rsidP="11AEC072" w:rsidRDefault="11AEC072" w14:paraId="7957C395" w14:textId="49EEB6B7">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Gov.Wales. (2018). Professional standards. </w:t>
      </w:r>
      <w:r w:rsidRPr="11AEC072" w:rsidR="11AEC072">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An introduction to the professional standards for teaching and leadership. </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Available at: </w:t>
      </w:r>
      <w:hyperlink r:id="R4082b20a71c44cba">
        <w:r w:rsidRPr="11AEC072" w:rsidR="11AEC072">
          <w:rPr>
            <w:rStyle w:val="Hyperlink"/>
            <w:rFonts w:ascii="Arial" w:hAnsi="Arial" w:eastAsia="Arial" w:cs="Arial"/>
            <w:b w:val="0"/>
            <w:bCs w:val="0"/>
            <w:i w:val="0"/>
            <w:iCs w:val="0"/>
            <w:strike w:val="0"/>
            <w:dstrike w:val="0"/>
            <w:noProof w:val="0"/>
            <w:sz w:val="22"/>
            <w:szCs w:val="22"/>
            <w:lang w:val="en-GB"/>
          </w:rPr>
          <w:t>https://hwb.gov.wales/professional-development/professional-standards</w:t>
        </w:r>
      </w:hyperlink>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25/10/2021) </w:t>
      </w:r>
    </w:p>
    <w:p w:rsidR="11AEC072" w:rsidP="11AEC072" w:rsidRDefault="11AEC072" w14:paraId="1BFBFE14" w14:textId="4C964C31">
      <w:pPr>
        <w:ind w:firstLine="0"/>
        <w:jc w:val="both"/>
      </w:pPr>
      <w:proofErr w:type="spellStart"/>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Gov.Wales</w:t>
      </w:r>
      <w:proofErr w:type="spellEnd"/>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(2021). Qualified Teacher Status (QTS). </w:t>
      </w:r>
      <w:r w:rsidRPr="11AEC072" w:rsidR="11AEC072">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How to gain qualified teacher status (QTS) to teach in a maintained school or non-maintained special school in Wales. </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Available at: </w:t>
      </w:r>
      <w:hyperlink r:id="Rb8844e73f01748d0">
        <w:r w:rsidRPr="11AEC072" w:rsidR="11AEC072">
          <w:rPr>
            <w:rStyle w:val="Hyperlink"/>
            <w:rFonts w:ascii="Arial" w:hAnsi="Arial" w:eastAsia="Arial" w:cs="Arial"/>
            <w:b w:val="0"/>
            <w:bCs w:val="0"/>
            <w:i w:val="0"/>
            <w:iCs w:val="0"/>
            <w:strike w:val="0"/>
            <w:dstrike w:val="0"/>
            <w:noProof w:val="0"/>
            <w:sz w:val="22"/>
            <w:szCs w:val="22"/>
            <w:lang w:val="en-GB"/>
          </w:rPr>
          <w:t>Qualified Teacher Status (QTS) | GOV.WALES</w:t>
        </w:r>
      </w:hyperlink>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05/10/2021) </w:t>
      </w:r>
    </w:p>
    <w:p w:rsidR="11AEC072" w:rsidP="11AEC072" w:rsidRDefault="11AEC072" w14:paraId="34049832" w14:textId="46A45A0B">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Hennessey, B., Moran, S., Altringer, B., &amp; Amabile, T. M. (2015). Extrinsic and intrinsic motivation. </w:t>
      </w:r>
      <w:r w:rsidRPr="11AEC072" w:rsidR="11AEC072">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Wiley </w:t>
      </w:r>
      <w:proofErr w:type="spellStart"/>
      <w:r w:rsidRPr="11AEC072" w:rsidR="11AEC072">
        <w:rPr>
          <w:rFonts w:ascii="Arial" w:hAnsi="Arial" w:eastAsia="Arial" w:cs="Arial"/>
          <w:b w:val="0"/>
          <w:bCs w:val="0"/>
          <w:i w:val="1"/>
          <w:iCs w:val="1"/>
          <w:strike w:val="0"/>
          <w:dstrike w:val="0"/>
          <w:noProof w:val="0"/>
          <w:color w:val="000000" w:themeColor="text1" w:themeTint="FF" w:themeShade="FF"/>
          <w:sz w:val="22"/>
          <w:szCs w:val="22"/>
          <w:u w:val="none"/>
          <w:lang w:val="en-GB"/>
        </w:rPr>
        <w:t>encyclopedia</w:t>
      </w:r>
      <w:proofErr w:type="spellEnd"/>
      <w:r w:rsidRPr="11AEC072" w:rsidR="11AEC072">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 of management</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1-4. </w:t>
      </w:r>
    </w:p>
    <w:p w:rsidR="11AEC072" w:rsidP="11AEC072" w:rsidRDefault="11AEC072" w14:paraId="7005E635" w14:textId="24D656E5">
      <w:pPr>
        <w:ind w:firstLine="0"/>
        <w:jc w:val="both"/>
      </w:pPr>
      <w:proofErr w:type="spellStart"/>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Kazepides</w:t>
      </w:r>
      <w:proofErr w:type="spellEnd"/>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A. C. (1976). Operant Conditioning in Education. </w:t>
      </w:r>
      <w:r w:rsidRPr="11AEC072" w:rsidR="11AEC072">
        <w:rPr>
          <w:rFonts w:ascii="Arial" w:hAnsi="Arial" w:eastAsia="Arial" w:cs="Arial"/>
          <w:b w:val="0"/>
          <w:bCs w:val="0"/>
          <w:i w:val="1"/>
          <w:iCs w:val="1"/>
          <w:strike w:val="0"/>
          <w:dstrike w:val="0"/>
          <w:noProof w:val="0"/>
          <w:color w:val="000000" w:themeColor="text1" w:themeTint="FF" w:themeShade="FF"/>
          <w:sz w:val="22"/>
          <w:szCs w:val="22"/>
          <w:u w:val="none"/>
          <w:lang w:val="en-GB"/>
        </w:rPr>
        <w:t>Canadian Journal of Education</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w:t>
      </w:r>
      <w:r w:rsidRPr="11AEC072" w:rsidR="11AEC072">
        <w:rPr>
          <w:rFonts w:ascii="Arial" w:hAnsi="Arial" w:eastAsia="Arial" w:cs="Arial"/>
          <w:b w:val="0"/>
          <w:bCs w:val="0"/>
          <w:i w:val="1"/>
          <w:iCs w:val="1"/>
          <w:strike w:val="0"/>
          <w:dstrike w:val="0"/>
          <w:noProof w:val="0"/>
          <w:color w:val="000000" w:themeColor="text1" w:themeTint="FF" w:themeShade="FF"/>
          <w:sz w:val="22"/>
          <w:szCs w:val="22"/>
          <w:u w:val="none"/>
          <w:lang w:val="en-GB"/>
        </w:rPr>
        <w:t>1</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(4), 64-65. </w:t>
      </w:r>
    </w:p>
    <w:p w:rsidR="11AEC072" w:rsidP="11AEC072" w:rsidRDefault="11AEC072" w14:paraId="31569271" w14:textId="4D968B00">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Kohn, A. (1993). Punished by rewards: The trouble with go/J stars, incentive plans, A's, praise, and other bribes. Boston: Houghton-Mifflin. </w:t>
      </w:r>
    </w:p>
    <w:p w:rsidR="11AEC072" w:rsidP="11AEC072" w:rsidRDefault="11AEC072" w14:paraId="4DB0A125" w14:textId="348065F6">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Krach, S. K., &amp; McCreery, M. P. (2016). Technology and positive </w:t>
      </w:r>
      <w:proofErr w:type="spellStart"/>
      <w:r w:rsidRPr="11AEC072" w:rsidR="11AEC072">
        <w:rPr>
          <w:rFonts w:ascii="Arial" w:hAnsi="Arial" w:eastAsia="Arial" w:cs="Arial"/>
          <w:b w:val="0"/>
          <w:bCs w:val="0"/>
          <w:i w:val="0"/>
          <w:iCs w:val="0"/>
          <w:strike w:val="0"/>
          <w:dstrike w:val="0"/>
          <w:noProof w:val="0"/>
          <w:color w:val="000000" w:themeColor="text1" w:themeTint="FF" w:themeShade="FF"/>
          <w:sz w:val="21"/>
          <w:szCs w:val="21"/>
          <w:u w:val="none"/>
          <w:lang w:val="en-GB"/>
        </w:rPr>
        <w:t>behavioral</w:t>
      </w:r>
      <w:proofErr w:type="spellEnd"/>
      <w:r w:rsidRPr="11AEC072" w:rsidR="11AEC072">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 support: evaluation, selection, and implementation of computer-based socio-emotional training in schools. In S. Y. </w:t>
      </w:r>
      <w:proofErr w:type="spellStart"/>
      <w:r w:rsidRPr="11AEC072" w:rsidR="11AEC072">
        <w:rPr>
          <w:rFonts w:ascii="Arial" w:hAnsi="Arial" w:eastAsia="Arial" w:cs="Arial"/>
          <w:b w:val="0"/>
          <w:bCs w:val="0"/>
          <w:i w:val="0"/>
          <w:iCs w:val="0"/>
          <w:strike w:val="0"/>
          <w:dstrike w:val="0"/>
          <w:noProof w:val="0"/>
          <w:color w:val="000000" w:themeColor="text1" w:themeTint="FF" w:themeShade="FF"/>
          <w:sz w:val="21"/>
          <w:szCs w:val="21"/>
          <w:u w:val="none"/>
          <w:lang w:val="en-GB"/>
        </w:rPr>
        <w:t>Tettegah</w:t>
      </w:r>
      <w:proofErr w:type="spellEnd"/>
      <w:r w:rsidRPr="11AEC072" w:rsidR="11AEC072">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 &amp; D. Espelage (Eds.), Emotions and technology: communication </w:t>
      </w:r>
      <w:proofErr w:type="spellStart"/>
      <w:r w:rsidRPr="11AEC072" w:rsidR="11AEC072">
        <w:rPr>
          <w:rFonts w:ascii="Arial" w:hAnsi="Arial" w:eastAsia="Arial" w:cs="Arial"/>
          <w:b w:val="0"/>
          <w:bCs w:val="0"/>
          <w:i w:val="0"/>
          <w:iCs w:val="0"/>
          <w:strike w:val="0"/>
          <w:dstrike w:val="0"/>
          <w:noProof w:val="0"/>
          <w:color w:val="000000" w:themeColor="text1" w:themeTint="FF" w:themeShade="FF"/>
          <w:sz w:val="21"/>
          <w:szCs w:val="21"/>
          <w:u w:val="none"/>
          <w:lang w:val="en-GB"/>
        </w:rPr>
        <w:t>offeelings</w:t>
      </w:r>
      <w:proofErr w:type="spellEnd"/>
      <w:r w:rsidRPr="11AEC072" w:rsidR="11AEC072">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 for, with, and through digital media-volume I: emotions, learning, and technology. Waltham, MA: Elsevier. </w:t>
      </w:r>
    </w:p>
    <w:p w:rsidR="11AEC072" w:rsidP="11AEC072" w:rsidRDefault="11AEC072" w14:paraId="5B25C4EB" w14:textId="69E7765D">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Krach, S. K., McCreery, M. P., &amp; Rimel, H. (2017). Examining Teachers’ </w:t>
      </w:r>
      <w:proofErr w:type="spellStart"/>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Behavioral</w:t>
      </w:r>
      <w:proofErr w:type="spellEnd"/>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Management Charts: </w:t>
      </w:r>
      <w:proofErr w:type="gramStart"/>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a</w:t>
      </w:r>
      <w:proofErr w:type="gramEnd"/>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Comparison of Class Dojo and Paper-Pencil Methods. </w:t>
      </w:r>
      <w:r w:rsidRPr="11AEC072" w:rsidR="11AEC072">
        <w:rPr>
          <w:rFonts w:ascii="Arial" w:hAnsi="Arial" w:eastAsia="Arial" w:cs="Arial"/>
          <w:b w:val="0"/>
          <w:bCs w:val="0"/>
          <w:i w:val="1"/>
          <w:iCs w:val="1"/>
          <w:strike w:val="0"/>
          <w:dstrike w:val="0"/>
          <w:noProof w:val="0"/>
          <w:color w:val="000000" w:themeColor="text1" w:themeTint="FF" w:themeShade="FF"/>
          <w:sz w:val="22"/>
          <w:szCs w:val="22"/>
          <w:u w:val="none"/>
          <w:lang w:val="en-GB"/>
        </w:rPr>
        <w:t>Contemporary School Psychology</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11AEC072" w:rsidR="11AEC072">
        <w:rPr>
          <w:rFonts w:ascii="Arial" w:hAnsi="Arial" w:eastAsia="Arial" w:cs="Arial"/>
          <w:b w:val="0"/>
          <w:bCs w:val="0"/>
          <w:i w:val="1"/>
          <w:iCs w:val="1"/>
          <w:strike w:val="0"/>
          <w:dstrike w:val="0"/>
          <w:noProof w:val="0"/>
          <w:color w:val="000000" w:themeColor="text1" w:themeTint="FF" w:themeShade="FF"/>
          <w:sz w:val="22"/>
          <w:szCs w:val="22"/>
          <w:u w:val="none"/>
          <w:lang w:val="en-GB"/>
        </w:rPr>
        <w:t>21</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(3), 267–275. </w:t>
      </w:r>
    </w:p>
    <w:p w:rsidR="11AEC072" w:rsidP="11AEC072" w:rsidRDefault="11AEC072" w14:paraId="1B53A25B" w14:textId="1642BAC6">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Lane, K., Kalberg, K., Bruhn, A., Mahoney, M., &amp; Driscoll, S. (2008). Primary prevention programs at the elementary level: Issues of treatment integrity, systematic screening, and reinforcement. Education and Treatment of Children, 31(4), 465-494 </w:t>
      </w:r>
    </w:p>
    <w:p w:rsidR="11AEC072" w:rsidP="11AEC072" w:rsidRDefault="11AEC072" w14:paraId="68A4A6EA" w14:textId="7DCCCCE2">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Leach, D. J., &amp; Tan, R. (1996). The effects of sending positive and negative letters to parents on the classroom behaviour of secondary school students. Educational Psychology, 16(2), 141-154. </w:t>
      </w:r>
    </w:p>
    <w:p w:rsidR="11AEC072" w:rsidP="11AEC072" w:rsidRDefault="11AEC072" w14:paraId="7FBD03B0" w14:textId="2EA27D6E">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Maag, J. W. (2001). Rewarded by Punishment: Reflections on the Disuse of Positive Reinforcement in Education. Exceptional Children, 67(2), 173–175. </w:t>
      </w:r>
    </w:p>
    <w:p w:rsidR="11AEC072" w:rsidP="11AEC072" w:rsidRDefault="11AEC072" w14:paraId="5AFC40D0" w14:textId="1E4AD36A">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Sigler, E., &amp; </w:t>
      </w:r>
      <w:proofErr w:type="spellStart"/>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Aamidor</w:t>
      </w:r>
      <w:proofErr w:type="spellEnd"/>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 (2005). From positive reinforcement to positive </w:t>
      </w:r>
      <w:proofErr w:type="spellStart"/>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behaviors</w:t>
      </w:r>
      <w:proofErr w:type="spellEnd"/>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 everyday guide for the practitioner. Early Childhood Education Journal, 32(4), 294-253 </w:t>
      </w:r>
    </w:p>
    <w:p w:rsidR="11AEC072" w:rsidP="11AEC072" w:rsidRDefault="11AEC072" w14:paraId="56DA0E3F" w14:textId="09B22736">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Singer, N. (2014). School tracking app won't keep data. The New York Times, B.6. </w:t>
      </w:r>
    </w:p>
    <w:p w:rsidR="11AEC072" w:rsidP="11AEC072" w:rsidRDefault="11AEC072" w14:paraId="44506CE7" w14:textId="4DB74DB0">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Tillery, A. D., Varjas, K., Meyers, J., &amp; Collins, A. S. (2010). General education teachers' perceptions of </w:t>
      </w:r>
      <w:proofErr w:type="spellStart"/>
      <w:r w:rsidRPr="11AEC072" w:rsidR="11AEC072">
        <w:rPr>
          <w:rFonts w:ascii="Arial" w:hAnsi="Arial" w:eastAsia="Arial" w:cs="Arial"/>
          <w:b w:val="0"/>
          <w:bCs w:val="0"/>
          <w:i w:val="0"/>
          <w:iCs w:val="0"/>
          <w:strike w:val="0"/>
          <w:dstrike w:val="0"/>
          <w:noProof w:val="0"/>
          <w:color w:val="000000" w:themeColor="text1" w:themeTint="FF" w:themeShade="FF"/>
          <w:sz w:val="21"/>
          <w:szCs w:val="21"/>
          <w:u w:val="none"/>
          <w:lang w:val="en-GB"/>
        </w:rPr>
        <w:t>behavior</w:t>
      </w:r>
      <w:proofErr w:type="spellEnd"/>
      <w:r w:rsidRPr="11AEC072" w:rsidR="11AEC072">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 management and intervention strategies. Journal of Positive </w:t>
      </w:r>
      <w:proofErr w:type="spellStart"/>
      <w:r w:rsidRPr="11AEC072" w:rsidR="11AEC072">
        <w:rPr>
          <w:rFonts w:ascii="Arial" w:hAnsi="Arial" w:eastAsia="Arial" w:cs="Arial"/>
          <w:b w:val="0"/>
          <w:bCs w:val="0"/>
          <w:i w:val="0"/>
          <w:iCs w:val="0"/>
          <w:strike w:val="0"/>
          <w:dstrike w:val="0"/>
          <w:noProof w:val="0"/>
          <w:color w:val="000000" w:themeColor="text1" w:themeTint="FF" w:themeShade="FF"/>
          <w:sz w:val="21"/>
          <w:szCs w:val="21"/>
          <w:u w:val="none"/>
          <w:lang w:val="en-GB"/>
        </w:rPr>
        <w:t>Behavior</w:t>
      </w:r>
      <w:proofErr w:type="spellEnd"/>
      <w:r w:rsidRPr="11AEC072" w:rsidR="11AEC072">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 Interventions, 12(2), 86-102. </w:t>
      </w:r>
    </w:p>
    <w:p w:rsidR="11AEC072" w:rsidP="11AEC072" w:rsidRDefault="11AEC072" w14:paraId="1291E97A" w14:textId="79631C8E">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Tripp, D. (1993). Critical Incidents in teaching: developing professional judgement. London: Routledge.  </w:t>
      </w:r>
    </w:p>
    <w:p w:rsidR="11AEC072" w:rsidP="11AEC072" w:rsidRDefault="11AEC072" w14:paraId="306F494F" w14:textId="0E3074A1">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Warschauer, M., Knobel, M., &amp; Stone, L. (2004). Technology and equity in schooling: deconstructing the digital divide. Educational Policy, 18(4), 562-588. </w:t>
      </w:r>
    </w:p>
    <w:p w:rsidR="11AEC072" w:rsidP="11AEC072" w:rsidRDefault="11AEC072" w14:paraId="71A5C5E8" w14:textId="0F2FF4C8">
      <w:pPr>
        <w:ind w:firstLine="0"/>
        <w:jc w:val="both"/>
      </w:pP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Winch, C., Oancea, A., Orchard, J. (2013) ‘The contribution of educational research to teachers professional leaning- philosophical </w:t>
      </w:r>
      <w:proofErr w:type="gramStart"/>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understandings’</w:t>
      </w:r>
      <w:proofErr w:type="gramEnd"/>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11AEC072" w:rsidR="11AEC072">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Research and Teacher Education: The BERA-RSA Inquiry, </w:t>
      </w:r>
      <w:r w:rsidRPr="11AEC072" w:rsidR="11AEC07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BERA/RSA, London.  </w:t>
      </w:r>
    </w:p>
    <w:p w:rsidR="11AEC072" w:rsidP="11AEC072" w:rsidRDefault="11AEC072" w14:paraId="6896FFF7" w14:textId="4A54FABA">
      <w:pPr>
        <w:pStyle w:val="Normal"/>
      </w:pPr>
      <w:r>
        <w:br/>
      </w:r>
    </w:p>
    <w:sectPr w:rsidRPr="00F63506" w:rsidR="00F6350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B7912" w:rsidP="001A79C1" w:rsidRDefault="00BB7912" w14:paraId="0F503389" w14:textId="77777777">
      <w:pPr>
        <w:spacing w:after="0" w:line="240" w:lineRule="auto"/>
      </w:pPr>
      <w:r>
        <w:separator/>
      </w:r>
    </w:p>
  </w:endnote>
  <w:endnote w:type="continuationSeparator" w:id="0">
    <w:p w:rsidR="00BB7912" w:rsidP="001A79C1" w:rsidRDefault="00BB7912" w14:paraId="2CAF466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B7912" w:rsidP="001A79C1" w:rsidRDefault="00BB7912" w14:paraId="6C46E828" w14:textId="77777777">
      <w:pPr>
        <w:spacing w:after="0" w:line="240" w:lineRule="auto"/>
      </w:pPr>
      <w:r>
        <w:separator/>
      </w:r>
    </w:p>
  </w:footnote>
  <w:footnote w:type="continuationSeparator" w:id="0">
    <w:p w:rsidR="00BB7912" w:rsidP="001A79C1" w:rsidRDefault="00BB7912" w14:paraId="34DD4CE5" w14:textId="77777777">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gyOH8DDWdfLLj7" id="BcKoXIvu"/>
    <int:ParagraphRange paragraphId="256226986" textId="547077199" start="89" length="5" invalidationStart="89" invalidationLength="5" id="YT5leyQv"/>
  </int:Manifest>
  <int:Observations>
    <int:Content id="BcKoXIvu">
      <int:Rejection type="LegacyProofing"/>
    </int:Content>
    <int:Content id="YT5leyQv">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41DC607C"/>
    <w:multiLevelType w:val="hybridMultilevel"/>
    <w:tmpl w:val="8452D1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66C73DD5"/>
    <w:multiLevelType w:val="hybridMultilevel"/>
    <w:tmpl w:val="A95246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
    <w:abstractNumId w:val="2"/>
  </w: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02E"/>
    <w:rsid w:val="00001227"/>
    <w:rsid w:val="0000666B"/>
    <w:rsid w:val="000066CD"/>
    <w:rsid w:val="00011E24"/>
    <w:rsid w:val="00012B04"/>
    <w:rsid w:val="00024979"/>
    <w:rsid w:val="00032D9D"/>
    <w:rsid w:val="0003460C"/>
    <w:rsid w:val="00042686"/>
    <w:rsid w:val="00051E4D"/>
    <w:rsid w:val="00060608"/>
    <w:rsid w:val="00060A2D"/>
    <w:rsid w:val="00061B4E"/>
    <w:rsid w:val="000628F2"/>
    <w:rsid w:val="00067018"/>
    <w:rsid w:val="00095254"/>
    <w:rsid w:val="00097B21"/>
    <w:rsid w:val="00097B3E"/>
    <w:rsid w:val="000A7008"/>
    <w:rsid w:val="000B1BE9"/>
    <w:rsid w:val="000C01C8"/>
    <w:rsid w:val="000C502E"/>
    <w:rsid w:val="000C7547"/>
    <w:rsid w:val="000D7922"/>
    <w:rsid w:val="000E1F40"/>
    <w:rsid w:val="000E63B0"/>
    <w:rsid w:val="00117AD7"/>
    <w:rsid w:val="00117C11"/>
    <w:rsid w:val="00144573"/>
    <w:rsid w:val="0014733D"/>
    <w:rsid w:val="00155586"/>
    <w:rsid w:val="00160524"/>
    <w:rsid w:val="0019218B"/>
    <w:rsid w:val="00195C34"/>
    <w:rsid w:val="001A1449"/>
    <w:rsid w:val="001A4FC7"/>
    <w:rsid w:val="001A79C1"/>
    <w:rsid w:val="001C6990"/>
    <w:rsid w:val="001D0542"/>
    <w:rsid w:val="001E0917"/>
    <w:rsid w:val="001E75B4"/>
    <w:rsid w:val="00200EB8"/>
    <w:rsid w:val="00207EA1"/>
    <w:rsid w:val="002170BD"/>
    <w:rsid w:val="0022469B"/>
    <w:rsid w:val="0022527B"/>
    <w:rsid w:val="00225BB6"/>
    <w:rsid w:val="002358E9"/>
    <w:rsid w:val="00235DDB"/>
    <w:rsid w:val="00243199"/>
    <w:rsid w:val="002437E5"/>
    <w:rsid w:val="00262BFE"/>
    <w:rsid w:val="00286EB6"/>
    <w:rsid w:val="002A2E51"/>
    <w:rsid w:val="002B2E70"/>
    <w:rsid w:val="002B73E0"/>
    <w:rsid w:val="002C02B2"/>
    <w:rsid w:val="002F4F82"/>
    <w:rsid w:val="002F683D"/>
    <w:rsid w:val="00305041"/>
    <w:rsid w:val="0031228B"/>
    <w:rsid w:val="00315DD5"/>
    <w:rsid w:val="00326F31"/>
    <w:rsid w:val="0033122C"/>
    <w:rsid w:val="00345BB3"/>
    <w:rsid w:val="00357F25"/>
    <w:rsid w:val="003641E2"/>
    <w:rsid w:val="00395679"/>
    <w:rsid w:val="003B2F62"/>
    <w:rsid w:val="003B5E8D"/>
    <w:rsid w:val="003C42D4"/>
    <w:rsid w:val="003D225D"/>
    <w:rsid w:val="003F4DC9"/>
    <w:rsid w:val="003F7864"/>
    <w:rsid w:val="00400560"/>
    <w:rsid w:val="00402292"/>
    <w:rsid w:val="0040413C"/>
    <w:rsid w:val="004128DF"/>
    <w:rsid w:val="0042459A"/>
    <w:rsid w:val="00434BB2"/>
    <w:rsid w:val="004350D3"/>
    <w:rsid w:val="004442FB"/>
    <w:rsid w:val="00446E43"/>
    <w:rsid w:val="00452F93"/>
    <w:rsid w:val="004609EA"/>
    <w:rsid w:val="0047136C"/>
    <w:rsid w:val="004866AA"/>
    <w:rsid w:val="00490C77"/>
    <w:rsid w:val="004A0560"/>
    <w:rsid w:val="004A5C6C"/>
    <w:rsid w:val="004B4201"/>
    <w:rsid w:val="004B4815"/>
    <w:rsid w:val="004B4A07"/>
    <w:rsid w:val="004C797B"/>
    <w:rsid w:val="004E7DE8"/>
    <w:rsid w:val="005065ED"/>
    <w:rsid w:val="00511F4F"/>
    <w:rsid w:val="005153E1"/>
    <w:rsid w:val="0051699B"/>
    <w:rsid w:val="00521269"/>
    <w:rsid w:val="00524DAE"/>
    <w:rsid w:val="00537024"/>
    <w:rsid w:val="00537BB5"/>
    <w:rsid w:val="00541FA9"/>
    <w:rsid w:val="005423EC"/>
    <w:rsid w:val="00544F74"/>
    <w:rsid w:val="00563715"/>
    <w:rsid w:val="00570C5D"/>
    <w:rsid w:val="005753BF"/>
    <w:rsid w:val="00585F3D"/>
    <w:rsid w:val="00595204"/>
    <w:rsid w:val="00597C9D"/>
    <w:rsid w:val="005C2AF5"/>
    <w:rsid w:val="005D0B64"/>
    <w:rsid w:val="005F450B"/>
    <w:rsid w:val="00602656"/>
    <w:rsid w:val="00623E05"/>
    <w:rsid w:val="006247F2"/>
    <w:rsid w:val="00624845"/>
    <w:rsid w:val="00632062"/>
    <w:rsid w:val="00632086"/>
    <w:rsid w:val="0063362E"/>
    <w:rsid w:val="00635B80"/>
    <w:rsid w:val="006376B6"/>
    <w:rsid w:val="00647CB2"/>
    <w:rsid w:val="00651C68"/>
    <w:rsid w:val="006639F0"/>
    <w:rsid w:val="0066487C"/>
    <w:rsid w:val="006802C0"/>
    <w:rsid w:val="0068274D"/>
    <w:rsid w:val="00683E17"/>
    <w:rsid w:val="006944DD"/>
    <w:rsid w:val="006A2411"/>
    <w:rsid w:val="006B4DCD"/>
    <w:rsid w:val="006C270C"/>
    <w:rsid w:val="006D038B"/>
    <w:rsid w:val="006E4981"/>
    <w:rsid w:val="006E522A"/>
    <w:rsid w:val="00706AC0"/>
    <w:rsid w:val="007206DD"/>
    <w:rsid w:val="00731B6E"/>
    <w:rsid w:val="00734F7D"/>
    <w:rsid w:val="00737433"/>
    <w:rsid w:val="0075336D"/>
    <w:rsid w:val="00754C03"/>
    <w:rsid w:val="00757647"/>
    <w:rsid w:val="00763E01"/>
    <w:rsid w:val="00767D75"/>
    <w:rsid w:val="00780C8D"/>
    <w:rsid w:val="007919DD"/>
    <w:rsid w:val="00797880"/>
    <w:rsid w:val="00797A34"/>
    <w:rsid w:val="007A1F53"/>
    <w:rsid w:val="007C4BB4"/>
    <w:rsid w:val="007F1269"/>
    <w:rsid w:val="00803F76"/>
    <w:rsid w:val="008123B9"/>
    <w:rsid w:val="00830C77"/>
    <w:rsid w:val="0086783A"/>
    <w:rsid w:val="00885CB1"/>
    <w:rsid w:val="008A160E"/>
    <w:rsid w:val="008A16F7"/>
    <w:rsid w:val="00923D37"/>
    <w:rsid w:val="00930FB9"/>
    <w:rsid w:val="00932D3C"/>
    <w:rsid w:val="00935E45"/>
    <w:rsid w:val="0093607F"/>
    <w:rsid w:val="009370F9"/>
    <w:rsid w:val="00952FF3"/>
    <w:rsid w:val="00953759"/>
    <w:rsid w:val="00953E19"/>
    <w:rsid w:val="00957EEC"/>
    <w:rsid w:val="009635F8"/>
    <w:rsid w:val="00972FA7"/>
    <w:rsid w:val="009749C8"/>
    <w:rsid w:val="00992703"/>
    <w:rsid w:val="009A29FC"/>
    <w:rsid w:val="009A3E48"/>
    <w:rsid w:val="009A7A06"/>
    <w:rsid w:val="009A7B9D"/>
    <w:rsid w:val="009B542A"/>
    <w:rsid w:val="009D71F8"/>
    <w:rsid w:val="009D7462"/>
    <w:rsid w:val="009F7A21"/>
    <w:rsid w:val="00A14B68"/>
    <w:rsid w:val="00A35E1E"/>
    <w:rsid w:val="00A4403A"/>
    <w:rsid w:val="00A45B38"/>
    <w:rsid w:val="00A50C60"/>
    <w:rsid w:val="00A54B77"/>
    <w:rsid w:val="00A87B5C"/>
    <w:rsid w:val="00A9771B"/>
    <w:rsid w:val="00AB00EC"/>
    <w:rsid w:val="00AB3630"/>
    <w:rsid w:val="00AC24B9"/>
    <w:rsid w:val="00AD5E87"/>
    <w:rsid w:val="00AE37AF"/>
    <w:rsid w:val="00AE49EE"/>
    <w:rsid w:val="00AE5BF9"/>
    <w:rsid w:val="00AF7D2C"/>
    <w:rsid w:val="00B11233"/>
    <w:rsid w:val="00B16621"/>
    <w:rsid w:val="00B24DD7"/>
    <w:rsid w:val="00B24E41"/>
    <w:rsid w:val="00B3424B"/>
    <w:rsid w:val="00B444DA"/>
    <w:rsid w:val="00B44F08"/>
    <w:rsid w:val="00B47840"/>
    <w:rsid w:val="00B51664"/>
    <w:rsid w:val="00B570D4"/>
    <w:rsid w:val="00B60744"/>
    <w:rsid w:val="00B8237E"/>
    <w:rsid w:val="00B87BC9"/>
    <w:rsid w:val="00BB7912"/>
    <w:rsid w:val="00BC4501"/>
    <w:rsid w:val="00BC720C"/>
    <w:rsid w:val="00BD5057"/>
    <w:rsid w:val="00BD5B91"/>
    <w:rsid w:val="00BD7F14"/>
    <w:rsid w:val="00BE134F"/>
    <w:rsid w:val="00BE2CF1"/>
    <w:rsid w:val="00BE6B69"/>
    <w:rsid w:val="00BF6157"/>
    <w:rsid w:val="00C011BB"/>
    <w:rsid w:val="00C04EF9"/>
    <w:rsid w:val="00C1464E"/>
    <w:rsid w:val="00C15477"/>
    <w:rsid w:val="00C25480"/>
    <w:rsid w:val="00C31A00"/>
    <w:rsid w:val="00C37DFC"/>
    <w:rsid w:val="00C53330"/>
    <w:rsid w:val="00C5556C"/>
    <w:rsid w:val="00C56C53"/>
    <w:rsid w:val="00C701EE"/>
    <w:rsid w:val="00C715C7"/>
    <w:rsid w:val="00C91336"/>
    <w:rsid w:val="00CA2733"/>
    <w:rsid w:val="00CA6A4B"/>
    <w:rsid w:val="00CB2889"/>
    <w:rsid w:val="00CC7D4D"/>
    <w:rsid w:val="00CD34AC"/>
    <w:rsid w:val="00CD41B1"/>
    <w:rsid w:val="00CD6D3F"/>
    <w:rsid w:val="00CE13F7"/>
    <w:rsid w:val="00CE4CAA"/>
    <w:rsid w:val="00CF6CC0"/>
    <w:rsid w:val="00CF6FBE"/>
    <w:rsid w:val="00D04B7A"/>
    <w:rsid w:val="00D10592"/>
    <w:rsid w:val="00D172AE"/>
    <w:rsid w:val="00D27A92"/>
    <w:rsid w:val="00D31470"/>
    <w:rsid w:val="00D35E35"/>
    <w:rsid w:val="00D436B3"/>
    <w:rsid w:val="00D43DFD"/>
    <w:rsid w:val="00D44394"/>
    <w:rsid w:val="00D761EB"/>
    <w:rsid w:val="00D84CBD"/>
    <w:rsid w:val="00DA0881"/>
    <w:rsid w:val="00DA1936"/>
    <w:rsid w:val="00DC0118"/>
    <w:rsid w:val="00DD2F63"/>
    <w:rsid w:val="00DE6538"/>
    <w:rsid w:val="00DF0319"/>
    <w:rsid w:val="00DF62E2"/>
    <w:rsid w:val="00E03E54"/>
    <w:rsid w:val="00E07889"/>
    <w:rsid w:val="00E122ED"/>
    <w:rsid w:val="00E1465D"/>
    <w:rsid w:val="00E158E1"/>
    <w:rsid w:val="00E212DF"/>
    <w:rsid w:val="00E24088"/>
    <w:rsid w:val="00E2736A"/>
    <w:rsid w:val="00E50571"/>
    <w:rsid w:val="00E56D54"/>
    <w:rsid w:val="00E57717"/>
    <w:rsid w:val="00E6058A"/>
    <w:rsid w:val="00E60D48"/>
    <w:rsid w:val="00E63F05"/>
    <w:rsid w:val="00E710B5"/>
    <w:rsid w:val="00E71E79"/>
    <w:rsid w:val="00E77CB2"/>
    <w:rsid w:val="00E94DAF"/>
    <w:rsid w:val="00EA4CDD"/>
    <w:rsid w:val="00EB09DA"/>
    <w:rsid w:val="00EB730F"/>
    <w:rsid w:val="00EC147E"/>
    <w:rsid w:val="00EC423A"/>
    <w:rsid w:val="00ED718A"/>
    <w:rsid w:val="00EF5845"/>
    <w:rsid w:val="00F0783A"/>
    <w:rsid w:val="00F10AD0"/>
    <w:rsid w:val="00F12577"/>
    <w:rsid w:val="00F12D63"/>
    <w:rsid w:val="00F1578A"/>
    <w:rsid w:val="00F31AC7"/>
    <w:rsid w:val="00F34D89"/>
    <w:rsid w:val="00F4249A"/>
    <w:rsid w:val="00F50C04"/>
    <w:rsid w:val="00F525DA"/>
    <w:rsid w:val="00F56F98"/>
    <w:rsid w:val="00F63506"/>
    <w:rsid w:val="00F65903"/>
    <w:rsid w:val="00F77459"/>
    <w:rsid w:val="00F80A25"/>
    <w:rsid w:val="00FA2BC8"/>
    <w:rsid w:val="00FB03CD"/>
    <w:rsid w:val="00FB3CDF"/>
    <w:rsid w:val="00FC1B67"/>
    <w:rsid w:val="00FC20CD"/>
    <w:rsid w:val="00FE1461"/>
    <w:rsid w:val="00FE341C"/>
    <w:rsid w:val="00FE3A12"/>
    <w:rsid w:val="00FE4467"/>
    <w:rsid w:val="00FE5DC4"/>
    <w:rsid w:val="00FE7B0F"/>
    <w:rsid w:val="00FF071B"/>
    <w:rsid w:val="00FF4784"/>
    <w:rsid w:val="11AEC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4F6DD"/>
  <w15:chartTrackingRefBased/>
  <w15:docId w15:val="{6262A1B9-AC57-425E-9DB3-6315AD0C8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1A79C1"/>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79C1"/>
  </w:style>
  <w:style w:type="paragraph" w:styleId="Footer">
    <w:name w:val="footer"/>
    <w:basedOn w:val="Normal"/>
    <w:link w:val="FooterChar"/>
    <w:uiPriority w:val="99"/>
    <w:unhideWhenUsed/>
    <w:rsid w:val="001A79C1"/>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79C1"/>
  </w:style>
  <w:style w:type="paragraph" w:styleId="ListParagraph">
    <w:name w:val="List Paragraph"/>
    <w:basedOn w:val="Normal"/>
    <w:uiPriority w:val="34"/>
    <w:qFormat/>
    <w:rsid w:val="000E63B0"/>
    <w:pPr>
      <w:ind w:left="720"/>
      <w:contextualSpacing/>
    </w:pPr>
  </w:style>
  <w:style w:type="character" w:styleId="Hyperlink">
    <w:name w:val="Hyperlink"/>
    <w:basedOn w:val="DefaultParagraphFont"/>
    <w:uiPriority w:val="99"/>
    <w:semiHidden/>
    <w:unhideWhenUsed/>
    <w:rsid w:val="00647CB2"/>
    <w:rPr>
      <w:color w:val="0000FF"/>
      <w:u w:val="single"/>
    </w:rPr>
  </w:style>
  <w:style w:type="character" w:styleId="PlaceholderText">
    <w:name w:val="Placeholder Text"/>
    <w:basedOn w:val="DefaultParagraphFont"/>
    <w:uiPriority w:val="99"/>
    <w:semiHidden/>
    <w:rsid w:val="003C42D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049056">
      <w:bodyDiv w:val="1"/>
      <w:marLeft w:val="0"/>
      <w:marRight w:val="0"/>
      <w:marTop w:val="0"/>
      <w:marBottom w:val="0"/>
      <w:divBdr>
        <w:top w:val="none" w:sz="0" w:space="0" w:color="auto"/>
        <w:left w:val="none" w:sz="0" w:space="0" w:color="auto"/>
        <w:bottom w:val="none" w:sz="0" w:space="0" w:color="auto"/>
        <w:right w:val="none" w:sz="0" w:space="0" w:color="auto"/>
      </w:divBdr>
    </w:div>
    <w:div w:id="1648820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image" Target="/media/image.png" Id="Rd83be96274d64177" /><Relationship Type="http://schemas.openxmlformats.org/officeDocument/2006/relationships/image" Target="/media/image2.png" Id="R29c3dc8c7a5b41a3" /><Relationship Type="http://schemas.openxmlformats.org/officeDocument/2006/relationships/image" Target="/media/image3.png" Id="Re892523a893b412f" /><Relationship Type="http://schemas.openxmlformats.org/officeDocument/2006/relationships/hyperlink" Target="https://www.verywellmind.com/what-is-positive-reinforcement-2795412" TargetMode="External" Id="R72bec84fb91649a8" /><Relationship Type="http://schemas.openxmlformats.org/officeDocument/2006/relationships/hyperlink" Target="https://doi.org/10.3102/00346543071001001" TargetMode="External" Id="Rec69d0e596e64743" /><Relationship Type="http://schemas.openxmlformats.org/officeDocument/2006/relationships/hyperlink" Target="https://www.estyn.gov.wales/system/files/2020-08/Inspection%2520report%2520Newton%2520Primary%2520School%25202014%2520%2528English%2520only%2529_0.pdf.pdf.pdf.pdf.pdf.pdf.pdf.pdf.pdf.pdf.pdf.pdf.pdf.pdf.pdf.pdf.pdf.pdf.pdf.pdf.pdf.pdf" TargetMode="External" Id="Rafc692e2d4514d5f" /><Relationship Type="http://schemas.openxmlformats.org/officeDocument/2006/relationships/hyperlink" Target="https://gov.wales/sites/default/files/publications/2018-03/the-four-purposes-of-the-curriculum-for-wales.pdf" TargetMode="External" Id="R46b131e54f6c451e" /><Relationship Type="http://schemas.openxmlformats.org/officeDocument/2006/relationships/hyperlink" Target="https://hwb.gov.wales/professional-development/professional-standards" TargetMode="External" Id="R4082b20a71c44cba" /><Relationship Type="http://schemas.openxmlformats.org/officeDocument/2006/relationships/hyperlink" Target="https://gov.wales/qualified-teacher-status-qts" TargetMode="External" Id="Rb8844e73f01748d0" /><Relationship Type="http://schemas.microsoft.com/office/2019/09/relationships/intelligence" Target="/word/intelligence.xml" Id="R0a7ee9880fa84cb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9362CFF-4545-42E2-A088-6B45E59113E2}">
  <we:reference id="wa104380122" version="2.1.0.1" store="en-US" storeType="OMEX"/>
  <we:alternateReferences>
    <we:reference id="wa104380122" version="2.1.0.1" store="WA104380122" storeType="OMEX"/>
  </we:alternateReferences>
  <we:properties>
    <we:property name="rcm.version" value="2"/>
    <we:property name="rw.officeVersion" value="&quot;1.3&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citations" value="{&quot;654577569&quot;:{&quot;referencesIds&quot;:[&quot;doc:615314bd8f08abc5a97f20b0&quot;],&quot;referencesOptions&quot;:{&quot;doc:615314bd8f08abc5a97f20b0&quot;:{&quot;author&quot;:true,&quot;year&quot;:true,&quot;pageReplace&quot;:&quot;&quot;,&quot;prefix&quot;:&quot;&quot;,&quot;suffix&quot;:&quot;&quot;}},&quot;hasBrokenReferences&quot;:false,&quot;hasManualEdits&quot;:false,&quot;citationType&quot;:&quot;inline&quot;,&quot;id&quot;:654577569,&quot;citationText&quot;:&quot;&lt;span style=\&quot;font-family:Arial;font-size:14.666666666666666px;color:#000000\&quot;&gt;(Kazepides 1976)&lt;/span&gt;&quot;}}"/>
    <we:property name="rw.control.unlocked" value="true"/>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Jac Greenwood</dc:creator>
  <keywords/>
  <dc:description/>
  <lastModifiedBy>Jac Greenwood</lastModifiedBy>
  <revision>329</revision>
  <dcterms:created xsi:type="dcterms:W3CDTF">2021-09-28T17:19:00.0000000Z</dcterms:created>
  <dcterms:modified xsi:type="dcterms:W3CDTF">2021-10-29T10:14:34.4017985Z</dcterms:modified>
</coreProperties>
</file>