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D9CA26E" w:rsidR="00DD5969" w:rsidRPr="0000375B" w:rsidRDefault="00DD5969" w:rsidP="00DD5969">
      <w:pPr>
        <w:spacing w:before="212"/>
        <w:rPr>
          <w:rFonts w:ascii="Arial"/>
          <w:b/>
          <w:sz w:val="48"/>
          <w:szCs w:val="48"/>
          <w:lang w:val="fr-FR"/>
        </w:rPr>
      </w:pPr>
      <w:r w:rsidRPr="0000375B">
        <w:rPr>
          <w:rFonts w:ascii="Arial"/>
          <w:b/>
          <w:sz w:val="48"/>
          <w:szCs w:val="48"/>
          <w:lang w:val="fr-FR"/>
        </w:rPr>
        <w:t>MODULE CODE:</w:t>
      </w:r>
      <w:r w:rsidR="0007198D">
        <w:rPr>
          <w:rFonts w:ascii="Arial"/>
          <w:b/>
          <w:sz w:val="48"/>
          <w:szCs w:val="48"/>
          <w:lang w:val="fr-FR"/>
        </w:rPr>
        <w:t xml:space="preserve"> </w:t>
      </w:r>
      <w:r w:rsidR="0000375B" w:rsidRPr="0000375B">
        <w:rPr>
          <w:rFonts w:ascii="Arial"/>
          <w:b/>
          <w:sz w:val="48"/>
          <w:szCs w:val="48"/>
          <w:lang w:val="fr-FR"/>
        </w:rPr>
        <w:t>EC</w:t>
      </w:r>
      <w:r w:rsidR="0000375B">
        <w:rPr>
          <w:rFonts w:ascii="Arial"/>
          <w:b/>
          <w:sz w:val="48"/>
          <w:szCs w:val="48"/>
          <w:lang w:val="fr-FR"/>
        </w:rPr>
        <w:t>AD</w:t>
      </w:r>
      <w:r w:rsidR="0007198D">
        <w:rPr>
          <w:rFonts w:ascii="Arial"/>
          <w:b/>
          <w:sz w:val="48"/>
          <w:szCs w:val="48"/>
          <w:lang w:val="fr-FR"/>
        </w:rPr>
        <w:t>5</w:t>
      </w:r>
      <w:r w:rsidR="0000375B">
        <w:rPr>
          <w:rFonts w:ascii="Arial"/>
          <w:b/>
          <w:sz w:val="48"/>
          <w:szCs w:val="48"/>
          <w:lang w:val="fr-FR"/>
        </w:rPr>
        <w:t>01</w:t>
      </w:r>
      <w:r w:rsidR="0007198D">
        <w:rPr>
          <w:rFonts w:ascii="Arial"/>
          <w:b/>
          <w:sz w:val="48"/>
          <w:szCs w:val="48"/>
          <w:lang w:val="fr-FR"/>
        </w:rPr>
        <w:t>3</w:t>
      </w:r>
    </w:p>
    <w:p w14:paraId="5051A2D5" w14:textId="77777777" w:rsidR="00347EA1" w:rsidRPr="0000375B" w:rsidRDefault="00347EA1" w:rsidP="00DD5969">
      <w:pPr>
        <w:spacing w:before="212"/>
        <w:rPr>
          <w:rFonts w:ascii="Arial"/>
          <w:b/>
          <w:sz w:val="48"/>
          <w:szCs w:val="48"/>
          <w:lang w:val="fr-FR"/>
        </w:rPr>
      </w:pPr>
    </w:p>
    <w:p w14:paraId="7681432B" w14:textId="73AEFE14" w:rsidR="00DD5969" w:rsidRPr="00DD5969" w:rsidRDefault="00DD5969" w:rsidP="00DD5969">
      <w:pPr>
        <w:spacing w:before="3"/>
        <w:rPr>
          <w:rFonts w:ascii="Arial"/>
          <w:b/>
          <w:sz w:val="48"/>
          <w:szCs w:val="48"/>
        </w:rPr>
      </w:pPr>
      <w:r w:rsidRPr="00DD5969">
        <w:rPr>
          <w:rFonts w:ascii="Arial"/>
          <w:b/>
          <w:sz w:val="48"/>
          <w:szCs w:val="48"/>
        </w:rPr>
        <w:t>STUDENT NAME:</w:t>
      </w:r>
      <w:r w:rsidR="00D2421E">
        <w:rPr>
          <w:rFonts w:ascii="Arial"/>
          <w:b/>
          <w:sz w:val="48"/>
          <w:szCs w:val="48"/>
        </w:rPr>
        <w:t xml:space="preserve"> Alex Jenkins</w:t>
      </w:r>
    </w:p>
    <w:p w14:paraId="0D16D138" w14:textId="77777777" w:rsidR="00DD5969" w:rsidRPr="00DD5969" w:rsidRDefault="00DD5969" w:rsidP="00DD5969">
      <w:pPr>
        <w:spacing w:before="3"/>
        <w:rPr>
          <w:rFonts w:ascii="Arial"/>
          <w:b/>
          <w:sz w:val="48"/>
          <w:szCs w:val="48"/>
        </w:rPr>
      </w:pPr>
    </w:p>
    <w:p w14:paraId="18107AFF" w14:textId="13EFF250"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D2421E">
        <w:rPr>
          <w:rFonts w:ascii="Arial"/>
          <w:b/>
          <w:sz w:val="48"/>
          <w:szCs w:val="48"/>
        </w:rPr>
        <w:t xml:space="preserve"> 2205212</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10466C31" w14:textId="77777777" w:rsidR="00E243A8" w:rsidRDefault="00E243A8" w:rsidP="00DD5969"/>
    <w:p w14:paraId="48280710" w14:textId="6AA23995" w:rsidR="00E243A8" w:rsidRPr="00C2550A" w:rsidRDefault="00E243A8" w:rsidP="00DD5969">
      <w:pPr>
        <w:rPr>
          <w:b/>
          <w:bCs/>
        </w:rPr>
      </w:pPr>
      <w:r w:rsidRPr="00C2550A">
        <w:rPr>
          <w:b/>
          <w:bCs/>
        </w:rPr>
        <w:t>OR:</w:t>
      </w:r>
    </w:p>
    <w:p w14:paraId="35F8404C" w14:textId="77777777" w:rsidR="00E243A8" w:rsidRDefault="00E243A8" w:rsidP="00DD5969"/>
    <w:p w14:paraId="44C358F6" w14:textId="2F047CE5" w:rsidR="00DD5969" w:rsidRPr="00DD5969" w:rsidRDefault="00DD5969" w:rsidP="00DD5969">
      <w:r w:rsidRPr="00DD5969">
        <w:t xml:space="preserve">I acknowledge the use of [AI Tool] [(AI Tool url)] on [Date] to [Purpose my work]. I used the prompt(s): </w:t>
      </w:r>
    </w:p>
    <w:p w14:paraId="15389F66" w14:textId="217B6879" w:rsidR="00DD5969" w:rsidRPr="00DD5969" w:rsidRDefault="00DD5969" w:rsidP="00DD5969">
      <w:r w:rsidRPr="00DD5969">
        <w:t xml:space="preserve">1. </w:t>
      </w:r>
      <w:r w:rsidR="00D2421E">
        <w:t>What does it mean to critically reflect on risks?</w:t>
      </w:r>
    </w:p>
    <w:p w14:paraId="3847D137" w14:textId="71D78B32" w:rsidR="00DD5969" w:rsidRPr="00DD5969" w:rsidRDefault="00DD5969" w:rsidP="00DD5969">
      <w:r w:rsidRPr="00DD5969">
        <w:t xml:space="preserve">2. </w:t>
      </w:r>
      <w:r w:rsidR="00D2421E">
        <w:t>Can you please put my reference list in alphabetical order.</w:t>
      </w:r>
    </w:p>
    <w:p w14:paraId="4008D193" w14:textId="77777777" w:rsidR="00E243A8" w:rsidRDefault="00DD5969" w:rsidP="00DD5969">
      <w:r w:rsidRPr="00DD5969">
        <w:t xml:space="preserve">I confirm that I have not presented any AI generated text as my own work. </w:t>
      </w:r>
    </w:p>
    <w:p w14:paraId="44A8291C" w14:textId="080D3142" w:rsidR="00DD5969" w:rsidRDefault="00DD5969" w:rsidP="00DD5969">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4121D0F7" w14:textId="77777777" w:rsidR="00B103B9" w:rsidRDefault="00B103B9" w:rsidP="00DD5969"/>
    <w:p w14:paraId="154EB214" w14:textId="77777777" w:rsidR="00E243A8" w:rsidRDefault="00E243A8" w:rsidP="00DD5969"/>
    <w:p w14:paraId="187A0FDC" w14:textId="77777777" w:rsidR="00B103B9" w:rsidRDefault="00B103B9" w:rsidP="00DD5969"/>
    <w:p w14:paraId="5DE045AC" w14:textId="77777777" w:rsidR="00E10797" w:rsidRDefault="00E10797" w:rsidP="00DD5969"/>
    <w:p w14:paraId="790AB640" w14:textId="77777777" w:rsidR="00E10797" w:rsidRDefault="00E10797" w:rsidP="00DD5969"/>
    <w:p w14:paraId="31507470" w14:textId="77777777" w:rsidR="00C2550A" w:rsidRDefault="00C2550A" w:rsidP="00DD5969"/>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E7759F1" w14:textId="77777777" w:rsidR="0000375B" w:rsidRDefault="0000375B">
      <w:pPr>
        <w:rPr>
          <w:sz w:val="16"/>
          <w:szCs w:val="16"/>
        </w:rPr>
      </w:pPr>
    </w:p>
    <w:p w14:paraId="053AAD8E" w14:textId="77777777" w:rsidR="0000375B" w:rsidRDefault="0000375B">
      <w:pPr>
        <w:rPr>
          <w:sz w:val="16"/>
          <w:szCs w:val="16"/>
        </w:rPr>
      </w:pPr>
    </w:p>
    <w:p w14:paraId="00DEC237" w14:textId="77777777" w:rsidR="0000375B" w:rsidRDefault="0000375B">
      <w:pPr>
        <w:rPr>
          <w:sz w:val="16"/>
          <w:szCs w:val="16"/>
        </w:rPr>
      </w:pPr>
    </w:p>
    <w:p w14:paraId="6D2D955E" w14:textId="77777777" w:rsidR="0000375B" w:rsidRDefault="0000375B">
      <w:pPr>
        <w:rPr>
          <w:sz w:val="16"/>
          <w:szCs w:val="16"/>
        </w:rPr>
      </w:pPr>
    </w:p>
    <w:p w14:paraId="02511CD8" w14:textId="77777777" w:rsidR="0000375B" w:rsidRDefault="0000375B">
      <w:pPr>
        <w:rPr>
          <w:sz w:val="16"/>
          <w:szCs w:val="16"/>
        </w:rPr>
      </w:pPr>
    </w:p>
    <w:p w14:paraId="44120BD6" w14:textId="77777777" w:rsidR="0000375B" w:rsidRDefault="0000375B">
      <w:pPr>
        <w:rPr>
          <w:sz w:val="16"/>
          <w:szCs w:val="16"/>
        </w:rPr>
      </w:pPr>
    </w:p>
    <w:p w14:paraId="1EB16707" w14:textId="77777777" w:rsidR="0000375B" w:rsidRDefault="0000375B">
      <w:pPr>
        <w:rPr>
          <w:sz w:val="16"/>
          <w:szCs w:val="16"/>
        </w:rPr>
      </w:pPr>
    </w:p>
    <w:p w14:paraId="66DB19BA" w14:textId="77777777" w:rsidR="0000375B" w:rsidRDefault="0000375B">
      <w:pPr>
        <w:rPr>
          <w:sz w:val="16"/>
          <w:szCs w:val="16"/>
        </w:rPr>
      </w:pPr>
    </w:p>
    <w:p w14:paraId="2F521E63" w14:textId="77777777" w:rsidR="0000375B" w:rsidRDefault="0000375B">
      <w:pPr>
        <w:rPr>
          <w:sz w:val="16"/>
          <w:szCs w:val="16"/>
        </w:rPr>
      </w:pPr>
    </w:p>
    <w:p w14:paraId="36D1742B" w14:textId="77777777" w:rsidR="0000375B" w:rsidRDefault="0000375B">
      <w:pPr>
        <w:rPr>
          <w:sz w:val="16"/>
          <w:szCs w:val="16"/>
        </w:rPr>
      </w:pP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5D4284BE" w14:textId="09E55B5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Endeavour to select a greater depth of appropriate peer-reviewed sources of research for your writing to aid academic support of your key points</w:t>
            </w:r>
            <w:r w:rsidRPr="00D2421E">
              <w:rPr>
                <w:rFonts w:asciiTheme="minorHAnsi" w:hAnsiTheme="minorHAnsi"/>
                <w:sz w:val="24"/>
                <w:szCs w:val="24"/>
              </w:rPr>
              <w:t>.</w:t>
            </w:r>
          </w:p>
          <w:p w14:paraId="76BEE28D" w14:textId="77777777" w:rsidR="0000375B" w:rsidRDefault="0000375B" w:rsidP="00DD5969">
            <w:pPr>
              <w:rPr>
                <w:sz w:val="16"/>
                <w:szCs w:val="16"/>
              </w:rPr>
            </w:pPr>
          </w:p>
          <w:p w14:paraId="0EDC9850" w14:textId="77777777" w:rsidR="0000375B" w:rsidRDefault="0000375B" w:rsidP="00DD5969">
            <w:pPr>
              <w:rPr>
                <w:sz w:val="16"/>
                <w:szCs w:val="16"/>
              </w:rPr>
            </w:pPr>
          </w:p>
        </w:tc>
        <w:tc>
          <w:tcPr>
            <w:tcW w:w="4508" w:type="dxa"/>
          </w:tcPr>
          <w:p w14:paraId="3FCBF01B" w14:textId="4B2F5AE9" w:rsidR="0000375B" w:rsidRDefault="00D2421E" w:rsidP="00DD5969">
            <w:pPr>
              <w:rPr>
                <w:sz w:val="16"/>
                <w:szCs w:val="16"/>
              </w:rPr>
            </w:pPr>
            <w:r>
              <w:rPr>
                <w:sz w:val="16"/>
                <w:szCs w:val="16"/>
              </w:rPr>
              <w:t xml:space="preserve">I have drawn on multiple peer-reviewed and academically respected sources. </w:t>
            </w:r>
          </w:p>
        </w:tc>
      </w:tr>
      <w:tr w:rsidR="0000375B" w14:paraId="2411A5A2" w14:textId="77777777" w:rsidTr="0000375B">
        <w:tc>
          <w:tcPr>
            <w:tcW w:w="4508" w:type="dxa"/>
          </w:tcPr>
          <w:p w14:paraId="4A120529" w14:textId="77777777" w:rsidR="0000375B" w:rsidRDefault="0000375B" w:rsidP="00DD5969">
            <w:pPr>
              <w:rPr>
                <w:sz w:val="16"/>
                <w:szCs w:val="16"/>
              </w:rPr>
            </w:pPr>
          </w:p>
          <w:p w14:paraId="106943B2"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Continue to develop a critical approach throughout, offering the opposing view/aspects to be cautious with and limitations whenever possible. Try to avoid the large descriptive summaries where possible.</w:t>
            </w:r>
          </w:p>
          <w:p w14:paraId="73ED8D37" w14:textId="77777777" w:rsidR="0000375B" w:rsidRDefault="0000375B" w:rsidP="00DD5969">
            <w:pPr>
              <w:rPr>
                <w:sz w:val="16"/>
                <w:szCs w:val="16"/>
              </w:rPr>
            </w:pPr>
          </w:p>
          <w:p w14:paraId="2A59CA2F" w14:textId="77777777" w:rsidR="0000375B" w:rsidRDefault="0000375B" w:rsidP="00DD5969">
            <w:pPr>
              <w:rPr>
                <w:sz w:val="16"/>
                <w:szCs w:val="16"/>
              </w:rPr>
            </w:pPr>
          </w:p>
        </w:tc>
        <w:tc>
          <w:tcPr>
            <w:tcW w:w="4508" w:type="dxa"/>
          </w:tcPr>
          <w:p w14:paraId="51AE3AC6" w14:textId="60FF917A" w:rsidR="0000375B" w:rsidRDefault="00D2421E" w:rsidP="00DD5969">
            <w:pPr>
              <w:rPr>
                <w:sz w:val="16"/>
                <w:szCs w:val="16"/>
              </w:rPr>
            </w:pPr>
            <w:r>
              <w:rPr>
                <w:sz w:val="16"/>
                <w:szCs w:val="16"/>
              </w:rPr>
              <w:t xml:space="preserve">I have tried to be more critical with the points I make. </w:t>
            </w:r>
          </w:p>
        </w:tc>
      </w:tr>
      <w:tr w:rsidR="0000375B" w14:paraId="7E9C0FF5" w14:textId="77777777" w:rsidTr="0000375B">
        <w:tc>
          <w:tcPr>
            <w:tcW w:w="4508" w:type="dxa"/>
          </w:tcPr>
          <w:p w14:paraId="31E1404E" w14:textId="77777777" w:rsidR="0000375B" w:rsidRDefault="0000375B" w:rsidP="00DD5969">
            <w:pPr>
              <w:rPr>
                <w:sz w:val="16"/>
                <w:szCs w:val="16"/>
              </w:rPr>
            </w:pPr>
          </w:p>
          <w:p w14:paraId="49C39DFD" w14:textId="77777777" w:rsidR="0000375B" w:rsidRDefault="0000375B" w:rsidP="00DD5969">
            <w:pPr>
              <w:rPr>
                <w:sz w:val="16"/>
                <w:szCs w:val="16"/>
              </w:rPr>
            </w:pPr>
          </w:p>
          <w:p w14:paraId="540BFA50" w14:textId="77777777" w:rsidR="0000375B" w:rsidRDefault="0000375B" w:rsidP="00DD5969">
            <w:pPr>
              <w:rPr>
                <w:sz w:val="16"/>
                <w:szCs w:val="16"/>
              </w:rPr>
            </w:pPr>
          </w:p>
        </w:tc>
        <w:tc>
          <w:tcPr>
            <w:tcW w:w="4508" w:type="dxa"/>
          </w:tcPr>
          <w:p w14:paraId="6A8EAD52" w14:textId="77777777" w:rsidR="0000375B" w:rsidRDefault="0000375B" w:rsidP="00DD5969">
            <w:pPr>
              <w:rPr>
                <w:sz w:val="16"/>
                <w:szCs w:val="16"/>
              </w:rPr>
            </w:pP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4B51507A" w14:textId="56941C3D" w:rsidR="0000375B" w:rsidRDefault="0000375B" w:rsidP="0000375B">
      <w:pPr>
        <w:rPr>
          <w:b/>
          <w:bCs/>
        </w:rPr>
      </w:pPr>
      <w:r w:rsidRPr="6A487CAC">
        <w:rPr>
          <w:b/>
          <w:bCs/>
        </w:rPr>
        <w:lastRenderedPageBreak/>
        <w:t>Create a community profile for your PTE1</w:t>
      </w:r>
      <w:r>
        <w:rPr>
          <w:b/>
          <w:bCs/>
        </w:rPr>
        <w:t xml:space="preserve"> school</w:t>
      </w:r>
      <w:r w:rsidRPr="6A487CAC">
        <w:rPr>
          <w:b/>
          <w:bCs/>
        </w:rPr>
        <w:t xml:space="preserve">. Using relevant literature, suggest ways in which the school </w:t>
      </w:r>
      <w:r>
        <w:rPr>
          <w:b/>
          <w:bCs/>
        </w:rPr>
        <w:t xml:space="preserve">could </w:t>
      </w:r>
      <w:r w:rsidRPr="6A487CAC">
        <w:rPr>
          <w:b/>
          <w:bCs/>
        </w:rPr>
        <w:t>make use of its location and community to support pupil learning.</w:t>
      </w:r>
    </w:p>
    <w:p w14:paraId="547AE362" w14:textId="77777777" w:rsidR="00D2421E" w:rsidRDefault="00D2421E" w:rsidP="0000375B">
      <w:pPr>
        <w:rPr>
          <w:b/>
          <w:bCs/>
        </w:rPr>
      </w:pPr>
    </w:p>
    <w:p w14:paraId="6464DAC3" w14:textId="77777777" w:rsidR="00D2421E" w:rsidRPr="00E2723F" w:rsidRDefault="00D2421E" w:rsidP="00D2421E">
      <w:pPr>
        <w:rPr>
          <w:u w:val="single"/>
        </w:rPr>
      </w:pPr>
      <w:r w:rsidRPr="002C3DED">
        <w:rPr>
          <w:u w:val="single"/>
        </w:rPr>
        <w:t>Introd</w:t>
      </w:r>
      <w:r w:rsidRPr="00E2723F">
        <w:rPr>
          <w:u w:val="single"/>
        </w:rPr>
        <w:t xml:space="preserve">uction </w:t>
      </w:r>
    </w:p>
    <w:p w14:paraId="0C2962F4" w14:textId="77777777" w:rsidR="00D2421E" w:rsidRPr="00E2723F" w:rsidRDefault="00D2421E" w:rsidP="00D2421E"/>
    <w:p w14:paraId="2AC5E4A3" w14:textId="77777777" w:rsidR="00D2421E" w:rsidRPr="00E2723F" w:rsidRDefault="00D2421E" w:rsidP="00D2421E">
      <w:pPr>
        <w:pStyle w:val="p1"/>
        <w:rPr>
          <w:rFonts w:asciiTheme="minorHAnsi" w:hAnsiTheme="minorHAnsi"/>
          <w:sz w:val="24"/>
          <w:szCs w:val="24"/>
        </w:rPr>
      </w:pPr>
      <w:r w:rsidRPr="00E2723F">
        <w:rPr>
          <w:rFonts w:asciiTheme="minorHAnsi" w:hAnsiTheme="minorHAnsi"/>
          <w:sz w:val="24"/>
          <w:szCs w:val="24"/>
        </w:rPr>
        <w:t>This project will be implemented in a small, multicultural primary school in Wales, educating learners aged 7–11 from diverse socio-economic backgrounds. Schools are increasingly seen as hubs that connect children, families, and communities in ways that support pupils’ academic, social, and emotional development (Epstein, 2011). Epstein (2011) goes on to argue that authentic school-community partnerships must go beyond surface-level involvement and be built on ongoing, reciprocal relationships. In the specific context of parental engagement, Goodall and Montgomery (2014) similarly suggest that schools should move beyond basic involvement such as attendance at event, to develop meaningful, collaborative relationships with families.</w:t>
      </w:r>
    </w:p>
    <w:p w14:paraId="04E10B53" w14:textId="77777777" w:rsidR="00D2421E" w:rsidRPr="00E2723F" w:rsidRDefault="00D2421E" w:rsidP="00D2421E"/>
    <w:p w14:paraId="487C14EB" w14:textId="77777777" w:rsidR="00D2421E" w:rsidRPr="00E2723F" w:rsidRDefault="00D2421E" w:rsidP="00D2421E">
      <w:r w:rsidRPr="00E2723F">
        <w:t>This proposal introduces a school market project, where every other Friday, classes will create and sell products or services to peers, families, and local community. Pupils will generate ideas, set fair prices, and decide how to use profits, either for classroom improvements or local causes. Research suggests enterprise education enhances creativity, teamwork, and financial literacy (Ofsted, 2011)</w:t>
      </w:r>
      <w:r>
        <w:t>.</w:t>
      </w:r>
      <w:r w:rsidRPr="00E2723F">
        <w:t xml:space="preserve"> studies warn us that without careful design, such projects risk reinforcing inequalities or becoming insincere (Harris and Goodall, 2008). </w:t>
      </w:r>
    </w:p>
    <w:p w14:paraId="5B3B43D3" w14:textId="77777777" w:rsidR="00D2421E" w:rsidRPr="00E2723F" w:rsidRDefault="00D2421E" w:rsidP="00D2421E"/>
    <w:p w14:paraId="0BA5E84C" w14:textId="77777777" w:rsidR="00D2421E" w:rsidRPr="00E2723F" w:rsidRDefault="00D2421E" w:rsidP="00D2421E">
      <w:r w:rsidRPr="00E2723F">
        <w:t xml:space="preserve">Aligned with the curriculum for Wales, which promotes ethical, informed citizens and enterprising contributors (Welsh Government,2022), this project aims to strengthen school-community links, promote inclusion, and promote meaningful pupil participation. </w:t>
      </w:r>
    </w:p>
    <w:p w14:paraId="76CD5BA3" w14:textId="77777777" w:rsidR="00D2421E" w:rsidRPr="00E2723F" w:rsidRDefault="00D2421E" w:rsidP="00D2421E"/>
    <w:p w14:paraId="3F41669D" w14:textId="77777777" w:rsidR="00D2421E" w:rsidRPr="00E2723F" w:rsidRDefault="00D2421E" w:rsidP="00D2421E">
      <w:pPr>
        <w:rPr>
          <w:u w:val="single"/>
        </w:rPr>
      </w:pPr>
      <w:r w:rsidRPr="00E2723F">
        <w:rPr>
          <w:u w:val="single"/>
        </w:rPr>
        <w:t>Literature Review</w:t>
      </w:r>
    </w:p>
    <w:p w14:paraId="4B0A6C2D" w14:textId="77777777" w:rsidR="00D2421E" w:rsidRPr="00E2723F" w:rsidRDefault="00D2421E" w:rsidP="00D2421E">
      <w:pPr>
        <w:rPr>
          <w:u w:val="single"/>
        </w:rPr>
      </w:pPr>
    </w:p>
    <w:p w14:paraId="69E4DDB3" w14:textId="77777777" w:rsidR="00D2421E" w:rsidRPr="00E2723F" w:rsidRDefault="00D2421E" w:rsidP="00D2421E">
      <w:r w:rsidRPr="00E2723F">
        <w:t xml:space="preserve">The proposed school market project is designed to strengthen school-community connections and help learners to take charge of their learning, is supported by a wide range of research. This literature review explores the theoretical foundations of school-community partnerships, the evidence on enterprise education, and the social and inclusion benefits of such projects. It also offers critical reflections on challenges and limitations. </w:t>
      </w:r>
    </w:p>
    <w:p w14:paraId="0C1A16B0" w14:textId="77777777" w:rsidR="00D2421E" w:rsidRPr="00E2723F" w:rsidRDefault="00D2421E" w:rsidP="00D2421E"/>
    <w:p w14:paraId="5FE51EAD" w14:textId="77777777" w:rsidR="00D2421E" w:rsidRPr="00E2723F" w:rsidRDefault="00D2421E" w:rsidP="00D2421E">
      <w:r w:rsidRPr="00E2723F">
        <w:t xml:space="preserve">One of the most influential frameworks in school-community research is Epstein’s (2011) overlapping speres of influence model. In which Epstein suggests that schools, families, and communities are interconnected and share responsibility for children’s learning and development. </w:t>
      </w:r>
      <w:r>
        <w:t xml:space="preserve">Her model highlights benefits such as improved school climate, stronger social ties, and civic engagement, emphasising that partnerships must go beyond surface gestures and rely on mutual engagement. </w:t>
      </w:r>
      <w:r w:rsidRPr="00E2723F">
        <w:t xml:space="preserve">This is particularly relevant to projects like the school market, which offer structured opportunities for learners, families and the wider community to work together in meaningful ways. </w:t>
      </w:r>
    </w:p>
    <w:p w14:paraId="73D6AA49" w14:textId="77777777" w:rsidR="00D2421E" w:rsidRPr="00E2723F" w:rsidRDefault="00D2421E" w:rsidP="00D2421E"/>
    <w:p w14:paraId="0D4FB1C0" w14:textId="77777777" w:rsidR="00D2421E" w:rsidRPr="00E2723F" w:rsidRDefault="00D2421E" w:rsidP="00D2421E">
      <w:r w:rsidRPr="00E2723F">
        <w:t xml:space="preserve">Enterprise education provides an additional foundation for the project. Ofsted (2011) reported that when schools embed enterprise activities in their curriculum, learners develop transferable skills such as creativity, teamwork, communication and financial literacy. Raffo and Gunter (2008) argue that enterprise projects can also reshape school culture, encouraging innovation and creating opportunities for learners to take charge of their learning. Daniel and Daniel (2019) emphasise the value of social enterprise education, where pupils not only learn business skills but also reflect on ethical issues and social responsibility. In the school market, learners will be responsible for planning, decision-making, and choosing how profits are used, allowing them to take meaningful ownership of their learning. </w:t>
      </w:r>
    </w:p>
    <w:p w14:paraId="4562D68F" w14:textId="77777777" w:rsidR="00D2421E" w:rsidRPr="00E2723F" w:rsidRDefault="00D2421E" w:rsidP="00D2421E"/>
    <w:p w14:paraId="7BCE148C" w14:textId="77777777" w:rsidR="00D2421E" w:rsidRPr="00E2723F" w:rsidRDefault="00D2421E" w:rsidP="00D2421E">
      <w:r w:rsidRPr="00E2723F">
        <w:t xml:space="preserve">The project is also closely aligned with national educational policy. The Curriculum for Wales (Welsh Government,2022) places a priority on the four purposes, in which this project aligns with two of them closely. Those being ethical, informed citizens and enterprising, creative contributors. Research suggests that learners are more likely to develop these qualities when they participate in real-world projects where they can take charge of their learning, collaborate with peers and reflect on their impact (Daniel and Daniel, 2019; Raffo and Gunter, 2008). By allowing learners to plan, manage, and run the market, the project gives them opportunities to apply and extend their learning beyond the classroom. </w:t>
      </w:r>
    </w:p>
    <w:p w14:paraId="2BF72E94" w14:textId="77777777" w:rsidR="00D2421E" w:rsidRPr="00E2723F" w:rsidRDefault="00D2421E" w:rsidP="00D2421E"/>
    <w:p w14:paraId="44C2B703" w14:textId="77777777" w:rsidR="00D2421E" w:rsidRPr="00E2723F" w:rsidRDefault="00D2421E" w:rsidP="00D2421E">
      <w:r w:rsidRPr="00E2723F">
        <w:t xml:space="preserve">Social capital theory offers another useful perspective. Putnam (2000) highlights the difference between bonding social capital (within-group connections) and bridging social capital (connections across diverse groups). Schools in multicultural, socio-economically diverse communities play a crucial role in building bridging social capital by creating opportunities for children and families from different backgrounds to connect. A school market, which brings together learners, families, staff and residents, </w:t>
      </w:r>
      <w:r w:rsidRPr="00E2723F">
        <w:lastRenderedPageBreak/>
        <w:t xml:space="preserve">provides a simple yet powerful way to strengthen these cross-community ties, enhance trust, and build a more inclusive school culture. </w:t>
      </w:r>
    </w:p>
    <w:p w14:paraId="7CF3C05C" w14:textId="77777777" w:rsidR="00D2421E" w:rsidRPr="00E2723F" w:rsidRDefault="00D2421E" w:rsidP="00D2421E"/>
    <w:p w14:paraId="2E277432" w14:textId="77777777" w:rsidR="00D2421E" w:rsidRPr="00E2723F" w:rsidRDefault="00D2421E" w:rsidP="00D2421E">
      <w:r w:rsidRPr="00E2723F">
        <w:t xml:space="preserve">Research on inclusion highlights the importance of careful design in school-community projects. Goodall and Montgomery (2014), focusing on parental engagement, stress the need for schools to reflect on whose voices are included and whose are left out. Harris and Goodall (2008) caution that schools can unintentionally favour families with more time, confidence, or resources, which may exclude marginalised groups. Raffo and Gunter (2008) similarly warn that enterprise projects can become adult-driven or insincere if learners are not given meaningful decision-making roles. Daniel and Daniel (2019) note that social enterprise initiatives need careful planning to avoid reinforcing existing social inequalities. For the school market, this means ensuring all learners – including those with English as an additional language, additional learning needs, or economic disadvantages have fair opportunities to participate and take charge of aspects of their learning. </w:t>
      </w:r>
    </w:p>
    <w:p w14:paraId="3AA175DC" w14:textId="77777777" w:rsidR="00D2421E" w:rsidRPr="00E2723F" w:rsidRDefault="00D2421E" w:rsidP="00D2421E"/>
    <w:p w14:paraId="5F334EA3" w14:textId="77777777" w:rsidR="00D2421E" w:rsidRPr="00E2723F" w:rsidRDefault="00D2421E" w:rsidP="00D2421E">
      <w:r w:rsidRPr="00E2723F">
        <w:t xml:space="preserve">Professional reports further reinforce these messages. While Estyn’s (2018) work mainly focuses on school and parental communication, it encourages schools in Wales to use creative strategies to engage families form all socio-economic backgrounds, which has implications for wider community engagement. Ofsted (2011) also highlights that enterprise education can improve pupil outcomes and community relationships. These reports suggest that schools should design activities that are inclusive, equitable, and are tailored to local needs – exactly what the proposed school market aims to achieve. </w:t>
      </w:r>
    </w:p>
    <w:p w14:paraId="4E5CBBA0" w14:textId="77777777" w:rsidR="00D2421E" w:rsidRPr="00E2723F" w:rsidRDefault="00D2421E" w:rsidP="00D2421E"/>
    <w:p w14:paraId="5696BEFE" w14:textId="77777777" w:rsidR="00D2421E" w:rsidRPr="00E2723F" w:rsidRDefault="00D2421E" w:rsidP="00D2421E">
      <w:r w:rsidRPr="00E2723F">
        <w:t xml:space="preserve">The school’s local context adds further weight to the project’s justification. The school serves a highly diverse population, including learners eligible for free school meals, pupils form minority ethnic backgrounds, and learners with English as an additional language. Research suggests that learners in such contexts benefit greatly from activities that promote non-academic skills, build social capital, and offer a sense of belonging (Harris and Goodall,2008; Putnam, 2000). Many of these learners and their families may have limited opportunities to engage with the local community outside of school, and the school market provides an accessible platform to bring them together. Importantly, the project gives learners the chance to take charge of their learning by shaping the market, making decisions, and see the impact of their efforts. </w:t>
      </w:r>
    </w:p>
    <w:p w14:paraId="7029F641" w14:textId="77777777" w:rsidR="00D2421E" w:rsidRPr="00E2723F" w:rsidRDefault="00D2421E" w:rsidP="00D2421E"/>
    <w:p w14:paraId="14D90F9B" w14:textId="77777777" w:rsidR="00D2421E" w:rsidRPr="00E2723F" w:rsidRDefault="00D2421E" w:rsidP="00D2421E">
      <w:r w:rsidRPr="00E2723F">
        <w:t xml:space="preserve">However, as the literature makes clear, success is not automatic. Schools must ensure that projects are not just well intentioned but also well planned. Goodall and </w:t>
      </w:r>
      <w:r w:rsidRPr="00E2723F">
        <w:lastRenderedPageBreak/>
        <w:t xml:space="preserve">Montgomery (2014) recommend actively reflecting on participation, voice and inclusion. Harris and Goodall (2008) highlight the risk of reproducing inequalities if schools do not address barriers to participation. Daniel and Daniel (2019) stress that success should not be measured solely by profit but also by the quality of learning, collaboration, and social outcomes. For the school market, this means prioritising meaningful pupil involvement, ensuring all pupils have roles, and creating accessible pathways for families and community members to engage. </w:t>
      </w:r>
    </w:p>
    <w:p w14:paraId="663867AD" w14:textId="77777777" w:rsidR="00D2421E" w:rsidRPr="00E2723F" w:rsidRDefault="00D2421E" w:rsidP="00D2421E"/>
    <w:p w14:paraId="1CEE44CC" w14:textId="77777777" w:rsidR="00D2421E" w:rsidRPr="00E2723F" w:rsidRDefault="00D2421E" w:rsidP="00D2421E">
      <w:r w:rsidRPr="00E2723F">
        <w:t xml:space="preserve">In summary, the school market project is well supported by a broad base of literature. The research highlights the potential of school-community partnerships, enterprise education, and social capital building to improve outcomes for learners and strengthen local ties.  It also offers important barriers to take into consideration about inclusion and participation, which will be essential to address in the projects design. By responding to these lessons and tailoring the initiative to the needs of its school community, the project has potential to create a meaningful and inclusive learning experience that allows pupils to take charge of their learning and deepen their connections with the local community. </w:t>
      </w:r>
    </w:p>
    <w:p w14:paraId="7BD1FDA1" w14:textId="77777777" w:rsidR="00D2421E" w:rsidRPr="00E2723F" w:rsidRDefault="00D2421E" w:rsidP="00D2421E"/>
    <w:p w14:paraId="41FBFA2E" w14:textId="77777777" w:rsidR="00D2421E" w:rsidRPr="00E2723F" w:rsidRDefault="00D2421E" w:rsidP="00D2421E">
      <w:pPr>
        <w:rPr>
          <w:u w:val="single"/>
        </w:rPr>
      </w:pPr>
      <w:r w:rsidRPr="00E2723F">
        <w:rPr>
          <w:u w:val="single"/>
        </w:rPr>
        <w:t>Project Aims</w:t>
      </w:r>
    </w:p>
    <w:p w14:paraId="7AB997BD" w14:textId="77777777" w:rsidR="00D2421E" w:rsidRPr="00E2723F" w:rsidRDefault="00D2421E" w:rsidP="00D2421E">
      <w:pPr>
        <w:rPr>
          <w:u w:val="single"/>
        </w:rPr>
      </w:pPr>
    </w:p>
    <w:p w14:paraId="3CFF367B" w14:textId="77777777" w:rsidR="00D2421E" w:rsidRPr="00E2723F" w:rsidRDefault="00D2421E" w:rsidP="00D2421E">
      <w:r w:rsidRPr="00E2723F">
        <w:t xml:space="preserve">The central aim of the school market project is to strengthen school-community relationships while helping learners take charge of their learning by developing enterprise and social responsibility skills. The project is designed as a regular, learner-led initiative where learners create, market and sell products or services every other Friday. The project is rooted in a commitment to promote equality, inclusion, and social justice, drawing on research that highlights the importance of addressing educational inequalities linked to social class, language, and cultural background (Reay,2006; Thompson,2011). </w:t>
      </w:r>
    </w:p>
    <w:p w14:paraId="25D9DA16" w14:textId="77777777" w:rsidR="00D2421E" w:rsidRPr="00E2723F" w:rsidRDefault="00D2421E" w:rsidP="00D2421E"/>
    <w:p w14:paraId="319049D2" w14:textId="77777777" w:rsidR="00D2421E" w:rsidRPr="00E2723F" w:rsidRDefault="00D2421E" w:rsidP="00D2421E">
      <w:r w:rsidRPr="00E2723F">
        <w:t>Specifically, the project aims to:</w:t>
      </w:r>
    </w:p>
    <w:p w14:paraId="076CD03D" w14:textId="77777777" w:rsidR="00D2421E" w:rsidRPr="00E2723F" w:rsidRDefault="00D2421E" w:rsidP="00D2421E">
      <w:pPr>
        <w:pStyle w:val="ListParagraph"/>
        <w:numPr>
          <w:ilvl w:val="0"/>
          <w:numId w:val="1"/>
        </w:numPr>
        <w:spacing w:after="0" w:line="240" w:lineRule="auto"/>
      </w:pPr>
      <w:r w:rsidRPr="00E2723F">
        <w:t xml:space="preserve">Develop pupils’ entrepreneurial, collaborative and critical thinking skills (Ofsted, 2011; Craft et al., 2002 Extending Thought in Young Children). </w:t>
      </w:r>
    </w:p>
    <w:p w14:paraId="747D6A8E" w14:textId="77777777" w:rsidR="00D2421E" w:rsidRPr="00E2723F" w:rsidRDefault="00D2421E" w:rsidP="00D2421E">
      <w:pPr>
        <w:pStyle w:val="ListParagraph"/>
        <w:numPr>
          <w:ilvl w:val="0"/>
          <w:numId w:val="1"/>
        </w:numPr>
        <w:spacing w:after="0" w:line="240" w:lineRule="auto"/>
      </w:pPr>
      <w:r w:rsidRPr="00E2723F">
        <w:t xml:space="preserve">Promote inclusion by ensuring all learners, regardless of background or ability, can participate meaningfully (Thompson,2011, Promoting Equality). </w:t>
      </w:r>
    </w:p>
    <w:p w14:paraId="0A6DC4D9" w14:textId="77777777" w:rsidR="00D2421E" w:rsidRPr="00E2723F" w:rsidRDefault="00D2421E" w:rsidP="00D2421E">
      <w:pPr>
        <w:pStyle w:val="ListParagraph"/>
        <w:numPr>
          <w:ilvl w:val="0"/>
          <w:numId w:val="1"/>
        </w:numPr>
        <w:spacing w:after="0" w:line="240" w:lineRule="auto"/>
      </w:pPr>
      <w:r w:rsidRPr="00E2723F">
        <w:t>Strengthen relationships between the school and the wider community, including families and locals (Epstein,2011; Putnam, 2000).</w:t>
      </w:r>
    </w:p>
    <w:p w14:paraId="302564AB" w14:textId="77777777" w:rsidR="00D2421E" w:rsidRPr="00E2723F" w:rsidRDefault="00D2421E" w:rsidP="00D2421E">
      <w:pPr>
        <w:pStyle w:val="ListParagraph"/>
        <w:numPr>
          <w:ilvl w:val="0"/>
          <w:numId w:val="1"/>
        </w:numPr>
        <w:spacing w:after="0" w:line="240" w:lineRule="auto"/>
      </w:pPr>
      <w:r w:rsidRPr="00E2723F">
        <w:lastRenderedPageBreak/>
        <w:t>Build learners sense of social responsibility, including decisions about how profits are used to benefit their classroom or local causes (Daniel and Daniel, 2019)</w:t>
      </w:r>
    </w:p>
    <w:p w14:paraId="2593B190" w14:textId="77777777" w:rsidR="00D2421E" w:rsidRPr="00E2723F" w:rsidRDefault="00D2421E" w:rsidP="00D2421E">
      <w:pPr>
        <w:pStyle w:val="ListParagraph"/>
        <w:numPr>
          <w:ilvl w:val="0"/>
          <w:numId w:val="1"/>
        </w:numPr>
        <w:spacing w:after="0" w:line="240" w:lineRule="auto"/>
      </w:pPr>
      <w:r w:rsidRPr="00E2723F">
        <w:t xml:space="preserve">Reflect and celebrate cultural and linguistic diversity, including the use of Welsh language and culture (Andrews, 2011, Welsh in the Twenty-First Century). </w:t>
      </w:r>
    </w:p>
    <w:p w14:paraId="2E0FB90E" w14:textId="77777777" w:rsidR="00D2421E" w:rsidRPr="00E2723F" w:rsidRDefault="00D2421E" w:rsidP="00D2421E"/>
    <w:p w14:paraId="2C3B1C76" w14:textId="77777777" w:rsidR="00D2421E" w:rsidRPr="00E2723F" w:rsidRDefault="00D2421E" w:rsidP="00D2421E">
      <w:r w:rsidRPr="00E2723F">
        <w:t xml:space="preserve">The intended outcomes for learners are improved teamwork, communication, problem-solving, financial literacy, and greater confidence and leadership (Raffo and Gunter, 2008; Ofsted, 2011). By making decisions and reflecting on their choices, pupils will develop stronger critical thinking and ethical awareness. This supports Craft et al.’s (2002) emphasis on extending children’s thinking in ways that are collaborative and relevant to their lives. </w:t>
      </w:r>
    </w:p>
    <w:p w14:paraId="72BFB48E" w14:textId="77777777" w:rsidR="00D2421E" w:rsidRPr="00E2723F" w:rsidRDefault="00D2421E" w:rsidP="00D2421E"/>
    <w:p w14:paraId="3F7E95AF" w14:textId="77777777" w:rsidR="00D2421E" w:rsidRPr="00E2723F" w:rsidRDefault="00D2421E" w:rsidP="00D2421E">
      <w:r w:rsidRPr="00E2723F">
        <w:t>For the school, the outcomes include stronger partnerships with families and locals, particularly those less engaged in traditional school events (Goodall and Montgomery, 2014). The project will also help weave a culture of inclusion, creativity, and enterprise across the school community, as recommended by Thompson (2011).</w:t>
      </w:r>
    </w:p>
    <w:p w14:paraId="76413C34" w14:textId="77777777" w:rsidR="00D2421E" w:rsidRPr="00E2723F" w:rsidRDefault="00D2421E" w:rsidP="00D2421E"/>
    <w:p w14:paraId="3FAF8ABB" w14:textId="77777777" w:rsidR="00D2421E" w:rsidRPr="00E2723F" w:rsidRDefault="00D2421E" w:rsidP="00D2421E">
      <w:r w:rsidRPr="00E2723F">
        <w:t xml:space="preserve">For the wider community, the outcomes include increased opportunities to connect with the school, improved cross-cultural relationships, and the development of shared social capital (Putnam, 2000). Importantly, Andrews (2011) suggests that we must integrate the Welsh language and identity into public and community life, which this project can support by including Welsh-language materials and interactions at market events. </w:t>
      </w:r>
    </w:p>
    <w:p w14:paraId="4C69FABB" w14:textId="77777777" w:rsidR="00D2421E" w:rsidRPr="00E2723F" w:rsidRDefault="00D2421E" w:rsidP="00D2421E"/>
    <w:p w14:paraId="18C4A6C3" w14:textId="77777777" w:rsidR="00D2421E" w:rsidRPr="00E2723F" w:rsidRDefault="00D2421E" w:rsidP="00D2421E">
      <w:r w:rsidRPr="00E2723F">
        <w:t xml:space="preserve">The intended long-term impact is to create a school culture that promotes equality, inclusion, and social justice while equipping learners with lifelong skills. However, As earlier mentioned if these projects are not designed properly, they can just reproduce the inequality that we looking to tackle. To ensure this is not the case the project will prioritise fair participation, ensuring all learners have meaningful roles and not measuring the success of each market by just profit but by the inclusivity and learning quality. By critically reflecting on participation and adjusting practises as needed, the school will help enable the project to achieve its full educational and social potential. </w:t>
      </w:r>
    </w:p>
    <w:p w14:paraId="4B3E3D9D" w14:textId="77777777" w:rsidR="00D2421E" w:rsidRPr="00E2723F" w:rsidRDefault="00D2421E" w:rsidP="00D2421E"/>
    <w:p w14:paraId="2DCE8169" w14:textId="77777777" w:rsidR="00D2421E" w:rsidRPr="00862463" w:rsidRDefault="00D2421E" w:rsidP="00D2421E">
      <w:pPr>
        <w:pStyle w:val="p1"/>
        <w:rPr>
          <w:rFonts w:asciiTheme="minorHAnsi" w:hAnsiTheme="minorHAnsi"/>
          <w:sz w:val="24"/>
          <w:szCs w:val="24"/>
          <w:u w:val="single"/>
        </w:rPr>
      </w:pPr>
      <w:r w:rsidRPr="00862463">
        <w:rPr>
          <w:rFonts w:asciiTheme="minorHAnsi" w:hAnsiTheme="minorHAnsi"/>
          <w:sz w:val="24"/>
          <w:szCs w:val="24"/>
          <w:u w:val="single"/>
        </w:rPr>
        <w:t xml:space="preserve">Implementation </w:t>
      </w:r>
    </w:p>
    <w:p w14:paraId="664756A9" w14:textId="77777777" w:rsidR="00D2421E" w:rsidRDefault="00D2421E" w:rsidP="00D2421E">
      <w:pPr>
        <w:pStyle w:val="p1"/>
        <w:rPr>
          <w:rFonts w:asciiTheme="minorHAnsi" w:hAnsiTheme="minorHAnsi"/>
          <w:sz w:val="24"/>
          <w:szCs w:val="24"/>
        </w:rPr>
      </w:pPr>
    </w:p>
    <w:p w14:paraId="59D4701A" w14:textId="77777777" w:rsidR="00D2421E" w:rsidRPr="00E2723F" w:rsidRDefault="00D2421E" w:rsidP="00D2421E">
      <w:pPr>
        <w:pStyle w:val="p1"/>
        <w:rPr>
          <w:rFonts w:asciiTheme="minorHAnsi" w:hAnsiTheme="minorHAnsi"/>
          <w:sz w:val="24"/>
          <w:szCs w:val="24"/>
        </w:rPr>
      </w:pPr>
      <w:r w:rsidRPr="00E2723F">
        <w:rPr>
          <w:rFonts w:asciiTheme="minorHAnsi" w:hAnsiTheme="minorHAnsi"/>
          <w:sz w:val="24"/>
          <w:szCs w:val="24"/>
        </w:rPr>
        <w:t xml:space="preserve">The school market will run over one academic year, with events held every other Friday. Each class will design, create, and sell a product or service, guided by teachers and </w:t>
      </w:r>
      <w:r w:rsidRPr="00E2723F">
        <w:rPr>
          <w:rFonts w:asciiTheme="minorHAnsi" w:hAnsiTheme="minorHAnsi"/>
          <w:sz w:val="24"/>
          <w:szCs w:val="24"/>
        </w:rPr>
        <w:lastRenderedPageBreak/>
        <w:t>supported by teaching assistants. Senior leaders will oversee the project’s alignment with school priorities and the Curriculum for Wales (Welsh Government, 2022). Teaching assistants will provide targeted support for learners with additional learning needs or English as an additional language, ensuring equitable access (Thompson, 2011).</w:t>
      </w:r>
    </w:p>
    <w:p w14:paraId="45DD8610" w14:textId="77777777" w:rsidR="00D2421E" w:rsidRPr="00E2723F" w:rsidRDefault="00D2421E" w:rsidP="00D2421E">
      <w:pPr>
        <w:pStyle w:val="p2"/>
        <w:rPr>
          <w:rFonts w:asciiTheme="minorHAnsi" w:hAnsiTheme="minorHAnsi"/>
          <w:sz w:val="24"/>
          <w:szCs w:val="24"/>
        </w:rPr>
      </w:pPr>
    </w:p>
    <w:p w14:paraId="5E6CEDE0" w14:textId="77777777" w:rsidR="00D2421E" w:rsidRPr="00E2723F" w:rsidRDefault="00D2421E" w:rsidP="00D2421E">
      <w:pPr>
        <w:pStyle w:val="p1"/>
        <w:rPr>
          <w:rFonts w:asciiTheme="minorHAnsi" w:hAnsiTheme="minorHAnsi"/>
          <w:sz w:val="24"/>
          <w:szCs w:val="24"/>
        </w:rPr>
      </w:pPr>
      <w:r w:rsidRPr="00E2723F">
        <w:rPr>
          <w:rFonts w:asciiTheme="minorHAnsi" w:hAnsiTheme="minorHAnsi"/>
          <w:sz w:val="24"/>
          <w:szCs w:val="24"/>
        </w:rPr>
        <w:t>To encourage sustainability, each class will receive a modest startup budget of £20–£50, drawn from school funds or small grants. learners will be expected to reinvest early profits to sustain future markets, promoting financial literacy and ethical decision-making (Daniel and Daniel, 2019). Care will be taken to avoid relying on pupils’ or families’ personal resources, reducing the risk of reinforcing social inequalities (Reay, 2006).</w:t>
      </w:r>
    </w:p>
    <w:p w14:paraId="13EE90F4" w14:textId="77777777" w:rsidR="00D2421E" w:rsidRPr="00E2723F" w:rsidRDefault="00D2421E" w:rsidP="00D2421E">
      <w:pPr>
        <w:pStyle w:val="p2"/>
        <w:rPr>
          <w:rFonts w:asciiTheme="minorHAnsi" w:hAnsiTheme="minorHAnsi"/>
          <w:sz w:val="24"/>
          <w:szCs w:val="24"/>
        </w:rPr>
      </w:pPr>
    </w:p>
    <w:p w14:paraId="423BADAB" w14:textId="77777777" w:rsidR="00D2421E" w:rsidRPr="00E2723F" w:rsidRDefault="00D2421E" w:rsidP="00D2421E">
      <w:pPr>
        <w:pStyle w:val="p1"/>
        <w:rPr>
          <w:rFonts w:asciiTheme="minorHAnsi" w:hAnsiTheme="minorHAnsi"/>
          <w:sz w:val="24"/>
          <w:szCs w:val="24"/>
        </w:rPr>
      </w:pPr>
      <w:r w:rsidRPr="00E2723F">
        <w:rPr>
          <w:rFonts w:asciiTheme="minorHAnsi" w:hAnsiTheme="minorHAnsi"/>
          <w:sz w:val="24"/>
          <w:szCs w:val="24"/>
        </w:rPr>
        <w:t xml:space="preserve">Markets will be held in accessible school spaces, with translation support where needed and integration of Welsh language materials (Andrews, 2011). Teachers will monitor participation to ensure all pupils, including less confident learners, can take charge of their learning (Raffo and Gunter, 2008). </w:t>
      </w:r>
    </w:p>
    <w:p w14:paraId="06824879" w14:textId="77777777" w:rsidR="00D2421E" w:rsidRPr="00E2723F" w:rsidRDefault="00D2421E" w:rsidP="00D2421E"/>
    <w:p w14:paraId="4F230B25" w14:textId="77777777" w:rsidR="00D2421E" w:rsidRPr="00E2723F" w:rsidRDefault="00D2421E" w:rsidP="00D2421E">
      <w:pPr>
        <w:rPr>
          <w:u w:val="single"/>
        </w:rPr>
      </w:pPr>
      <w:r w:rsidRPr="00E2723F">
        <w:rPr>
          <w:u w:val="single"/>
        </w:rPr>
        <w:t>Measuring Impact</w:t>
      </w:r>
    </w:p>
    <w:p w14:paraId="0E6F6555" w14:textId="77777777" w:rsidR="00D2421E" w:rsidRPr="00E2723F" w:rsidRDefault="00D2421E" w:rsidP="00D2421E">
      <w:pPr>
        <w:rPr>
          <w:u w:val="single"/>
        </w:rPr>
      </w:pPr>
    </w:p>
    <w:p w14:paraId="628F2E04" w14:textId="77777777" w:rsidR="00D2421E" w:rsidRPr="00E2723F" w:rsidRDefault="00D2421E" w:rsidP="00D2421E">
      <w:r w:rsidRPr="00E2723F">
        <w:t xml:space="preserve">Measuring the impact of the school market project is essential to ensure it achieves its aims of developing learners’ skills, strengthening school-community relationships, and promoting inclusion. As Daniel and Daniel (2019) note, enterprise projects should not only be evaluated by its immediate outcomes but also for long-term benefits such as increased confidence, collaboration, and ethical awareness. </w:t>
      </w:r>
    </w:p>
    <w:p w14:paraId="29E53BE0" w14:textId="77777777" w:rsidR="00D2421E" w:rsidRPr="00E2723F" w:rsidRDefault="00D2421E" w:rsidP="00D2421E"/>
    <w:p w14:paraId="5A36D3D8" w14:textId="77777777" w:rsidR="00D2421E" w:rsidRPr="00E2723F" w:rsidRDefault="00D2421E" w:rsidP="00D2421E">
      <w:r w:rsidRPr="00E2723F">
        <w:t xml:space="preserve">At the learner level, teachers will assess skill development using simple observation checklists and reflective activities. Learners will complete short written or verbal reflections after each market event, considering what went well, what they learned, and what they could change. This promotes metacognitive skills and aligns with Craft et al.’s (2002) emphasis on enabling young learners to reflect on their thinking. To gauge improvements in confidence, teamwork, and communication, teachers will also compare observations form early and later market events. </w:t>
      </w:r>
    </w:p>
    <w:p w14:paraId="0469ECA6" w14:textId="77777777" w:rsidR="00D2421E" w:rsidRPr="00E2723F" w:rsidRDefault="00D2421E" w:rsidP="00D2421E"/>
    <w:p w14:paraId="6EA85459" w14:textId="77777777" w:rsidR="00D2421E" w:rsidRPr="00E2723F" w:rsidRDefault="00D2421E" w:rsidP="00D2421E">
      <w:r w:rsidRPr="00E2723F">
        <w:t xml:space="preserve">For family and community impact, the school will track attendance at market events and gather feedback through short forms or informal conversations. Goodall and Montgomery (2014) call attention to the importance of parent voice in school evaluation, while Estyn (2018) recommends culturally inclusive methods to ensure all families can contribute. Translation support and Welsh-language materials (Andrews, 2011) will help capture input form diverse families. Monitoring which groups engage will </w:t>
      </w:r>
      <w:r w:rsidRPr="00E2723F">
        <w:lastRenderedPageBreak/>
        <w:t xml:space="preserve">help identify whether the project reaches underrepresented families, addressing concerns raised by Thompson (2011) about promoting equality. </w:t>
      </w:r>
    </w:p>
    <w:p w14:paraId="4AB8D570" w14:textId="77777777" w:rsidR="00D2421E" w:rsidRPr="00E2723F" w:rsidRDefault="00D2421E" w:rsidP="00D2421E"/>
    <w:p w14:paraId="2FE11450" w14:textId="77777777" w:rsidR="00D2421E" w:rsidRPr="00E2723F" w:rsidRDefault="00D2421E" w:rsidP="00D2421E">
      <w:r w:rsidRPr="00E2723F">
        <w:t xml:space="preserve">Teachers will gather learner voice through things like secret squirrel, which is mini white boards, or circle time discussion depending on time, methods that I am personally familiar with and confident using. Additionally, simple pre and post project questionnaire could help track confidence, attitudes toward teamwork, and awareness of ethical issues. </w:t>
      </w:r>
    </w:p>
    <w:p w14:paraId="68D506BE" w14:textId="77777777" w:rsidR="00D2421E" w:rsidRPr="00E2723F" w:rsidRDefault="00D2421E" w:rsidP="00D2421E"/>
    <w:p w14:paraId="4F70A461" w14:textId="77777777" w:rsidR="00D2421E" w:rsidRPr="00E2723F" w:rsidRDefault="00D2421E" w:rsidP="00D2421E">
      <w:r w:rsidRPr="00E2723F">
        <w:t xml:space="preserve">Inclusion will be carefully monitored. As Reay (2006) and Raffo and Gunter (2008) warn, social inequalities are easily reproduced through poor planning of an activity such as this. Teachers will track which learners take on active roles and ensure all are meaningfully involved, including those with additional learning needs or English as an additional language. </w:t>
      </w:r>
      <w:r>
        <w:t xml:space="preserve">This will be done through a class rota, ensuring each learner can try tasks of their choice. </w:t>
      </w:r>
      <w:r w:rsidRPr="00E2723F">
        <w:t xml:space="preserve">Regular reflection on fairness and inclusion will help the school adjust practise as needed. </w:t>
      </w:r>
    </w:p>
    <w:p w14:paraId="2F5EF2A8" w14:textId="77777777" w:rsidR="00D2421E" w:rsidRPr="00E2723F" w:rsidRDefault="00D2421E" w:rsidP="00D2421E"/>
    <w:p w14:paraId="688FF391" w14:textId="77777777" w:rsidR="00D2421E" w:rsidRPr="00E2723F" w:rsidRDefault="00D2421E" w:rsidP="00D2421E">
      <w:r w:rsidRPr="00E2723F">
        <w:t xml:space="preserve">Finally, the leadership team will review evaluation findings at year-end and share them with staff, governors, and the school community. This aligns with Estyn’s (2018) recommendation for transparent evaluation to inform school improvement. By using multiple methods and reflecting critically on inclusion and participation, the school can ensure that the project’s impact extends beyond the market events and contributes to lasting educational and social change. </w:t>
      </w:r>
    </w:p>
    <w:p w14:paraId="757FE806" w14:textId="77777777" w:rsidR="00D2421E" w:rsidRPr="00E2723F" w:rsidRDefault="00D2421E" w:rsidP="00D2421E"/>
    <w:p w14:paraId="46F53307" w14:textId="77777777" w:rsidR="00D2421E" w:rsidRPr="00E2723F" w:rsidRDefault="00D2421E" w:rsidP="00D2421E">
      <w:pPr>
        <w:rPr>
          <w:u w:val="single"/>
        </w:rPr>
      </w:pPr>
      <w:r w:rsidRPr="00E2723F">
        <w:rPr>
          <w:u w:val="single"/>
        </w:rPr>
        <w:t xml:space="preserve">SWOT </w:t>
      </w:r>
      <w:r>
        <w:rPr>
          <w:u w:val="single"/>
        </w:rPr>
        <w:t>A</w:t>
      </w:r>
      <w:r w:rsidRPr="00E2723F">
        <w:rPr>
          <w:u w:val="single"/>
        </w:rPr>
        <w:t>nalysis Evaluation</w:t>
      </w:r>
    </w:p>
    <w:p w14:paraId="47B36F54" w14:textId="77777777" w:rsidR="00D2421E" w:rsidRPr="00E2723F" w:rsidRDefault="00D2421E" w:rsidP="00D2421E">
      <w:pPr>
        <w:rPr>
          <w:u w:val="single"/>
        </w:rPr>
      </w:pPr>
    </w:p>
    <w:p w14:paraId="49C2D6E9" w14:textId="77777777" w:rsidR="00D2421E" w:rsidRPr="00E2723F" w:rsidRDefault="00D2421E" w:rsidP="00D2421E">
      <w:r w:rsidRPr="00E2723F">
        <w:t xml:space="preserve">The school market project presents a valuable opportunity to strengthen school-community relationships while developing learners’ enterprise and social skills. An evaluation of the project’s strengths, weaknesses, opportunities, and threats provides critical insight into how it can be effectively delivered and sustained. </w:t>
      </w:r>
    </w:p>
    <w:p w14:paraId="52BB89FA" w14:textId="77777777" w:rsidR="00D2421E" w:rsidRPr="00E2723F" w:rsidRDefault="00D2421E" w:rsidP="00D2421E"/>
    <w:p w14:paraId="7FA913C8" w14:textId="77777777" w:rsidR="00D2421E" w:rsidRPr="00E2723F" w:rsidRDefault="00D2421E" w:rsidP="00D2421E">
      <w:r w:rsidRPr="00E2723F">
        <w:t xml:space="preserve">A key strength is the enthusiasm of both learners and staff, who are eager to engage in new, creative projects. This enthusiasm provides a strong foundation for success, as learner motivation is closely linked to engagement and deeper learning (Craft et al., 2002). The school’s existing ethos, which promotes inclusion, enterprise, and creativity, </w:t>
      </w:r>
      <w:r w:rsidRPr="00E2723F">
        <w:lastRenderedPageBreak/>
        <w:t xml:space="preserve">further supports this initiative and aligns with the curriculum for Wales’s goals of further developing the four purposes. Additionally, the project builds on the school’s experience with fundraising and class-based activities, meaning staff are not starting from scratch. </w:t>
      </w:r>
    </w:p>
    <w:p w14:paraId="1468E94D" w14:textId="77777777" w:rsidR="00D2421E" w:rsidRPr="00E2723F" w:rsidRDefault="00D2421E" w:rsidP="00D2421E"/>
    <w:p w14:paraId="17CAFC60" w14:textId="77777777" w:rsidR="00D2421E" w:rsidRPr="00E2723F" w:rsidRDefault="00D2421E" w:rsidP="00D2421E">
      <w:r w:rsidRPr="00E2723F">
        <w:t xml:space="preserve">However, weaknesses need careful attention. Staff capacity is one of the biggest challenges; teachers and support staff already face significant workloads, and adding a regular project requires thoughtful planning to avoid burnout or uneven delivery. Learners’ varied confidence and ability levels are another concern, as some may need additional scaffolding to participate meaningfully (Raffo and Gunter, 2008). A small start-up budget of £20-£50 per class also means resources must be carefully managed, and learners may need explicit teaching around budgeting and sustainability (Daniel and Daniel,2019). Finally, there is a risk of uneven participation across classes or learners if inclusion is not proactively planned for. </w:t>
      </w:r>
    </w:p>
    <w:p w14:paraId="6140BAB3" w14:textId="77777777" w:rsidR="00D2421E" w:rsidRPr="00E2723F" w:rsidRDefault="00D2421E" w:rsidP="00D2421E"/>
    <w:p w14:paraId="0B475E57" w14:textId="77777777" w:rsidR="00D2421E" w:rsidRPr="00E2723F" w:rsidRDefault="00D2421E" w:rsidP="00D2421E">
      <w:r w:rsidRPr="00E2723F">
        <w:t xml:space="preserve">Externally, the project offers several promising opportunities. It has the potential to increase the relationships with families, carers, and local businesses, building social capital and build a sense of shared purpose (Epstein, 2011; Putnam, 2000). It can also help increase parental engagement, particularly for families who may feel less connected to the school (Goodall and Montgomery, 2014). By having Welsh language materials and celebrating cultural diversity, the project can support a more inclusive school experience in planning, teamwork, and ethical decision-making, which are crucial life skills. </w:t>
      </w:r>
    </w:p>
    <w:p w14:paraId="4BFAE601" w14:textId="77777777" w:rsidR="00D2421E" w:rsidRPr="00E2723F" w:rsidRDefault="00D2421E" w:rsidP="00D2421E"/>
    <w:p w14:paraId="73568941" w14:textId="77777777" w:rsidR="00D2421E" w:rsidRPr="00E2723F" w:rsidRDefault="00D2421E" w:rsidP="00D2421E">
      <w:r w:rsidRPr="00E2723F">
        <w:t xml:space="preserve">At the same time, several external threats must be considered. Economic hardship in the community may limit some families’ ability to participate or purchase items, raising the risk of exclusion. Language barriers or variable levels of parental involvement may also affect engagement, making translation support and flexible participation strategies essential (Thompson, 2011; Andrews, 2011). Unpredictable external factors, such as weather or local economic challenges, could disrupt market events. Most significantly, there is a risk of reinforcing social inequalities if the project is not deliberately inclusive (Reay, 2006). For example, learners form more privileged backgrounds may dominate planning or sales, or families with fewer resources may feel unable to take part. </w:t>
      </w:r>
    </w:p>
    <w:p w14:paraId="59DC7B19" w14:textId="77777777" w:rsidR="00D2421E" w:rsidRPr="00E2723F" w:rsidRDefault="00D2421E" w:rsidP="00D2421E"/>
    <w:p w14:paraId="7A6B4AEA" w14:textId="77777777" w:rsidR="00D2421E" w:rsidRPr="00E2723F" w:rsidRDefault="00D2421E" w:rsidP="00D2421E">
      <w:r w:rsidRPr="00E2723F">
        <w:t xml:space="preserve">To address these risks, the school will need to embed inclusion into every stage of the project. Teachers should actively monitor participation, provide differentiated support, and ensure all learners have meaningful roles, regardless of ability or background. </w:t>
      </w:r>
      <w:r w:rsidRPr="00E2723F">
        <w:lastRenderedPageBreak/>
        <w:t xml:space="preserve">Communication with families should be accessible, using translation or community champions where needed, and learners should be encouraged to reflect on fairness and social responsibility in their planning. The leadership team should review the project regularly, using learner, staff, and family feedback to identify success and areas for improvement (Estyn, 2018). </w:t>
      </w:r>
    </w:p>
    <w:p w14:paraId="0125F53D" w14:textId="77777777" w:rsidR="00D2421E" w:rsidRPr="00E2723F" w:rsidRDefault="00D2421E" w:rsidP="00D2421E"/>
    <w:p w14:paraId="283DCCCD" w14:textId="77777777" w:rsidR="00D2421E" w:rsidRPr="00E2723F" w:rsidRDefault="00D2421E" w:rsidP="00D2421E">
      <w:r w:rsidRPr="00E2723F">
        <w:t xml:space="preserve">Overall, the school market project offers significant educational and social potential. By critically engaging with the challenges identified in the SWOT analysis and embedding inclusive, reflective practices, the school can deliver a project that strengthens skills, relationships, and community connections. </w:t>
      </w:r>
    </w:p>
    <w:p w14:paraId="65E68B52" w14:textId="77777777" w:rsidR="00D2421E" w:rsidRPr="00E2723F" w:rsidRDefault="00D2421E" w:rsidP="00D2421E"/>
    <w:p w14:paraId="587BACA1" w14:textId="77777777" w:rsidR="00D2421E" w:rsidRPr="00E2723F" w:rsidRDefault="00D2421E" w:rsidP="00D2421E">
      <w:pPr>
        <w:rPr>
          <w:u w:val="single"/>
        </w:rPr>
      </w:pPr>
      <w:r w:rsidRPr="00E2723F">
        <w:rPr>
          <w:u w:val="single"/>
        </w:rPr>
        <w:t xml:space="preserve">Conclusion </w:t>
      </w:r>
    </w:p>
    <w:p w14:paraId="1B9A8AEF" w14:textId="77777777" w:rsidR="00D2421E" w:rsidRPr="00E2723F" w:rsidRDefault="00D2421E" w:rsidP="00D2421E"/>
    <w:p w14:paraId="12D0C2A0" w14:textId="77777777" w:rsidR="00D2421E" w:rsidRPr="00E2723F" w:rsidRDefault="00D2421E" w:rsidP="00D2421E">
      <w:pPr>
        <w:pStyle w:val="p1"/>
        <w:rPr>
          <w:rFonts w:asciiTheme="minorHAnsi" w:hAnsiTheme="minorHAnsi"/>
          <w:sz w:val="24"/>
          <w:szCs w:val="24"/>
        </w:rPr>
      </w:pPr>
      <w:r w:rsidRPr="00E2723F">
        <w:rPr>
          <w:rFonts w:asciiTheme="minorHAnsi" w:hAnsiTheme="minorHAnsi"/>
          <w:sz w:val="24"/>
          <w:szCs w:val="24"/>
        </w:rPr>
        <w:t>The school market project offers an engaging and inclusive way to strengthen school-community relationships while supporting learners to develop enterprise, teamwork, and decision-making skills. Aligned with the Curriculum for Wales (Welsh Government, 2022) and informed by research on enterprise education, social justice, and inclusion, the project help learners take charge of their learning and develop a sense of ethical responsibility (Daniel and Daniel, 2019; Thompson, 2011).</w:t>
      </w:r>
    </w:p>
    <w:p w14:paraId="6DC738C2" w14:textId="77777777" w:rsidR="00D2421E" w:rsidRPr="00E2723F" w:rsidRDefault="00D2421E" w:rsidP="00D2421E">
      <w:pPr>
        <w:pStyle w:val="p2"/>
        <w:rPr>
          <w:rFonts w:asciiTheme="minorHAnsi" w:hAnsiTheme="minorHAnsi"/>
          <w:sz w:val="24"/>
          <w:szCs w:val="24"/>
        </w:rPr>
      </w:pPr>
    </w:p>
    <w:p w14:paraId="0ED95301" w14:textId="77777777" w:rsidR="00D2421E" w:rsidRPr="00E2723F" w:rsidRDefault="00D2421E" w:rsidP="00D2421E">
      <w:pPr>
        <w:pStyle w:val="p1"/>
        <w:rPr>
          <w:rFonts w:asciiTheme="minorHAnsi" w:hAnsiTheme="minorHAnsi"/>
          <w:sz w:val="24"/>
          <w:szCs w:val="24"/>
        </w:rPr>
      </w:pPr>
      <w:r w:rsidRPr="00E2723F">
        <w:rPr>
          <w:rFonts w:asciiTheme="minorHAnsi" w:hAnsiTheme="minorHAnsi"/>
          <w:sz w:val="24"/>
          <w:szCs w:val="24"/>
        </w:rPr>
        <w:t>A key strength of the project is its ability to provide meaningful, real-world learning opportunities while promoting family and community engagement (Epstein, 2011; Ofsted, 2011). The integration of Welsh language and cultural elements further enhances its relevance and inclusivity (Andrews, 2011).</w:t>
      </w:r>
    </w:p>
    <w:p w14:paraId="42520FD3" w14:textId="77777777" w:rsidR="00D2421E" w:rsidRPr="00E2723F" w:rsidRDefault="00D2421E" w:rsidP="00D2421E">
      <w:pPr>
        <w:pStyle w:val="p2"/>
        <w:rPr>
          <w:rFonts w:asciiTheme="minorHAnsi" w:hAnsiTheme="minorHAnsi"/>
          <w:sz w:val="24"/>
          <w:szCs w:val="24"/>
        </w:rPr>
      </w:pPr>
    </w:p>
    <w:p w14:paraId="6135EFE9" w14:textId="77777777" w:rsidR="00D2421E" w:rsidRPr="00E2723F" w:rsidRDefault="00D2421E" w:rsidP="00D2421E">
      <w:pPr>
        <w:pStyle w:val="p1"/>
        <w:rPr>
          <w:rFonts w:asciiTheme="minorHAnsi" w:hAnsiTheme="minorHAnsi"/>
          <w:sz w:val="24"/>
          <w:szCs w:val="24"/>
        </w:rPr>
      </w:pPr>
      <w:r w:rsidRPr="00E2723F">
        <w:rPr>
          <w:rFonts w:asciiTheme="minorHAnsi" w:hAnsiTheme="minorHAnsi"/>
          <w:sz w:val="24"/>
          <w:szCs w:val="24"/>
        </w:rPr>
        <w:t>The SWOT analysis has identified important risks, including limited staff capacity, budget constraints, and the need to ensure equal participation (Reay, 2006). However, the implementation plan addresses these through careful planning, differentiated support, and ongoing reflection.</w:t>
      </w:r>
    </w:p>
    <w:p w14:paraId="6D41AAD0" w14:textId="77777777" w:rsidR="00D2421E" w:rsidRPr="00E2723F" w:rsidRDefault="00D2421E" w:rsidP="00D2421E">
      <w:pPr>
        <w:pStyle w:val="p2"/>
        <w:rPr>
          <w:rFonts w:asciiTheme="minorHAnsi" w:hAnsiTheme="minorHAnsi"/>
          <w:sz w:val="24"/>
          <w:szCs w:val="24"/>
        </w:rPr>
      </w:pPr>
    </w:p>
    <w:p w14:paraId="0B42E05B" w14:textId="77777777" w:rsidR="00D2421E" w:rsidRPr="00A57E22" w:rsidRDefault="00D2421E" w:rsidP="00D2421E">
      <w:pPr>
        <w:pStyle w:val="p1"/>
        <w:rPr>
          <w:rFonts w:asciiTheme="minorHAnsi" w:hAnsiTheme="minorHAnsi"/>
          <w:sz w:val="24"/>
          <w:szCs w:val="24"/>
        </w:rPr>
      </w:pPr>
      <w:r w:rsidRPr="00E2723F">
        <w:rPr>
          <w:rFonts w:asciiTheme="minorHAnsi" w:hAnsiTheme="minorHAnsi"/>
          <w:sz w:val="24"/>
          <w:szCs w:val="24"/>
        </w:rPr>
        <w:t>Overall, the project has the potential to make a positive and lasting impact by developing learners’ skills, strengthening school-community links, and embedding the school’s values of inclusion, creativity, and social responsibility.</w:t>
      </w:r>
    </w:p>
    <w:p w14:paraId="747C6CBF" w14:textId="77777777" w:rsidR="00D2421E" w:rsidRDefault="00D2421E" w:rsidP="0000375B">
      <w:pPr>
        <w:rPr>
          <w:b/>
          <w:bCs/>
        </w:rPr>
      </w:pPr>
    </w:p>
    <w:p w14:paraId="7DAC52B4" w14:textId="5D5A39E5" w:rsidR="00D2421E" w:rsidRDefault="00D2421E" w:rsidP="0000375B">
      <w:pPr>
        <w:rPr>
          <w:u w:val="single"/>
        </w:rPr>
      </w:pPr>
      <w:r w:rsidRPr="00D2421E">
        <w:rPr>
          <w:u w:val="single"/>
        </w:rPr>
        <w:t>References</w:t>
      </w:r>
    </w:p>
    <w:p w14:paraId="5EFFF7FE"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Andrews, R. (2011) </w:t>
      </w:r>
      <w:r w:rsidRPr="00D2421E">
        <w:rPr>
          <w:rFonts w:asciiTheme="minorHAnsi" w:hAnsiTheme="minorHAnsi"/>
          <w:i/>
          <w:iCs/>
          <w:sz w:val="24"/>
          <w:szCs w:val="24"/>
        </w:rPr>
        <w:t>Welsh in the twenty-first century</w:t>
      </w:r>
      <w:r w:rsidRPr="00D2421E">
        <w:rPr>
          <w:rFonts w:asciiTheme="minorHAnsi" w:hAnsiTheme="minorHAnsi"/>
          <w:sz w:val="24"/>
          <w:szCs w:val="24"/>
        </w:rPr>
        <w:t>. Cardiff: University of Wales Press.</w:t>
      </w:r>
    </w:p>
    <w:p w14:paraId="1CD9B2D4" w14:textId="77777777" w:rsidR="00D2421E" w:rsidRPr="00D2421E" w:rsidRDefault="00D2421E" w:rsidP="00D2421E">
      <w:pPr>
        <w:pStyle w:val="p2"/>
        <w:rPr>
          <w:rFonts w:asciiTheme="minorHAnsi" w:hAnsiTheme="minorHAnsi"/>
          <w:sz w:val="24"/>
          <w:szCs w:val="24"/>
        </w:rPr>
      </w:pPr>
    </w:p>
    <w:p w14:paraId="66AE238A"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Craft, A., McConnon, L. and Matthews, A. (2002) </w:t>
      </w:r>
      <w:r w:rsidRPr="00D2421E">
        <w:rPr>
          <w:rFonts w:asciiTheme="minorHAnsi" w:hAnsiTheme="minorHAnsi"/>
          <w:i/>
          <w:iCs/>
          <w:sz w:val="24"/>
          <w:szCs w:val="24"/>
        </w:rPr>
        <w:t>Extending thought in young children: a parent-teacher partnership</w:t>
      </w:r>
      <w:r w:rsidRPr="00D2421E">
        <w:rPr>
          <w:rFonts w:asciiTheme="minorHAnsi" w:hAnsiTheme="minorHAnsi"/>
          <w:sz w:val="24"/>
          <w:szCs w:val="24"/>
        </w:rPr>
        <w:t>. London: Routledge.</w:t>
      </w:r>
    </w:p>
    <w:p w14:paraId="41964BA3" w14:textId="77777777" w:rsidR="00D2421E" w:rsidRPr="00D2421E" w:rsidRDefault="00D2421E" w:rsidP="00D2421E">
      <w:pPr>
        <w:pStyle w:val="p2"/>
        <w:rPr>
          <w:rFonts w:asciiTheme="minorHAnsi" w:hAnsiTheme="minorHAnsi"/>
          <w:sz w:val="24"/>
          <w:szCs w:val="24"/>
        </w:rPr>
      </w:pPr>
    </w:p>
    <w:p w14:paraId="3DE07246"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lastRenderedPageBreak/>
        <w:t xml:space="preserve">Daniel, J. and Daniel, R. (2019) ‘Social enterprise in education: Empowering young people to create change’, </w:t>
      </w:r>
      <w:r w:rsidRPr="00D2421E">
        <w:rPr>
          <w:rFonts w:asciiTheme="minorHAnsi" w:hAnsiTheme="minorHAnsi"/>
          <w:i/>
          <w:iCs/>
          <w:sz w:val="24"/>
          <w:szCs w:val="24"/>
        </w:rPr>
        <w:t>Journal of Social Entrepreneurship</w:t>
      </w:r>
      <w:r w:rsidRPr="00D2421E">
        <w:rPr>
          <w:rFonts w:asciiTheme="minorHAnsi" w:hAnsiTheme="minorHAnsi"/>
          <w:sz w:val="24"/>
          <w:szCs w:val="24"/>
        </w:rPr>
        <w:t>, 10(1), pp. 43–60.</w:t>
      </w:r>
    </w:p>
    <w:p w14:paraId="668CBAE6" w14:textId="77777777" w:rsidR="00D2421E" w:rsidRPr="00D2421E" w:rsidRDefault="00D2421E" w:rsidP="00D2421E">
      <w:pPr>
        <w:pStyle w:val="p2"/>
        <w:rPr>
          <w:rFonts w:asciiTheme="minorHAnsi" w:hAnsiTheme="minorHAnsi"/>
          <w:sz w:val="24"/>
          <w:szCs w:val="24"/>
        </w:rPr>
      </w:pPr>
    </w:p>
    <w:p w14:paraId="3FEAF0BB"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Epstein, J.L. (2011) </w:t>
      </w:r>
      <w:r w:rsidRPr="00D2421E">
        <w:rPr>
          <w:rFonts w:asciiTheme="minorHAnsi" w:hAnsiTheme="minorHAnsi"/>
          <w:i/>
          <w:iCs/>
          <w:sz w:val="24"/>
          <w:szCs w:val="24"/>
        </w:rPr>
        <w:t>School, family, and community partnerships: Preparing educators and improving schools</w:t>
      </w:r>
      <w:r w:rsidRPr="00D2421E">
        <w:rPr>
          <w:rFonts w:asciiTheme="minorHAnsi" w:hAnsiTheme="minorHAnsi"/>
          <w:sz w:val="24"/>
          <w:szCs w:val="24"/>
        </w:rPr>
        <w:t>. 2nd edn. New York: Routledge.</w:t>
      </w:r>
    </w:p>
    <w:p w14:paraId="33221458" w14:textId="77777777" w:rsidR="00D2421E" w:rsidRPr="00D2421E" w:rsidRDefault="00D2421E" w:rsidP="00D2421E">
      <w:pPr>
        <w:pStyle w:val="p2"/>
        <w:rPr>
          <w:rFonts w:asciiTheme="minorHAnsi" w:hAnsiTheme="minorHAnsi"/>
          <w:sz w:val="24"/>
          <w:szCs w:val="24"/>
        </w:rPr>
      </w:pPr>
    </w:p>
    <w:p w14:paraId="3D7348B7"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Estyn (2018) </w:t>
      </w:r>
      <w:r w:rsidRPr="00D2421E">
        <w:rPr>
          <w:rFonts w:asciiTheme="minorHAnsi" w:hAnsiTheme="minorHAnsi"/>
          <w:i/>
          <w:iCs/>
          <w:sz w:val="24"/>
          <w:szCs w:val="24"/>
        </w:rPr>
        <w:t>Involving parents</w:t>
      </w:r>
      <w:r w:rsidRPr="00D2421E">
        <w:rPr>
          <w:rFonts w:asciiTheme="minorHAnsi" w:hAnsiTheme="minorHAnsi"/>
          <w:sz w:val="24"/>
          <w:szCs w:val="24"/>
        </w:rPr>
        <w:t>. Cardiff: Estyn.</w:t>
      </w:r>
    </w:p>
    <w:p w14:paraId="0AB958AB" w14:textId="77777777" w:rsidR="00D2421E" w:rsidRPr="00D2421E" w:rsidRDefault="00D2421E" w:rsidP="00D2421E">
      <w:pPr>
        <w:pStyle w:val="p2"/>
        <w:rPr>
          <w:rFonts w:asciiTheme="minorHAnsi" w:hAnsiTheme="minorHAnsi"/>
          <w:sz w:val="24"/>
          <w:szCs w:val="24"/>
        </w:rPr>
      </w:pPr>
    </w:p>
    <w:p w14:paraId="038B56D7"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Goodall, J. and Montgomery, C. (2014) ‘Parental involvement to parental engagement: A continuum’, </w:t>
      </w:r>
      <w:r w:rsidRPr="00D2421E">
        <w:rPr>
          <w:rFonts w:asciiTheme="minorHAnsi" w:hAnsiTheme="minorHAnsi"/>
          <w:i/>
          <w:iCs/>
          <w:sz w:val="24"/>
          <w:szCs w:val="24"/>
        </w:rPr>
        <w:t>Educational Review</w:t>
      </w:r>
      <w:r w:rsidRPr="00D2421E">
        <w:rPr>
          <w:rFonts w:asciiTheme="minorHAnsi" w:hAnsiTheme="minorHAnsi"/>
          <w:sz w:val="24"/>
          <w:szCs w:val="24"/>
        </w:rPr>
        <w:t>, 66(4), pp. 399–410.</w:t>
      </w:r>
    </w:p>
    <w:p w14:paraId="138F2ADC" w14:textId="77777777" w:rsidR="00D2421E" w:rsidRPr="00D2421E" w:rsidRDefault="00D2421E" w:rsidP="00D2421E">
      <w:pPr>
        <w:pStyle w:val="p2"/>
        <w:rPr>
          <w:rFonts w:asciiTheme="minorHAnsi" w:hAnsiTheme="minorHAnsi"/>
          <w:sz w:val="24"/>
          <w:szCs w:val="24"/>
        </w:rPr>
      </w:pPr>
    </w:p>
    <w:p w14:paraId="766BE899"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Harris, A. and Goodall, J. (2008) ‘Do parents know they matter? Engaging all parents in learning’, </w:t>
      </w:r>
      <w:r w:rsidRPr="00D2421E">
        <w:rPr>
          <w:rFonts w:asciiTheme="minorHAnsi" w:hAnsiTheme="minorHAnsi"/>
          <w:i/>
          <w:iCs/>
          <w:sz w:val="24"/>
          <w:szCs w:val="24"/>
        </w:rPr>
        <w:t>Educational Research</w:t>
      </w:r>
      <w:r w:rsidRPr="00D2421E">
        <w:rPr>
          <w:rFonts w:asciiTheme="minorHAnsi" w:hAnsiTheme="minorHAnsi"/>
          <w:sz w:val="24"/>
          <w:szCs w:val="24"/>
        </w:rPr>
        <w:t>, 50(3), pp. 277–289.</w:t>
      </w:r>
    </w:p>
    <w:p w14:paraId="24C73C01" w14:textId="77777777" w:rsidR="00D2421E" w:rsidRPr="00D2421E" w:rsidRDefault="00D2421E" w:rsidP="00D2421E">
      <w:pPr>
        <w:pStyle w:val="p2"/>
        <w:rPr>
          <w:rFonts w:asciiTheme="minorHAnsi" w:hAnsiTheme="minorHAnsi"/>
          <w:sz w:val="24"/>
          <w:szCs w:val="24"/>
        </w:rPr>
      </w:pPr>
    </w:p>
    <w:p w14:paraId="0A55C6F6"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Ofsted (2011) </w:t>
      </w:r>
      <w:r w:rsidRPr="00D2421E">
        <w:rPr>
          <w:rFonts w:asciiTheme="minorHAnsi" w:hAnsiTheme="minorHAnsi"/>
          <w:i/>
          <w:iCs/>
          <w:sz w:val="24"/>
          <w:szCs w:val="24"/>
        </w:rPr>
        <w:t>Enterprise education: Impact in schools and colleges</w:t>
      </w:r>
      <w:r w:rsidRPr="00D2421E">
        <w:rPr>
          <w:rFonts w:asciiTheme="minorHAnsi" w:hAnsiTheme="minorHAnsi"/>
          <w:sz w:val="24"/>
          <w:szCs w:val="24"/>
        </w:rPr>
        <w:t>. Manchester: Ofsted.</w:t>
      </w:r>
    </w:p>
    <w:p w14:paraId="17BE819E" w14:textId="77777777" w:rsidR="00D2421E" w:rsidRPr="00D2421E" w:rsidRDefault="00D2421E" w:rsidP="00D2421E">
      <w:pPr>
        <w:pStyle w:val="p2"/>
        <w:rPr>
          <w:rFonts w:asciiTheme="minorHAnsi" w:hAnsiTheme="minorHAnsi"/>
          <w:sz w:val="24"/>
          <w:szCs w:val="24"/>
        </w:rPr>
      </w:pPr>
    </w:p>
    <w:p w14:paraId="027F515C"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Putnam, R.D. (2000) </w:t>
      </w:r>
      <w:r w:rsidRPr="00D2421E">
        <w:rPr>
          <w:rFonts w:asciiTheme="minorHAnsi" w:hAnsiTheme="minorHAnsi"/>
          <w:i/>
          <w:iCs/>
          <w:sz w:val="24"/>
          <w:szCs w:val="24"/>
        </w:rPr>
        <w:t>Bowling alone: The collapse and revival of American community</w:t>
      </w:r>
      <w:r w:rsidRPr="00D2421E">
        <w:rPr>
          <w:rFonts w:asciiTheme="minorHAnsi" w:hAnsiTheme="minorHAnsi"/>
          <w:sz w:val="24"/>
          <w:szCs w:val="24"/>
        </w:rPr>
        <w:t>. New York: Simon &amp; Schuster.</w:t>
      </w:r>
    </w:p>
    <w:p w14:paraId="6960EA6B" w14:textId="77777777" w:rsidR="00D2421E" w:rsidRPr="00D2421E" w:rsidRDefault="00D2421E" w:rsidP="00D2421E">
      <w:pPr>
        <w:pStyle w:val="p2"/>
        <w:rPr>
          <w:rFonts w:asciiTheme="minorHAnsi" w:hAnsiTheme="minorHAnsi"/>
          <w:sz w:val="24"/>
          <w:szCs w:val="24"/>
        </w:rPr>
      </w:pPr>
    </w:p>
    <w:p w14:paraId="460E0D53"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Raffo, C. and Gunter, H. (2008) ‘Leading enterprise education: A new state of mind?’, </w:t>
      </w:r>
      <w:r w:rsidRPr="00D2421E">
        <w:rPr>
          <w:rFonts w:asciiTheme="minorHAnsi" w:hAnsiTheme="minorHAnsi"/>
          <w:i/>
          <w:iCs/>
          <w:sz w:val="24"/>
          <w:szCs w:val="24"/>
        </w:rPr>
        <w:t>Educational Management Administration &amp; Leadership</w:t>
      </w:r>
      <w:r w:rsidRPr="00D2421E">
        <w:rPr>
          <w:rFonts w:asciiTheme="minorHAnsi" w:hAnsiTheme="minorHAnsi"/>
          <w:sz w:val="24"/>
          <w:szCs w:val="24"/>
        </w:rPr>
        <w:t>, 36(2), pp. 199–214.</w:t>
      </w:r>
    </w:p>
    <w:p w14:paraId="2421FCB3" w14:textId="77777777" w:rsidR="00D2421E" w:rsidRPr="00D2421E" w:rsidRDefault="00D2421E" w:rsidP="00D2421E">
      <w:pPr>
        <w:pStyle w:val="p2"/>
        <w:rPr>
          <w:rFonts w:asciiTheme="minorHAnsi" w:hAnsiTheme="minorHAnsi"/>
          <w:sz w:val="24"/>
          <w:szCs w:val="24"/>
        </w:rPr>
      </w:pPr>
    </w:p>
    <w:p w14:paraId="46E826CF"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Reay, D. (2006) </w:t>
      </w:r>
      <w:r w:rsidRPr="00D2421E">
        <w:rPr>
          <w:rFonts w:asciiTheme="minorHAnsi" w:hAnsiTheme="minorHAnsi"/>
          <w:i/>
          <w:iCs/>
          <w:sz w:val="24"/>
          <w:szCs w:val="24"/>
        </w:rPr>
        <w:t>Social class and educational inequality</w:t>
      </w:r>
      <w:r w:rsidRPr="00D2421E">
        <w:rPr>
          <w:rFonts w:asciiTheme="minorHAnsi" w:hAnsiTheme="minorHAnsi"/>
          <w:sz w:val="24"/>
          <w:szCs w:val="24"/>
        </w:rPr>
        <w:t>. Cambridge: Cambridge University Press.</w:t>
      </w:r>
    </w:p>
    <w:p w14:paraId="5325AD7D" w14:textId="77777777" w:rsidR="00D2421E" w:rsidRPr="00D2421E" w:rsidRDefault="00D2421E" w:rsidP="00D2421E">
      <w:pPr>
        <w:pStyle w:val="p2"/>
        <w:rPr>
          <w:rFonts w:asciiTheme="minorHAnsi" w:hAnsiTheme="minorHAnsi"/>
          <w:sz w:val="24"/>
          <w:szCs w:val="24"/>
        </w:rPr>
      </w:pPr>
    </w:p>
    <w:p w14:paraId="677D6987" w14:textId="77777777" w:rsidR="00D2421E" w:rsidRP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Thompson, N. (2011) </w:t>
      </w:r>
      <w:r w:rsidRPr="00D2421E">
        <w:rPr>
          <w:rFonts w:asciiTheme="minorHAnsi" w:hAnsiTheme="minorHAnsi"/>
          <w:i/>
          <w:iCs/>
          <w:sz w:val="24"/>
          <w:szCs w:val="24"/>
        </w:rPr>
        <w:t>Promoting equality: Working with diversity and difference</w:t>
      </w:r>
      <w:r w:rsidRPr="00D2421E">
        <w:rPr>
          <w:rFonts w:asciiTheme="minorHAnsi" w:hAnsiTheme="minorHAnsi"/>
          <w:sz w:val="24"/>
          <w:szCs w:val="24"/>
        </w:rPr>
        <w:t>. Basingstoke: Palgrave Macmillan.</w:t>
      </w:r>
    </w:p>
    <w:p w14:paraId="51464712" w14:textId="77777777" w:rsidR="00D2421E" w:rsidRPr="00D2421E" w:rsidRDefault="00D2421E" w:rsidP="00D2421E">
      <w:pPr>
        <w:pStyle w:val="p2"/>
        <w:rPr>
          <w:rFonts w:asciiTheme="minorHAnsi" w:hAnsiTheme="minorHAnsi"/>
          <w:sz w:val="24"/>
          <w:szCs w:val="24"/>
        </w:rPr>
      </w:pPr>
    </w:p>
    <w:p w14:paraId="10214E04" w14:textId="77777777" w:rsidR="00D2421E" w:rsidRDefault="00D2421E" w:rsidP="00D2421E">
      <w:pPr>
        <w:pStyle w:val="p1"/>
        <w:rPr>
          <w:rFonts w:asciiTheme="minorHAnsi" w:hAnsiTheme="minorHAnsi"/>
          <w:sz w:val="24"/>
          <w:szCs w:val="24"/>
        </w:rPr>
      </w:pPr>
      <w:r w:rsidRPr="00D2421E">
        <w:rPr>
          <w:rFonts w:asciiTheme="minorHAnsi" w:hAnsiTheme="minorHAnsi"/>
          <w:sz w:val="24"/>
          <w:szCs w:val="24"/>
        </w:rPr>
        <w:t xml:space="preserve">Welsh Government (2022) </w:t>
      </w:r>
      <w:r w:rsidRPr="00D2421E">
        <w:rPr>
          <w:rFonts w:asciiTheme="minorHAnsi" w:hAnsiTheme="minorHAnsi"/>
          <w:i/>
          <w:iCs/>
          <w:sz w:val="24"/>
          <w:szCs w:val="24"/>
        </w:rPr>
        <w:t>Curriculum for Wales guidance</w:t>
      </w:r>
      <w:r w:rsidRPr="00D2421E">
        <w:rPr>
          <w:rFonts w:asciiTheme="minorHAnsi" w:hAnsiTheme="minorHAnsi"/>
          <w:sz w:val="24"/>
          <w:szCs w:val="24"/>
        </w:rPr>
        <w:t>. Cardiff: Welsh Government.</w:t>
      </w:r>
    </w:p>
    <w:p w14:paraId="6D07E579" w14:textId="77777777" w:rsidR="00D2421E" w:rsidRDefault="00D2421E" w:rsidP="00D2421E">
      <w:pPr>
        <w:pStyle w:val="p1"/>
        <w:rPr>
          <w:rFonts w:asciiTheme="minorHAnsi" w:hAnsiTheme="minorHAnsi"/>
          <w:sz w:val="24"/>
          <w:szCs w:val="24"/>
        </w:rPr>
      </w:pPr>
    </w:p>
    <w:p w14:paraId="5E5341D5" w14:textId="77777777" w:rsidR="00D2421E" w:rsidRDefault="00D2421E" w:rsidP="00D2421E">
      <w:pPr>
        <w:pStyle w:val="p1"/>
        <w:rPr>
          <w:rFonts w:asciiTheme="minorHAnsi" w:hAnsiTheme="minorHAnsi"/>
          <w:sz w:val="24"/>
          <w:szCs w:val="24"/>
        </w:rPr>
      </w:pPr>
    </w:p>
    <w:p w14:paraId="28028CB6" w14:textId="77777777" w:rsidR="00D2421E" w:rsidRDefault="00D2421E" w:rsidP="00D2421E">
      <w:pPr>
        <w:pStyle w:val="p1"/>
        <w:rPr>
          <w:rFonts w:asciiTheme="minorHAnsi" w:hAnsiTheme="minorHAnsi"/>
          <w:sz w:val="24"/>
          <w:szCs w:val="24"/>
        </w:rPr>
      </w:pPr>
    </w:p>
    <w:p w14:paraId="2AC96E0D" w14:textId="611FF168" w:rsidR="00D2421E" w:rsidRDefault="00D2421E" w:rsidP="00D2421E">
      <w:pPr>
        <w:pStyle w:val="p1"/>
        <w:rPr>
          <w:rFonts w:asciiTheme="minorHAnsi" w:hAnsiTheme="minorHAnsi"/>
          <w:sz w:val="24"/>
          <w:szCs w:val="24"/>
        </w:rPr>
      </w:pPr>
      <w:r>
        <w:rPr>
          <w:rFonts w:asciiTheme="minorHAnsi" w:hAnsiTheme="minorHAnsi"/>
          <w:sz w:val="24"/>
          <w:szCs w:val="24"/>
        </w:rPr>
        <w:t xml:space="preserve">Appendix </w:t>
      </w:r>
    </w:p>
    <w:p w14:paraId="5771FDB4" w14:textId="5A7122DB" w:rsidR="00D2421E" w:rsidRDefault="00D2421E" w:rsidP="00D2421E">
      <w:pPr>
        <w:pStyle w:val="p1"/>
        <w:rPr>
          <w:rFonts w:asciiTheme="minorHAnsi" w:hAnsiTheme="minorHAnsi"/>
          <w:sz w:val="24"/>
          <w:szCs w:val="24"/>
        </w:rPr>
      </w:pPr>
      <w:r>
        <w:rPr>
          <w:rFonts w:asciiTheme="minorHAnsi" w:hAnsiTheme="minorHAnsi"/>
          <w:sz w:val="24"/>
          <w:szCs w:val="24"/>
        </w:rPr>
        <w:t>SWOT</w:t>
      </w:r>
    </w:p>
    <w:p w14:paraId="21629295" w14:textId="77777777" w:rsidR="00D2421E" w:rsidRDefault="00D2421E" w:rsidP="00D2421E"/>
    <w:p w14:paraId="67565666" w14:textId="77777777" w:rsidR="00D2421E" w:rsidRDefault="00D2421E" w:rsidP="00D2421E"/>
    <w:p w14:paraId="30023197" w14:textId="77777777" w:rsidR="00D2421E" w:rsidRDefault="00D2421E" w:rsidP="00D2421E"/>
    <w:p w14:paraId="1A684533" w14:textId="77777777" w:rsidR="00D2421E" w:rsidRDefault="00D2421E" w:rsidP="00D2421E"/>
    <w:p w14:paraId="2B7AB891" w14:textId="77777777" w:rsidR="00D2421E" w:rsidRDefault="00D2421E" w:rsidP="00D2421E"/>
    <w:p w14:paraId="1C1A69CD" w14:textId="77777777" w:rsidR="00D2421E" w:rsidRDefault="00D2421E" w:rsidP="00D2421E"/>
    <w:p w14:paraId="57649A8C" w14:textId="77777777" w:rsidR="00D2421E" w:rsidRDefault="00D2421E" w:rsidP="00D2421E"/>
    <w:p w14:paraId="455395CE" w14:textId="77777777" w:rsidR="00D2421E" w:rsidRDefault="00D2421E" w:rsidP="00D2421E"/>
    <w:tbl>
      <w:tblPr>
        <w:tblStyle w:val="TableGrid"/>
        <w:tblpPr w:leftFromText="180" w:rightFromText="180" w:horzAnchor="margin" w:tblpXSpec="center" w:tblpY="-10141"/>
        <w:tblW w:w="10225" w:type="dxa"/>
        <w:tblLook w:val="04A0" w:firstRow="1" w:lastRow="0" w:firstColumn="1" w:lastColumn="0" w:noHBand="0" w:noVBand="1"/>
      </w:tblPr>
      <w:tblGrid>
        <w:gridCol w:w="3408"/>
        <w:gridCol w:w="3408"/>
        <w:gridCol w:w="3409"/>
      </w:tblGrid>
      <w:tr w:rsidR="00D2421E" w14:paraId="619680EF" w14:textId="77777777" w:rsidTr="00EC5166">
        <w:trPr>
          <w:trHeight w:val="735"/>
        </w:trPr>
        <w:tc>
          <w:tcPr>
            <w:tcW w:w="3408" w:type="dxa"/>
          </w:tcPr>
          <w:p w14:paraId="718D5AFA" w14:textId="77777777" w:rsidR="00D2421E" w:rsidRDefault="00D2421E" w:rsidP="00EC5166"/>
        </w:tc>
        <w:tc>
          <w:tcPr>
            <w:tcW w:w="3408" w:type="dxa"/>
          </w:tcPr>
          <w:p w14:paraId="56E816F7" w14:textId="77777777" w:rsidR="00D2421E" w:rsidRDefault="00D2421E" w:rsidP="00EC5166">
            <w:r>
              <w:t>Helpful</w:t>
            </w:r>
          </w:p>
        </w:tc>
        <w:tc>
          <w:tcPr>
            <w:tcW w:w="3409" w:type="dxa"/>
          </w:tcPr>
          <w:p w14:paraId="20C5DC05" w14:textId="77777777" w:rsidR="00D2421E" w:rsidRDefault="00D2421E" w:rsidP="00EC5166">
            <w:r>
              <w:t>Harmful</w:t>
            </w:r>
          </w:p>
        </w:tc>
      </w:tr>
    </w:tbl>
    <w:p w14:paraId="32F37250" w14:textId="77777777" w:rsidR="0000375B" w:rsidRDefault="0000375B" w:rsidP="00DD5969">
      <w:pPr>
        <w:rPr>
          <w:sz w:val="16"/>
          <w:szCs w:val="16"/>
        </w:rPr>
      </w:pPr>
    </w:p>
    <w:p w14:paraId="701D906D" w14:textId="77777777" w:rsidR="00D2421E" w:rsidRDefault="00D2421E" w:rsidP="00DD5969">
      <w:pPr>
        <w:rPr>
          <w:sz w:val="16"/>
          <w:szCs w:val="16"/>
        </w:rPr>
      </w:pPr>
    </w:p>
    <w:p w14:paraId="1A817504" w14:textId="77777777" w:rsidR="00D2421E" w:rsidRDefault="00D2421E" w:rsidP="00DD5969">
      <w:pPr>
        <w:rPr>
          <w:sz w:val="16"/>
          <w:szCs w:val="16"/>
        </w:rPr>
      </w:pPr>
    </w:p>
    <w:tbl>
      <w:tblPr>
        <w:tblStyle w:val="TableGrid"/>
        <w:tblpPr w:leftFromText="180" w:rightFromText="180" w:vertAnchor="text" w:horzAnchor="margin" w:tblpY="228"/>
        <w:tblW w:w="9529" w:type="dxa"/>
        <w:tblLook w:val="04A0" w:firstRow="1" w:lastRow="0" w:firstColumn="1" w:lastColumn="0" w:noHBand="0" w:noVBand="1"/>
      </w:tblPr>
      <w:tblGrid>
        <w:gridCol w:w="3176"/>
        <w:gridCol w:w="3176"/>
        <w:gridCol w:w="3177"/>
      </w:tblGrid>
      <w:tr w:rsidR="00D2421E" w14:paraId="6C13ACB4" w14:textId="77777777" w:rsidTr="00D2421E">
        <w:trPr>
          <w:trHeight w:val="79"/>
        </w:trPr>
        <w:tc>
          <w:tcPr>
            <w:tcW w:w="3176" w:type="dxa"/>
          </w:tcPr>
          <w:p w14:paraId="5A4AF561" w14:textId="77777777" w:rsidR="00D2421E" w:rsidRDefault="00D2421E" w:rsidP="00D2421E"/>
        </w:tc>
        <w:tc>
          <w:tcPr>
            <w:tcW w:w="3176" w:type="dxa"/>
          </w:tcPr>
          <w:p w14:paraId="08B4697A" w14:textId="5D0B5D8D" w:rsidR="00D2421E" w:rsidRDefault="00D2421E" w:rsidP="00D2421E">
            <w:r>
              <w:t>Helpful</w:t>
            </w:r>
          </w:p>
        </w:tc>
        <w:tc>
          <w:tcPr>
            <w:tcW w:w="3177" w:type="dxa"/>
          </w:tcPr>
          <w:p w14:paraId="0C3F1BA1" w14:textId="3BA6A6A7" w:rsidR="00D2421E" w:rsidRDefault="00D2421E" w:rsidP="00D2421E">
            <w:r>
              <w:t>Harmful</w:t>
            </w:r>
          </w:p>
        </w:tc>
      </w:tr>
      <w:tr w:rsidR="00D2421E" w14:paraId="22FB1952" w14:textId="77777777" w:rsidTr="00D2421E">
        <w:trPr>
          <w:trHeight w:val="2221"/>
        </w:trPr>
        <w:tc>
          <w:tcPr>
            <w:tcW w:w="3176" w:type="dxa"/>
          </w:tcPr>
          <w:p w14:paraId="49D55E97" w14:textId="02C03292" w:rsidR="00D2421E" w:rsidRDefault="00D2421E" w:rsidP="00D2421E">
            <w:r>
              <w:t>Internal</w:t>
            </w:r>
          </w:p>
        </w:tc>
        <w:tc>
          <w:tcPr>
            <w:tcW w:w="3176" w:type="dxa"/>
          </w:tcPr>
          <w:p w14:paraId="25D7390F" w14:textId="77777777" w:rsidR="00D2421E" w:rsidRDefault="00D2421E" w:rsidP="00D2421E">
            <w:r>
              <w:t>Strengths-</w:t>
            </w:r>
          </w:p>
          <w:p w14:paraId="4CB4CA04" w14:textId="77777777" w:rsidR="00D2421E" w:rsidRPr="00571065" w:rsidRDefault="00D2421E" w:rsidP="00D2421E">
            <w:pPr>
              <w:pStyle w:val="p1"/>
              <w:rPr>
                <w:rFonts w:asciiTheme="minorHAnsi" w:hAnsiTheme="minorHAnsi"/>
                <w:sz w:val="24"/>
                <w:szCs w:val="24"/>
              </w:rPr>
            </w:pPr>
            <w:r w:rsidRPr="00571065">
              <w:rPr>
                <w:rFonts w:asciiTheme="minorHAnsi" w:hAnsiTheme="minorHAnsi"/>
                <w:sz w:val="24"/>
                <w:szCs w:val="24"/>
              </w:rPr>
              <w:t xml:space="preserve">Enthusiastic learners and staff willing to engage in new projects </w:t>
            </w:r>
            <w:r w:rsidRPr="00571065">
              <w:rPr>
                <w:rStyle w:val="apple-converted-space"/>
                <w:rFonts w:asciiTheme="minorHAnsi" w:eastAsiaTheme="majorEastAsia" w:hAnsiTheme="minorHAnsi"/>
                <w:sz w:val="24"/>
                <w:szCs w:val="24"/>
              </w:rPr>
              <w:t xml:space="preserve">  </w:t>
            </w:r>
            <w:r w:rsidRPr="00571065">
              <w:rPr>
                <w:rFonts w:asciiTheme="minorHAnsi" w:hAnsiTheme="minorHAnsi"/>
                <w:sz w:val="24"/>
                <w:szCs w:val="24"/>
              </w:rPr>
              <w:t xml:space="preserve">- Strong school ethos promoting creativity, inclusion, and enterprise </w:t>
            </w:r>
            <w:r w:rsidRPr="00571065">
              <w:rPr>
                <w:rStyle w:val="apple-converted-space"/>
                <w:rFonts w:asciiTheme="minorHAnsi" w:eastAsiaTheme="majorEastAsia" w:hAnsiTheme="minorHAnsi"/>
                <w:sz w:val="24"/>
                <w:szCs w:val="24"/>
              </w:rPr>
              <w:t xml:space="preserve">  </w:t>
            </w:r>
            <w:r w:rsidRPr="00571065">
              <w:rPr>
                <w:rFonts w:asciiTheme="minorHAnsi" w:hAnsiTheme="minorHAnsi"/>
                <w:sz w:val="24"/>
                <w:szCs w:val="24"/>
              </w:rPr>
              <w:t xml:space="preserve">- Builds on previous experience with school events and fundraising </w:t>
            </w:r>
            <w:r w:rsidRPr="00571065">
              <w:rPr>
                <w:rStyle w:val="apple-converted-space"/>
                <w:rFonts w:asciiTheme="minorHAnsi" w:eastAsiaTheme="majorEastAsia" w:hAnsiTheme="minorHAnsi"/>
                <w:sz w:val="24"/>
                <w:szCs w:val="24"/>
              </w:rPr>
              <w:t xml:space="preserve">  </w:t>
            </w:r>
            <w:r w:rsidRPr="00571065">
              <w:rPr>
                <w:rFonts w:asciiTheme="minorHAnsi" w:hAnsiTheme="minorHAnsi"/>
                <w:sz w:val="24"/>
                <w:szCs w:val="24"/>
              </w:rPr>
              <w:t>- Supports development of learners’ teamwork, communication, and decision-making skills</w:t>
            </w:r>
            <w:r>
              <w:rPr>
                <w:rFonts w:asciiTheme="minorHAnsi" w:hAnsiTheme="minorHAnsi"/>
                <w:sz w:val="24"/>
                <w:szCs w:val="24"/>
              </w:rPr>
              <w:t>.</w:t>
            </w:r>
          </w:p>
          <w:p w14:paraId="199AA199" w14:textId="77777777" w:rsidR="00D2421E" w:rsidRDefault="00D2421E" w:rsidP="00D2421E"/>
        </w:tc>
        <w:tc>
          <w:tcPr>
            <w:tcW w:w="3177" w:type="dxa"/>
          </w:tcPr>
          <w:p w14:paraId="5BEE748C" w14:textId="77777777" w:rsidR="00D2421E" w:rsidRDefault="00D2421E" w:rsidP="00D2421E">
            <w:r>
              <w:t>Weakness-</w:t>
            </w:r>
          </w:p>
          <w:p w14:paraId="65FA15C5" w14:textId="77777777" w:rsidR="00D2421E" w:rsidRDefault="00D2421E" w:rsidP="00D2421E">
            <w:pPr>
              <w:pStyle w:val="p1"/>
            </w:pPr>
            <w:r>
              <w:t xml:space="preserve">- </w:t>
            </w:r>
            <w:r w:rsidRPr="003F1896">
              <w:rPr>
                <w:rFonts w:asciiTheme="minorHAnsi" w:hAnsiTheme="minorHAnsi"/>
                <w:sz w:val="24"/>
                <w:szCs w:val="24"/>
              </w:rPr>
              <w:t xml:space="preserve">Limited staff time and capacity to plan and oversee events </w:t>
            </w:r>
            <w:r w:rsidRPr="003F1896">
              <w:rPr>
                <w:rStyle w:val="apple-converted-space"/>
                <w:rFonts w:asciiTheme="minorHAnsi" w:eastAsiaTheme="majorEastAsia" w:hAnsiTheme="minorHAnsi"/>
                <w:sz w:val="24"/>
                <w:szCs w:val="24"/>
              </w:rPr>
              <w:t xml:space="preserve">  </w:t>
            </w:r>
            <w:r w:rsidRPr="003F1896">
              <w:rPr>
                <w:rFonts w:asciiTheme="minorHAnsi" w:hAnsiTheme="minorHAnsi"/>
                <w:sz w:val="24"/>
                <w:szCs w:val="24"/>
              </w:rPr>
              <w:t xml:space="preserve">- Learners’ confidence and ability levels vary, requiring differentiated support </w:t>
            </w:r>
            <w:r w:rsidRPr="003F1896">
              <w:rPr>
                <w:rStyle w:val="apple-converted-space"/>
                <w:rFonts w:asciiTheme="minorHAnsi" w:eastAsiaTheme="majorEastAsia" w:hAnsiTheme="minorHAnsi"/>
                <w:sz w:val="24"/>
                <w:szCs w:val="24"/>
              </w:rPr>
              <w:t xml:space="preserve">  </w:t>
            </w:r>
            <w:r w:rsidRPr="003F1896">
              <w:rPr>
                <w:rFonts w:asciiTheme="minorHAnsi" w:hAnsiTheme="minorHAnsi"/>
                <w:sz w:val="24"/>
                <w:szCs w:val="24"/>
              </w:rPr>
              <w:t xml:space="preserve">- Small initial budget (£20–£50) may restrict resources at first </w:t>
            </w:r>
            <w:r w:rsidRPr="003F1896">
              <w:rPr>
                <w:rStyle w:val="apple-converted-space"/>
                <w:rFonts w:asciiTheme="minorHAnsi" w:eastAsiaTheme="majorEastAsia" w:hAnsiTheme="minorHAnsi"/>
                <w:sz w:val="24"/>
                <w:szCs w:val="24"/>
              </w:rPr>
              <w:t xml:space="preserve">  </w:t>
            </w:r>
            <w:r w:rsidRPr="003F1896">
              <w:rPr>
                <w:rFonts w:asciiTheme="minorHAnsi" w:hAnsiTheme="minorHAnsi"/>
                <w:sz w:val="24"/>
                <w:szCs w:val="24"/>
              </w:rPr>
              <w:t>- Risk of uneven participation if not carefully monitored across all classes and learners</w:t>
            </w:r>
            <w:r>
              <w:rPr>
                <w:rFonts w:asciiTheme="minorHAnsi" w:hAnsiTheme="minorHAnsi"/>
                <w:sz w:val="24"/>
                <w:szCs w:val="24"/>
              </w:rPr>
              <w:t>.</w:t>
            </w:r>
          </w:p>
          <w:p w14:paraId="5C361CC8" w14:textId="77777777" w:rsidR="00D2421E" w:rsidRDefault="00D2421E" w:rsidP="00D2421E"/>
        </w:tc>
      </w:tr>
      <w:tr w:rsidR="00D2421E" w14:paraId="67F05B7B" w14:textId="77777777" w:rsidTr="00D2421E">
        <w:trPr>
          <w:trHeight w:val="2359"/>
        </w:trPr>
        <w:tc>
          <w:tcPr>
            <w:tcW w:w="3176" w:type="dxa"/>
          </w:tcPr>
          <w:p w14:paraId="16073183" w14:textId="0851D199" w:rsidR="00D2421E" w:rsidRDefault="00D2421E" w:rsidP="00D2421E">
            <w:r>
              <w:t>External</w:t>
            </w:r>
          </w:p>
        </w:tc>
        <w:tc>
          <w:tcPr>
            <w:tcW w:w="3176" w:type="dxa"/>
          </w:tcPr>
          <w:p w14:paraId="4C9C20A6" w14:textId="77777777" w:rsidR="00D2421E" w:rsidRDefault="00D2421E" w:rsidP="00D2421E">
            <w:r>
              <w:t>Opportunities-</w:t>
            </w:r>
          </w:p>
          <w:p w14:paraId="1C9D5A12" w14:textId="77777777" w:rsidR="00D2421E" w:rsidRPr="00DA3181" w:rsidRDefault="00D2421E" w:rsidP="00D2421E">
            <w:pPr>
              <w:pStyle w:val="p1"/>
              <w:rPr>
                <w:rFonts w:asciiTheme="minorHAnsi" w:hAnsiTheme="minorHAnsi"/>
                <w:sz w:val="24"/>
                <w:szCs w:val="24"/>
              </w:rPr>
            </w:pPr>
            <w:r w:rsidRPr="00DA3181">
              <w:rPr>
                <w:rFonts w:asciiTheme="minorHAnsi" w:hAnsiTheme="minorHAnsi"/>
                <w:sz w:val="24"/>
                <w:szCs w:val="24"/>
              </w:rPr>
              <w:t xml:space="preserve">Strengthen relationships with families, carers, and local businesses </w:t>
            </w:r>
            <w:r w:rsidRPr="00DA3181">
              <w:rPr>
                <w:rStyle w:val="apple-converted-space"/>
                <w:rFonts w:asciiTheme="minorHAnsi" w:eastAsiaTheme="majorEastAsia" w:hAnsiTheme="minorHAnsi"/>
                <w:sz w:val="24"/>
                <w:szCs w:val="24"/>
              </w:rPr>
              <w:t xml:space="preserve">  </w:t>
            </w:r>
            <w:r w:rsidRPr="00DA3181">
              <w:rPr>
                <w:rFonts w:asciiTheme="minorHAnsi" w:hAnsiTheme="minorHAnsi"/>
                <w:sz w:val="24"/>
                <w:szCs w:val="24"/>
              </w:rPr>
              <w:t xml:space="preserve">- Increase parental engagement, especially from underrepresented groups </w:t>
            </w:r>
            <w:r w:rsidRPr="00DA3181">
              <w:rPr>
                <w:rStyle w:val="apple-converted-space"/>
                <w:rFonts w:asciiTheme="minorHAnsi" w:eastAsiaTheme="majorEastAsia" w:hAnsiTheme="minorHAnsi"/>
                <w:sz w:val="24"/>
                <w:szCs w:val="24"/>
              </w:rPr>
              <w:t xml:space="preserve">  </w:t>
            </w:r>
            <w:r w:rsidRPr="00DA3181">
              <w:rPr>
                <w:rFonts w:asciiTheme="minorHAnsi" w:hAnsiTheme="minorHAnsi"/>
                <w:sz w:val="24"/>
                <w:szCs w:val="24"/>
              </w:rPr>
              <w:t xml:space="preserve">- Celebrate cultural diversity and use of Welsh language </w:t>
            </w:r>
            <w:r w:rsidRPr="00DA3181">
              <w:rPr>
                <w:rStyle w:val="apple-converted-space"/>
                <w:rFonts w:asciiTheme="minorHAnsi" w:eastAsiaTheme="majorEastAsia" w:hAnsiTheme="minorHAnsi"/>
                <w:sz w:val="24"/>
                <w:szCs w:val="24"/>
              </w:rPr>
              <w:t xml:space="preserve">  </w:t>
            </w:r>
            <w:r w:rsidRPr="00DA3181">
              <w:rPr>
                <w:rFonts w:asciiTheme="minorHAnsi" w:hAnsiTheme="minorHAnsi"/>
                <w:sz w:val="24"/>
                <w:szCs w:val="24"/>
              </w:rPr>
              <w:t>- Offer meaningful, real-world learning experiences to learners.</w:t>
            </w:r>
          </w:p>
          <w:p w14:paraId="2D033673" w14:textId="77777777" w:rsidR="00D2421E" w:rsidRDefault="00D2421E" w:rsidP="00D2421E"/>
        </w:tc>
        <w:tc>
          <w:tcPr>
            <w:tcW w:w="3177" w:type="dxa"/>
          </w:tcPr>
          <w:p w14:paraId="5BC5BB56" w14:textId="77777777" w:rsidR="00D2421E" w:rsidRDefault="00D2421E" w:rsidP="00D2421E">
            <w:r>
              <w:t>Threats-</w:t>
            </w:r>
          </w:p>
          <w:p w14:paraId="4BB0C2A2" w14:textId="77777777" w:rsidR="00D2421E" w:rsidRPr="00DB38C9" w:rsidRDefault="00D2421E" w:rsidP="00D2421E">
            <w:pPr>
              <w:pStyle w:val="p1"/>
              <w:rPr>
                <w:rFonts w:asciiTheme="minorHAnsi" w:hAnsiTheme="minorHAnsi"/>
                <w:sz w:val="24"/>
                <w:szCs w:val="24"/>
              </w:rPr>
            </w:pPr>
            <w:r w:rsidRPr="00DB38C9">
              <w:rPr>
                <w:rFonts w:asciiTheme="minorHAnsi" w:hAnsiTheme="minorHAnsi"/>
                <w:sz w:val="24"/>
                <w:szCs w:val="24"/>
              </w:rPr>
              <w:t xml:space="preserve">- Financial hardship in the community may limit families’ ability to engage or purchase items </w:t>
            </w:r>
            <w:r w:rsidRPr="00DB38C9">
              <w:rPr>
                <w:rStyle w:val="apple-converted-space"/>
                <w:rFonts w:asciiTheme="minorHAnsi" w:eastAsiaTheme="majorEastAsia" w:hAnsiTheme="minorHAnsi"/>
                <w:sz w:val="24"/>
                <w:szCs w:val="24"/>
              </w:rPr>
              <w:t xml:space="preserve">  </w:t>
            </w:r>
            <w:r w:rsidRPr="00DB38C9">
              <w:rPr>
                <w:rFonts w:asciiTheme="minorHAnsi" w:hAnsiTheme="minorHAnsi"/>
                <w:sz w:val="24"/>
                <w:szCs w:val="24"/>
              </w:rPr>
              <w:t xml:space="preserve">- Variable levels of parental involvement, including language or cultural barriers </w:t>
            </w:r>
            <w:r w:rsidRPr="00DB38C9">
              <w:rPr>
                <w:rStyle w:val="apple-converted-space"/>
                <w:rFonts w:asciiTheme="minorHAnsi" w:eastAsiaTheme="majorEastAsia" w:hAnsiTheme="minorHAnsi"/>
                <w:sz w:val="24"/>
                <w:szCs w:val="24"/>
              </w:rPr>
              <w:t xml:space="preserve">  </w:t>
            </w:r>
            <w:r w:rsidRPr="00DB38C9">
              <w:rPr>
                <w:rFonts w:asciiTheme="minorHAnsi" w:hAnsiTheme="minorHAnsi"/>
                <w:sz w:val="24"/>
                <w:szCs w:val="24"/>
              </w:rPr>
              <w:t xml:space="preserve">- External disruptions (e.g., weather, local economic issues) could affect market events </w:t>
            </w:r>
            <w:r w:rsidRPr="00DB38C9">
              <w:rPr>
                <w:rStyle w:val="apple-converted-space"/>
                <w:rFonts w:asciiTheme="minorHAnsi" w:eastAsiaTheme="majorEastAsia" w:hAnsiTheme="minorHAnsi"/>
                <w:sz w:val="24"/>
                <w:szCs w:val="24"/>
              </w:rPr>
              <w:t xml:space="preserve">  </w:t>
            </w:r>
            <w:r w:rsidRPr="00DB38C9">
              <w:rPr>
                <w:rFonts w:asciiTheme="minorHAnsi" w:hAnsiTheme="minorHAnsi"/>
                <w:sz w:val="24"/>
                <w:szCs w:val="24"/>
              </w:rPr>
              <w:t>- Risk of reinforcing inequalities or exclusion if planning does not prioritise inclusion</w:t>
            </w:r>
            <w:r>
              <w:rPr>
                <w:rFonts w:asciiTheme="minorHAnsi" w:hAnsiTheme="minorHAnsi"/>
                <w:sz w:val="24"/>
                <w:szCs w:val="24"/>
              </w:rPr>
              <w:t>.</w:t>
            </w:r>
          </w:p>
          <w:p w14:paraId="6F4C94AB" w14:textId="77777777" w:rsidR="00D2421E" w:rsidRDefault="00D2421E" w:rsidP="00D2421E"/>
        </w:tc>
      </w:tr>
    </w:tbl>
    <w:p w14:paraId="1667143B" w14:textId="77777777" w:rsidR="00D2421E" w:rsidRDefault="00D2421E" w:rsidP="00DD5969">
      <w:pPr>
        <w:rPr>
          <w:sz w:val="16"/>
          <w:szCs w:val="16"/>
        </w:rPr>
      </w:pPr>
    </w:p>
    <w:p w14:paraId="4290428A" w14:textId="77777777" w:rsidR="00D2421E" w:rsidRDefault="00D2421E" w:rsidP="00DD5969">
      <w:pPr>
        <w:rPr>
          <w:sz w:val="16"/>
          <w:szCs w:val="16"/>
        </w:rPr>
      </w:pPr>
    </w:p>
    <w:p w14:paraId="71BB86E3" w14:textId="77777777" w:rsidR="00D2421E" w:rsidRDefault="00D2421E" w:rsidP="00DD5969">
      <w:pPr>
        <w:rPr>
          <w:sz w:val="16"/>
          <w:szCs w:val="16"/>
        </w:rPr>
      </w:pPr>
    </w:p>
    <w:p w14:paraId="2ABB8160" w14:textId="77777777" w:rsidR="00D2421E" w:rsidRDefault="00D2421E" w:rsidP="00DD5969">
      <w:pPr>
        <w:rPr>
          <w:sz w:val="16"/>
          <w:szCs w:val="16"/>
        </w:rPr>
      </w:pPr>
    </w:p>
    <w:p w14:paraId="3584E008" w14:textId="77777777" w:rsidR="00D2421E" w:rsidRDefault="00D2421E" w:rsidP="00DD5969">
      <w:pPr>
        <w:rPr>
          <w:sz w:val="16"/>
          <w:szCs w:val="16"/>
        </w:rPr>
      </w:pPr>
    </w:p>
    <w:p w14:paraId="3F86DDAF" w14:textId="77777777" w:rsidR="00D2421E" w:rsidRDefault="00D2421E" w:rsidP="00DD5969">
      <w:pPr>
        <w:rPr>
          <w:sz w:val="16"/>
          <w:szCs w:val="16"/>
        </w:rPr>
      </w:pPr>
    </w:p>
    <w:p w14:paraId="1C5AC718" w14:textId="77777777" w:rsidR="00D2421E" w:rsidRDefault="00D2421E" w:rsidP="00DD5969">
      <w:pPr>
        <w:rPr>
          <w:sz w:val="16"/>
          <w:szCs w:val="16"/>
        </w:rPr>
      </w:pPr>
    </w:p>
    <w:p w14:paraId="54FBEBA7" w14:textId="77777777" w:rsidR="00D2421E" w:rsidRDefault="00D2421E" w:rsidP="00D2421E"/>
    <w:p w14:paraId="5F8C42F4" w14:textId="77777777" w:rsidR="00D2421E" w:rsidRDefault="00D2421E" w:rsidP="00D2421E"/>
    <w:p w14:paraId="22F169F4" w14:textId="77777777" w:rsidR="00D2421E" w:rsidRPr="008E06C6" w:rsidRDefault="00D2421E" w:rsidP="00D2421E"/>
    <w:p w14:paraId="2461FE18" w14:textId="77777777" w:rsidR="00D2421E" w:rsidRDefault="00D2421E" w:rsidP="00D2421E"/>
    <w:p w14:paraId="5E5D9677" w14:textId="77777777" w:rsidR="00D2421E" w:rsidRDefault="00D2421E" w:rsidP="00D2421E"/>
    <w:p w14:paraId="47623277" w14:textId="77777777" w:rsidR="00D2421E" w:rsidRPr="008E06C6" w:rsidRDefault="00D2421E" w:rsidP="00D2421E"/>
    <w:p w14:paraId="1D53A102" w14:textId="77777777" w:rsidR="00D2421E" w:rsidRPr="00B103B9" w:rsidRDefault="00D2421E" w:rsidP="00DD5969">
      <w:pPr>
        <w:rPr>
          <w:sz w:val="16"/>
          <w:szCs w:val="16"/>
        </w:rPr>
      </w:pPr>
    </w:p>
    <w:sectPr w:rsidR="00D2421E"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A252E"/>
    <w:multiLevelType w:val="hybridMultilevel"/>
    <w:tmpl w:val="36CA6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3816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7198D"/>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F243A"/>
    <w:rsid w:val="00301906"/>
    <w:rsid w:val="00302BB1"/>
    <w:rsid w:val="003341DF"/>
    <w:rsid w:val="00347EA1"/>
    <w:rsid w:val="00382546"/>
    <w:rsid w:val="003A709B"/>
    <w:rsid w:val="003D223A"/>
    <w:rsid w:val="00417AB6"/>
    <w:rsid w:val="004D474C"/>
    <w:rsid w:val="00536CFB"/>
    <w:rsid w:val="00543F5E"/>
    <w:rsid w:val="00584970"/>
    <w:rsid w:val="005B783A"/>
    <w:rsid w:val="005F42D0"/>
    <w:rsid w:val="005F7C42"/>
    <w:rsid w:val="0062310A"/>
    <w:rsid w:val="00664B16"/>
    <w:rsid w:val="006B52C3"/>
    <w:rsid w:val="007203C3"/>
    <w:rsid w:val="007352C0"/>
    <w:rsid w:val="00743752"/>
    <w:rsid w:val="007D3AE1"/>
    <w:rsid w:val="007E01E0"/>
    <w:rsid w:val="00803155"/>
    <w:rsid w:val="00840BEE"/>
    <w:rsid w:val="00851EDB"/>
    <w:rsid w:val="008F1086"/>
    <w:rsid w:val="009060A0"/>
    <w:rsid w:val="0091355A"/>
    <w:rsid w:val="00917008"/>
    <w:rsid w:val="00935B8D"/>
    <w:rsid w:val="009B164A"/>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F32AC"/>
    <w:rsid w:val="00D2421E"/>
    <w:rsid w:val="00D24ADF"/>
    <w:rsid w:val="00D26517"/>
    <w:rsid w:val="00DC55F3"/>
    <w:rsid w:val="00DD5969"/>
    <w:rsid w:val="00E10797"/>
    <w:rsid w:val="00E243A8"/>
    <w:rsid w:val="00E6747C"/>
    <w:rsid w:val="00EA0B9A"/>
    <w:rsid w:val="00EA15D1"/>
    <w:rsid w:val="00EA6220"/>
    <w:rsid w:val="00EC1771"/>
    <w:rsid w:val="00F8089C"/>
    <w:rsid w:val="00F934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D2421E"/>
    <w:pPr>
      <w:spacing w:after="0" w:line="240" w:lineRule="auto"/>
    </w:pPr>
    <w:rPr>
      <w:rFonts w:ascii=".AppleSystemUIFont" w:eastAsia="Times New Roman" w:hAnsi=".AppleSystemUIFont" w:cs="Times New Roman"/>
      <w:color w:val="0E0E0E"/>
      <w:kern w:val="0"/>
      <w:sz w:val="21"/>
      <w:szCs w:val="21"/>
      <w:lang w:eastAsia="en-GB"/>
      <w14:ligatures w14:val="none"/>
    </w:rPr>
  </w:style>
  <w:style w:type="paragraph" w:customStyle="1" w:styleId="p2">
    <w:name w:val="p2"/>
    <w:basedOn w:val="Normal"/>
    <w:rsid w:val="00D2421E"/>
    <w:pPr>
      <w:spacing w:after="0" w:line="240" w:lineRule="auto"/>
    </w:pPr>
    <w:rPr>
      <w:rFonts w:ascii=".AppleSystemUIFont" w:eastAsia="Times New Roman" w:hAnsi=".AppleSystemUIFont" w:cs="Times New Roman"/>
      <w:color w:val="0E0E0E"/>
      <w:kern w:val="0"/>
      <w:sz w:val="21"/>
      <w:szCs w:val="21"/>
      <w:lang w:eastAsia="en-GB"/>
      <w14:ligatures w14:val="none"/>
    </w:rPr>
  </w:style>
  <w:style w:type="character" w:customStyle="1" w:styleId="apple-converted-space">
    <w:name w:val="apple-converted-space"/>
    <w:basedOn w:val="DefaultParagraphFont"/>
    <w:rsid w:val="00D242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18167">
      <w:bodyDiv w:val="1"/>
      <w:marLeft w:val="0"/>
      <w:marRight w:val="0"/>
      <w:marTop w:val="0"/>
      <w:marBottom w:val="0"/>
      <w:divBdr>
        <w:top w:val="none" w:sz="0" w:space="0" w:color="auto"/>
        <w:left w:val="none" w:sz="0" w:space="0" w:color="auto"/>
        <w:bottom w:val="none" w:sz="0" w:space="0" w:color="auto"/>
        <w:right w:val="none" w:sz="0" w:space="0" w:color="auto"/>
      </w:divBdr>
    </w:div>
    <w:div w:id="1417510135">
      <w:bodyDiv w:val="1"/>
      <w:marLeft w:val="0"/>
      <w:marRight w:val="0"/>
      <w:marTop w:val="0"/>
      <w:marBottom w:val="0"/>
      <w:divBdr>
        <w:top w:val="none" w:sz="0" w:space="0" w:color="auto"/>
        <w:left w:val="none" w:sz="0" w:space="0" w:color="auto"/>
        <w:bottom w:val="none" w:sz="0" w:space="0" w:color="auto"/>
        <w:right w:val="none" w:sz="0" w:space="0" w:color="auto"/>
      </w:divBdr>
    </w:div>
    <w:div w:id="149128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3872</Words>
  <Characters>22073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Alex Jenkins (2205212)</cp:lastModifiedBy>
  <cp:revision>3</cp:revision>
  <dcterms:created xsi:type="dcterms:W3CDTF">2025-03-20T11:28:00Z</dcterms:created>
  <dcterms:modified xsi:type="dcterms:W3CDTF">2025-05-06T22:03:00Z</dcterms:modified>
</cp:coreProperties>
</file>