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D775C" w14:textId="77777777" w:rsidR="004E1C39" w:rsidRPr="0023178A" w:rsidRDefault="004E1C39" w:rsidP="004E1C39">
      <w:pPr>
        <w:spacing w:line="480" w:lineRule="auto"/>
        <w:jc w:val="center"/>
        <w:rPr>
          <w:rFonts w:ascii="Arial" w:hAnsi="Arial" w:cs="Arial"/>
          <w:b/>
          <w:sz w:val="24"/>
          <w:szCs w:val="24"/>
        </w:rPr>
      </w:pPr>
    </w:p>
    <w:p w14:paraId="30BF1C74" w14:textId="77777777" w:rsidR="004E1C39" w:rsidRPr="0023178A" w:rsidRDefault="004E1C39" w:rsidP="004E1C39">
      <w:pPr>
        <w:spacing w:line="480" w:lineRule="auto"/>
        <w:jc w:val="center"/>
        <w:rPr>
          <w:rFonts w:ascii="Arial" w:hAnsi="Arial" w:cs="Arial"/>
          <w:b/>
          <w:sz w:val="24"/>
          <w:szCs w:val="24"/>
        </w:rPr>
      </w:pPr>
    </w:p>
    <w:p w14:paraId="300863A1" w14:textId="77777777" w:rsidR="004E1C39" w:rsidRPr="0023178A" w:rsidRDefault="004E1C39" w:rsidP="004E1C39">
      <w:pPr>
        <w:spacing w:line="480" w:lineRule="auto"/>
        <w:jc w:val="center"/>
        <w:rPr>
          <w:rFonts w:ascii="Arial" w:hAnsi="Arial" w:cs="Arial"/>
          <w:b/>
          <w:sz w:val="24"/>
          <w:szCs w:val="24"/>
        </w:rPr>
      </w:pPr>
    </w:p>
    <w:p w14:paraId="68632198" w14:textId="77777777" w:rsidR="004E1C39" w:rsidRPr="0023178A" w:rsidRDefault="004E1C39" w:rsidP="003F08FA">
      <w:pPr>
        <w:spacing w:line="480" w:lineRule="auto"/>
        <w:rPr>
          <w:rFonts w:ascii="Arial" w:hAnsi="Arial" w:cs="Arial"/>
          <w:b/>
          <w:sz w:val="24"/>
          <w:szCs w:val="24"/>
        </w:rPr>
      </w:pPr>
    </w:p>
    <w:p w14:paraId="0776FBD6" w14:textId="77777777" w:rsidR="004E1C39" w:rsidRPr="0023178A" w:rsidRDefault="004E1C39" w:rsidP="004E1C39">
      <w:pPr>
        <w:spacing w:line="480" w:lineRule="auto"/>
        <w:jc w:val="center"/>
        <w:rPr>
          <w:rFonts w:ascii="Arial" w:hAnsi="Arial" w:cs="Arial"/>
          <w:b/>
          <w:sz w:val="24"/>
          <w:szCs w:val="24"/>
        </w:rPr>
      </w:pPr>
    </w:p>
    <w:p w14:paraId="46338E29" w14:textId="77777777" w:rsidR="0023178A" w:rsidRPr="0023178A" w:rsidRDefault="00E9284B" w:rsidP="004E1C39">
      <w:pPr>
        <w:spacing w:line="480" w:lineRule="auto"/>
        <w:jc w:val="center"/>
        <w:rPr>
          <w:rFonts w:ascii="Arial" w:hAnsi="Arial" w:cs="Arial"/>
          <w:bCs/>
          <w:sz w:val="24"/>
          <w:szCs w:val="24"/>
        </w:rPr>
      </w:pPr>
      <w:r w:rsidRPr="0023178A">
        <w:rPr>
          <w:rFonts w:ascii="Arial" w:hAnsi="Arial" w:cs="Arial"/>
          <w:bCs/>
          <w:sz w:val="24"/>
          <w:szCs w:val="24"/>
        </w:rPr>
        <w:t xml:space="preserve">Tasleem kara </w:t>
      </w:r>
    </w:p>
    <w:p w14:paraId="719BE9A0" w14:textId="09B89A2B" w:rsidR="004E1C39" w:rsidRPr="0023178A" w:rsidRDefault="0023178A" w:rsidP="004E1C39">
      <w:pPr>
        <w:spacing w:line="480" w:lineRule="auto"/>
        <w:jc w:val="center"/>
        <w:rPr>
          <w:rFonts w:ascii="Arial" w:hAnsi="Arial" w:cs="Arial"/>
          <w:bCs/>
          <w:sz w:val="24"/>
          <w:szCs w:val="24"/>
        </w:rPr>
      </w:pPr>
      <w:r w:rsidRPr="0023178A">
        <w:rPr>
          <w:rFonts w:ascii="Arial" w:hAnsi="Arial" w:cs="Arial"/>
          <w:bCs/>
          <w:sz w:val="24"/>
          <w:szCs w:val="24"/>
        </w:rPr>
        <w:t xml:space="preserve">Student Number </w:t>
      </w:r>
      <w:r w:rsidR="00E9284B" w:rsidRPr="0023178A">
        <w:rPr>
          <w:rFonts w:ascii="Arial" w:hAnsi="Arial" w:cs="Arial"/>
          <w:bCs/>
          <w:sz w:val="24"/>
          <w:szCs w:val="24"/>
        </w:rPr>
        <w:t>2132277</w:t>
      </w:r>
    </w:p>
    <w:p w14:paraId="028331B3" w14:textId="3440476D" w:rsidR="004E1C39" w:rsidRPr="0023178A" w:rsidRDefault="00E9284B" w:rsidP="004E1C39">
      <w:pPr>
        <w:spacing w:line="480" w:lineRule="auto"/>
        <w:jc w:val="center"/>
        <w:rPr>
          <w:rFonts w:ascii="Arial" w:hAnsi="Arial" w:cs="Arial"/>
          <w:bCs/>
          <w:sz w:val="24"/>
          <w:szCs w:val="24"/>
        </w:rPr>
      </w:pPr>
      <w:r w:rsidRPr="0023178A">
        <w:rPr>
          <w:rFonts w:ascii="Arial" w:hAnsi="Arial" w:cs="Arial"/>
          <w:bCs/>
          <w:sz w:val="24"/>
          <w:szCs w:val="24"/>
        </w:rPr>
        <w:t xml:space="preserve">Scott </w:t>
      </w:r>
      <w:proofErr w:type="spellStart"/>
      <w:r w:rsidR="0023178A" w:rsidRPr="0023178A">
        <w:rPr>
          <w:rFonts w:ascii="Arial" w:hAnsi="Arial" w:cs="Arial"/>
          <w:bCs/>
          <w:sz w:val="24"/>
          <w:szCs w:val="24"/>
        </w:rPr>
        <w:t>T</w:t>
      </w:r>
      <w:r w:rsidRPr="0023178A">
        <w:rPr>
          <w:rFonts w:ascii="Arial" w:hAnsi="Arial" w:cs="Arial"/>
          <w:bCs/>
          <w:sz w:val="24"/>
          <w:szCs w:val="24"/>
        </w:rPr>
        <w:t>up</w:t>
      </w:r>
      <w:r w:rsidR="0023178A" w:rsidRPr="0023178A">
        <w:rPr>
          <w:rFonts w:ascii="Arial" w:hAnsi="Arial" w:cs="Arial"/>
          <w:bCs/>
          <w:sz w:val="24"/>
          <w:szCs w:val="24"/>
        </w:rPr>
        <w:t>pen</w:t>
      </w:r>
      <w:proofErr w:type="spellEnd"/>
    </w:p>
    <w:p w14:paraId="16A2B355" w14:textId="1F9D0115" w:rsidR="004E1C39" w:rsidRPr="0023178A" w:rsidRDefault="00E9284B" w:rsidP="00E9284B">
      <w:pPr>
        <w:spacing w:line="480" w:lineRule="auto"/>
        <w:rPr>
          <w:rFonts w:ascii="Arial" w:hAnsi="Arial" w:cs="Arial"/>
          <w:bCs/>
          <w:sz w:val="24"/>
          <w:szCs w:val="24"/>
        </w:rPr>
      </w:pPr>
      <w:r w:rsidRPr="0023178A">
        <w:rPr>
          <w:rFonts w:ascii="Arial" w:hAnsi="Arial" w:cs="Arial"/>
          <w:bCs/>
          <w:sz w:val="24"/>
          <w:szCs w:val="24"/>
        </w:rPr>
        <w:tab/>
      </w:r>
      <w:r w:rsidRPr="0023178A">
        <w:rPr>
          <w:rFonts w:ascii="Arial" w:hAnsi="Arial" w:cs="Arial"/>
          <w:bCs/>
          <w:sz w:val="24"/>
          <w:szCs w:val="24"/>
        </w:rPr>
        <w:tab/>
      </w:r>
      <w:r w:rsidRPr="0023178A">
        <w:rPr>
          <w:rFonts w:ascii="Arial" w:hAnsi="Arial" w:cs="Arial"/>
          <w:bCs/>
          <w:sz w:val="24"/>
          <w:szCs w:val="24"/>
        </w:rPr>
        <w:tab/>
      </w:r>
      <w:r w:rsidRPr="0023178A">
        <w:rPr>
          <w:rFonts w:ascii="Arial" w:hAnsi="Arial" w:cs="Arial"/>
          <w:bCs/>
          <w:sz w:val="24"/>
          <w:szCs w:val="24"/>
        </w:rPr>
        <w:tab/>
      </w:r>
      <w:r w:rsidR="0023178A" w:rsidRPr="0023178A">
        <w:rPr>
          <w:rFonts w:ascii="Arial" w:hAnsi="Arial" w:cs="Arial"/>
          <w:bCs/>
          <w:sz w:val="24"/>
          <w:szCs w:val="24"/>
        </w:rPr>
        <w:t xml:space="preserve"> </w:t>
      </w:r>
      <w:r w:rsidRPr="0023178A">
        <w:rPr>
          <w:rFonts w:ascii="Arial" w:hAnsi="Arial" w:cs="Arial"/>
          <w:bCs/>
          <w:sz w:val="24"/>
          <w:szCs w:val="24"/>
        </w:rPr>
        <w:t xml:space="preserve">University of Wales Saint David </w:t>
      </w:r>
    </w:p>
    <w:p w14:paraId="222A100E" w14:textId="13982226" w:rsidR="004E1C39" w:rsidRPr="0023178A" w:rsidRDefault="00E9284B" w:rsidP="004E1C39">
      <w:pPr>
        <w:spacing w:line="480" w:lineRule="auto"/>
        <w:jc w:val="center"/>
        <w:rPr>
          <w:rFonts w:ascii="Arial" w:hAnsi="Arial" w:cs="Arial"/>
          <w:bCs/>
          <w:sz w:val="24"/>
          <w:szCs w:val="24"/>
        </w:rPr>
      </w:pPr>
      <w:r w:rsidRPr="0023178A">
        <w:rPr>
          <w:rFonts w:ascii="Arial" w:hAnsi="Arial" w:cs="Arial"/>
          <w:bCs/>
          <w:sz w:val="24"/>
          <w:szCs w:val="24"/>
        </w:rPr>
        <w:t>Law and legal practice</w:t>
      </w:r>
    </w:p>
    <w:p w14:paraId="3FB26369" w14:textId="55AB2AAA" w:rsidR="00E9284B" w:rsidRPr="0023178A" w:rsidRDefault="00E9284B" w:rsidP="004E1C39">
      <w:pPr>
        <w:spacing w:line="480" w:lineRule="auto"/>
        <w:jc w:val="center"/>
        <w:rPr>
          <w:rFonts w:ascii="Arial" w:hAnsi="Arial" w:cs="Arial"/>
          <w:bCs/>
          <w:sz w:val="24"/>
          <w:szCs w:val="24"/>
        </w:rPr>
      </w:pPr>
      <w:r w:rsidRPr="0023178A">
        <w:rPr>
          <w:rFonts w:ascii="Arial" w:hAnsi="Arial" w:cs="Arial"/>
          <w:bCs/>
          <w:sz w:val="24"/>
          <w:szCs w:val="24"/>
        </w:rPr>
        <w:t>Criminal Litigation</w:t>
      </w:r>
    </w:p>
    <w:p w14:paraId="4EE8F8B3" w14:textId="54AC9182" w:rsidR="004E1C39" w:rsidRPr="0023178A" w:rsidRDefault="004E1C39" w:rsidP="00E9284B">
      <w:pPr>
        <w:spacing w:line="480" w:lineRule="auto"/>
        <w:rPr>
          <w:rFonts w:ascii="Arial" w:hAnsi="Arial" w:cs="Arial"/>
          <w:bCs/>
          <w:sz w:val="24"/>
          <w:szCs w:val="24"/>
        </w:rPr>
      </w:pPr>
    </w:p>
    <w:p w14:paraId="5D1E334C" w14:textId="77777777" w:rsidR="004E1C39" w:rsidRPr="0023178A" w:rsidRDefault="004E1C39">
      <w:pPr>
        <w:rPr>
          <w:rFonts w:ascii="Arial" w:hAnsi="Arial" w:cs="Arial"/>
          <w:b/>
          <w:sz w:val="24"/>
          <w:szCs w:val="24"/>
        </w:rPr>
      </w:pPr>
      <w:r w:rsidRPr="0023178A">
        <w:rPr>
          <w:rFonts w:ascii="Arial" w:hAnsi="Arial" w:cs="Arial"/>
          <w:b/>
          <w:sz w:val="24"/>
          <w:szCs w:val="24"/>
        </w:rPr>
        <w:br w:type="page"/>
      </w:r>
    </w:p>
    <w:p w14:paraId="1F1B49B0" w14:textId="51AC6151" w:rsidR="002F7120" w:rsidRPr="0023178A" w:rsidRDefault="002F7120" w:rsidP="006D4C80">
      <w:pPr>
        <w:spacing w:line="480" w:lineRule="auto"/>
        <w:rPr>
          <w:rFonts w:ascii="Arial" w:hAnsi="Arial" w:cs="Arial"/>
          <w:b/>
        </w:rPr>
      </w:pPr>
      <w:r w:rsidRPr="0023178A">
        <w:rPr>
          <w:rFonts w:ascii="Arial" w:hAnsi="Arial" w:cs="Arial"/>
          <w:b/>
        </w:rPr>
        <w:lastRenderedPageBreak/>
        <w:t>The Role of a Crown Prosecutor and the Tests Used in Charging Decisions</w:t>
      </w:r>
    </w:p>
    <w:p w14:paraId="74E6AD17" w14:textId="5C72CD5F" w:rsidR="002F7120" w:rsidRPr="0023178A" w:rsidRDefault="002F7120" w:rsidP="00E9284B">
      <w:pPr>
        <w:spacing w:line="480" w:lineRule="auto"/>
        <w:rPr>
          <w:rFonts w:ascii="Arial" w:hAnsi="Arial" w:cs="Arial"/>
          <w:bCs/>
        </w:rPr>
      </w:pPr>
      <w:r w:rsidRPr="0023178A">
        <w:rPr>
          <w:rFonts w:ascii="Arial" w:hAnsi="Arial" w:cs="Arial"/>
          <w:bCs/>
        </w:rPr>
        <w:t xml:space="preserve">In many </w:t>
      </w:r>
      <w:r w:rsidR="00EE6BA9" w:rsidRPr="0023178A">
        <w:rPr>
          <w:rFonts w:ascii="Arial" w:hAnsi="Arial" w:cs="Arial"/>
          <w:bCs/>
        </w:rPr>
        <w:t>standard</w:t>
      </w:r>
      <w:r w:rsidRPr="0023178A">
        <w:rPr>
          <w:rFonts w:ascii="Arial" w:hAnsi="Arial" w:cs="Arial"/>
          <w:bCs/>
        </w:rPr>
        <w:t xml:space="preserve"> law systems, including the UK, Canada, and Australia, the Crown Prosecutor's position holds paramount significance. In different jurisdictions, Crown Prosecutors are legal experts who represent the government or state in legal cases (PPSC, 2023). Primary responsibility entails evaluating evidence and deciding on criminal charges. Justice, individual rights, and the greater good must be harmoniously maintained in this role, creating a complex equilibrium.</w:t>
      </w:r>
    </w:p>
    <w:p w14:paraId="508B487C" w14:textId="7F72CA22" w:rsidR="002F7120" w:rsidRPr="0023178A" w:rsidRDefault="002F7120" w:rsidP="006D4C80">
      <w:pPr>
        <w:spacing w:line="480" w:lineRule="auto"/>
        <w:rPr>
          <w:rFonts w:ascii="Arial" w:hAnsi="Arial" w:cs="Arial"/>
          <w:b/>
        </w:rPr>
      </w:pPr>
      <w:r w:rsidRPr="0023178A">
        <w:rPr>
          <w:rFonts w:ascii="Arial" w:hAnsi="Arial" w:cs="Arial"/>
          <w:b/>
        </w:rPr>
        <w:t xml:space="preserve">Key </w:t>
      </w:r>
      <w:r w:rsidR="006D4C80" w:rsidRPr="0023178A">
        <w:rPr>
          <w:rFonts w:ascii="Arial" w:hAnsi="Arial" w:cs="Arial"/>
          <w:b/>
        </w:rPr>
        <w:t>O</w:t>
      </w:r>
      <w:r w:rsidRPr="0023178A">
        <w:rPr>
          <w:rFonts w:ascii="Arial" w:hAnsi="Arial" w:cs="Arial"/>
          <w:b/>
        </w:rPr>
        <w:t xml:space="preserve">bligations of a Crown Prosecutor in the </w:t>
      </w:r>
      <w:r w:rsidR="006D4C80" w:rsidRPr="0023178A">
        <w:rPr>
          <w:rFonts w:ascii="Arial" w:hAnsi="Arial" w:cs="Arial"/>
          <w:b/>
        </w:rPr>
        <w:t>C</w:t>
      </w:r>
      <w:r w:rsidRPr="0023178A">
        <w:rPr>
          <w:rFonts w:ascii="Arial" w:hAnsi="Arial" w:cs="Arial"/>
          <w:b/>
        </w:rPr>
        <w:t xml:space="preserve">riminal </w:t>
      </w:r>
      <w:r w:rsidR="006D4C80" w:rsidRPr="0023178A">
        <w:rPr>
          <w:rFonts w:ascii="Arial" w:hAnsi="Arial" w:cs="Arial"/>
          <w:b/>
        </w:rPr>
        <w:t>J</w:t>
      </w:r>
      <w:r w:rsidRPr="0023178A">
        <w:rPr>
          <w:rFonts w:ascii="Arial" w:hAnsi="Arial" w:cs="Arial"/>
          <w:b/>
        </w:rPr>
        <w:t xml:space="preserve">ustice </w:t>
      </w:r>
      <w:r w:rsidR="006D4C80" w:rsidRPr="0023178A">
        <w:rPr>
          <w:rFonts w:ascii="Arial" w:hAnsi="Arial" w:cs="Arial"/>
          <w:b/>
        </w:rPr>
        <w:t>S</w:t>
      </w:r>
      <w:r w:rsidRPr="0023178A">
        <w:rPr>
          <w:rFonts w:ascii="Arial" w:hAnsi="Arial" w:cs="Arial"/>
          <w:b/>
        </w:rPr>
        <w:t>ystem.</w:t>
      </w:r>
    </w:p>
    <w:p w14:paraId="0A68A414" w14:textId="77777777" w:rsidR="002F7120" w:rsidRPr="0023178A" w:rsidRDefault="002F7120" w:rsidP="006D4C80">
      <w:pPr>
        <w:spacing w:line="480" w:lineRule="auto"/>
        <w:rPr>
          <w:rFonts w:ascii="Arial" w:hAnsi="Arial" w:cs="Arial"/>
          <w:b/>
          <w:i/>
          <w:iCs/>
        </w:rPr>
      </w:pPr>
      <w:r w:rsidRPr="0023178A">
        <w:rPr>
          <w:rFonts w:ascii="Arial" w:hAnsi="Arial" w:cs="Arial"/>
          <w:b/>
          <w:i/>
          <w:iCs/>
        </w:rPr>
        <w:t>Reviewing Evidence.</w:t>
      </w:r>
    </w:p>
    <w:p w14:paraId="6B6B3D5F" w14:textId="1E8534B7" w:rsidR="002F7120" w:rsidRPr="0023178A" w:rsidRDefault="002F7120" w:rsidP="00E9284B">
      <w:pPr>
        <w:spacing w:line="480" w:lineRule="auto"/>
        <w:rPr>
          <w:rFonts w:ascii="Arial" w:hAnsi="Arial" w:cs="Arial"/>
          <w:bCs/>
        </w:rPr>
      </w:pPr>
      <w:r w:rsidRPr="0023178A">
        <w:rPr>
          <w:rFonts w:ascii="Arial" w:hAnsi="Arial" w:cs="Arial"/>
          <w:bCs/>
        </w:rPr>
        <w:t xml:space="preserve">In your capacity as a Crown Prosecutor, you review the evidence provided by law enforcement agencies (CPS, 2022). The scope of this category covers police reports, witness statements, forensic evidence, and all other relevant documentation. In evaluating the evidence, the prosecutor must determine its sufficiency to </w:t>
      </w:r>
      <w:r w:rsidR="00EE6BA9" w:rsidRPr="0023178A">
        <w:rPr>
          <w:rFonts w:ascii="Arial" w:hAnsi="Arial" w:cs="Arial"/>
          <w:bCs/>
        </w:rPr>
        <w:t>procee</w:t>
      </w:r>
      <w:r w:rsidRPr="0023178A">
        <w:rPr>
          <w:rFonts w:ascii="Arial" w:hAnsi="Arial" w:cs="Arial"/>
          <w:bCs/>
        </w:rPr>
        <w:t>d with a criminal trial.</w:t>
      </w:r>
    </w:p>
    <w:p w14:paraId="0C1E68DD" w14:textId="77777777" w:rsidR="002F7120" w:rsidRPr="0023178A" w:rsidRDefault="002F7120" w:rsidP="006D4C80">
      <w:pPr>
        <w:spacing w:line="480" w:lineRule="auto"/>
        <w:rPr>
          <w:rFonts w:ascii="Arial" w:hAnsi="Arial" w:cs="Arial"/>
          <w:b/>
          <w:i/>
          <w:iCs/>
        </w:rPr>
      </w:pPr>
      <w:r w:rsidRPr="0023178A">
        <w:rPr>
          <w:rFonts w:ascii="Arial" w:hAnsi="Arial" w:cs="Arial"/>
          <w:b/>
          <w:i/>
          <w:iCs/>
        </w:rPr>
        <w:t>Legal Analysis</w:t>
      </w:r>
    </w:p>
    <w:p w14:paraId="05A9A9CD" w14:textId="6E3AC0EC" w:rsidR="002F7120" w:rsidRPr="0023178A" w:rsidRDefault="002F7120" w:rsidP="00E9284B">
      <w:pPr>
        <w:spacing w:line="480" w:lineRule="auto"/>
        <w:rPr>
          <w:rFonts w:ascii="Arial" w:hAnsi="Arial" w:cs="Arial"/>
          <w:bCs/>
        </w:rPr>
      </w:pPr>
      <w:r w:rsidRPr="0023178A">
        <w:rPr>
          <w:rFonts w:ascii="Arial" w:hAnsi="Arial" w:cs="Arial"/>
          <w:bCs/>
        </w:rPr>
        <w:t xml:space="preserve">Legal experts thoroughly examining evidence within the bounds of the jurisdiction's legal framework is the role of Crown Prosecutors (CPS, 2019). Conviction likelihood assessment is their </w:t>
      </w:r>
      <w:r w:rsidR="00EE6BA9" w:rsidRPr="0023178A">
        <w:rPr>
          <w:rFonts w:ascii="Arial" w:hAnsi="Arial" w:cs="Arial"/>
          <w:bCs/>
        </w:rPr>
        <w:t>primary</w:t>
      </w:r>
      <w:r w:rsidRPr="0023178A">
        <w:rPr>
          <w:rFonts w:ascii="Arial" w:hAnsi="Arial" w:cs="Arial"/>
          <w:bCs/>
        </w:rPr>
        <w:t xml:space="preserve"> task, using the available evidence as a guide. </w:t>
      </w:r>
      <w:r w:rsidR="00EE6BA9" w:rsidRPr="0023178A">
        <w:rPr>
          <w:rFonts w:ascii="Arial" w:hAnsi="Arial" w:cs="Arial"/>
          <w:bCs/>
        </w:rPr>
        <w:t xml:space="preserve">It is critical to examine the evidence to determine if it supports the alleged </w:t>
      </w:r>
      <w:r w:rsidR="00E9284B" w:rsidRPr="0023178A">
        <w:rPr>
          <w:rFonts w:ascii="Arial" w:hAnsi="Arial" w:cs="Arial"/>
          <w:bCs/>
        </w:rPr>
        <w:t>offence</w:t>
      </w:r>
      <w:r w:rsidR="00EE6BA9" w:rsidRPr="0023178A">
        <w:rPr>
          <w:rFonts w:ascii="Arial" w:hAnsi="Arial" w:cs="Arial"/>
          <w:bCs/>
        </w:rPr>
        <w:t xml:space="preserve"> with a level of certainty beyond a reasonable doubt</w:t>
      </w:r>
      <w:r w:rsidRPr="0023178A">
        <w:rPr>
          <w:rFonts w:ascii="Arial" w:hAnsi="Arial" w:cs="Arial"/>
          <w:bCs/>
        </w:rPr>
        <w:t>.</w:t>
      </w:r>
    </w:p>
    <w:p w14:paraId="58E3C3D6" w14:textId="77777777" w:rsidR="002F7120" w:rsidRPr="0023178A" w:rsidRDefault="002F7120" w:rsidP="006D4C80">
      <w:pPr>
        <w:spacing w:line="480" w:lineRule="auto"/>
        <w:rPr>
          <w:rFonts w:ascii="Arial" w:hAnsi="Arial" w:cs="Arial"/>
          <w:b/>
          <w:i/>
          <w:iCs/>
        </w:rPr>
      </w:pPr>
      <w:r w:rsidRPr="0023178A">
        <w:rPr>
          <w:rFonts w:ascii="Arial" w:hAnsi="Arial" w:cs="Arial"/>
          <w:b/>
          <w:i/>
          <w:iCs/>
        </w:rPr>
        <w:t>Public Interest.</w:t>
      </w:r>
    </w:p>
    <w:p w14:paraId="34DCC295" w14:textId="318E1506" w:rsidR="002F7120" w:rsidRPr="0023178A" w:rsidRDefault="002F7120" w:rsidP="00E9284B">
      <w:pPr>
        <w:spacing w:line="480" w:lineRule="auto"/>
        <w:rPr>
          <w:rFonts w:ascii="Arial" w:hAnsi="Arial" w:cs="Arial"/>
          <w:bCs/>
        </w:rPr>
      </w:pPr>
      <w:r w:rsidRPr="0023178A">
        <w:rPr>
          <w:rFonts w:ascii="Arial" w:hAnsi="Arial" w:cs="Arial"/>
          <w:bCs/>
        </w:rPr>
        <w:t xml:space="preserve">Broader implications play a significant role in Crown Prosecutors' case decisions. </w:t>
      </w:r>
      <w:r w:rsidR="00EE6BA9" w:rsidRPr="0023178A">
        <w:rPr>
          <w:rFonts w:ascii="Arial" w:hAnsi="Arial" w:cs="Arial"/>
          <w:bCs/>
        </w:rPr>
        <w:t xml:space="preserve">They must </w:t>
      </w:r>
      <w:r w:rsidR="00873E0D" w:rsidRPr="0023178A">
        <w:rPr>
          <w:rFonts w:ascii="Arial" w:hAnsi="Arial" w:cs="Arial"/>
          <w:bCs/>
        </w:rPr>
        <w:t xml:space="preserve">carefully consider the </w:t>
      </w:r>
      <w:r w:rsidR="00E9284B" w:rsidRPr="0023178A">
        <w:rPr>
          <w:rFonts w:ascii="Arial" w:hAnsi="Arial" w:cs="Arial"/>
          <w:bCs/>
        </w:rPr>
        <w:t>offence's</w:t>
      </w:r>
      <w:r w:rsidR="00873E0D" w:rsidRPr="0023178A">
        <w:rPr>
          <w:rFonts w:ascii="Arial" w:hAnsi="Arial" w:cs="Arial"/>
          <w:bCs/>
        </w:rPr>
        <w:t xml:space="preserve"> severity</w:t>
      </w:r>
      <w:r w:rsidR="00EE6BA9" w:rsidRPr="0023178A">
        <w:rPr>
          <w:rFonts w:ascii="Arial" w:hAnsi="Arial" w:cs="Arial"/>
          <w:bCs/>
        </w:rPr>
        <w:t xml:space="preserve">, its effects on the victim and community, and the </w:t>
      </w:r>
      <w:r w:rsidR="00EE6BA9" w:rsidRPr="0023178A">
        <w:rPr>
          <w:rFonts w:ascii="Arial" w:hAnsi="Arial" w:cs="Arial"/>
          <w:bCs/>
        </w:rPr>
        <w:lastRenderedPageBreak/>
        <w:t>likelihood of preventing future misdeeds</w:t>
      </w:r>
      <w:r w:rsidRPr="0023178A">
        <w:rPr>
          <w:rFonts w:ascii="Arial" w:hAnsi="Arial" w:cs="Arial"/>
          <w:bCs/>
        </w:rPr>
        <w:t>. The "public interest test" moniker is attributed to this concept.</w:t>
      </w:r>
    </w:p>
    <w:p w14:paraId="14219FCE" w14:textId="77777777" w:rsidR="002F7120" w:rsidRPr="0023178A" w:rsidRDefault="002F7120" w:rsidP="006D4C80">
      <w:pPr>
        <w:spacing w:line="480" w:lineRule="auto"/>
        <w:rPr>
          <w:rFonts w:ascii="Arial" w:hAnsi="Arial" w:cs="Arial"/>
          <w:b/>
          <w:i/>
          <w:iCs/>
        </w:rPr>
      </w:pPr>
      <w:r w:rsidRPr="0023178A">
        <w:rPr>
          <w:rFonts w:ascii="Arial" w:hAnsi="Arial" w:cs="Arial"/>
          <w:b/>
          <w:i/>
          <w:iCs/>
        </w:rPr>
        <w:t>Ensuring Fairness.</w:t>
      </w:r>
    </w:p>
    <w:p w14:paraId="68FC54DC" w14:textId="5EAD866C" w:rsidR="002F7120" w:rsidRPr="0023178A" w:rsidRDefault="002F7120" w:rsidP="00E9284B">
      <w:pPr>
        <w:spacing w:line="480" w:lineRule="auto"/>
        <w:rPr>
          <w:rFonts w:ascii="Arial" w:hAnsi="Arial" w:cs="Arial"/>
          <w:bCs/>
        </w:rPr>
      </w:pPr>
      <w:r w:rsidRPr="0023178A">
        <w:rPr>
          <w:rFonts w:ascii="Arial" w:hAnsi="Arial" w:cs="Arial"/>
          <w:bCs/>
        </w:rPr>
        <w:t xml:space="preserve">Fairness is a fundamental principle of the Crown Prosecutor's job, requiring </w:t>
      </w:r>
      <w:r w:rsidR="00EE6BA9" w:rsidRPr="0023178A">
        <w:rPr>
          <w:rFonts w:ascii="Arial" w:hAnsi="Arial" w:cs="Arial"/>
          <w:bCs/>
        </w:rPr>
        <w:t xml:space="preserve">presenting all relevant data to the </w:t>
      </w:r>
      <w:r w:rsidR="00E9284B" w:rsidRPr="0023178A">
        <w:rPr>
          <w:rFonts w:ascii="Arial" w:hAnsi="Arial" w:cs="Arial"/>
          <w:bCs/>
        </w:rPr>
        <w:t>defense</w:t>
      </w:r>
      <w:r w:rsidR="00EE6BA9" w:rsidRPr="0023178A">
        <w:rPr>
          <w:rFonts w:ascii="Arial" w:hAnsi="Arial" w:cs="Arial"/>
          <w:bCs/>
        </w:rPr>
        <w:t>, protecting the accused's rights</w:t>
      </w:r>
      <w:r w:rsidRPr="0023178A">
        <w:rPr>
          <w:rFonts w:ascii="Arial" w:hAnsi="Arial" w:cs="Arial"/>
          <w:bCs/>
        </w:rPr>
        <w:t>, and acting as an objective ambassador for the state (UNODC, 2020).</w:t>
      </w:r>
    </w:p>
    <w:p w14:paraId="33507083" w14:textId="77777777" w:rsidR="002F7120" w:rsidRPr="0023178A" w:rsidRDefault="002F7120" w:rsidP="006D4C80">
      <w:pPr>
        <w:spacing w:line="480" w:lineRule="auto"/>
        <w:rPr>
          <w:rFonts w:ascii="Arial" w:hAnsi="Arial" w:cs="Arial"/>
          <w:b/>
          <w:i/>
          <w:iCs/>
        </w:rPr>
      </w:pPr>
      <w:r w:rsidRPr="0023178A">
        <w:rPr>
          <w:rFonts w:ascii="Arial" w:hAnsi="Arial" w:cs="Arial"/>
          <w:b/>
          <w:i/>
          <w:iCs/>
        </w:rPr>
        <w:t>Court Representation.</w:t>
      </w:r>
    </w:p>
    <w:p w14:paraId="2FF91D58" w14:textId="2362DF16" w:rsidR="002F7120" w:rsidRPr="0023178A" w:rsidRDefault="002F7120" w:rsidP="00E9284B">
      <w:pPr>
        <w:spacing w:line="480" w:lineRule="auto"/>
        <w:rPr>
          <w:rFonts w:ascii="Arial" w:hAnsi="Arial" w:cs="Arial"/>
          <w:bCs/>
        </w:rPr>
      </w:pPr>
      <w:r w:rsidRPr="0023178A">
        <w:rPr>
          <w:rFonts w:ascii="Arial" w:hAnsi="Arial" w:cs="Arial"/>
          <w:bCs/>
        </w:rPr>
        <w:t xml:space="preserve">When the decision to proceed has been reached, the Crown Prosecutor </w:t>
      </w:r>
      <w:r w:rsidR="00EE6BA9" w:rsidRPr="0023178A">
        <w:rPr>
          <w:rFonts w:ascii="Arial" w:hAnsi="Arial" w:cs="Arial"/>
          <w:bCs/>
        </w:rPr>
        <w:t>represents</w:t>
      </w:r>
      <w:r w:rsidRPr="0023178A">
        <w:rPr>
          <w:rFonts w:ascii="Arial" w:hAnsi="Arial" w:cs="Arial"/>
          <w:bCs/>
        </w:rPr>
        <w:t xml:space="preserve"> the state's case in court. The prosecution enhances its case by offering concrete proof, posing queries to witnesses, presenting legal arguments, and refuting rival claims. Convincing arguments require strong advocacy, </w:t>
      </w:r>
      <w:r w:rsidR="00EE6BA9" w:rsidRPr="0023178A">
        <w:rPr>
          <w:rFonts w:ascii="Arial" w:hAnsi="Arial" w:cs="Arial"/>
          <w:bCs/>
        </w:rPr>
        <w:t>vital to</w:t>
      </w:r>
      <w:r w:rsidRPr="0023178A">
        <w:rPr>
          <w:rFonts w:ascii="Arial" w:hAnsi="Arial" w:cs="Arial"/>
          <w:bCs/>
        </w:rPr>
        <w:t xml:space="preserve"> Crown Prosecutors' job (The Law Society, 2023).</w:t>
      </w:r>
    </w:p>
    <w:p w14:paraId="02E784F3" w14:textId="77777777" w:rsidR="002F7120" w:rsidRPr="0023178A" w:rsidRDefault="002F7120" w:rsidP="006D4C80">
      <w:pPr>
        <w:spacing w:line="480" w:lineRule="auto"/>
        <w:rPr>
          <w:rFonts w:ascii="Arial" w:hAnsi="Arial" w:cs="Arial"/>
          <w:b/>
        </w:rPr>
      </w:pPr>
      <w:r w:rsidRPr="0023178A">
        <w:rPr>
          <w:rFonts w:ascii="Arial" w:hAnsi="Arial" w:cs="Arial"/>
          <w:b/>
        </w:rPr>
        <w:t>Tests Used in Charging Decisions</w:t>
      </w:r>
    </w:p>
    <w:p w14:paraId="06E418CD" w14:textId="2456FC09" w:rsidR="002F7120" w:rsidRPr="0023178A" w:rsidRDefault="002F7120" w:rsidP="00E9284B">
      <w:pPr>
        <w:spacing w:line="480" w:lineRule="auto"/>
        <w:rPr>
          <w:rFonts w:ascii="Arial" w:hAnsi="Arial" w:cs="Arial"/>
          <w:bCs/>
        </w:rPr>
      </w:pPr>
      <w:r w:rsidRPr="0023178A">
        <w:rPr>
          <w:rFonts w:ascii="Arial" w:hAnsi="Arial" w:cs="Arial"/>
          <w:bCs/>
        </w:rPr>
        <w:t xml:space="preserve">The weight of a criminal charge hangs heavily upon the accused, impacting their life, liberty, and reputation (ECHR, 2022). </w:t>
      </w:r>
      <w:r w:rsidR="00EE6BA9" w:rsidRPr="0023178A">
        <w:rPr>
          <w:rFonts w:ascii="Arial" w:hAnsi="Arial" w:cs="Arial"/>
          <w:bCs/>
        </w:rPr>
        <w:t>Applying</w:t>
      </w:r>
      <w:r w:rsidRPr="0023178A">
        <w:rPr>
          <w:rFonts w:ascii="Arial" w:hAnsi="Arial" w:cs="Arial"/>
          <w:bCs/>
        </w:rPr>
        <w:t xml:space="preserve"> legal principles is crucial to charging decisions, and Crown prosecutors employ various tools to achieve this. Some of the </w:t>
      </w:r>
      <w:r w:rsidR="00EE6BA9" w:rsidRPr="0023178A">
        <w:rPr>
          <w:rFonts w:ascii="Arial" w:hAnsi="Arial" w:cs="Arial"/>
          <w:bCs/>
        </w:rPr>
        <w:t>critical</w:t>
      </w:r>
      <w:r w:rsidRPr="0023178A">
        <w:rPr>
          <w:rFonts w:ascii="Arial" w:hAnsi="Arial" w:cs="Arial"/>
          <w:bCs/>
        </w:rPr>
        <w:t xml:space="preserve"> tests include:</w:t>
      </w:r>
    </w:p>
    <w:p w14:paraId="77981EA1" w14:textId="77777777" w:rsidR="002F7120" w:rsidRPr="0023178A" w:rsidRDefault="002F7120" w:rsidP="006D4C80">
      <w:pPr>
        <w:spacing w:line="480" w:lineRule="auto"/>
        <w:rPr>
          <w:rFonts w:ascii="Arial" w:hAnsi="Arial" w:cs="Arial"/>
          <w:b/>
          <w:i/>
          <w:iCs/>
        </w:rPr>
      </w:pPr>
      <w:r w:rsidRPr="0023178A">
        <w:rPr>
          <w:rFonts w:ascii="Arial" w:hAnsi="Arial" w:cs="Arial"/>
          <w:b/>
          <w:i/>
          <w:iCs/>
        </w:rPr>
        <w:t>Evidential Test.</w:t>
      </w:r>
    </w:p>
    <w:p w14:paraId="21DBF321" w14:textId="77777777" w:rsidR="002F7120" w:rsidRPr="0023178A" w:rsidRDefault="002F7120" w:rsidP="00E9284B">
      <w:pPr>
        <w:spacing w:line="480" w:lineRule="auto"/>
        <w:rPr>
          <w:rFonts w:ascii="Arial" w:hAnsi="Arial" w:cs="Arial"/>
          <w:bCs/>
        </w:rPr>
      </w:pPr>
      <w:r w:rsidRPr="0023178A">
        <w:rPr>
          <w:rFonts w:ascii="Arial" w:hAnsi="Arial" w:cs="Arial"/>
          <w:bCs/>
        </w:rPr>
        <w:t>The threshold that Crown Prosecutors must meet involves demonstrating sufficient, admissible evidence to establish a convincing prospect of conviction. In basic terms, the evidence should suggest a high probability of a guilty verdict (CPS, 2018).</w:t>
      </w:r>
    </w:p>
    <w:p w14:paraId="0E0AEBDE" w14:textId="77777777" w:rsidR="002F7120" w:rsidRPr="0023178A" w:rsidRDefault="002F7120" w:rsidP="006D4C80">
      <w:pPr>
        <w:spacing w:line="480" w:lineRule="auto"/>
        <w:rPr>
          <w:rFonts w:ascii="Arial" w:hAnsi="Arial" w:cs="Arial"/>
          <w:b/>
          <w:i/>
          <w:iCs/>
        </w:rPr>
      </w:pPr>
      <w:r w:rsidRPr="0023178A">
        <w:rPr>
          <w:rFonts w:ascii="Arial" w:hAnsi="Arial" w:cs="Arial"/>
          <w:b/>
          <w:i/>
          <w:iCs/>
        </w:rPr>
        <w:t>Public Interest Test.</w:t>
      </w:r>
    </w:p>
    <w:p w14:paraId="540763F0" w14:textId="53FB9AE4" w:rsidR="002F7120" w:rsidRPr="0023178A" w:rsidRDefault="002F7120" w:rsidP="00E9284B">
      <w:pPr>
        <w:spacing w:line="480" w:lineRule="auto"/>
        <w:rPr>
          <w:rFonts w:ascii="Arial" w:hAnsi="Arial" w:cs="Arial"/>
          <w:bCs/>
        </w:rPr>
      </w:pPr>
      <w:r w:rsidRPr="0023178A">
        <w:rPr>
          <w:rFonts w:ascii="Arial" w:hAnsi="Arial" w:cs="Arial"/>
          <w:bCs/>
        </w:rPr>
        <w:t xml:space="preserve">Prosecutors must carefully consider </w:t>
      </w:r>
      <w:r w:rsidR="00EE6BA9" w:rsidRPr="0023178A">
        <w:rPr>
          <w:rFonts w:ascii="Arial" w:hAnsi="Arial" w:cs="Arial"/>
          <w:bCs/>
        </w:rPr>
        <w:t xml:space="preserve">the </w:t>
      </w:r>
      <w:r w:rsidRPr="0023178A">
        <w:rPr>
          <w:rFonts w:ascii="Arial" w:hAnsi="Arial" w:cs="Arial"/>
          <w:bCs/>
        </w:rPr>
        <w:t xml:space="preserve">public interest when assessing the merit of charges. The test assesses these elements to determine an appropriate punishment: </w:t>
      </w:r>
      <w:r w:rsidR="00EE6BA9" w:rsidRPr="0023178A">
        <w:rPr>
          <w:rFonts w:ascii="Arial" w:hAnsi="Arial" w:cs="Arial"/>
          <w:bCs/>
        </w:rPr>
        <w:t xml:space="preserve">These four factors </w:t>
      </w:r>
      <w:r w:rsidR="00EE6BA9" w:rsidRPr="0023178A">
        <w:rPr>
          <w:rFonts w:ascii="Arial" w:hAnsi="Arial" w:cs="Arial"/>
          <w:bCs/>
        </w:rPr>
        <w:lastRenderedPageBreak/>
        <w:t>are crucial when analyzing a crime</w:t>
      </w:r>
      <w:r w:rsidRPr="0023178A">
        <w:rPr>
          <w:rFonts w:ascii="Arial" w:hAnsi="Arial" w:cs="Arial"/>
          <w:bCs/>
        </w:rPr>
        <w:t>. With these elements in mind, the Crown Prosecutor must determine if prosecution is necessary.</w:t>
      </w:r>
    </w:p>
    <w:p w14:paraId="3A91C22F" w14:textId="77777777" w:rsidR="002F7120" w:rsidRPr="0023178A" w:rsidRDefault="002F7120" w:rsidP="006D4C80">
      <w:pPr>
        <w:spacing w:line="480" w:lineRule="auto"/>
        <w:rPr>
          <w:rFonts w:ascii="Arial" w:hAnsi="Arial" w:cs="Arial"/>
          <w:b/>
          <w:i/>
          <w:iCs/>
        </w:rPr>
      </w:pPr>
      <w:r w:rsidRPr="0023178A">
        <w:rPr>
          <w:rFonts w:ascii="Arial" w:hAnsi="Arial" w:cs="Arial"/>
          <w:b/>
          <w:i/>
          <w:iCs/>
        </w:rPr>
        <w:t>Full Code Test (UK).</w:t>
      </w:r>
    </w:p>
    <w:p w14:paraId="04D3504E" w14:textId="7A622CF0" w:rsidR="002F7120" w:rsidRPr="0023178A" w:rsidRDefault="002F7120" w:rsidP="00E9284B">
      <w:pPr>
        <w:spacing w:line="480" w:lineRule="auto"/>
        <w:rPr>
          <w:rFonts w:ascii="Arial" w:hAnsi="Arial" w:cs="Arial"/>
          <w:bCs/>
        </w:rPr>
      </w:pPr>
      <w:r w:rsidRPr="0023178A">
        <w:rPr>
          <w:rFonts w:ascii="Arial" w:hAnsi="Arial" w:cs="Arial"/>
          <w:bCs/>
        </w:rPr>
        <w:t xml:space="preserve">In the United Kingdom, Crown Prosecutors follow the Full Code Test outlined in the Code for Crown Prosecutors (Kessling, 2023). This test combines the evidential and public interest tests. </w:t>
      </w:r>
      <w:r w:rsidR="00E43C1E" w:rsidRPr="0023178A">
        <w:rPr>
          <w:rFonts w:ascii="Arial" w:hAnsi="Arial" w:cs="Arial"/>
          <w:bCs/>
        </w:rPr>
        <w:t>There must be enough evidence to support a conviction</w:t>
      </w:r>
      <w:r w:rsidR="00873E0D" w:rsidRPr="0023178A">
        <w:rPr>
          <w:rFonts w:ascii="Arial" w:hAnsi="Arial" w:cs="Arial"/>
          <w:bCs/>
        </w:rPr>
        <w:t>,</w:t>
      </w:r>
      <w:r w:rsidR="00E43C1E" w:rsidRPr="0023178A">
        <w:rPr>
          <w:rFonts w:ascii="Arial" w:hAnsi="Arial" w:cs="Arial"/>
          <w:bCs/>
        </w:rPr>
        <w:t xml:space="preserve"> and the prosecution must be in the public interest. If both conditions are met, then criminal charges should be filed.</w:t>
      </w:r>
    </w:p>
    <w:p w14:paraId="39BC81E6" w14:textId="66453A94" w:rsidR="002F7120" w:rsidRPr="0023178A" w:rsidRDefault="002F7120" w:rsidP="00E9284B">
      <w:pPr>
        <w:spacing w:line="480" w:lineRule="auto"/>
        <w:rPr>
          <w:rFonts w:ascii="Arial" w:hAnsi="Arial" w:cs="Arial"/>
          <w:bCs/>
        </w:rPr>
      </w:pPr>
      <w:r w:rsidRPr="0023178A">
        <w:rPr>
          <w:rFonts w:ascii="Arial" w:hAnsi="Arial" w:cs="Arial"/>
          <w:bCs/>
        </w:rPr>
        <w:t xml:space="preserve">These tests and guidelines are adaptable frameworks to help Crown Prosecutors make fair and informed charge choices. The prosecutor must balance justice, the accused's rights, and the community's welfare. Crown Prosecutors assess evidence, analyze legal issues, consider </w:t>
      </w:r>
      <w:r w:rsidR="00EE6BA9" w:rsidRPr="0023178A">
        <w:rPr>
          <w:rFonts w:ascii="Arial" w:hAnsi="Arial" w:cs="Arial"/>
          <w:bCs/>
        </w:rPr>
        <w:t xml:space="preserve">the </w:t>
      </w:r>
      <w:r w:rsidRPr="0023178A">
        <w:rPr>
          <w:rFonts w:ascii="Arial" w:hAnsi="Arial" w:cs="Arial"/>
          <w:bCs/>
        </w:rPr>
        <w:t>public interest, and represent them in court. The evidential</w:t>
      </w:r>
      <w:r w:rsidR="00EE6BA9" w:rsidRPr="0023178A">
        <w:rPr>
          <w:rFonts w:ascii="Arial" w:hAnsi="Arial" w:cs="Arial"/>
          <w:bCs/>
        </w:rPr>
        <w:t>, public interest, and Full Code tests</w:t>
      </w:r>
      <w:r w:rsidRPr="0023178A">
        <w:rPr>
          <w:rFonts w:ascii="Arial" w:hAnsi="Arial" w:cs="Arial"/>
          <w:bCs/>
        </w:rPr>
        <w:t xml:space="preserve"> help guarantee that criminal charges are based on evidence, justice, and community welfare. Crown Prosecutors must preserve the rule of law and balance the interests of the state, the accused, and society. </w:t>
      </w:r>
    </w:p>
    <w:p w14:paraId="0FD02BED" w14:textId="24FAD7AB" w:rsidR="002F7120" w:rsidRPr="0023178A" w:rsidRDefault="002F7120" w:rsidP="006D4C80">
      <w:pPr>
        <w:spacing w:line="480" w:lineRule="auto"/>
        <w:rPr>
          <w:rFonts w:ascii="Arial" w:hAnsi="Arial" w:cs="Arial"/>
          <w:b/>
        </w:rPr>
      </w:pPr>
      <w:r w:rsidRPr="0023178A">
        <w:rPr>
          <w:rFonts w:ascii="Arial" w:hAnsi="Arial" w:cs="Arial"/>
          <w:b/>
        </w:rPr>
        <w:t xml:space="preserve">Key </w:t>
      </w:r>
      <w:r w:rsidR="006D4C80" w:rsidRPr="0023178A">
        <w:rPr>
          <w:rFonts w:ascii="Arial" w:hAnsi="Arial" w:cs="Arial"/>
          <w:b/>
        </w:rPr>
        <w:t>C</w:t>
      </w:r>
      <w:r w:rsidRPr="0023178A">
        <w:rPr>
          <w:rFonts w:ascii="Arial" w:hAnsi="Arial" w:cs="Arial"/>
          <w:b/>
        </w:rPr>
        <w:t xml:space="preserve">oncepts of the </w:t>
      </w:r>
      <w:r w:rsidR="006D4C80" w:rsidRPr="0023178A">
        <w:rPr>
          <w:rFonts w:ascii="Arial" w:hAnsi="Arial" w:cs="Arial"/>
          <w:b/>
        </w:rPr>
        <w:t>S</w:t>
      </w:r>
      <w:r w:rsidRPr="0023178A">
        <w:rPr>
          <w:rFonts w:ascii="Arial" w:hAnsi="Arial" w:cs="Arial"/>
          <w:b/>
        </w:rPr>
        <w:t xml:space="preserve">tructure of the </w:t>
      </w:r>
      <w:r w:rsidR="006D4C80" w:rsidRPr="0023178A">
        <w:rPr>
          <w:rFonts w:ascii="Arial" w:hAnsi="Arial" w:cs="Arial"/>
          <w:b/>
        </w:rPr>
        <w:t>C</w:t>
      </w:r>
      <w:r w:rsidRPr="0023178A">
        <w:rPr>
          <w:rFonts w:ascii="Arial" w:hAnsi="Arial" w:cs="Arial"/>
          <w:b/>
        </w:rPr>
        <w:t xml:space="preserve">ourts, </w:t>
      </w:r>
      <w:r w:rsidR="006D4C80" w:rsidRPr="0023178A">
        <w:rPr>
          <w:rFonts w:ascii="Arial" w:hAnsi="Arial" w:cs="Arial"/>
          <w:b/>
        </w:rPr>
        <w:t>C</w:t>
      </w:r>
      <w:r w:rsidRPr="0023178A">
        <w:rPr>
          <w:rFonts w:ascii="Arial" w:hAnsi="Arial" w:cs="Arial"/>
          <w:b/>
        </w:rPr>
        <w:t xml:space="preserve">riminal </w:t>
      </w:r>
      <w:r w:rsidR="006D4C80" w:rsidRPr="0023178A">
        <w:rPr>
          <w:rFonts w:ascii="Arial" w:hAnsi="Arial" w:cs="Arial"/>
          <w:b/>
        </w:rPr>
        <w:t>J</w:t>
      </w:r>
      <w:r w:rsidRPr="0023178A">
        <w:rPr>
          <w:rFonts w:ascii="Arial" w:hAnsi="Arial" w:cs="Arial"/>
          <w:b/>
        </w:rPr>
        <w:t>urisdiction</w:t>
      </w:r>
      <w:r w:rsidR="00EE6BA9" w:rsidRPr="0023178A">
        <w:rPr>
          <w:rFonts w:ascii="Arial" w:hAnsi="Arial" w:cs="Arial"/>
          <w:b/>
        </w:rPr>
        <w:t>,</w:t>
      </w:r>
      <w:r w:rsidRPr="0023178A">
        <w:rPr>
          <w:rFonts w:ascii="Arial" w:hAnsi="Arial" w:cs="Arial"/>
          <w:b/>
        </w:rPr>
        <w:t xml:space="preserve"> and the </w:t>
      </w:r>
      <w:r w:rsidR="006D4C80" w:rsidRPr="0023178A">
        <w:rPr>
          <w:rFonts w:ascii="Arial" w:hAnsi="Arial" w:cs="Arial"/>
          <w:b/>
        </w:rPr>
        <w:t>R</w:t>
      </w:r>
      <w:r w:rsidRPr="0023178A">
        <w:rPr>
          <w:rFonts w:ascii="Arial" w:hAnsi="Arial" w:cs="Arial"/>
          <w:b/>
        </w:rPr>
        <w:t xml:space="preserve">ole of the </w:t>
      </w:r>
      <w:r w:rsidR="006D4C80" w:rsidRPr="0023178A">
        <w:rPr>
          <w:rFonts w:ascii="Arial" w:hAnsi="Arial" w:cs="Arial"/>
          <w:b/>
        </w:rPr>
        <w:t>P</w:t>
      </w:r>
      <w:r w:rsidRPr="0023178A">
        <w:rPr>
          <w:rFonts w:ascii="Arial" w:hAnsi="Arial" w:cs="Arial"/>
          <w:b/>
        </w:rPr>
        <w:t>olice.</w:t>
      </w:r>
    </w:p>
    <w:p w14:paraId="4031CEA2" w14:textId="3051A7F1" w:rsidR="002F7120" w:rsidRPr="0023178A" w:rsidRDefault="00EE6BA9" w:rsidP="00E9284B">
      <w:pPr>
        <w:spacing w:line="480" w:lineRule="auto"/>
        <w:rPr>
          <w:rFonts w:ascii="Arial" w:hAnsi="Arial" w:cs="Arial"/>
          <w:bCs/>
        </w:rPr>
      </w:pPr>
      <w:r w:rsidRPr="0023178A">
        <w:rPr>
          <w:rFonts w:ascii="Arial" w:hAnsi="Arial" w:cs="Arial"/>
          <w:bCs/>
        </w:rPr>
        <w:t>A country's legal framework</w:t>
      </w:r>
      <w:r w:rsidR="002F7120" w:rsidRPr="0023178A">
        <w:rPr>
          <w:rFonts w:ascii="Arial" w:hAnsi="Arial" w:cs="Arial"/>
          <w:bCs/>
        </w:rPr>
        <w:t xml:space="preserve"> serves as a sophisticated means of promoting justice and lawful order. Court structure, criminal jurisdiction, and police roles are central to this system. In criminal cases, these components collaborate harmoniously to facilitate </w:t>
      </w:r>
      <w:r w:rsidRPr="0023178A">
        <w:rPr>
          <w:rFonts w:ascii="Arial" w:hAnsi="Arial" w:cs="Arial"/>
          <w:bCs/>
        </w:rPr>
        <w:t xml:space="preserve">the </w:t>
      </w:r>
      <w:r w:rsidR="002F7120" w:rsidRPr="0023178A">
        <w:rPr>
          <w:rFonts w:ascii="Arial" w:hAnsi="Arial" w:cs="Arial"/>
          <w:bCs/>
        </w:rPr>
        <w:t>just administration of justice.</w:t>
      </w:r>
    </w:p>
    <w:p w14:paraId="51D0E4C8" w14:textId="77777777" w:rsidR="002F7120" w:rsidRPr="0023178A" w:rsidRDefault="002F7120" w:rsidP="006D4C80">
      <w:pPr>
        <w:spacing w:line="480" w:lineRule="auto"/>
        <w:rPr>
          <w:rFonts w:ascii="Arial" w:hAnsi="Arial" w:cs="Arial"/>
          <w:b/>
          <w:i/>
          <w:iCs/>
        </w:rPr>
      </w:pPr>
      <w:r w:rsidRPr="0023178A">
        <w:rPr>
          <w:rFonts w:ascii="Arial" w:hAnsi="Arial" w:cs="Arial"/>
          <w:b/>
          <w:i/>
          <w:iCs/>
        </w:rPr>
        <w:t>Structure of the Courts</w:t>
      </w:r>
    </w:p>
    <w:p w14:paraId="722ED944" w14:textId="7423EA76" w:rsidR="00E9284B" w:rsidRPr="0023178A" w:rsidRDefault="002F7120" w:rsidP="0023178A">
      <w:pPr>
        <w:spacing w:line="480" w:lineRule="auto"/>
        <w:rPr>
          <w:rFonts w:ascii="Arial" w:hAnsi="Arial" w:cs="Arial"/>
          <w:bCs/>
        </w:rPr>
      </w:pPr>
      <w:r w:rsidRPr="0023178A">
        <w:rPr>
          <w:rFonts w:ascii="Arial" w:hAnsi="Arial" w:cs="Arial"/>
          <w:bCs/>
        </w:rPr>
        <w:t xml:space="preserve">The judicial hierarchy assigns distinct roles to each court, with lower courts addressing initial disputes, intermediate courts handling appeals, and the supreme or appellate court serving as </w:t>
      </w:r>
      <w:r w:rsidRPr="0023178A">
        <w:rPr>
          <w:rFonts w:ascii="Arial" w:hAnsi="Arial" w:cs="Arial"/>
          <w:bCs/>
        </w:rPr>
        <w:lastRenderedPageBreak/>
        <w:t>the final arbitrator (Judiciary, 2023). A judicial hierarchy</w:t>
      </w:r>
      <w:r w:rsidR="00EE6BA9" w:rsidRPr="0023178A">
        <w:rPr>
          <w:rFonts w:ascii="Arial" w:hAnsi="Arial" w:cs="Arial"/>
          <w:bCs/>
        </w:rPr>
        <w:t xml:space="preserve"> exists, with higher courts holding precedence over lower cour</w:t>
      </w:r>
      <w:r w:rsidRPr="0023178A">
        <w:rPr>
          <w:rFonts w:ascii="Arial" w:hAnsi="Arial" w:cs="Arial"/>
          <w:bCs/>
        </w:rPr>
        <w:t xml:space="preserve">ts. However, the courts in England are divided into two main tiers: Two courts, the </w:t>
      </w:r>
      <w:r w:rsidR="00E9284B" w:rsidRPr="0023178A">
        <w:rPr>
          <w:rFonts w:ascii="Arial" w:hAnsi="Arial" w:cs="Arial"/>
          <w:bCs/>
        </w:rPr>
        <w:t>Magistrates’,</w:t>
      </w:r>
      <w:r w:rsidRPr="0023178A">
        <w:rPr>
          <w:rFonts w:ascii="Arial" w:hAnsi="Arial" w:cs="Arial"/>
          <w:bCs/>
        </w:rPr>
        <w:t xml:space="preserve"> and Crown, are distinct. Based on the gravity of </w:t>
      </w:r>
      <w:r w:rsidR="00E9284B" w:rsidRPr="0023178A">
        <w:rPr>
          <w:rFonts w:ascii="Arial" w:hAnsi="Arial" w:cs="Arial"/>
          <w:bCs/>
        </w:rPr>
        <w:t>offences</w:t>
      </w:r>
      <w:r w:rsidRPr="0023178A">
        <w:rPr>
          <w:rFonts w:ascii="Arial" w:hAnsi="Arial" w:cs="Arial"/>
          <w:bCs/>
        </w:rPr>
        <w:t>, courts categorize themselves and handle cases accordingly.</w:t>
      </w:r>
    </w:p>
    <w:p w14:paraId="0338BAD1" w14:textId="77777777" w:rsidR="00E9284B" w:rsidRPr="0023178A" w:rsidRDefault="00E9284B" w:rsidP="0023178A">
      <w:pPr>
        <w:spacing w:line="480" w:lineRule="auto"/>
        <w:rPr>
          <w:rFonts w:ascii="Arial" w:hAnsi="Arial" w:cs="Arial"/>
          <w:bCs/>
        </w:rPr>
      </w:pPr>
    </w:p>
    <w:p w14:paraId="68590EFA" w14:textId="77777777" w:rsidR="002F7120" w:rsidRPr="0023178A" w:rsidRDefault="002F7120" w:rsidP="006D4C80">
      <w:pPr>
        <w:spacing w:line="480" w:lineRule="auto"/>
        <w:rPr>
          <w:rFonts w:ascii="Arial" w:hAnsi="Arial" w:cs="Arial"/>
          <w:b/>
          <w:i/>
          <w:iCs/>
        </w:rPr>
      </w:pPr>
      <w:r w:rsidRPr="0023178A">
        <w:rPr>
          <w:rFonts w:ascii="Arial" w:hAnsi="Arial" w:cs="Arial"/>
          <w:b/>
          <w:i/>
          <w:iCs/>
        </w:rPr>
        <w:t>Criminal Jurisdiction</w:t>
      </w:r>
    </w:p>
    <w:p w14:paraId="15A5DB04" w14:textId="18DB8A19" w:rsidR="002F7120" w:rsidRPr="0023178A" w:rsidRDefault="002F7120" w:rsidP="00E9284B">
      <w:pPr>
        <w:spacing w:line="480" w:lineRule="auto"/>
        <w:rPr>
          <w:rFonts w:ascii="Arial" w:hAnsi="Arial" w:cs="Arial"/>
          <w:bCs/>
        </w:rPr>
      </w:pPr>
      <w:r w:rsidRPr="0023178A">
        <w:rPr>
          <w:rFonts w:ascii="Arial" w:hAnsi="Arial" w:cs="Arial"/>
          <w:bCs/>
        </w:rPr>
        <w:t xml:space="preserve">Criminal jurisdiction </w:t>
      </w:r>
      <w:r w:rsidR="00EE6BA9" w:rsidRPr="0023178A">
        <w:rPr>
          <w:rFonts w:ascii="Arial" w:hAnsi="Arial" w:cs="Arial"/>
          <w:bCs/>
        </w:rPr>
        <w:t>comprises</w:t>
      </w:r>
      <w:r w:rsidRPr="0023178A">
        <w:rPr>
          <w:rFonts w:ascii="Arial" w:hAnsi="Arial" w:cs="Arial"/>
          <w:bCs/>
        </w:rPr>
        <w:t xml:space="preserve"> two primary components</w:t>
      </w:r>
      <w:r w:rsidR="00EE6BA9" w:rsidRPr="0023178A">
        <w:rPr>
          <w:rFonts w:ascii="Arial" w:hAnsi="Arial" w:cs="Arial"/>
          <w:bCs/>
        </w:rPr>
        <w:t xml:space="preserve">, that is, </w:t>
      </w:r>
      <w:r w:rsidRPr="0023178A">
        <w:rPr>
          <w:rFonts w:ascii="Arial" w:hAnsi="Arial" w:cs="Arial"/>
          <w:bCs/>
        </w:rPr>
        <w:t xml:space="preserve">territorial jurisdiction and subject matter jurisdiction, as explained by Payer (2023). Geographical region-specific authority falls under the purview of territorial jurisdiction. Legal jurisdiction is defined by the court's authority to hear cases based on their severity or nature. </w:t>
      </w:r>
      <w:r w:rsidR="00EE6BA9" w:rsidRPr="0023178A">
        <w:rPr>
          <w:rFonts w:ascii="Arial" w:hAnsi="Arial" w:cs="Arial"/>
          <w:bCs/>
        </w:rPr>
        <w:t xml:space="preserve">Lower and higher courts have distinct roles in distinguishing between minor and more significant </w:t>
      </w:r>
      <w:r w:rsidR="00E9284B" w:rsidRPr="0023178A">
        <w:rPr>
          <w:rFonts w:ascii="Arial" w:hAnsi="Arial" w:cs="Arial"/>
          <w:bCs/>
        </w:rPr>
        <w:t>offences</w:t>
      </w:r>
      <w:r w:rsidRPr="0023178A">
        <w:rPr>
          <w:rFonts w:ascii="Arial" w:hAnsi="Arial" w:cs="Arial"/>
          <w:bCs/>
        </w:rPr>
        <w:t>.</w:t>
      </w:r>
    </w:p>
    <w:p w14:paraId="16CFDC3B" w14:textId="77777777" w:rsidR="002F7120" w:rsidRPr="0023178A" w:rsidRDefault="002F7120" w:rsidP="006D4C80">
      <w:pPr>
        <w:spacing w:line="480" w:lineRule="auto"/>
        <w:rPr>
          <w:rFonts w:ascii="Arial" w:hAnsi="Arial" w:cs="Arial"/>
          <w:b/>
          <w:i/>
          <w:iCs/>
        </w:rPr>
      </w:pPr>
      <w:r w:rsidRPr="0023178A">
        <w:rPr>
          <w:rFonts w:ascii="Arial" w:hAnsi="Arial" w:cs="Arial"/>
          <w:b/>
          <w:i/>
          <w:iCs/>
        </w:rPr>
        <w:t>Role of the Police</w:t>
      </w:r>
    </w:p>
    <w:p w14:paraId="3F408A9E" w14:textId="77777777" w:rsidR="002F7120" w:rsidRPr="0023178A" w:rsidRDefault="002F7120" w:rsidP="00E9284B">
      <w:pPr>
        <w:spacing w:line="480" w:lineRule="auto"/>
        <w:rPr>
          <w:rFonts w:ascii="Arial" w:hAnsi="Arial" w:cs="Arial"/>
          <w:bCs/>
        </w:rPr>
      </w:pPr>
      <w:r w:rsidRPr="0023178A">
        <w:rPr>
          <w:rFonts w:ascii="Arial" w:hAnsi="Arial" w:cs="Arial"/>
          <w:bCs/>
        </w:rPr>
        <w:t xml:space="preserve">Police enforce laws, </w:t>
      </w:r>
      <w:proofErr w:type="gramStart"/>
      <w:r w:rsidRPr="0023178A">
        <w:rPr>
          <w:rFonts w:ascii="Arial" w:hAnsi="Arial" w:cs="Arial"/>
          <w:bCs/>
        </w:rPr>
        <w:t>prevent</w:t>
      </w:r>
      <w:proofErr w:type="gramEnd"/>
      <w:r w:rsidRPr="0023178A">
        <w:rPr>
          <w:rFonts w:ascii="Arial" w:hAnsi="Arial" w:cs="Arial"/>
          <w:bCs/>
        </w:rPr>
        <w:t xml:space="preserve"> and investigate crimes, and preserve public order, making them vital to the criminal justice system. Patrolling communities, responding to emergencies, investigating, arresting, and gathering evidence are their duties. Police interview witnesses and suspects and gather evidence to develop court cases.</w:t>
      </w:r>
    </w:p>
    <w:p w14:paraId="2A12984E" w14:textId="77777777" w:rsidR="002F7120" w:rsidRPr="0023178A" w:rsidRDefault="002F7120" w:rsidP="006D4C80">
      <w:pPr>
        <w:spacing w:line="480" w:lineRule="auto"/>
        <w:rPr>
          <w:rFonts w:ascii="Arial" w:hAnsi="Arial" w:cs="Arial"/>
          <w:b/>
          <w:i/>
          <w:iCs/>
        </w:rPr>
      </w:pPr>
      <w:r w:rsidRPr="0023178A">
        <w:rPr>
          <w:rFonts w:ascii="Arial" w:hAnsi="Arial" w:cs="Arial"/>
          <w:b/>
          <w:i/>
          <w:iCs/>
        </w:rPr>
        <w:t>Interplay of Concepts</w:t>
      </w:r>
    </w:p>
    <w:p w14:paraId="2DDA9974" w14:textId="58F618D8" w:rsidR="00E9284B" w:rsidRPr="0023178A" w:rsidRDefault="002F7120" w:rsidP="0023178A">
      <w:pPr>
        <w:spacing w:line="480" w:lineRule="auto"/>
        <w:rPr>
          <w:rFonts w:ascii="Arial" w:hAnsi="Arial" w:cs="Arial"/>
          <w:bCs/>
        </w:rPr>
      </w:pPr>
      <w:r w:rsidRPr="0023178A">
        <w:rPr>
          <w:rFonts w:ascii="Arial" w:hAnsi="Arial" w:cs="Arial"/>
          <w:bCs/>
        </w:rPr>
        <w:t xml:space="preserve">These principles must interact for a legal system to work. Police are the first to investigate crimes and acquire evidence as they decide if there's enough evidence to arrest and inform the prosecutor. The prosecutor determines whether to pursue charges depending on </w:t>
      </w:r>
      <w:r w:rsidR="00EE6BA9" w:rsidRPr="0023178A">
        <w:rPr>
          <w:rFonts w:ascii="Arial" w:hAnsi="Arial" w:cs="Arial"/>
          <w:bCs/>
        </w:rPr>
        <w:t xml:space="preserve">the </w:t>
      </w:r>
      <w:r w:rsidRPr="0023178A">
        <w:rPr>
          <w:rFonts w:ascii="Arial" w:hAnsi="Arial" w:cs="Arial"/>
          <w:bCs/>
        </w:rPr>
        <w:t xml:space="preserve">evidence and local legislation. The case enters court when charges are filed. The court's jurisdiction depends on the crime's location and severity (ICC, 2019). In the trial court, evidence is examined, arguments are made, and the law is applied </w:t>
      </w:r>
      <w:r w:rsidR="00E9284B" w:rsidRPr="0023178A">
        <w:rPr>
          <w:rFonts w:ascii="Arial" w:hAnsi="Arial" w:cs="Arial"/>
          <w:bCs/>
        </w:rPr>
        <w:t>afterwards</w:t>
      </w:r>
      <w:r w:rsidRPr="0023178A">
        <w:rPr>
          <w:rFonts w:ascii="Arial" w:hAnsi="Arial" w:cs="Arial"/>
          <w:bCs/>
        </w:rPr>
        <w:t xml:space="preserve">. </w:t>
      </w:r>
      <w:r w:rsidR="00EE6BA9" w:rsidRPr="0023178A">
        <w:rPr>
          <w:rFonts w:ascii="Arial" w:hAnsi="Arial" w:cs="Arial"/>
          <w:bCs/>
        </w:rPr>
        <w:t xml:space="preserve">Both parties can contest trial </w:t>
      </w:r>
      <w:r w:rsidR="00EE6BA9" w:rsidRPr="0023178A">
        <w:rPr>
          <w:rFonts w:ascii="Arial" w:hAnsi="Arial" w:cs="Arial"/>
          <w:bCs/>
        </w:rPr>
        <w:lastRenderedPageBreak/>
        <w:t>court decision</w:t>
      </w:r>
      <w:r w:rsidRPr="0023178A">
        <w:rPr>
          <w:rFonts w:ascii="Arial" w:hAnsi="Arial" w:cs="Arial"/>
          <w:bCs/>
        </w:rPr>
        <w:t>s through an appellate court appeal. Appellate courts evaluate trial court proceedings to ensure legal procedures and law application</w:t>
      </w:r>
      <w:r w:rsidR="00EE6BA9" w:rsidRPr="0023178A">
        <w:rPr>
          <w:rFonts w:ascii="Arial" w:hAnsi="Arial" w:cs="Arial"/>
          <w:bCs/>
        </w:rPr>
        <w:t>s</w:t>
      </w:r>
      <w:r w:rsidRPr="0023178A">
        <w:rPr>
          <w:rFonts w:ascii="Arial" w:hAnsi="Arial" w:cs="Arial"/>
          <w:bCs/>
        </w:rPr>
        <w:t xml:space="preserve"> </w:t>
      </w:r>
      <w:r w:rsidR="00EE6BA9" w:rsidRPr="0023178A">
        <w:rPr>
          <w:rFonts w:ascii="Arial" w:hAnsi="Arial" w:cs="Arial"/>
          <w:bCs/>
        </w:rPr>
        <w:t>a</w:t>
      </w:r>
      <w:r w:rsidRPr="0023178A">
        <w:rPr>
          <w:rFonts w:ascii="Arial" w:hAnsi="Arial" w:cs="Arial"/>
          <w:bCs/>
        </w:rPr>
        <w:t>re followed. They often set precedents for future cases. In circumstances of great legal importance or opposing interpretations, the Supreme Court can review lower court rulings. The law is applied consistently across the legal system.</w:t>
      </w:r>
    </w:p>
    <w:p w14:paraId="7C8F9E77" w14:textId="77777777" w:rsidR="00E9284B" w:rsidRPr="0023178A" w:rsidRDefault="00E9284B" w:rsidP="00944144">
      <w:pPr>
        <w:spacing w:line="480" w:lineRule="auto"/>
        <w:ind w:firstLine="720"/>
        <w:rPr>
          <w:rFonts w:ascii="Arial" w:hAnsi="Arial" w:cs="Arial"/>
          <w:bCs/>
        </w:rPr>
      </w:pPr>
    </w:p>
    <w:p w14:paraId="40C6FB7B" w14:textId="5B342A87" w:rsidR="002F7120" w:rsidRPr="0023178A" w:rsidRDefault="002F7120" w:rsidP="006D4C80">
      <w:pPr>
        <w:spacing w:line="480" w:lineRule="auto"/>
        <w:rPr>
          <w:rFonts w:ascii="Arial" w:hAnsi="Arial" w:cs="Arial"/>
          <w:b/>
        </w:rPr>
      </w:pPr>
      <w:r w:rsidRPr="0023178A">
        <w:rPr>
          <w:rFonts w:ascii="Arial" w:hAnsi="Arial" w:cs="Arial"/>
          <w:b/>
        </w:rPr>
        <w:t xml:space="preserve">Various </w:t>
      </w:r>
      <w:r w:rsidR="0022081F" w:rsidRPr="0023178A">
        <w:rPr>
          <w:rFonts w:ascii="Arial" w:hAnsi="Arial" w:cs="Arial"/>
          <w:b/>
        </w:rPr>
        <w:t>S</w:t>
      </w:r>
      <w:r w:rsidRPr="0023178A">
        <w:rPr>
          <w:rFonts w:ascii="Arial" w:hAnsi="Arial" w:cs="Arial"/>
          <w:b/>
        </w:rPr>
        <w:t xml:space="preserve">tages of </w:t>
      </w:r>
      <w:r w:rsidR="0022081F" w:rsidRPr="0023178A">
        <w:rPr>
          <w:rFonts w:ascii="Arial" w:hAnsi="Arial" w:cs="Arial"/>
          <w:b/>
        </w:rPr>
        <w:t>C</w:t>
      </w:r>
      <w:r w:rsidRPr="0023178A">
        <w:rPr>
          <w:rFonts w:ascii="Arial" w:hAnsi="Arial" w:cs="Arial"/>
          <w:b/>
        </w:rPr>
        <w:t xml:space="preserve">riminal </w:t>
      </w:r>
      <w:r w:rsidR="0022081F" w:rsidRPr="0023178A">
        <w:rPr>
          <w:rFonts w:ascii="Arial" w:hAnsi="Arial" w:cs="Arial"/>
          <w:b/>
        </w:rPr>
        <w:t>P</w:t>
      </w:r>
      <w:r w:rsidRPr="0023178A">
        <w:rPr>
          <w:rFonts w:ascii="Arial" w:hAnsi="Arial" w:cs="Arial"/>
          <w:b/>
        </w:rPr>
        <w:t>roceedings.</w:t>
      </w:r>
    </w:p>
    <w:p w14:paraId="2CAA63F8" w14:textId="6D6864F6" w:rsidR="002F7120" w:rsidRPr="0023178A" w:rsidRDefault="002F7120" w:rsidP="00E9284B">
      <w:pPr>
        <w:spacing w:line="480" w:lineRule="auto"/>
        <w:rPr>
          <w:rFonts w:ascii="Arial" w:hAnsi="Arial" w:cs="Arial"/>
          <w:bCs/>
        </w:rPr>
      </w:pPr>
      <w:r w:rsidRPr="0023178A">
        <w:rPr>
          <w:rFonts w:ascii="Arial" w:hAnsi="Arial" w:cs="Arial"/>
          <w:bCs/>
        </w:rPr>
        <w:t xml:space="preserve">Legal advice for criminal proceedings includes bail and financial issues (Marrone, 2023). Arrest, booking, initial appearance, bail, preliminary hearing/grand jury, arraignment, discovery, plea negotiations, trial, sentencing, appeals, and legal representation funding are typical processes. The accused is arrested on suspicion of a crime. After arrest, the person is booked with personal and crime details. The defendant is told of their accusations and rights during their initial appearance. Bail is often considered </w:t>
      </w:r>
      <w:r w:rsidR="0023178A" w:rsidRPr="0023178A">
        <w:rPr>
          <w:rFonts w:ascii="Arial" w:hAnsi="Arial" w:cs="Arial"/>
          <w:bCs/>
        </w:rPr>
        <w:t>currently</w:t>
      </w:r>
      <w:r w:rsidRPr="0023178A">
        <w:rPr>
          <w:rFonts w:ascii="Arial" w:hAnsi="Arial" w:cs="Arial"/>
          <w:bCs/>
        </w:rPr>
        <w:t xml:space="preserve">. Bail releases an accused pending trial under specific circumstances. The severity of the crime, criminal history, flight risk, and community links affect bail decisions. The client's lawyer can negotiate appropriate bail terms that allow them to continue their everyday lives while appearing in court. Depending on jurisdiction, a preliminary hearing may determine if there's enough </w:t>
      </w:r>
      <w:r w:rsidR="00EE6BA9" w:rsidRPr="0023178A">
        <w:rPr>
          <w:rFonts w:ascii="Arial" w:hAnsi="Arial" w:cs="Arial"/>
          <w:bCs/>
        </w:rPr>
        <w:t>trial evidence</w:t>
      </w:r>
      <w:r w:rsidRPr="0023178A">
        <w:rPr>
          <w:rFonts w:ascii="Arial" w:hAnsi="Arial" w:cs="Arial"/>
          <w:bCs/>
        </w:rPr>
        <w:t xml:space="preserve">. </w:t>
      </w:r>
    </w:p>
    <w:p w14:paraId="0EEDB0EE" w14:textId="77777777" w:rsidR="00E9284B" w:rsidRPr="0023178A" w:rsidRDefault="00E9284B" w:rsidP="00E9284B">
      <w:pPr>
        <w:spacing w:line="480" w:lineRule="auto"/>
        <w:rPr>
          <w:rFonts w:ascii="Arial" w:hAnsi="Arial" w:cs="Arial"/>
          <w:bCs/>
        </w:rPr>
      </w:pPr>
    </w:p>
    <w:p w14:paraId="52CC36EF" w14:textId="2DE65686" w:rsidR="00E9284B" w:rsidRDefault="002F7120" w:rsidP="0023178A">
      <w:pPr>
        <w:spacing w:line="480" w:lineRule="auto"/>
        <w:rPr>
          <w:rFonts w:ascii="Arial" w:hAnsi="Arial" w:cs="Arial"/>
          <w:bCs/>
        </w:rPr>
      </w:pPr>
      <w:r w:rsidRPr="0023178A">
        <w:rPr>
          <w:rFonts w:ascii="Arial" w:hAnsi="Arial" w:cs="Arial"/>
          <w:bCs/>
        </w:rPr>
        <w:t xml:space="preserve">Grand jury review may be utilized to evaluate if there is enough evidence to charge the accused in court during the arraignment (JUSTIA, 2018). They must plead guilty, not guilty, or no contest. Legal advice can advise the client on the optimal plea approach according to the circumstances. Both sides share trial evidence, which helps the </w:t>
      </w:r>
      <w:r w:rsidR="00E9284B" w:rsidRPr="0023178A">
        <w:rPr>
          <w:rFonts w:ascii="Arial" w:hAnsi="Arial" w:cs="Arial"/>
          <w:bCs/>
        </w:rPr>
        <w:t>defense</w:t>
      </w:r>
      <w:r w:rsidRPr="0023178A">
        <w:rPr>
          <w:rFonts w:ascii="Arial" w:hAnsi="Arial" w:cs="Arial"/>
          <w:bCs/>
        </w:rPr>
        <w:t xml:space="preserve"> comprehend and plan their case against the client. In some cases, the prosecution and </w:t>
      </w:r>
      <w:r w:rsidR="00E9284B" w:rsidRPr="0023178A">
        <w:rPr>
          <w:rFonts w:ascii="Arial" w:hAnsi="Arial" w:cs="Arial"/>
          <w:bCs/>
        </w:rPr>
        <w:t>defense</w:t>
      </w:r>
      <w:r w:rsidRPr="0023178A">
        <w:rPr>
          <w:rFonts w:ascii="Arial" w:hAnsi="Arial" w:cs="Arial"/>
          <w:bCs/>
        </w:rPr>
        <w:t xml:space="preserve"> opt to reach a plea deal to bypass a trial. If no plea arrangement is made, </w:t>
      </w:r>
      <w:r w:rsidR="00EE6BA9" w:rsidRPr="0023178A">
        <w:rPr>
          <w:rFonts w:ascii="Arial" w:hAnsi="Arial" w:cs="Arial"/>
          <w:bCs/>
        </w:rPr>
        <w:t xml:space="preserve">the </w:t>
      </w:r>
      <w:r w:rsidRPr="0023178A">
        <w:rPr>
          <w:rFonts w:ascii="Arial" w:hAnsi="Arial" w:cs="Arial"/>
          <w:bCs/>
        </w:rPr>
        <w:t xml:space="preserve">trial is held. The </w:t>
      </w:r>
      <w:r w:rsidR="00E9284B" w:rsidRPr="0023178A">
        <w:rPr>
          <w:rFonts w:ascii="Arial" w:hAnsi="Arial" w:cs="Arial"/>
          <w:bCs/>
        </w:rPr>
        <w:t>defense</w:t>
      </w:r>
      <w:r w:rsidRPr="0023178A">
        <w:rPr>
          <w:rFonts w:ascii="Arial" w:hAnsi="Arial" w:cs="Arial"/>
          <w:bCs/>
        </w:rPr>
        <w:t xml:space="preserve"> can cross-examine </w:t>
      </w:r>
      <w:r w:rsidRPr="0023178A">
        <w:rPr>
          <w:rFonts w:ascii="Arial" w:hAnsi="Arial" w:cs="Arial"/>
          <w:bCs/>
        </w:rPr>
        <w:lastRenderedPageBreak/>
        <w:t xml:space="preserve">witnesses and counter-examine the prosecution. This process is guided by legal counsel, who presents the strongest </w:t>
      </w:r>
      <w:r w:rsidR="00E9284B" w:rsidRPr="0023178A">
        <w:rPr>
          <w:rFonts w:ascii="Arial" w:hAnsi="Arial" w:cs="Arial"/>
          <w:bCs/>
        </w:rPr>
        <w:t>defense</w:t>
      </w:r>
      <w:r w:rsidRPr="0023178A">
        <w:rPr>
          <w:rFonts w:ascii="Arial" w:hAnsi="Arial" w:cs="Arial"/>
          <w:bCs/>
        </w:rPr>
        <w:t xml:space="preserve">. Once a verdict is reached, the sentencing phase commences. Representations before the law are crucial for a just sentence. The defendant might appeal a </w:t>
      </w:r>
      <w:r w:rsidR="00EE6BA9" w:rsidRPr="0023178A">
        <w:rPr>
          <w:rFonts w:ascii="Arial" w:hAnsi="Arial" w:cs="Arial"/>
          <w:bCs/>
        </w:rPr>
        <w:t>flawe</w:t>
      </w:r>
      <w:r w:rsidRPr="0023178A">
        <w:rPr>
          <w:rFonts w:ascii="Arial" w:hAnsi="Arial" w:cs="Arial"/>
          <w:bCs/>
        </w:rPr>
        <w:t>d trial for legal errors or other reasons. Legal representation can help determine appeal success and guide the process. If eligible, clients can choose public defenders or private counsel. Public defenders are court-appointed attorneys for low-income people. Clients engage private attorneys for individualized service at a premium. Exploring financial sources is crucial to protecting the client's rights during criminal proceedings.</w:t>
      </w:r>
    </w:p>
    <w:p w14:paraId="175EA30C" w14:textId="77777777" w:rsidR="0023178A" w:rsidRPr="0023178A" w:rsidRDefault="0023178A" w:rsidP="0023178A">
      <w:pPr>
        <w:spacing w:line="480" w:lineRule="auto"/>
        <w:rPr>
          <w:rFonts w:ascii="Arial" w:hAnsi="Arial" w:cs="Arial"/>
          <w:bCs/>
        </w:rPr>
      </w:pPr>
    </w:p>
    <w:p w14:paraId="1DF7E493" w14:textId="421E3A75" w:rsidR="00161368" w:rsidRPr="0023178A" w:rsidRDefault="00161368" w:rsidP="00E9284B">
      <w:pPr>
        <w:spacing w:line="480" w:lineRule="auto"/>
        <w:rPr>
          <w:rFonts w:ascii="Arial" w:hAnsi="Arial" w:cs="Arial"/>
          <w:bCs/>
        </w:rPr>
      </w:pPr>
      <w:r w:rsidRPr="0023178A">
        <w:rPr>
          <w:rFonts w:ascii="Arial" w:hAnsi="Arial" w:cs="Arial"/>
          <w:bCs/>
        </w:rPr>
        <w:t xml:space="preserve">In conclusion, Crown Prosecutors must balance justice, individual rights, and the public interest in the criminal justice system. Crown Prosecutors evaluate evidence, make detailed legal analyses, assess the broader ramifications of their choices, ensure justice, represent the state in court, and apply numerous charging tests as legal experts. The public interest test requires Crown Prosecutors to consider the social impacts and potential punishments, while the evidential test requires them to determine if there is enough evidence to prosecute. The Full Code Test, used in the UK, considers </w:t>
      </w:r>
      <w:r w:rsidR="00873E0D" w:rsidRPr="0023178A">
        <w:rPr>
          <w:rFonts w:ascii="Arial" w:hAnsi="Arial" w:cs="Arial"/>
          <w:bCs/>
        </w:rPr>
        <w:t xml:space="preserve">the </w:t>
      </w:r>
      <w:r w:rsidRPr="0023178A">
        <w:rPr>
          <w:rFonts w:ascii="Arial" w:hAnsi="Arial" w:cs="Arial"/>
          <w:bCs/>
        </w:rPr>
        <w:t>evidence and public interest to determine prosecution. These customizable frameworks help Crown Prosecutors make fair and well-informed charge decisions that promote evidence-based justice and community welfare.</w:t>
      </w:r>
    </w:p>
    <w:p w14:paraId="4A08B098" w14:textId="50E0500E" w:rsidR="00873444" w:rsidRPr="0023178A" w:rsidRDefault="00161368" w:rsidP="00E9284B">
      <w:pPr>
        <w:spacing w:line="480" w:lineRule="auto"/>
        <w:rPr>
          <w:rFonts w:ascii="Arial" w:hAnsi="Arial" w:cs="Arial"/>
          <w:bCs/>
        </w:rPr>
      </w:pPr>
      <w:r w:rsidRPr="0023178A">
        <w:rPr>
          <w:rFonts w:ascii="Arial" w:hAnsi="Arial" w:cs="Arial"/>
          <w:bCs/>
        </w:rPr>
        <w:t xml:space="preserve">The conversation also discusses court structure, criminal jurisdiction, and police function in the legal system. These components work together to administer justice fairly. Police investigate crimes and gather evidence, which informs Crown Prosecutors. Legal representation protects the accused's rights and ensures fair proceedings throughout the legal process, from arrest to sentencing and appeals. The Crown Prosecutor must balance legal knowledge, ethics, and </w:t>
      </w:r>
      <w:r w:rsidRPr="0023178A">
        <w:rPr>
          <w:rFonts w:ascii="Arial" w:hAnsi="Arial" w:cs="Arial"/>
          <w:bCs/>
        </w:rPr>
        <w:lastRenderedPageBreak/>
        <w:t>practicality in a sensitive profession. Crown Prosecutors strengthen criminal justice systems by preserving the rule of law, defending individual rights, and serving the greater good.</w:t>
      </w:r>
    </w:p>
    <w:p w14:paraId="176D22E4" w14:textId="727B3553" w:rsidR="00161368" w:rsidRDefault="00873444" w:rsidP="0023178A">
      <w:pPr>
        <w:rPr>
          <w:rFonts w:ascii="Arial" w:hAnsi="Arial" w:cs="Arial"/>
          <w:bCs/>
        </w:rPr>
      </w:pPr>
      <w:r w:rsidRPr="0023178A">
        <w:rPr>
          <w:rFonts w:ascii="Arial" w:hAnsi="Arial" w:cs="Arial"/>
          <w:bCs/>
        </w:rPr>
        <w:br w:type="page"/>
      </w:r>
      <w:r w:rsidRPr="0023178A">
        <w:rPr>
          <w:rFonts w:ascii="Arial" w:hAnsi="Arial" w:cs="Arial"/>
          <w:bCs/>
        </w:rPr>
        <w:lastRenderedPageBreak/>
        <w:t>Reference list:</w:t>
      </w:r>
    </w:p>
    <w:p w14:paraId="2B95D52D" w14:textId="77777777" w:rsidR="0023178A" w:rsidRPr="0023178A" w:rsidRDefault="0023178A" w:rsidP="0023178A">
      <w:pPr>
        <w:rPr>
          <w:rFonts w:ascii="Arial" w:hAnsi="Arial" w:cs="Arial"/>
          <w:bCs/>
        </w:rPr>
      </w:pPr>
    </w:p>
    <w:p w14:paraId="16DF362B" w14:textId="16DD0D3C" w:rsidR="00873444" w:rsidRPr="0023178A" w:rsidRDefault="00873444" w:rsidP="00873444">
      <w:pPr>
        <w:pStyle w:val="NormalWeb"/>
        <w:spacing w:before="0" w:beforeAutospacing="0" w:after="240" w:afterAutospacing="0" w:line="360" w:lineRule="auto"/>
        <w:rPr>
          <w:rFonts w:ascii="Arial" w:hAnsi="Arial" w:cs="Arial"/>
          <w:sz w:val="22"/>
          <w:szCs w:val="22"/>
        </w:rPr>
      </w:pPr>
      <w:r w:rsidRPr="0023178A">
        <w:rPr>
          <w:rFonts w:ascii="Arial" w:hAnsi="Arial" w:cs="Arial"/>
          <w:sz w:val="22"/>
          <w:szCs w:val="22"/>
        </w:rPr>
        <w:t xml:space="preserve">Courts and Tribunals Judiciary (2023). </w:t>
      </w:r>
      <w:r w:rsidRPr="0023178A">
        <w:rPr>
          <w:rFonts w:ascii="Arial" w:hAnsi="Arial" w:cs="Arial"/>
          <w:i/>
          <w:iCs/>
          <w:sz w:val="22"/>
          <w:szCs w:val="22"/>
        </w:rPr>
        <w:t>Structure of the Courts &amp; Tribunals system</w:t>
      </w:r>
      <w:r w:rsidRPr="0023178A">
        <w:rPr>
          <w:rFonts w:ascii="Arial" w:hAnsi="Arial" w:cs="Arial"/>
          <w:sz w:val="22"/>
          <w:szCs w:val="22"/>
        </w:rPr>
        <w:t xml:space="preserve">. [online] Courts and Tribunals Judiciary. Available at: </w:t>
      </w:r>
      <w:hyperlink r:id="rId6" w:history="1">
        <w:r w:rsidRPr="0023178A">
          <w:rPr>
            <w:rStyle w:val="Hyperlink"/>
            <w:rFonts w:ascii="Arial" w:hAnsi="Arial" w:cs="Arial"/>
            <w:sz w:val="22"/>
            <w:szCs w:val="22"/>
          </w:rPr>
          <w:t>https://www.judiciary.uk/about-the-judiciary/our-justice-system/court-structure/</w:t>
        </w:r>
      </w:hyperlink>
      <w:r w:rsidRPr="0023178A">
        <w:rPr>
          <w:rFonts w:ascii="Arial" w:hAnsi="Arial" w:cs="Arial"/>
          <w:sz w:val="22"/>
          <w:szCs w:val="22"/>
        </w:rPr>
        <w:t>.</w:t>
      </w:r>
    </w:p>
    <w:p w14:paraId="53BEBB02" w14:textId="120CF9EF" w:rsidR="00873444" w:rsidRPr="0023178A" w:rsidRDefault="00873444" w:rsidP="00873444">
      <w:pPr>
        <w:pStyle w:val="NormalWeb"/>
        <w:spacing w:before="0" w:beforeAutospacing="0" w:after="240" w:afterAutospacing="0" w:line="360" w:lineRule="auto"/>
        <w:rPr>
          <w:rFonts w:ascii="Arial" w:hAnsi="Arial" w:cs="Arial"/>
          <w:sz w:val="22"/>
          <w:szCs w:val="22"/>
        </w:rPr>
      </w:pPr>
      <w:r w:rsidRPr="0023178A">
        <w:rPr>
          <w:rFonts w:ascii="Arial" w:hAnsi="Arial" w:cs="Arial"/>
          <w:sz w:val="22"/>
          <w:szCs w:val="22"/>
        </w:rPr>
        <w:t xml:space="preserve">CPS (2018). </w:t>
      </w:r>
      <w:r w:rsidRPr="0023178A">
        <w:rPr>
          <w:rFonts w:ascii="Arial" w:hAnsi="Arial" w:cs="Arial"/>
          <w:i/>
          <w:iCs/>
          <w:sz w:val="22"/>
          <w:szCs w:val="22"/>
        </w:rPr>
        <w:t>The Code for Crown Prosecutors</w:t>
      </w:r>
      <w:r w:rsidRPr="0023178A">
        <w:rPr>
          <w:rFonts w:ascii="Arial" w:hAnsi="Arial" w:cs="Arial"/>
          <w:sz w:val="22"/>
          <w:szCs w:val="22"/>
        </w:rPr>
        <w:t xml:space="preserve">. [online] Cps.gov.uk. Available at: </w:t>
      </w:r>
      <w:hyperlink r:id="rId7" w:history="1">
        <w:r w:rsidRPr="0023178A">
          <w:rPr>
            <w:rStyle w:val="Hyperlink"/>
            <w:rFonts w:ascii="Arial" w:hAnsi="Arial" w:cs="Arial"/>
            <w:sz w:val="22"/>
            <w:szCs w:val="22"/>
          </w:rPr>
          <w:t>https://www.cps.gov.uk/publication/code-crown-prosecutors</w:t>
        </w:r>
      </w:hyperlink>
      <w:r w:rsidRPr="0023178A">
        <w:rPr>
          <w:rFonts w:ascii="Arial" w:hAnsi="Arial" w:cs="Arial"/>
          <w:sz w:val="22"/>
          <w:szCs w:val="22"/>
        </w:rPr>
        <w:t>.</w:t>
      </w:r>
    </w:p>
    <w:p w14:paraId="46710AE6" w14:textId="2A797F14" w:rsidR="00873444" w:rsidRPr="0023178A" w:rsidRDefault="00873444" w:rsidP="00873444">
      <w:pPr>
        <w:pStyle w:val="NormalWeb"/>
        <w:spacing w:before="0" w:beforeAutospacing="0" w:after="240" w:afterAutospacing="0" w:line="360" w:lineRule="auto"/>
        <w:rPr>
          <w:rFonts w:ascii="Arial" w:hAnsi="Arial" w:cs="Arial"/>
          <w:sz w:val="22"/>
          <w:szCs w:val="22"/>
        </w:rPr>
      </w:pPr>
      <w:r w:rsidRPr="0023178A">
        <w:rPr>
          <w:rFonts w:ascii="Arial" w:hAnsi="Arial" w:cs="Arial"/>
          <w:sz w:val="22"/>
          <w:szCs w:val="22"/>
        </w:rPr>
        <w:t xml:space="preserve">CPS (2019). </w:t>
      </w:r>
      <w:r w:rsidRPr="0023178A">
        <w:rPr>
          <w:rFonts w:ascii="Arial" w:hAnsi="Arial" w:cs="Arial"/>
          <w:i/>
          <w:iCs/>
          <w:sz w:val="22"/>
          <w:szCs w:val="22"/>
        </w:rPr>
        <w:t>Jurisdiction | The Crown Prosecution Service</w:t>
      </w:r>
      <w:r w:rsidRPr="0023178A">
        <w:rPr>
          <w:rFonts w:ascii="Arial" w:hAnsi="Arial" w:cs="Arial"/>
          <w:sz w:val="22"/>
          <w:szCs w:val="22"/>
        </w:rPr>
        <w:t xml:space="preserve">. [online] Cps.gov.uk. Available at: </w:t>
      </w:r>
      <w:hyperlink r:id="rId8" w:history="1">
        <w:r w:rsidRPr="0023178A">
          <w:rPr>
            <w:rStyle w:val="Hyperlink"/>
            <w:rFonts w:ascii="Arial" w:hAnsi="Arial" w:cs="Arial"/>
            <w:sz w:val="22"/>
            <w:szCs w:val="22"/>
          </w:rPr>
          <w:t>https://www.cps.gov.uk/legal-guidance/jurisdiction</w:t>
        </w:r>
      </w:hyperlink>
      <w:r w:rsidRPr="0023178A">
        <w:rPr>
          <w:rFonts w:ascii="Arial" w:hAnsi="Arial" w:cs="Arial"/>
          <w:sz w:val="22"/>
          <w:szCs w:val="22"/>
        </w:rPr>
        <w:t>.</w:t>
      </w:r>
    </w:p>
    <w:p w14:paraId="49D2D8CA" w14:textId="0C581710" w:rsidR="00873444" w:rsidRPr="0023178A" w:rsidRDefault="00873444" w:rsidP="00873444">
      <w:pPr>
        <w:pStyle w:val="NormalWeb"/>
        <w:spacing w:before="0" w:beforeAutospacing="0" w:after="240" w:afterAutospacing="0" w:line="360" w:lineRule="auto"/>
        <w:rPr>
          <w:rFonts w:ascii="Arial" w:hAnsi="Arial" w:cs="Arial"/>
          <w:sz w:val="22"/>
          <w:szCs w:val="22"/>
        </w:rPr>
      </w:pPr>
      <w:r w:rsidRPr="0023178A">
        <w:rPr>
          <w:rFonts w:ascii="Arial" w:hAnsi="Arial" w:cs="Arial"/>
          <w:sz w:val="22"/>
          <w:szCs w:val="22"/>
        </w:rPr>
        <w:t xml:space="preserve">CPS (2022). </w:t>
      </w:r>
      <w:r w:rsidRPr="0023178A">
        <w:rPr>
          <w:rFonts w:ascii="Arial" w:hAnsi="Arial" w:cs="Arial"/>
          <w:i/>
          <w:iCs/>
          <w:sz w:val="22"/>
          <w:szCs w:val="22"/>
        </w:rPr>
        <w:t>About CPS | The Crown Prosecution Service</w:t>
      </w:r>
      <w:r w:rsidRPr="0023178A">
        <w:rPr>
          <w:rFonts w:ascii="Arial" w:hAnsi="Arial" w:cs="Arial"/>
          <w:sz w:val="22"/>
          <w:szCs w:val="22"/>
        </w:rPr>
        <w:t xml:space="preserve">. [online] www.cps.gov.uk. Available at: </w:t>
      </w:r>
      <w:hyperlink r:id="rId9" w:anchor=":~:text=Crown%20Prosecutors%20must%20be%20satisfied" w:history="1">
        <w:r w:rsidRPr="0023178A">
          <w:rPr>
            <w:rStyle w:val="Hyperlink"/>
            <w:rFonts w:ascii="Arial" w:hAnsi="Arial" w:cs="Arial"/>
            <w:sz w:val="22"/>
            <w:szCs w:val="22"/>
          </w:rPr>
          <w:t>https://www.cps.gov.uk/about-cps#:~:text=Crown%20Prosecutors%20must%20be%20satisfied</w:t>
        </w:r>
      </w:hyperlink>
      <w:r w:rsidRPr="0023178A">
        <w:rPr>
          <w:rFonts w:ascii="Arial" w:hAnsi="Arial" w:cs="Arial"/>
          <w:sz w:val="22"/>
          <w:szCs w:val="22"/>
        </w:rPr>
        <w:t>.</w:t>
      </w:r>
    </w:p>
    <w:p w14:paraId="3C119FED" w14:textId="745C19D6" w:rsidR="00873444" w:rsidRPr="0023178A" w:rsidRDefault="00873444" w:rsidP="00873444">
      <w:pPr>
        <w:pStyle w:val="NormalWeb"/>
        <w:spacing w:before="0" w:beforeAutospacing="0" w:after="240" w:afterAutospacing="0" w:line="360" w:lineRule="auto"/>
        <w:rPr>
          <w:rFonts w:ascii="Arial" w:hAnsi="Arial" w:cs="Arial"/>
          <w:sz w:val="22"/>
          <w:szCs w:val="22"/>
        </w:rPr>
      </w:pPr>
      <w:r w:rsidRPr="0023178A">
        <w:rPr>
          <w:rFonts w:ascii="Arial" w:hAnsi="Arial" w:cs="Arial"/>
          <w:sz w:val="22"/>
          <w:szCs w:val="22"/>
        </w:rPr>
        <w:t xml:space="preserve">ECHR (2022). </w:t>
      </w:r>
      <w:r w:rsidRPr="0023178A">
        <w:rPr>
          <w:rFonts w:ascii="Arial" w:hAnsi="Arial" w:cs="Arial"/>
          <w:i/>
          <w:iCs/>
          <w:sz w:val="22"/>
          <w:szCs w:val="22"/>
        </w:rPr>
        <w:t>Guide on Article 6 of the European Convention on Human Rights Right to a fair trial (criminal limb)</w:t>
      </w:r>
      <w:r w:rsidRPr="0023178A">
        <w:rPr>
          <w:rFonts w:ascii="Arial" w:hAnsi="Arial" w:cs="Arial"/>
          <w:sz w:val="22"/>
          <w:szCs w:val="22"/>
        </w:rPr>
        <w:t xml:space="preserve">. [online] European Court of Human Rights. Available at: </w:t>
      </w:r>
      <w:hyperlink r:id="rId10" w:history="1">
        <w:r w:rsidRPr="0023178A">
          <w:rPr>
            <w:rStyle w:val="Hyperlink"/>
            <w:rFonts w:ascii="Arial" w:hAnsi="Arial" w:cs="Arial"/>
            <w:sz w:val="22"/>
            <w:szCs w:val="22"/>
          </w:rPr>
          <w:t>https://www.echr.coe.int/documents/d/echr/guide_art_6_criminal_eng</w:t>
        </w:r>
      </w:hyperlink>
      <w:r w:rsidRPr="0023178A">
        <w:rPr>
          <w:rFonts w:ascii="Arial" w:hAnsi="Arial" w:cs="Arial"/>
          <w:sz w:val="22"/>
          <w:szCs w:val="22"/>
        </w:rPr>
        <w:t>.</w:t>
      </w:r>
    </w:p>
    <w:p w14:paraId="78BB84FF" w14:textId="7D384FD8" w:rsidR="00873444" w:rsidRPr="0023178A" w:rsidRDefault="00873444" w:rsidP="00873444">
      <w:pPr>
        <w:pStyle w:val="NormalWeb"/>
        <w:spacing w:before="0" w:beforeAutospacing="0" w:after="240" w:afterAutospacing="0" w:line="360" w:lineRule="auto"/>
        <w:rPr>
          <w:rFonts w:ascii="Arial" w:hAnsi="Arial" w:cs="Arial"/>
          <w:sz w:val="22"/>
          <w:szCs w:val="22"/>
        </w:rPr>
      </w:pPr>
      <w:r w:rsidRPr="0023178A">
        <w:rPr>
          <w:rFonts w:ascii="Arial" w:hAnsi="Arial" w:cs="Arial"/>
          <w:sz w:val="22"/>
          <w:szCs w:val="22"/>
        </w:rPr>
        <w:t xml:space="preserve">ICC (2019). </w:t>
      </w:r>
      <w:r w:rsidRPr="0023178A">
        <w:rPr>
          <w:rFonts w:ascii="Arial" w:hAnsi="Arial" w:cs="Arial"/>
          <w:i/>
          <w:iCs/>
          <w:sz w:val="22"/>
          <w:szCs w:val="22"/>
        </w:rPr>
        <w:t>How the Court works</w:t>
      </w:r>
      <w:r w:rsidRPr="0023178A">
        <w:rPr>
          <w:rFonts w:ascii="Arial" w:hAnsi="Arial" w:cs="Arial"/>
          <w:sz w:val="22"/>
          <w:szCs w:val="22"/>
        </w:rPr>
        <w:t xml:space="preserve">. [online] Icc-cpi.int. Available at: </w:t>
      </w:r>
      <w:hyperlink r:id="rId11" w:history="1">
        <w:r w:rsidRPr="0023178A">
          <w:rPr>
            <w:rStyle w:val="Hyperlink"/>
            <w:rFonts w:ascii="Arial" w:hAnsi="Arial" w:cs="Arial"/>
            <w:sz w:val="22"/>
            <w:szCs w:val="22"/>
          </w:rPr>
          <w:t>https://www.icc-cpi.int/about/how-the-court-works</w:t>
        </w:r>
      </w:hyperlink>
      <w:r w:rsidRPr="0023178A">
        <w:rPr>
          <w:rFonts w:ascii="Arial" w:hAnsi="Arial" w:cs="Arial"/>
          <w:sz w:val="22"/>
          <w:szCs w:val="22"/>
        </w:rPr>
        <w:t>.</w:t>
      </w:r>
    </w:p>
    <w:p w14:paraId="478AFBF7" w14:textId="47F0D56B" w:rsidR="00873444" w:rsidRPr="0023178A" w:rsidRDefault="00873444" w:rsidP="00873444">
      <w:pPr>
        <w:pStyle w:val="NormalWeb"/>
        <w:spacing w:before="0" w:beforeAutospacing="0" w:after="240" w:afterAutospacing="0" w:line="360" w:lineRule="auto"/>
        <w:rPr>
          <w:rFonts w:ascii="Arial" w:hAnsi="Arial" w:cs="Arial"/>
          <w:sz w:val="22"/>
          <w:szCs w:val="22"/>
        </w:rPr>
      </w:pPr>
      <w:r w:rsidRPr="0023178A">
        <w:rPr>
          <w:rFonts w:ascii="Arial" w:hAnsi="Arial" w:cs="Arial"/>
          <w:sz w:val="22"/>
          <w:szCs w:val="22"/>
        </w:rPr>
        <w:t xml:space="preserve">JUSTIA (2018). </w:t>
      </w:r>
      <w:r w:rsidRPr="0023178A">
        <w:rPr>
          <w:rFonts w:ascii="Arial" w:hAnsi="Arial" w:cs="Arial"/>
          <w:i/>
          <w:iCs/>
          <w:sz w:val="22"/>
          <w:szCs w:val="22"/>
        </w:rPr>
        <w:t xml:space="preserve">Criminal Law Stages of a Criminal </w:t>
      </w:r>
      <w:proofErr w:type="gramStart"/>
      <w:r w:rsidRPr="0023178A">
        <w:rPr>
          <w:rFonts w:ascii="Arial" w:hAnsi="Arial" w:cs="Arial"/>
          <w:i/>
          <w:iCs/>
          <w:sz w:val="22"/>
          <w:szCs w:val="22"/>
        </w:rPr>
        <w:t>Case :</w:t>
      </w:r>
      <w:proofErr w:type="gramEnd"/>
      <w:r w:rsidRPr="0023178A">
        <w:rPr>
          <w:rFonts w:ascii="Arial" w:hAnsi="Arial" w:cs="Arial"/>
          <w:i/>
          <w:iCs/>
          <w:sz w:val="22"/>
          <w:szCs w:val="22"/>
        </w:rPr>
        <w:t xml:space="preserve">: </w:t>
      </w:r>
      <w:proofErr w:type="spellStart"/>
      <w:r w:rsidRPr="0023178A">
        <w:rPr>
          <w:rFonts w:ascii="Arial" w:hAnsi="Arial" w:cs="Arial"/>
          <w:i/>
          <w:iCs/>
          <w:sz w:val="22"/>
          <w:szCs w:val="22"/>
        </w:rPr>
        <w:t>Justia</w:t>
      </w:r>
      <w:proofErr w:type="spellEnd"/>
      <w:r w:rsidRPr="0023178A">
        <w:rPr>
          <w:rFonts w:ascii="Arial" w:hAnsi="Arial" w:cs="Arial"/>
          <w:sz w:val="22"/>
          <w:szCs w:val="22"/>
        </w:rPr>
        <w:t xml:space="preserve">. [online] Justia.com. Available at: </w:t>
      </w:r>
      <w:hyperlink r:id="rId12" w:history="1">
        <w:r w:rsidRPr="0023178A">
          <w:rPr>
            <w:rStyle w:val="Hyperlink"/>
            <w:rFonts w:ascii="Arial" w:hAnsi="Arial" w:cs="Arial"/>
            <w:sz w:val="22"/>
            <w:szCs w:val="22"/>
          </w:rPr>
          <w:t>https://www.justia.com/criminal/docs/stages-of-a-criminal-case/</w:t>
        </w:r>
      </w:hyperlink>
      <w:r w:rsidRPr="0023178A">
        <w:rPr>
          <w:rFonts w:ascii="Arial" w:hAnsi="Arial" w:cs="Arial"/>
          <w:sz w:val="22"/>
          <w:szCs w:val="22"/>
        </w:rPr>
        <w:t>.</w:t>
      </w:r>
    </w:p>
    <w:p w14:paraId="1F55B08D" w14:textId="75AEA4AF" w:rsidR="00873444" w:rsidRPr="0023178A" w:rsidRDefault="00873444" w:rsidP="00873444">
      <w:pPr>
        <w:pStyle w:val="NormalWeb"/>
        <w:spacing w:before="0" w:beforeAutospacing="0" w:after="240" w:afterAutospacing="0" w:line="360" w:lineRule="auto"/>
        <w:rPr>
          <w:rFonts w:ascii="Arial" w:hAnsi="Arial" w:cs="Arial"/>
          <w:sz w:val="22"/>
          <w:szCs w:val="22"/>
        </w:rPr>
      </w:pPr>
      <w:r w:rsidRPr="0023178A">
        <w:rPr>
          <w:rFonts w:ascii="Arial" w:hAnsi="Arial" w:cs="Arial"/>
          <w:sz w:val="22"/>
          <w:szCs w:val="22"/>
        </w:rPr>
        <w:t xml:space="preserve">Kessling, C. (2023). </w:t>
      </w:r>
      <w:r w:rsidRPr="0023178A">
        <w:rPr>
          <w:rFonts w:ascii="Arial" w:hAnsi="Arial" w:cs="Arial"/>
          <w:i/>
          <w:iCs/>
          <w:sz w:val="22"/>
          <w:szCs w:val="22"/>
        </w:rPr>
        <w:t>How Decisions to Prosecute and offer Out-of-Court Disposals are made | Defence-Barrister.co.uk</w:t>
      </w:r>
      <w:r w:rsidRPr="0023178A">
        <w:rPr>
          <w:rFonts w:ascii="Arial" w:hAnsi="Arial" w:cs="Arial"/>
          <w:sz w:val="22"/>
          <w:szCs w:val="22"/>
        </w:rPr>
        <w:t xml:space="preserve">. [online] Defence-Barrister.co.uk. Available at: </w:t>
      </w:r>
      <w:hyperlink r:id="rId13" w:history="1">
        <w:r w:rsidRPr="0023178A">
          <w:rPr>
            <w:rStyle w:val="Hyperlink"/>
            <w:rFonts w:ascii="Arial" w:hAnsi="Arial" w:cs="Arial"/>
            <w:sz w:val="22"/>
            <w:szCs w:val="22"/>
          </w:rPr>
          <w:t>https://www.defence-barrister.co.uk/how-prosecution-decisions-are-made</w:t>
        </w:r>
      </w:hyperlink>
      <w:r w:rsidRPr="0023178A">
        <w:rPr>
          <w:rFonts w:ascii="Arial" w:hAnsi="Arial" w:cs="Arial"/>
          <w:sz w:val="22"/>
          <w:szCs w:val="22"/>
        </w:rPr>
        <w:t>.</w:t>
      </w:r>
    </w:p>
    <w:p w14:paraId="51EFE53D" w14:textId="331A0503" w:rsidR="00873444" w:rsidRPr="0023178A" w:rsidRDefault="00873444" w:rsidP="00873444">
      <w:pPr>
        <w:pStyle w:val="NormalWeb"/>
        <w:spacing w:before="0" w:beforeAutospacing="0" w:after="240" w:afterAutospacing="0" w:line="360" w:lineRule="auto"/>
        <w:rPr>
          <w:rFonts w:ascii="Arial" w:hAnsi="Arial" w:cs="Arial"/>
          <w:sz w:val="22"/>
          <w:szCs w:val="22"/>
        </w:rPr>
      </w:pPr>
      <w:r w:rsidRPr="0023178A">
        <w:rPr>
          <w:rFonts w:ascii="Arial" w:hAnsi="Arial" w:cs="Arial"/>
          <w:sz w:val="22"/>
          <w:szCs w:val="22"/>
        </w:rPr>
        <w:t xml:space="preserve">Marrone, L. (2023). </w:t>
      </w:r>
      <w:r w:rsidRPr="0023178A">
        <w:rPr>
          <w:rFonts w:ascii="Arial" w:hAnsi="Arial" w:cs="Arial"/>
          <w:i/>
          <w:iCs/>
          <w:sz w:val="22"/>
          <w:szCs w:val="22"/>
        </w:rPr>
        <w:t>General Principles in Criminal Law</w:t>
      </w:r>
      <w:r w:rsidRPr="0023178A">
        <w:rPr>
          <w:rFonts w:ascii="Arial" w:hAnsi="Arial" w:cs="Arial"/>
          <w:sz w:val="22"/>
          <w:szCs w:val="22"/>
        </w:rPr>
        <w:t xml:space="preserve">. [online] www.lawhandbook.sa.gov.au. Available at: </w:t>
      </w:r>
      <w:hyperlink r:id="rId14" w:history="1">
        <w:r w:rsidRPr="0023178A">
          <w:rPr>
            <w:rStyle w:val="Hyperlink"/>
            <w:rFonts w:ascii="Arial" w:hAnsi="Arial" w:cs="Arial"/>
            <w:sz w:val="22"/>
            <w:szCs w:val="22"/>
          </w:rPr>
          <w:t>https://www.lawhandbook.sa.gov.au/ch12s02.php</w:t>
        </w:r>
      </w:hyperlink>
      <w:r w:rsidRPr="0023178A">
        <w:rPr>
          <w:rFonts w:ascii="Arial" w:hAnsi="Arial" w:cs="Arial"/>
          <w:sz w:val="22"/>
          <w:szCs w:val="22"/>
        </w:rPr>
        <w:t>.</w:t>
      </w:r>
    </w:p>
    <w:p w14:paraId="58AEFA54" w14:textId="083F0BA6" w:rsidR="00873444" w:rsidRPr="0023178A" w:rsidRDefault="00873444" w:rsidP="00873444">
      <w:pPr>
        <w:pStyle w:val="NormalWeb"/>
        <w:spacing w:before="0" w:beforeAutospacing="0" w:after="240" w:afterAutospacing="0" w:line="360" w:lineRule="auto"/>
        <w:rPr>
          <w:rFonts w:ascii="Arial" w:hAnsi="Arial" w:cs="Arial"/>
          <w:sz w:val="22"/>
          <w:szCs w:val="22"/>
        </w:rPr>
      </w:pPr>
      <w:r w:rsidRPr="0023178A">
        <w:rPr>
          <w:rFonts w:ascii="Arial" w:hAnsi="Arial" w:cs="Arial"/>
          <w:sz w:val="22"/>
          <w:szCs w:val="22"/>
        </w:rPr>
        <w:t xml:space="preserve">Payer, A. (2023). The Territorial Principle as a Basis for State Criminal Jurisdiction: Particularly </w:t>
      </w:r>
      <w:proofErr w:type="gramStart"/>
      <w:r w:rsidRPr="0023178A">
        <w:rPr>
          <w:rFonts w:ascii="Arial" w:hAnsi="Arial" w:cs="Arial"/>
          <w:sz w:val="22"/>
          <w:szCs w:val="22"/>
        </w:rPr>
        <w:t>with Regard to</w:t>
      </w:r>
      <w:proofErr w:type="gramEnd"/>
      <w:r w:rsidRPr="0023178A">
        <w:rPr>
          <w:rFonts w:ascii="Arial" w:hAnsi="Arial" w:cs="Arial"/>
          <w:sz w:val="22"/>
          <w:szCs w:val="22"/>
        </w:rPr>
        <w:t xml:space="preserve"> Cross-Border Offences and Attempts, and to Multiple Parties to an Offence </w:t>
      </w:r>
      <w:r w:rsidRPr="0023178A">
        <w:rPr>
          <w:rFonts w:ascii="Arial" w:hAnsi="Arial" w:cs="Arial"/>
          <w:sz w:val="22"/>
          <w:szCs w:val="22"/>
        </w:rPr>
        <w:lastRenderedPageBreak/>
        <w:t xml:space="preserve">Acting in Different Countries. </w:t>
      </w:r>
      <w:r w:rsidRPr="0023178A">
        <w:rPr>
          <w:rFonts w:ascii="Arial" w:hAnsi="Arial" w:cs="Arial"/>
          <w:i/>
          <w:iCs/>
          <w:sz w:val="22"/>
          <w:szCs w:val="22"/>
        </w:rPr>
        <w:t>International Criminal Law Review</w:t>
      </w:r>
      <w:r w:rsidRPr="0023178A">
        <w:rPr>
          <w:rFonts w:ascii="Arial" w:hAnsi="Arial" w:cs="Arial"/>
          <w:sz w:val="22"/>
          <w:szCs w:val="22"/>
        </w:rPr>
        <w:t xml:space="preserve">, pp.1–64. </w:t>
      </w:r>
      <w:proofErr w:type="spellStart"/>
      <w:r w:rsidRPr="0023178A">
        <w:rPr>
          <w:rFonts w:ascii="Arial" w:hAnsi="Arial" w:cs="Arial"/>
          <w:sz w:val="22"/>
          <w:szCs w:val="22"/>
        </w:rPr>
        <w:t>doi</w:t>
      </w:r>
      <w:proofErr w:type="spellEnd"/>
      <w:r w:rsidRPr="0023178A">
        <w:rPr>
          <w:rFonts w:ascii="Arial" w:hAnsi="Arial" w:cs="Arial"/>
          <w:sz w:val="22"/>
          <w:szCs w:val="22"/>
        </w:rPr>
        <w:t xml:space="preserve">: </w:t>
      </w:r>
      <w:hyperlink r:id="rId15" w:history="1">
        <w:r w:rsidRPr="0023178A">
          <w:rPr>
            <w:rStyle w:val="Hyperlink"/>
            <w:rFonts w:ascii="Arial" w:hAnsi="Arial" w:cs="Arial"/>
            <w:sz w:val="22"/>
            <w:szCs w:val="22"/>
          </w:rPr>
          <w:t>https://doi.org/10.1163/15718123-bja1015</w:t>
        </w:r>
      </w:hyperlink>
      <w:r w:rsidRPr="0023178A">
        <w:rPr>
          <w:rFonts w:ascii="Arial" w:hAnsi="Arial" w:cs="Arial"/>
          <w:sz w:val="22"/>
          <w:szCs w:val="22"/>
        </w:rPr>
        <w:t>.</w:t>
      </w:r>
    </w:p>
    <w:p w14:paraId="7060AC5F" w14:textId="5F77731E" w:rsidR="00873444" w:rsidRPr="0023178A" w:rsidRDefault="00873444" w:rsidP="00873444">
      <w:pPr>
        <w:pStyle w:val="NormalWeb"/>
        <w:spacing w:before="0" w:beforeAutospacing="0" w:after="240" w:afterAutospacing="0" w:line="360" w:lineRule="auto"/>
        <w:rPr>
          <w:rFonts w:ascii="Arial" w:hAnsi="Arial" w:cs="Arial"/>
          <w:sz w:val="22"/>
          <w:szCs w:val="22"/>
        </w:rPr>
      </w:pPr>
      <w:r w:rsidRPr="0023178A">
        <w:rPr>
          <w:rFonts w:ascii="Arial" w:hAnsi="Arial" w:cs="Arial"/>
          <w:sz w:val="22"/>
          <w:szCs w:val="22"/>
        </w:rPr>
        <w:t xml:space="preserve">PPSC (2023). </w:t>
      </w:r>
      <w:r w:rsidRPr="0023178A">
        <w:rPr>
          <w:rFonts w:ascii="Arial" w:hAnsi="Arial" w:cs="Arial"/>
          <w:i/>
          <w:iCs/>
          <w:sz w:val="22"/>
          <w:szCs w:val="22"/>
        </w:rPr>
        <w:t>2.3 Decision to Prosecute - PPSC</w:t>
      </w:r>
      <w:r w:rsidRPr="0023178A">
        <w:rPr>
          <w:rFonts w:ascii="Arial" w:hAnsi="Arial" w:cs="Arial"/>
          <w:sz w:val="22"/>
          <w:szCs w:val="22"/>
        </w:rPr>
        <w:t xml:space="preserve">. [online] www.ppsc-sppc.gc.ca. Available at: </w:t>
      </w:r>
      <w:hyperlink r:id="rId16" w:history="1">
        <w:r w:rsidRPr="0023178A">
          <w:rPr>
            <w:rStyle w:val="Hyperlink"/>
            <w:rFonts w:ascii="Arial" w:hAnsi="Arial" w:cs="Arial"/>
            <w:sz w:val="22"/>
            <w:szCs w:val="22"/>
          </w:rPr>
          <w:t>https://www.ppsc-sppc.gc.ca/eng/pub/fpsd-sfpg/fps-sfp/tpd/p2/ch03.html</w:t>
        </w:r>
      </w:hyperlink>
      <w:r w:rsidRPr="0023178A">
        <w:rPr>
          <w:rFonts w:ascii="Arial" w:hAnsi="Arial" w:cs="Arial"/>
          <w:sz w:val="22"/>
          <w:szCs w:val="22"/>
        </w:rPr>
        <w:t>.</w:t>
      </w:r>
    </w:p>
    <w:p w14:paraId="4E6D3AF0" w14:textId="078D8CA9" w:rsidR="00873444" w:rsidRPr="0023178A" w:rsidRDefault="00873444" w:rsidP="00873444">
      <w:pPr>
        <w:pStyle w:val="NormalWeb"/>
        <w:spacing w:before="0" w:beforeAutospacing="0" w:after="240" w:afterAutospacing="0" w:line="360" w:lineRule="auto"/>
        <w:rPr>
          <w:rFonts w:ascii="Arial" w:hAnsi="Arial" w:cs="Arial"/>
          <w:sz w:val="22"/>
          <w:szCs w:val="22"/>
        </w:rPr>
      </w:pPr>
      <w:r w:rsidRPr="0023178A">
        <w:rPr>
          <w:rFonts w:ascii="Arial" w:hAnsi="Arial" w:cs="Arial"/>
          <w:sz w:val="22"/>
          <w:szCs w:val="22"/>
        </w:rPr>
        <w:t xml:space="preserve">The Law Society (2023). </w:t>
      </w:r>
      <w:r w:rsidRPr="0023178A">
        <w:rPr>
          <w:rFonts w:ascii="Arial" w:hAnsi="Arial" w:cs="Arial"/>
          <w:i/>
          <w:iCs/>
          <w:sz w:val="22"/>
          <w:szCs w:val="22"/>
        </w:rPr>
        <w:t>Advocacy tips for the Crown Court</w:t>
      </w:r>
      <w:r w:rsidRPr="0023178A">
        <w:rPr>
          <w:rFonts w:ascii="Arial" w:hAnsi="Arial" w:cs="Arial"/>
          <w:sz w:val="22"/>
          <w:szCs w:val="22"/>
        </w:rPr>
        <w:t xml:space="preserve">. [online] www.lawsociety.org.uk. Available at: </w:t>
      </w:r>
      <w:hyperlink r:id="rId17" w:history="1">
        <w:r w:rsidRPr="0023178A">
          <w:rPr>
            <w:rStyle w:val="Hyperlink"/>
            <w:rFonts w:ascii="Arial" w:hAnsi="Arial" w:cs="Arial"/>
            <w:sz w:val="22"/>
            <w:szCs w:val="22"/>
          </w:rPr>
          <w:t>https://www.lawsociety.org.uk/topics/advocacy/advocacy-tips-for-the-crown-court</w:t>
        </w:r>
      </w:hyperlink>
      <w:r w:rsidRPr="0023178A">
        <w:rPr>
          <w:rFonts w:ascii="Arial" w:hAnsi="Arial" w:cs="Arial"/>
          <w:sz w:val="22"/>
          <w:szCs w:val="22"/>
        </w:rPr>
        <w:t>.</w:t>
      </w:r>
    </w:p>
    <w:p w14:paraId="526461F8" w14:textId="14CE9C07" w:rsidR="00873444" w:rsidRPr="0023178A" w:rsidRDefault="00873444" w:rsidP="00873444">
      <w:pPr>
        <w:pStyle w:val="NormalWeb"/>
        <w:spacing w:before="0" w:beforeAutospacing="0" w:after="240" w:afterAutospacing="0" w:line="360" w:lineRule="auto"/>
        <w:rPr>
          <w:rFonts w:ascii="Arial" w:hAnsi="Arial" w:cs="Arial"/>
          <w:sz w:val="22"/>
          <w:szCs w:val="22"/>
        </w:rPr>
      </w:pPr>
      <w:r w:rsidRPr="0023178A">
        <w:rPr>
          <w:rFonts w:ascii="Arial" w:hAnsi="Arial" w:cs="Arial"/>
          <w:sz w:val="22"/>
          <w:szCs w:val="22"/>
        </w:rPr>
        <w:t xml:space="preserve">UNODC (2020). </w:t>
      </w:r>
      <w:r w:rsidRPr="0023178A">
        <w:rPr>
          <w:rFonts w:ascii="Arial" w:hAnsi="Arial" w:cs="Arial"/>
          <w:i/>
          <w:iCs/>
          <w:sz w:val="22"/>
          <w:szCs w:val="22"/>
        </w:rPr>
        <w:t>Crime Prevention &amp; Criminal Justice Module 14 Key Issues: Topic Two - General issues - Public Prosecutors as the ‘gate keepers’ of criminal justice</w:t>
      </w:r>
      <w:r w:rsidRPr="0023178A">
        <w:rPr>
          <w:rFonts w:ascii="Arial" w:hAnsi="Arial" w:cs="Arial"/>
          <w:sz w:val="22"/>
          <w:szCs w:val="22"/>
        </w:rPr>
        <w:t xml:space="preserve">. [online] www.unodc.org. Available at: </w:t>
      </w:r>
      <w:hyperlink r:id="rId18" w:history="1">
        <w:r w:rsidRPr="0023178A">
          <w:rPr>
            <w:rStyle w:val="Hyperlink"/>
            <w:rFonts w:ascii="Arial" w:hAnsi="Arial" w:cs="Arial"/>
            <w:sz w:val="22"/>
            <w:szCs w:val="22"/>
          </w:rPr>
          <w:t>https://www.unodc.org/e4j/en/crime-prevention-criminal-justice/module-14/key-issues/2--general-issues--public-prosecutors-as-the-gate-keepers-of-criminal-justice.html</w:t>
        </w:r>
      </w:hyperlink>
      <w:r w:rsidRPr="0023178A">
        <w:rPr>
          <w:rFonts w:ascii="Arial" w:hAnsi="Arial" w:cs="Arial"/>
          <w:sz w:val="22"/>
          <w:szCs w:val="22"/>
        </w:rPr>
        <w:t>.</w:t>
      </w:r>
    </w:p>
    <w:p w14:paraId="4E736E58" w14:textId="77777777" w:rsidR="00873444" w:rsidRPr="0023178A" w:rsidRDefault="00873444" w:rsidP="00873444">
      <w:pPr>
        <w:pStyle w:val="NormalWeb"/>
        <w:spacing w:before="0" w:beforeAutospacing="0" w:after="240" w:afterAutospacing="0" w:line="360" w:lineRule="auto"/>
        <w:rPr>
          <w:rFonts w:ascii="Arial" w:hAnsi="Arial" w:cs="Arial"/>
          <w:sz w:val="22"/>
          <w:szCs w:val="22"/>
        </w:rPr>
      </w:pPr>
    </w:p>
    <w:p w14:paraId="6CCEEC2B" w14:textId="77777777" w:rsidR="00873444" w:rsidRPr="0023178A" w:rsidRDefault="00873444" w:rsidP="000F2896">
      <w:pPr>
        <w:spacing w:line="480" w:lineRule="auto"/>
        <w:ind w:firstLine="720"/>
        <w:rPr>
          <w:rFonts w:ascii="Arial" w:hAnsi="Arial" w:cs="Arial"/>
          <w:bCs/>
        </w:rPr>
      </w:pPr>
    </w:p>
    <w:p w14:paraId="4A6BA537" w14:textId="77777777" w:rsidR="00161368" w:rsidRPr="0023178A" w:rsidRDefault="00161368" w:rsidP="006D4C80">
      <w:pPr>
        <w:spacing w:line="480" w:lineRule="auto"/>
        <w:rPr>
          <w:rFonts w:ascii="Arial" w:hAnsi="Arial" w:cs="Arial"/>
          <w:bCs/>
        </w:rPr>
      </w:pPr>
    </w:p>
    <w:p w14:paraId="0A376005" w14:textId="0B24CDCD" w:rsidR="00161368" w:rsidRPr="00E9284B" w:rsidRDefault="00161368" w:rsidP="006D4C80">
      <w:pPr>
        <w:spacing w:line="480" w:lineRule="auto"/>
        <w:rPr>
          <w:rFonts w:ascii="Times New Roman" w:hAnsi="Times New Roman" w:cs="Times New Roman"/>
          <w:bCs/>
        </w:rPr>
      </w:pPr>
    </w:p>
    <w:sectPr w:rsidR="00161368" w:rsidRPr="00E9284B">
      <w:head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EAD5C" w14:textId="77777777" w:rsidR="00880DF8" w:rsidRDefault="00880DF8" w:rsidP="004E1C39">
      <w:pPr>
        <w:spacing w:after="0" w:line="240" w:lineRule="auto"/>
      </w:pPr>
      <w:r>
        <w:separator/>
      </w:r>
    </w:p>
  </w:endnote>
  <w:endnote w:type="continuationSeparator" w:id="0">
    <w:p w14:paraId="506E18CF" w14:textId="77777777" w:rsidR="00880DF8" w:rsidRDefault="00880DF8" w:rsidP="004E1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12791" w14:textId="77777777" w:rsidR="00880DF8" w:rsidRDefault="00880DF8" w:rsidP="004E1C39">
      <w:pPr>
        <w:spacing w:after="0" w:line="240" w:lineRule="auto"/>
      </w:pPr>
      <w:r>
        <w:separator/>
      </w:r>
    </w:p>
  </w:footnote>
  <w:footnote w:type="continuationSeparator" w:id="0">
    <w:p w14:paraId="5C5B02C6" w14:textId="77777777" w:rsidR="00880DF8" w:rsidRDefault="00880DF8" w:rsidP="004E1C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1314D" w14:textId="19E385E1" w:rsidR="004E1C39" w:rsidRPr="004E1C39" w:rsidRDefault="004E1C39" w:rsidP="004E1C39">
    <w:pPr>
      <w:spacing w:line="480" w:lineRule="auto"/>
      <w:ind w:left="6480"/>
      <w:rPr>
        <w:rFonts w:ascii="Times New Roman" w:hAnsi="Times New Roman" w:cs="Times New Roman"/>
        <w:b/>
        <w:sz w:val="24"/>
        <w:szCs w:val="24"/>
      </w:rPr>
    </w:pPr>
    <w:r w:rsidRPr="004E1C39">
      <w:rPr>
        <w:rFonts w:ascii="Times New Roman" w:hAnsi="Times New Roman" w:cs="Times New Roman"/>
        <w:bCs/>
        <w:sz w:val="24"/>
        <w:szCs w:val="24"/>
      </w:rPr>
      <w:t>Criminal Litigation</w:t>
    </w:r>
    <w:r>
      <w:rPr>
        <w:rFonts w:ascii="Times New Roman" w:hAnsi="Times New Roman" w:cs="Times New Roman"/>
        <w:b/>
        <w:sz w:val="24"/>
        <w:szCs w:val="24"/>
      </w:rPr>
      <w:t xml:space="preserve">. </w:t>
    </w:r>
    <w:sdt>
      <w:sdtPr>
        <w:id w:val="-48956564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617D9A99" w14:textId="77777777" w:rsidR="004E1C39" w:rsidRDefault="004E1C3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MxsjAyNTc2sLA0tDBV0lEKTi0uzszPAykwrAUAfLim0ywAAAA="/>
  </w:docVars>
  <w:rsids>
    <w:rsidRoot w:val="00F24451"/>
    <w:rsid w:val="000A61C2"/>
    <w:rsid w:val="000F2896"/>
    <w:rsid w:val="00161368"/>
    <w:rsid w:val="00186E63"/>
    <w:rsid w:val="0022081F"/>
    <w:rsid w:val="0023178A"/>
    <w:rsid w:val="002717F2"/>
    <w:rsid w:val="002F7120"/>
    <w:rsid w:val="003142E0"/>
    <w:rsid w:val="003F08FA"/>
    <w:rsid w:val="00424C40"/>
    <w:rsid w:val="0049205F"/>
    <w:rsid w:val="004E1C39"/>
    <w:rsid w:val="00506A60"/>
    <w:rsid w:val="00584B68"/>
    <w:rsid w:val="006D4C80"/>
    <w:rsid w:val="007D1D49"/>
    <w:rsid w:val="00814274"/>
    <w:rsid w:val="00815856"/>
    <w:rsid w:val="00873444"/>
    <w:rsid w:val="00873E0D"/>
    <w:rsid w:val="00880DF8"/>
    <w:rsid w:val="00926402"/>
    <w:rsid w:val="00944144"/>
    <w:rsid w:val="009559F6"/>
    <w:rsid w:val="009A3689"/>
    <w:rsid w:val="00B1049F"/>
    <w:rsid w:val="00BA68F6"/>
    <w:rsid w:val="00C579B7"/>
    <w:rsid w:val="00D552FB"/>
    <w:rsid w:val="00DB5CEF"/>
    <w:rsid w:val="00DE67C9"/>
    <w:rsid w:val="00E02746"/>
    <w:rsid w:val="00E36123"/>
    <w:rsid w:val="00E43C1E"/>
    <w:rsid w:val="00E865E1"/>
    <w:rsid w:val="00E9284B"/>
    <w:rsid w:val="00EC30CF"/>
    <w:rsid w:val="00EE6BA9"/>
    <w:rsid w:val="00F24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BAC04"/>
  <w15:chartTrackingRefBased/>
  <w15:docId w15:val="{5FF3B407-1FEA-4BBC-93F5-7336BF61E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7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1C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1C39"/>
  </w:style>
  <w:style w:type="paragraph" w:styleId="Footer">
    <w:name w:val="footer"/>
    <w:basedOn w:val="Normal"/>
    <w:link w:val="FooterChar"/>
    <w:uiPriority w:val="99"/>
    <w:unhideWhenUsed/>
    <w:rsid w:val="004E1C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1C39"/>
  </w:style>
  <w:style w:type="paragraph" w:styleId="NormalWeb">
    <w:name w:val="Normal (Web)"/>
    <w:basedOn w:val="Normal"/>
    <w:uiPriority w:val="99"/>
    <w:semiHidden/>
    <w:unhideWhenUsed/>
    <w:rsid w:val="0087344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73444"/>
    <w:rPr>
      <w:color w:val="0563C1" w:themeColor="hyperlink"/>
      <w:u w:val="single"/>
    </w:rPr>
  </w:style>
  <w:style w:type="character" w:styleId="UnresolvedMention">
    <w:name w:val="Unresolved Mention"/>
    <w:basedOn w:val="DefaultParagraphFont"/>
    <w:uiPriority w:val="99"/>
    <w:semiHidden/>
    <w:unhideWhenUsed/>
    <w:rsid w:val="008734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235796">
      <w:bodyDiv w:val="1"/>
      <w:marLeft w:val="0"/>
      <w:marRight w:val="0"/>
      <w:marTop w:val="0"/>
      <w:marBottom w:val="0"/>
      <w:divBdr>
        <w:top w:val="none" w:sz="0" w:space="0" w:color="auto"/>
        <w:left w:val="none" w:sz="0" w:space="0" w:color="auto"/>
        <w:bottom w:val="none" w:sz="0" w:space="0" w:color="auto"/>
        <w:right w:val="none" w:sz="0" w:space="0" w:color="auto"/>
      </w:divBdr>
      <w:divsChild>
        <w:div w:id="305940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legal-guidance/jurisdiction" TargetMode="External"/><Relationship Id="rId13" Type="http://schemas.openxmlformats.org/officeDocument/2006/relationships/hyperlink" Target="https://www.defence-barrister.co.uk/how-prosecution-decisions-are-made" TargetMode="External"/><Relationship Id="rId18" Type="http://schemas.openxmlformats.org/officeDocument/2006/relationships/hyperlink" Target="https://www.unodc.org/e4j/en/crime-prevention-criminal-justice/module-14/key-issues/2--general-issues--public-prosecutors-as-the-gate-keepers-of-criminal-justice.html"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cps.gov.uk/publication/code-crown-prosecutors" TargetMode="External"/><Relationship Id="rId12" Type="http://schemas.openxmlformats.org/officeDocument/2006/relationships/hyperlink" Target="https://www.justia.com/criminal/docs/stages-of-a-criminal-case/" TargetMode="External"/><Relationship Id="rId17" Type="http://schemas.openxmlformats.org/officeDocument/2006/relationships/hyperlink" Target="https://www.lawsociety.org.uk/topics/advocacy/advocacy-tips-for-the-crown-court" TargetMode="External"/><Relationship Id="rId2" Type="http://schemas.openxmlformats.org/officeDocument/2006/relationships/settings" Target="settings.xml"/><Relationship Id="rId16" Type="http://schemas.openxmlformats.org/officeDocument/2006/relationships/hyperlink" Target="https://www.ppsc-sppc.gc.ca/eng/pub/fpsd-sfpg/fps-sfp/tpd/p2/ch03.html"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judiciary.uk/about-the-judiciary/our-justice-system/court-structure/" TargetMode="External"/><Relationship Id="rId11" Type="http://schemas.openxmlformats.org/officeDocument/2006/relationships/hyperlink" Target="https://www.icc-cpi.int/about/how-the-court-works" TargetMode="External"/><Relationship Id="rId5" Type="http://schemas.openxmlformats.org/officeDocument/2006/relationships/endnotes" Target="endnotes.xml"/><Relationship Id="rId15" Type="http://schemas.openxmlformats.org/officeDocument/2006/relationships/hyperlink" Target="https://doi.org/10.1163/15718123-bja1015" TargetMode="External"/><Relationship Id="rId10" Type="http://schemas.openxmlformats.org/officeDocument/2006/relationships/hyperlink" Target="https://www.echr.coe.int/documents/d/echr/guide_art_6_criminal_eng"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cps.gov.uk/about-cps" TargetMode="External"/><Relationship Id="rId14" Type="http://schemas.openxmlformats.org/officeDocument/2006/relationships/hyperlink" Target="https://www.lawhandbook.sa.gov.au/ch12s02.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2175</Words>
  <Characters>12401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Tasleem kara</cp:lastModifiedBy>
  <cp:revision>2</cp:revision>
  <dcterms:created xsi:type="dcterms:W3CDTF">2023-08-14T21:34:00Z</dcterms:created>
  <dcterms:modified xsi:type="dcterms:W3CDTF">2023-08-14T21:34:00Z</dcterms:modified>
</cp:coreProperties>
</file>