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Autospacing="0" w:afterAutospacing="0"/>
        <w:ind w:left="-180" w:right="-334"/>
      </w:pPr>
      <w:bookmarkStart w:id="0" w:name="OLE_LINK6"/>
      <w:r>
        <w:rPr>
          <w:lang w:eastAsia="en-GB"/>
        </w:rPr>
        <w:drawing>
          <wp:inline distT="0" distB="0" distL="114300" distR="114300">
            <wp:extent cx="2058035" cy="856615"/>
            <wp:effectExtent l="0" t="0" r="12065" b="6985"/>
            <wp:docPr id="5" name="图片 5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blettm\AppData\Local\Microsoft\Windows\Temporary Internet Files\Content.Outlook\R41HOZLM\UWTSD Logo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856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spacing w:beforeAutospacing="0" w:afterAutospacing="0"/>
        <w:ind w:left="-180" w:right="-334"/>
      </w:pPr>
    </w:p>
    <w:p>
      <w:pPr>
        <w:pStyle w:val="5"/>
        <w:spacing w:beforeAutospacing="0" w:afterAutospacing="0"/>
        <w:ind w:left="-180" w:right="-334"/>
      </w:pPr>
    </w:p>
    <w:p>
      <w:pPr>
        <w:pStyle w:val="5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>
      <w:pPr>
        <w:pStyle w:val="5"/>
        <w:spacing w:beforeAutospacing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>
      <w:pPr>
        <w:rPr>
          <w:rFonts w:ascii="Arial" w:hAnsi="Arial" w:cs="Arial"/>
          <w:sz w:val="28"/>
          <w:szCs w:val="28"/>
          <w:lang w:val="cy-GB"/>
        </w:rPr>
      </w:pPr>
    </w:p>
    <w:p>
      <w:pPr>
        <w:pStyle w:val="2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>
      <w:pPr>
        <w:pStyle w:val="2"/>
        <w:jc w:val="center"/>
        <w:rPr>
          <w:rFonts w:ascii="Trebuchet MS" w:hAnsi="Trebuchet MS"/>
        </w:rPr>
      </w:pPr>
    </w:p>
    <w:tbl>
      <w:tblPr>
        <w:tblStyle w:val="7"/>
        <w:tblW w:w="88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8"/>
        <w:gridCol w:w="423"/>
        <w:gridCol w:w="1557"/>
        <w:gridCol w:w="286"/>
        <w:gridCol w:w="18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Sicheng Zhou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4788" w:type="dxa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hint="eastAsia" w:ascii="Arial" w:hAnsi="Arial" w:cs="Arial"/>
                <w:sz w:val="22"/>
                <w:szCs w:val="22"/>
              </w:rPr>
              <w:t>SICH3003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Explaining and memorizing the classical Chinese text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>
            <w:pPr>
              <w:pStyle w:val="5"/>
              <w:spacing w:beforeAutospacing="0" w:afterAutospacing="0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18043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88</w:t>
            </w:r>
          </w:p>
        </w:tc>
        <w:tc>
          <w:tcPr>
            <w:tcW w:w="1802" w:type="dxa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hint="eastAsia" w:ascii="Arial" w:hAnsi="Arial" w:cs="Arial"/>
                <w:sz w:val="22"/>
                <w:szCs w:val="22"/>
              </w:rPr>
              <w:t xml:space="preserve"> Professor Chia-Feng Hsieh 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date:11</w:t>
            </w:r>
            <w:r>
              <w:rPr>
                <w:rFonts w:hint="eastAsia" w:ascii="Arial" w:hAnsi="Arial" w:cs="Arial"/>
                <w:sz w:val="22"/>
                <w:szCs w:val="22"/>
              </w:rPr>
              <w:t>th January, 2019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tcBorders>
              <w:bottom w:val="single" w:color="000000" w:sz="4" w:space="0"/>
            </w:tcBorders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>
              <w:rPr>
                <w:rFonts w:hint="eastAsia" w:ascii="Arial" w:hAnsi="Arial" w:cs="Arial"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4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>
              <w:rPr>
                <w:rFonts w:ascii="Arial" w:hAnsi="Arial" w:cs="Arial"/>
                <w:sz w:val="22"/>
                <w:szCs w:val="22"/>
              </w:rPr>
              <w:t xml:space="preserve"> √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5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7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8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shd w:val="clear" w:color="auto" w:fill="D9D9D9"/>
          </w:tcPr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Sicheng Zhou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</w:t>
            </w:r>
          </w:p>
          <w:p>
            <w:pPr>
              <w:pStyle w:val="5"/>
              <w:spacing w:beforeAutospacing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</w:rPr>
              <w:t>Email submission: if you are submitting this form via email, please tick this box</w:t>
            </w:r>
            <w:r>
              <w:rPr>
                <w:rFonts w:ascii="Calibri" w:hAnsi="Calibri" w:cs="Tahoma"/>
                <w:b/>
                <w:sz w:val="36"/>
                <w:szCs w:val="36"/>
              </w:rPr>
              <w:sym w:font="Wingdings" w:char="00FE"/>
            </w:r>
          </w:p>
          <w:p>
            <w:pPr>
              <w:pStyle w:val="5"/>
              <w:spacing w:beforeAutospacing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2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/>
                <w:b/>
              </w:rPr>
            </w:pPr>
          </w:p>
          <w:p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Style w:val="7"/>
              <w:tblW w:w="863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70"/>
              <w:gridCol w:w="166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  <w:p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5"/>
              <w:spacing w:beforeAutospacing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>
            <w:pPr>
              <w:pStyle w:val="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>
            <w:pPr>
              <w:pStyle w:val="5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6768" w:type="dxa"/>
            <w:gridSpan w:val="3"/>
          </w:tcPr>
          <w:p>
            <w:pPr>
              <w:pStyle w:val="5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</w:tcPr>
          <w:p>
            <w:pPr>
              <w:pStyle w:val="5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Comment on process on arriving at agreed mark:</w:t>
            </w: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bookmarkEnd w:id="0"/>
    </w:tbl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  <w:r>
        <w:rPr>
          <w:rFonts w:hint="eastAsia" w:ascii="DFKai-SB" w:hAnsi="DFKai-SB" w:eastAsia="DFKai-SB" w:cs="DFKai-SB"/>
          <w:sz w:val="36"/>
          <w:szCs w:val="36"/>
          <w:lang w:eastAsia="zh-TW"/>
        </w:rPr>
        <w:t>背誦內容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  <w:t>注：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  <w:t>紅色：背錯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green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green"/>
          <w:lang w:val="en-US" w:eastAsia="zh-CN"/>
        </w:rPr>
        <w:t>綠色：背漏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  <w:t>黃色：卡頓</w:t>
      </w:r>
    </w:p>
    <w:p>
      <w:pPr>
        <w:rPr>
          <w:rFonts w:hint="eastAsia" w:ascii="PMingLiU" w:hAnsi="PMingLiU" w:eastAsia="PMingLiU" w:cs="PMingLiU"/>
          <w:color w:val="000000" w:themeColor="text1"/>
          <w:sz w:val="28"/>
          <w:szCs w:val="28"/>
          <w:highlight w:val="darkGray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PMingLiU" w:hAnsi="PMingLiU" w:eastAsia="PMingLiU" w:cs="PMingLiU"/>
          <w:color w:val="000000" w:themeColor="text1"/>
          <w:sz w:val="28"/>
          <w:szCs w:val="28"/>
          <w:highlight w:val="darkGray"/>
          <w:lang w:val="en-US" w:eastAsia="zh-CN"/>
          <w14:textFill>
            <w14:solidFill>
              <w14:schemeClr w14:val="tx1"/>
            </w14:solidFill>
          </w14:textFill>
        </w:rPr>
        <w:t>灰色：补考</w:t>
      </w:r>
    </w:p>
    <w:p>
      <w:pPr>
        <w:rPr>
          <w:rFonts w:hint="eastAsia" w:ascii="PMingLiU" w:hAnsi="PMingLiU" w:eastAsia="PMingLiU" w:cs="PMingLiU"/>
          <w:sz w:val="28"/>
          <w:szCs w:val="28"/>
          <w:lang w:eastAsia="zh-TW"/>
        </w:rPr>
      </w:pPr>
      <w:r>
        <w:rPr>
          <w:rFonts w:hint="eastAsia" w:ascii="PMingLiU" w:hAnsi="PMingLiU" w:eastAsia="PMingLiU" w:cs="PMingLiU"/>
          <w:sz w:val="28"/>
          <w:szCs w:val="28"/>
          <w:lang w:eastAsia="zh-TW"/>
        </w:rPr>
        <w:t>《大學》背誦：</w:t>
      </w:r>
    </w:p>
    <w:p>
      <w:pPr>
        <w:numPr>
          <w:ilvl w:val="0"/>
          <w:numId w:val="1"/>
        </w:numPr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bookmarkStart w:id="7" w:name="OLE_LINK1"/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大學之道，在明明德，在親民，在止於至善。知止而後有定，定而後能靜，靜而後能安，安而後能慮，慮而後能得。物有本末，事有終始，知所先後，則近道矣。</w:t>
      </w:r>
    </w:p>
    <w:bookmarkEnd w:id="7"/>
    <w:p>
      <w:pPr>
        <w:numPr>
          <w:ilvl w:val="0"/>
          <w:numId w:val="0"/>
        </w:num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古之欲明明德於天下者，先治其國；欲治其國者，先齊其家；欲齊其家者，先修其身；欲修其身者，先正其心；欲正其心者，先誠其意；欲誠其意者，先致其知，致知在格物。物格而後知至，知至而後意誠，意誠而後心正，心正而後身修，身修而後家齊，家齊而後國治，國治而後天下平。自天子以至於庶人，壹是皆以修身為本。其本亂而末治者否矣，其所厚者薄，而其所薄者厚，未之有也！此謂知本，此謂知之至也。</w:t>
      </w:r>
    </w:p>
    <w:p>
      <w:pPr>
        <w:numPr>
          <w:ilvl w:val="0"/>
          <w:numId w:val="0"/>
        </w:num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tabs>
          <w:tab w:val="clear" w:pos="312"/>
        </w:tabs>
        <w:ind w:left="0" w:leftChars="0" w:firstLine="0" w:firstLineChars="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所謂平天下在治其國者：上老老而民興孝，上長長而民興弟，上恤孤而民不倍，是以君子有潔矩之道也。所惡於上，毋以使下；所惡於下，毋以事上；所惡於前，毋以先後；所惡於後，毋以從前；所惡於右，毋以交於左；所惡於左，毋以交於右。此之謂潔矩之道。《詩》雲：「樂只君子，民之父母。」民之所好好之，民之所惡惡之，此之謂民之父母。《詩》雲：「節彼南山，維石岩岩。赫赫師尹，民具爾瞻。」有國者不可以不慎，辟則為天下戮矣。</w:t>
      </w:r>
    </w:p>
    <w:p>
      <w:pPr>
        <w:widowControl w:val="0"/>
        <w:numPr>
          <w:ilvl w:val="0"/>
          <w:numId w:val="1"/>
        </w:numPr>
        <w:tabs>
          <w:tab w:val="clear" w:pos="312"/>
        </w:tabs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《诗》云：「殷之未丧师，克配上帝。仪监于殷，峻命不易。」道得众则得国，失众则失国。是故君子先慎乎德。有德此有人，有人此有土，有土此有财，有财此有用。德者本也，财者末也，外本内末，争民施夺。是故财聚则民散，财散则民聚。是故言悖而出者，亦悖而入；货悖而入者，亦悖而出。《康诰》曰：「惟命不于常！」道善则得之，不善则失之矣。楚书曰：「楚国无以为宝，惟善以为宝。」舅犯曰：「亡人无以为宝，仁亲以为宝。」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《中庸》背誦：</w:t>
      </w:r>
    </w:p>
    <w:p>
      <w:pPr>
        <w:widowControl w:val="0"/>
        <w:numPr>
          <w:ilvl w:val="0"/>
          <w:numId w:val="2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天命之謂性，率性之謂道，修道之謂教。道也者，不可須臾離也，可離非道也。是故君子戒慎乎其所不睹，恐懼乎其所不聞。莫見乎隱，莫顯乎微。故君子慎其獨也。喜怒哀樂之未發，謂之中；發而皆中節，謂之和；中也者，天下之大本也；和也者，天下之達道也。致中和，天地位焉，萬物育焉。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仲尼曰：「君子中庸，小人反中庸。君子之中庸也，君子而時中；小人之中庸也，小人而無忌憚也。」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子曰：「中庸其至矣乎！民鮮能久矣！ 」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2"/>
        </w:numPr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哀公問政。子曰：「文、武之政，布在方策，其人存，則其政舉；其人亡，則其政息。人道敏政，地道敏樹。夫政也者，蒲盧也。故為政在人，取人以身，修身以道，修道以仁。仁者人也，親親為大；義者宜也，尊賢為大。親親之殺，尊賢之等，禮所生也。在下位不獲乎上，民不可得而治矣！故君子不可以不修身；思修身，不可以不事親；思事親，不可以不知人；思知人，不可以不知天。天下之達道五，所以行之者三，曰：君臣也，父子也，夫婦也，昆弟也，朋友之交也，</w:t>
      </w:r>
      <w:r>
        <w:rPr>
          <w:rFonts w:hint="eastAsia" w:ascii="DFKai-SB" w:hAnsi="DFKai-SB" w:eastAsia="DFKai-SB" w:cs="DFKai-SB"/>
          <w:color w:val="000000" w:themeColor="text1"/>
          <w:sz w:val="28"/>
          <w:szCs w:val="28"/>
          <w:highlight w:val="green"/>
          <w:lang w:val="en-US" w:eastAsia="zh-CN"/>
          <w14:textFill>
            <w14:solidFill>
              <w14:schemeClr w14:val="tx1"/>
            </w14:solidFill>
          </w14:textFill>
        </w:rPr>
        <w:t>五者天下之達道也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。</w:t>
      </w:r>
      <w:r>
        <w:rPr>
          <w:rFonts w:hint="eastAsia" w:ascii="DFKai-SB" w:hAnsi="DFKai-SB" w:eastAsia="DFKai-SB" w:cs="DFKai-SB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  <w:t>知仁勇三者，天下之達德也</w:t>
      </w:r>
      <w:r>
        <w:rPr>
          <w:rFonts w:hint="eastAsia" w:ascii="DFKai-SB" w:hAnsi="DFKai-SB" w:eastAsia="DFKai-SB" w:cs="DFKai-SB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所以行之者一也。或生而知之，或學而知之，或困而知之，及其知之，一也；或安而行之，或利而行之，或勉強而行之，及其成功，一也。」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2"/>
        </w:numPr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自誠明，謂之性；自明誠，謂之</w:t>
      </w:r>
      <w:r>
        <w:rPr>
          <w:rFonts w:hint="eastAsia" w:ascii="DFKai-SB" w:hAnsi="DFKai-SB" w:eastAsia="DFKai-SB" w:cs="DFKai-SB"/>
          <w:sz w:val="28"/>
          <w:szCs w:val="28"/>
          <w:highlight w:val="yellow"/>
          <w:lang w:val="en-US" w:eastAsia="zh-CN"/>
        </w:rPr>
        <w:t>教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。誠則明矣，明則誠矣。唯天下至誠，為能盡其性；能盡其性，則能盡人之性；能盡人之性，則能盡物之性；能盡物之性，則可以贊天地之化育；可以贊天地之化育，則可以與天地參矣。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2"/>
        </w:numPr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子曰：「愚而好自用，賤而好自專，生乎今之世，反古之道。如此者，災及其身者也。」非天子，不議禮，不制度，不考文。今天下車同軌，書同文，行同倫。雖有其位，苟無其德，不敢作禮樂焉；雖有其德，苟無其位，亦不敢作禮樂焉。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子曰：「吾說夏禮，杞不足徵也。吾學殷禮，有宋存焉；吾學周禮，今用之，吾從周。」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《論語》背誦：</w:t>
      </w:r>
    </w:p>
    <w:p>
      <w:pPr>
        <w:numPr>
          <w:ilvl w:val="0"/>
          <w:numId w:val="3"/>
        </w:numP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>〈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  <w:lang w:val="en-US" w:eastAsia="zh-CN"/>
        </w:rPr>
        <w:t>顏淵第十二</w:t>
      </w:r>
      <w:r>
        <w:rPr>
          <w:rFonts w:hint="eastAsia" w:ascii="DFKai-SB" w:hAnsi="DFKai-SB" w:eastAsia="DFKai-SB" w:cs="DFKai-SB"/>
          <w:color w:val="000000"/>
          <w:sz w:val="28"/>
          <w:szCs w:val="28"/>
          <w:shd w:val="clear" w:color="auto" w:fill="FFFFFF"/>
        </w:rPr>
        <w:t xml:space="preserve">〉  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顏淵問「仁」。子曰：「克己復禮為仁。一日克己復禮，天下歸仁焉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eastAsia="zh-TW"/>
        </w:rPr>
        <w:t>。為仁由己，而由仁乎哉？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」顏淵曰：「請問其目？」子曰：「非禮勿視，非禮勿聽，非禮勿言，非禮勿動。」顏淵曰：「回雖不敏，請事斯語矣！」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仲弓問「仁」。子曰：「出門如見大賓；使民如承大祭；己所不欲，勿施於人；在邦無怨，在家無怨。」仲弓曰：「雍雖不敏，請事斯語矣！」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司馬牛問「仁」。子曰：「仁者，其言也訒。」曰：「其言也訒，斯謂之仁矣乎？」子曰：「為之難，言之得無訒乎？」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司馬牛問「君子」。子曰：「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  <w:lang w:eastAsia="zh-TW"/>
        </w:rPr>
        <w:t>君子不憂不懼。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」曰：「不憂不懼，斯謂之君子矣乎？」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red"/>
          <w:lang w:eastAsia="zh-TW"/>
        </w:rPr>
        <w:t>子曰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：「內省不疚，夫何憂何懼？」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</w:p>
    <w:p>
      <w:pPr>
        <w:widowControl w:val="0"/>
        <w:numPr>
          <w:ilvl w:val="0"/>
          <w:numId w:val="3"/>
        </w:numPr>
        <w:tabs>
          <w:tab w:val="clear" w:pos="312"/>
        </w:tabs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 xml:space="preserve">〈衛靈公第十五〉 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子張問「行」。子曰：「言忠信，行篤敬，雖蠻貊之邦行矣；言不忠信，行不篤敬，雖州里行乎哉？立，則見其參於前也，在輿，則見其倚於衡也，夫然後行！」子張書諸紳。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子曰：「直哉史魚！邦有道，如矢，邦無道，如矢。君子哉蘧伯玉！邦有道，則仕，邦無道，則可卷而懷之。」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 xml:space="preserve">    子曰：「可與言而不與之言，失人；不可與言而與之言，失言。知者不失人，亦不失言。」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子曰：「志士仁人，無求生以害仁，有殺身以成仁。」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 xml:space="preserve">    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red"/>
          <w:lang w:val="en-US" w:eastAsia="zh-CN"/>
        </w:rPr>
        <w:t>子貢問為仁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。子曰：「工欲善其事，必先利其器。居是邦也，事其大夫之賢者，友其士之仁者。」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顏淵問為邦。子曰：「行夏之時，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乘殷之輅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，服周之冕。樂則韶舞，放鄭聲，遠佞人。鄭聲淫，佞人殆。」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3"/>
        </w:numPr>
        <w:tabs>
          <w:tab w:val="clear" w:pos="312"/>
        </w:tabs>
        <w:spacing w:after="160" w:line="259" w:lineRule="auto"/>
        <w:ind w:left="0" w:leftChars="0" w:firstLine="0" w:firstLineChars="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 xml:space="preserve">〈卫灵公第十五〉 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子曰：「益者三友，損者三友。友直，友諒，友多聞，益矣。友便辟，友善柔，友便佞，損矣。」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子曰：「益者三樂，損者三樂。樂節禮樂，樂道人之善，樂多賢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red"/>
          <w:lang w:val="en-US" w:eastAsia="zh-CN"/>
        </w:rPr>
        <w:t>友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，益矣。樂驕樂，樂佚遊，樂宴樂，損矣。」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子曰：「侍於君子有三愆。言未及之而言，謂之躁，言及之而不言，謂之隱，未見顏色而言，謂之瞽。」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子曰：「君子有三戒。少之時，血氣未定，戒之在色；及其壯也，血氣方剛，戒之在鬥；及其老也，血氣既衰，戒之在得。」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子曰：「君子有三畏：畏天命，畏大人，畏聖人之言。小人不知天命而不畏也，狎大人，侮聖人之言。」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子曰：「生而知之者，上也；學而知之者，次也；困而學之，又其次也。困而不學，民斯為下矣！」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val="en-US" w:eastAsia="zh-CN"/>
        </w:rPr>
        <w:t>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  <w:lang w:val="en-US" w:eastAsia="zh-CN"/>
        </w:rPr>
        <w:t>子曰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  <w:lang w:val="en-US" w:eastAsia="zh-CN"/>
        </w:rPr>
        <w:t>君子有九思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：視思明，聽思聰，色思溫，貌思恭，言思忠，事思敬，疑思問，忿思難，見得思義。」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rPr>
          <w:rFonts w:ascii="PMingLiU" w:hAnsi="PMingLiU" w:eastAsia="PMingLiU" w:cs="PMingLiU"/>
          <w:color w:val="000000"/>
          <w:sz w:val="28"/>
          <w:szCs w:val="28"/>
          <w:highlight w:val="darkGray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highlight w:val="darkGray"/>
          <w:shd w:val="clear" w:color="auto" w:fill="FFFFFF"/>
        </w:rPr>
        <w:t>《孟子》背誦：</w:t>
      </w:r>
    </w:p>
    <w:p>
      <w:pPr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darkGray"/>
          <w:lang w:val="en-US" w:eastAsia="zh-CN"/>
        </w:rPr>
        <w:t>1.</w:t>
      </w:r>
      <w:r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  <w:t>孟子見梁惠王。王曰：「叟!不遠千里而來，亦將有以利吾國乎？」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  <w:t>孟子對曰：「王何必曰利？亦有仁義而已矣。王曰『何以利吾國』？大夫曰『何以利吾家』？士庶人曰『何以利吾身』？上下交征利而國危矣。萬乘之國弒其君者，必千乘之家；千乘之國弒其君者，必百乘之家。萬取千焉，千取百焉，不為不多矣。苟為後義而先利，不奪不饜。未有仁而遺其親者也，未有義而後其君者也。王亦曰仁義而已矣，何必曰利？」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</w:pP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  <w:lang w:val="en-US" w:eastAsia="zh-CN"/>
        </w:rPr>
        <w:t>2.孟子曰：「人皆有不忍人之心。先王有不忍人之心，斯有不忍人之政矣。以不忍人之心，行不忍人之政，治天下可運之掌上。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  <w:lang w:val="en-US" w:eastAsia="zh-CN"/>
        </w:rPr>
        <w:t>所以謂人皆有不忍人之心者，今人乍見孺子將入於井，皆有怵惕惻隱之心。非所以內交於孺子之父母也，非所以要譽於鄉黨朋友也，非惡其聲而然也。由是觀之，無惻隱之心，非人也；無羞惡之心，非人也；無辭讓之心，非人也；無是非之心，非人也。惻隱之心，仁之端也；羞惡之心，義之端也；辭讓之心，禮之端也；是非之心，智之端也。人之有是四端也，猶其有四體也。有是四端而自謂不能者，自賊者也；謂其君不能者，賊其君者也。</w:t>
      </w:r>
      <w:r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  <w:t>」</w:t>
      </w: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</w:rPr>
      </w:pPr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宋体" w:cs="DFKai-SB"/>
          <w:sz w:val="28"/>
          <w:szCs w:val="28"/>
          <w:highlight w:val="red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highlight w:val="darkGray"/>
          <w:shd w:val="clear" w:color="auto" w:fill="FFFFFF"/>
          <w:lang w:val="en-US" w:eastAsia="zh-CN"/>
        </w:rPr>
        <w:t>3.孟子曰：「魚，我所欲也；熊掌，亦我所欲也，二者不可得兼，舍魚而取熊掌者也。生，亦我所欲也；義，亦我所欲也，二者不可得兼，舍生而取義者也。生，亦我所欲，所欲有甚於生者，故不為苟得也；死，亦我所惡，所惡有甚於死者，故患有所不辟也。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  <w:lang w:val="en-US" w:eastAsia="zh-CN"/>
        </w:rPr>
        <w:t>如使人之所欲莫甚於生，則凡可以得生者，何不用也？使人之所惡莫甚於死者，則凡可以辟患者，何不為也？由是則生，而有不用也，由是則可以辟患，而有不為也。是故，所欲有甚於生者，所惡有甚於死者，非獨賢者有是心也，人皆有之，賢者能勿喪耳。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」</w:t>
      </w:r>
      <w:r>
        <w:rPr>
          <w:rFonts w:hint="eastAsia" w:ascii="PMingLiU" w:hAnsi="PMingLiU" w:eastAsia="PMingLiU" w:cs="PMingLiU"/>
          <w:sz w:val="28"/>
          <w:szCs w:val="28"/>
          <w:highlight w:val="red"/>
          <w:shd w:val="clear" w:color="auto" w:fill="FFFFFF"/>
          <w:lang w:eastAsia="zh-CN"/>
        </w:rPr>
        <w:t>（</w:t>
      </w:r>
      <w:r>
        <w:rPr>
          <w:rFonts w:hint="eastAsia" w:ascii="PMingLiU" w:hAnsi="PMingLiU" w:eastAsia="PMingLiU" w:cs="PMingLiU"/>
          <w:sz w:val="28"/>
          <w:szCs w:val="28"/>
          <w:highlight w:val="red"/>
          <w:shd w:val="clear" w:color="auto" w:fill="FFFFFF"/>
          <w:lang w:val="en-US" w:eastAsia="zh-CN"/>
        </w:rPr>
        <w:t>不会背</w:t>
      </w:r>
      <w:r>
        <w:rPr>
          <w:rFonts w:hint="eastAsia" w:ascii="PMingLiU" w:hAnsi="PMingLiU" w:eastAsia="PMingLiU" w:cs="PMingLiU"/>
          <w:sz w:val="28"/>
          <w:szCs w:val="28"/>
          <w:highlight w:val="red"/>
          <w:shd w:val="clear" w:color="auto" w:fill="FFFFFF"/>
          <w:lang w:eastAsia="zh-CN"/>
        </w:rPr>
        <w:t>）</w:t>
      </w:r>
      <w:bookmarkStart w:id="8" w:name="_GoBack"/>
      <w:bookmarkEnd w:id="8"/>
    </w:p>
    <w:p>
      <w:pPr>
        <w:widowControl w:val="0"/>
        <w:numPr>
          <w:ilvl w:val="0"/>
          <w:numId w:val="0"/>
        </w:numPr>
        <w:spacing w:after="160" w:line="259" w:lineRule="auto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jc w:val="center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  <w:t>經文淺釋</w:t>
      </w:r>
    </w:p>
    <w:p>
      <w:pP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經文：</w:t>
      </w:r>
    </w:p>
    <w:p>
      <w:pPr>
        <w:numPr>
          <w:ilvl w:val="0"/>
          <w:numId w:val="0"/>
        </w:num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大學之道，在明明德，在親民，在止於至善。知止而後有定，定而後能靜，靜而後能安，安而後能慮，慮而後能得。物有本末，事有終始，知所先後，則近道矣。</w:t>
      </w:r>
    </w:p>
    <w:p>
      <w:pPr>
        <w:numPr>
          <w:ilvl w:val="0"/>
          <w:numId w:val="0"/>
        </w:numPr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rPr>
          <w:rFonts w:hint="eastAsia" w:ascii="PMingLiU" w:hAnsi="PMingLiU" w:eastAsia="PMingLiU" w:cs="PMingLiU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大學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就是大人之學，也是經世致用之學。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明德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就是聖人之德，是我們人人本具的性德。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明明德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就是恢復我們的聖人之德；當我們的自性恢復圓滿的時候，我們會發現其實我們並沒有在外面找到什麼，而是恢復了我們本有的明德。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親民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就是去立人。當我們自己先恢復本性，自己的本性圓滿之後，幫助別人也去恢復他們的本性，這就是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親民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。而當我們自覺和覺他都做到至善圓滿的時候，這就是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止於至善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，也就是達到了聖人的境界。</w:t>
      </w:r>
    </w:p>
    <w:p>
      <w:pPr>
        <w:numPr>
          <w:ilvl w:val="0"/>
          <w:numId w:val="0"/>
        </w:numPr>
        <w:ind w:firstLine="560" w:firstLineChars="200"/>
        <w:rPr>
          <w:rFonts w:hint="eastAsia" w:ascii="PMingLiU" w:hAnsi="PMingLiU" w:eastAsia="PMingLiU" w:cs="PMingLiU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知止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就是我們的心有所止，就是我們立定了一個志向。這樣的話我們就會有了一個堅定的方向。有了這個堅定的方向之後，我們的心就會靜下來，就不會被外面的誘惑，外面的環境所干擾。當我們的心不被外在的環境所干擾的時候，我們的心就會有所安住，安住在我們的志向上，安住在我們當下所做的每一件事上。當我們能夠安住的時候，我們就會有很深的思慮去把問題看得更清楚。當我們在思慮過後我們就會得，這個得就是得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止於至善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，做到自覺覺他都圓滿的一個狀態。一個事物都有它的根本和它的枝葉的部分，一件事也有它的開始和結束，我們要知道孰先孰後，孰重孰輕，然後這樣去處理和對待我們身邊的每一個人、事、物，隨事盡道，用自己的那一份真心去在每一個當下的境界中，用我們的本性去處理，做到中庸，做到每一個當下都能處理得很圓滿。這樣我們就能接近於宇宙的這個大道了，這就是這樣一個圓滿的狀態。</w:t>
      </w:r>
    </w:p>
    <w:p>
      <w:pPr>
        <w:numPr>
          <w:ilvl w:val="0"/>
          <w:numId w:val="0"/>
        </w:numPr>
        <w:ind w:firstLine="560" w:firstLineChars="200"/>
        <w:rPr>
          <w:rFonts w:hint="eastAsia" w:ascii="PMingLiU" w:hAnsi="PMingLiU" w:eastAsia="PMingLiU" w:cs="PMingLiU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以上就是思成對於《大學》第一段的一個簡單的講解。</w:t>
      </w:r>
    </w:p>
    <w:p>
      <w:pPr>
        <w:numPr>
          <w:ilvl w:val="0"/>
          <w:numId w:val="0"/>
        </w:numPr>
        <w:ind w:firstLine="560" w:firstLineChars="200"/>
        <w:rPr>
          <w:rFonts w:hint="eastAsia" w:ascii="PMingLiU" w:hAnsi="PMingLiU" w:eastAsia="PMingLiU" w:cs="PMingLiU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rPr>
          <w:rFonts w:hint="eastAsia" w:ascii="PMingLiU" w:hAnsi="PMingLiU" w:eastAsia="PMingLiU" w:cs="PMingLiU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要成就一番事業先是什麼？後是什麼？</w:t>
      </w:r>
    </w:p>
    <w:p>
      <w:pPr>
        <w:widowControl w:val="0"/>
        <w:numPr>
          <w:ilvl w:val="0"/>
          <w:numId w:val="0"/>
        </w:numPr>
        <w:spacing w:after="160" w:line="259" w:lineRule="auto"/>
        <w:ind w:firstLine="560" w:firstLineChars="20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從這一段的次第來說，先是應該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知止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，讓自己心有所止。我們的心，我們的人生要朝著怎樣的一個方向去前進，去努力。這是不管做任何一件事的根本，我們得要知道我們最終的一個目的是什麼？而最終的目的就是大學所說的——不管我們從事什麼樣的行業或者在怎樣的因緣當中，但是我們的最終目的都是要達到——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「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止於至善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」</w:t>
      </w:r>
      <w:r>
        <w:rPr>
          <w:rFonts w:hint="eastAsia" w:ascii="PMingLiU" w:hAnsi="PMingLiU" w:eastAsia="PMingLiU" w:cs="PMingLiU"/>
          <w:sz w:val="28"/>
          <w:szCs w:val="28"/>
          <w:lang w:val="en-US" w:eastAsia="zh-CN"/>
        </w:rPr>
        <w:t>，這樣一個境界和狀態，就是做到自覺覺他都圓滿。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spacing w:after="160" w:line="259" w:lineRule="auto"/>
        <w:ind w:leftChars="0"/>
        <w:jc w:val="both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華康雅藝體W6(P)">
    <w:panose1 w:val="040B0600000000000000"/>
    <w:charset w:val="88"/>
    <w:family w:val="auto"/>
    <w:pitch w:val="default"/>
    <w:sig w:usb0="800002E3" w:usb1="28CFFCFA" w:usb2="00000016" w:usb3="00000000" w:csb0="001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0B238"/>
    <w:multiLevelType w:val="singleLevel"/>
    <w:tmpl w:val="2300B23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874EB4C"/>
    <w:multiLevelType w:val="singleLevel"/>
    <w:tmpl w:val="2874EB4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7EEBB696"/>
    <w:multiLevelType w:val="singleLevel"/>
    <w:tmpl w:val="7EEBB69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F53ED3"/>
    <w:rsid w:val="5474146D"/>
    <w:rsid w:val="6752706C"/>
    <w:rsid w:val="7F85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ind w:left="720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="0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WuXin</dc:creator>
  <cp:lastModifiedBy>釋無心。</cp:lastModifiedBy>
  <dcterms:modified xsi:type="dcterms:W3CDTF">2019-01-11T01:56:53Z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