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8D711" w14:textId="77777777" w:rsidR="0013621C" w:rsidRDefault="0013621C"/>
    <w:p w14:paraId="080387B8" w14:textId="5FDD347D" w:rsidR="00585BB1" w:rsidRPr="00190E74" w:rsidRDefault="00D201A9" w:rsidP="00585BB1">
      <w:pPr>
        <w:rPr>
          <w:b/>
          <w:bCs/>
          <w:color w:val="0C11FF"/>
          <w:sz w:val="28"/>
          <w:szCs w:val="28"/>
          <w:u w:val="single"/>
        </w:rPr>
      </w:pPr>
      <w:r w:rsidRPr="00190E74">
        <w:rPr>
          <w:b/>
          <w:bCs/>
          <w:color w:val="0C11FF"/>
          <w:sz w:val="28"/>
          <w:szCs w:val="28"/>
          <w:u w:val="single"/>
        </w:rPr>
        <w:t xml:space="preserve">Why is </w:t>
      </w:r>
      <w:r w:rsidR="00585BB1" w:rsidRPr="00190E74">
        <w:rPr>
          <w:b/>
          <w:bCs/>
          <w:color w:val="0C11FF"/>
          <w:sz w:val="28"/>
          <w:szCs w:val="28"/>
          <w:u w:val="single"/>
        </w:rPr>
        <w:t>Language development</w:t>
      </w:r>
      <w:r w:rsidRPr="00190E74">
        <w:rPr>
          <w:b/>
          <w:bCs/>
          <w:color w:val="0C11FF"/>
          <w:sz w:val="28"/>
          <w:szCs w:val="28"/>
          <w:u w:val="single"/>
        </w:rPr>
        <w:t xml:space="preserve"> important for </w:t>
      </w:r>
      <w:proofErr w:type="gramStart"/>
      <w:r w:rsidRPr="00190E74">
        <w:rPr>
          <w:b/>
          <w:bCs/>
          <w:color w:val="0C11FF"/>
          <w:sz w:val="28"/>
          <w:szCs w:val="28"/>
          <w:u w:val="single"/>
        </w:rPr>
        <w:t>children</w:t>
      </w:r>
      <w:proofErr w:type="gramEnd"/>
    </w:p>
    <w:p w14:paraId="0F2538E6" w14:textId="77777777" w:rsidR="00585BB1" w:rsidRPr="00190E74" w:rsidRDefault="00585BB1" w:rsidP="00585BB1">
      <w:pPr>
        <w:rPr>
          <w:b/>
          <w:bCs/>
          <w:color w:val="0C11FF"/>
          <w:sz w:val="28"/>
          <w:szCs w:val="28"/>
          <w:u w:val="single"/>
        </w:rPr>
      </w:pPr>
    </w:p>
    <w:p w14:paraId="6254E731" w14:textId="77777777" w:rsidR="00983656" w:rsidRPr="00EA08AE" w:rsidRDefault="00983656" w:rsidP="00983656">
      <w:pPr>
        <w:rPr>
          <w:color w:val="000000" w:themeColor="text1"/>
        </w:rPr>
      </w:pPr>
      <w:r w:rsidRPr="00EA08AE">
        <w:rPr>
          <w:color w:val="000000" w:themeColor="text1"/>
        </w:rPr>
        <w:t>From babbling to words to basic phrases, children's speech evolves throughout hundreds of hours of interacting with adults. Research indicates that as infants start comprehending words, their vocabulary grows rapidly.</w:t>
      </w:r>
      <w:r>
        <w:rPr>
          <w:color w:val="000000" w:themeColor="text1"/>
        </w:rPr>
        <w:t xml:space="preserve"> </w:t>
      </w:r>
      <w:r>
        <w:rPr>
          <w:color w:val="000000"/>
        </w:rPr>
        <w:t>(Department for Education, 2022)</w:t>
      </w:r>
    </w:p>
    <w:p w14:paraId="6E361EBC" w14:textId="77777777" w:rsidR="00983656" w:rsidRPr="00190E74" w:rsidRDefault="00983656" w:rsidP="00983656">
      <w:pPr>
        <w:rPr>
          <w:b/>
          <w:bCs/>
          <w:color w:val="0C11FF"/>
          <w:sz w:val="28"/>
          <w:szCs w:val="28"/>
          <w:u w:val="single"/>
        </w:rPr>
      </w:pPr>
    </w:p>
    <w:p w14:paraId="2D460DA1" w14:textId="77777777" w:rsidR="00983656" w:rsidRDefault="00983656" w:rsidP="00983656">
      <w:pPr>
        <w:rPr>
          <w:rFonts w:eastAsia="Times New Roman"/>
          <w:color w:val="0B0C0C"/>
          <w:kern w:val="0"/>
          <w:lang w:eastAsia="en-GB"/>
          <w14:ligatures w14:val="none"/>
        </w:rPr>
      </w:pPr>
      <w:r>
        <w:rPr>
          <w:rFonts w:eastAsia="Times New Roman"/>
          <w:color w:val="0B0C0C"/>
          <w:kern w:val="0"/>
          <w:lang w:eastAsia="en-GB"/>
          <w14:ligatures w14:val="none"/>
        </w:rPr>
        <w:t xml:space="preserve">  </w:t>
      </w:r>
      <w:r w:rsidRPr="00DF02ED">
        <w:rPr>
          <w:rFonts w:eastAsia="Times New Roman"/>
          <w:color w:val="0B0C0C"/>
          <w:kern w:val="0"/>
          <w:lang w:eastAsia="en-GB"/>
          <w14:ligatures w14:val="none"/>
        </w:rPr>
        <w:t>Children recognise roughly 50 words by the time they are one year old, 1,000 words by the time they are three years old, and 10,000 words by the time they are five years old.</w:t>
      </w:r>
      <w:r>
        <w:rPr>
          <w:rFonts w:eastAsia="Times New Roman"/>
          <w:color w:val="0B0C0C"/>
          <w:kern w:val="0"/>
          <w:lang w:eastAsia="en-GB"/>
          <w14:ligatures w14:val="none"/>
        </w:rPr>
        <w:t xml:space="preserve"> </w:t>
      </w:r>
      <w:r w:rsidRPr="00930330">
        <w:rPr>
          <w:color w:val="000000"/>
        </w:rPr>
        <w:t>(Department for Education, 2022)</w:t>
      </w:r>
    </w:p>
    <w:p w14:paraId="7385B293" w14:textId="77777777" w:rsidR="00983656" w:rsidRPr="00190E74" w:rsidRDefault="00983656" w:rsidP="00983656">
      <w:pPr>
        <w:rPr>
          <w:b/>
          <w:bCs/>
          <w:color w:val="0C11FF"/>
          <w:sz w:val="28"/>
          <w:szCs w:val="28"/>
          <w:u w:val="single"/>
        </w:rPr>
      </w:pPr>
    </w:p>
    <w:p w14:paraId="6B20B07A" w14:textId="77777777" w:rsidR="00983656" w:rsidRDefault="00983656" w:rsidP="00983656">
      <w:pPr>
        <w:rPr>
          <w:color w:val="000000"/>
        </w:rPr>
      </w:pPr>
      <w:r>
        <w:rPr>
          <w:color w:val="000000"/>
        </w:rPr>
        <w:t xml:space="preserve">   </w:t>
      </w:r>
      <w:r w:rsidRPr="00930330">
        <w:rPr>
          <w:color w:val="000000"/>
        </w:rPr>
        <w:t>The language abilities of children are predictive of their success in school and are linked to their entire development. Children lay the groundwork for literacy, for deciphering spoken and visual cues, and eventually for reading and writing as their speaking and listening skills grow. (Department for Education, 2022)</w:t>
      </w:r>
    </w:p>
    <w:p w14:paraId="29243A4A" w14:textId="77777777" w:rsidR="00983656" w:rsidRDefault="00983656" w:rsidP="00983656">
      <w:pPr>
        <w:rPr>
          <w:color w:val="000000"/>
        </w:rPr>
      </w:pPr>
    </w:p>
    <w:p w14:paraId="6DDCF874" w14:textId="77777777" w:rsidR="00983656" w:rsidRDefault="00983656" w:rsidP="00983656">
      <w:pPr>
        <w:rPr>
          <w:color w:val="000000"/>
        </w:rPr>
      </w:pPr>
      <w:r>
        <w:rPr>
          <w:color w:val="000000"/>
        </w:rPr>
        <w:t xml:space="preserve">    </w:t>
      </w:r>
      <w:r w:rsidRPr="000742AE">
        <w:rPr>
          <w:color w:val="000000"/>
        </w:rPr>
        <w:t>Cognitive and language development are intimately related. Making links between words and concepts, processing complex information, and honing problem-solving techniques are all part of learning a language. Learning to speak helps kids develop cognitive skills like reasoning, memory, and focus—all of which are critical for learning and doing well in school.</w:t>
      </w:r>
    </w:p>
    <w:p w14:paraId="35C55351" w14:textId="7EF1E270" w:rsidR="0085789B" w:rsidRPr="00190E74" w:rsidRDefault="00C9496F" w:rsidP="00585BB1">
      <w:pPr>
        <w:rPr>
          <w:b/>
          <w:bCs/>
          <w:color w:val="0C11FF"/>
          <w:sz w:val="28"/>
          <w:szCs w:val="28"/>
          <w:u w:val="single"/>
        </w:rPr>
      </w:pPr>
      <w:r>
        <w:rPr>
          <w:noProof/>
          <w:color w:val="000000"/>
        </w:rPr>
        <w:drawing>
          <wp:anchor distT="0" distB="0" distL="114300" distR="114300" simplePos="0" relativeHeight="251662336" behindDoc="0" locked="0" layoutInCell="1" allowOverlap="1" wp14:anchorId="2088E3A4" wp14:editId="7A581904">
            <wp:simplePos x="0" y="0"/>
            <wp:positionH relativeFrom="column">
              <wp:posOffset>-751205</wp:posOffset>
            </wp:positionH>
            <wp:positionV relativeFrom="paragraph">
              <wp:posOffset>214630</wp:posOffset>
            </wp:positionV>
            <wp:extent cx="2426970" cy="1616075"/>
            <wp:effectExtent l="0" t="0" r="0" b="0"/>
            <wp:wrapSquare wrapText="bothSides"/>
            <wp:docPr id="1816334187" name="Picture 1" descr="A child with his mouth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34187" name="Picture 1" descr="A child with his mouth ope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426970" cy="1616075"/>
                    </a:xfrm>
                    <a:prstGeom prst="rect">
                      <a:avLst/>
                    </a:prstGeom>
                  </pic:spPr>
                </pic:pic>
              </a:graphicData>
            </a:graphic>
            <wp14:sizeRelH relativeFrom="page">
              <wp14:pctWidth>0</wp14:pctWidth>
            </wp14:sizeRelH>
            <wp14:sizeRelV relativeFrom="page">
              <wp14:pctHeight>0</wp14:pctHeight>
            </wp14:sizeRelV>
          </wp:anchor>
        </w:drawing>
      </w:r>
    </w:p>
    <w:p w14:paraId="485981C6" w14:textId="77777777" w:rsidR="00AC0077" w:rsidRPr="00190E74" w:rsidRDefault="00AC0077" w:rsidP="00585BB1">
      <w:pPr>
        <w:rPr>
          <w:b/>
          <w:bCs/>
          <w:color w:val="0C11FF"/>
          <w:sz w:val="28"/>
          <w:szCs w:val="28"/>
          <w:u w:val="single"/>
        </w:rPr>
      </w:pPr>
    </w:p>
    <w:p w14:paraId="6F5B1E5A" w14:textId="77777777" w:rsidR="00476AB8" w:rsidRDefault="00476AB8" w:rsidP="00585BB1">
      <w:pPr>
        <w:rPr>
          <w:color w:val="000000"/>
        </w:rPr>
      </w:pPr>
    </w:p>
    <w:p w14:paraId="4411BADE" w14:textId="77777777" w:rsidR="00476AB8" w:rsidRDefault="00476AB8" w:rsidP="00585BB1">
      <w:pPr>
        <w:rPr>
          <w:color w:val="000000"/>
        </w:rPr>
      </w:pPr>
    </w:p>
    <w:p w14:paraId="2077C9C2" w14:textId="77777777" w:rsidR="00476AB8" w:rsidRDefault="00476AB8" w:rsidP="00585BB1">
      <w:pPr>
        <w:rPr>
          <w:color w:val="000000"/>
        </w:rPr>
      </w:pPr>
    </w:p>
    <w:p w14:paraId="1404A22C" w14:textId="77777777" w:rsidR="00476AB8" w:rsidRDefault="00476AB8" w:rsidP="00585BB1">
      <w:pPr>
        <w:rPr>
          <w:color w:val="000000"/>
        </w:rPr>
      </w:pPr>
    </w:p>
    <w:p w14:paraId="531D87E5" w14:textId="77777777" w:rsidR="00476AB8" w:rsidRDefault="00476AB8" w:rsidP="00585BB1">
      <w:pPr>
        <w:rPr>
          <w:color w:val="000000"/>
        </w:rPr>
      </w:pPr>
    </w:p>
    <w:p w14:paraId="45B70832" w14:textId="77777777" w:rsidR="00476AB8" w:rsidRDefault="00476AB8" w:rsidP="00585BB1">
      <w:pPr>
        <w:rPr>
          <w:color w:val="000000"/>
        </w:rPr>
      </w:pPr>
    </w:p>
    <w:p w14:paraId="35FFA2AC" w14:textId="77777777" w:rsidR="00C9496F" w:rsidRDefault="00C9496F" w:rsidP="00585BB1">
      <w:pPr>
        <w:rPr>
          <w:color w:val="000000"/>
        </w:rPr>
      </w:pPr>
    </w:p>
    <w:p w14:paraId="32F22B29" w14:textId="77777777" w:rsidR="00C9496F" w:rsidRDefault="00C9496F" w:rsidP="00585BB1">
      <w:pPr>
        <w:rPr>
          <w:color w:val="000000"/>
        </w:rPr>
      </w:pPr>
    </w:p>
    <w:p w14:paraId="44594AAD" w14:textId="77777777" w:rsidR="00226339" w:rsidRDefault="00226339" w:rsidP="00226339">
      <w:r>
        <w:t xml:space="preserve">       </w:t>
      </w:r>
    </w:p>
    <w:p w14:paraId="7737A733" w14:textId="525FE822" w:rsidR="00226339" w:rsidRDefault="00226339" w:rsidP="00226339">
      <w:r w:rsidRPr="00F51A62">
        <w:t>Collaboration and social engagement with adults and peers are facilitated by language. Children can converse, negotiate, share ideas, and work together on projects using language. To foster good social-emotional growth and overall wellbeing, effective communication skills are crucial for navigating social settings, settling disputes, and forming connections.</w:t>
      </w:r>
    </w:p>
    <w:p w14:paraId="2D1654D4" w14:textId="77777777" w:rsidR="00226339" w:rsidRDefault="00226339" w:rsidP="00226339"/>
    <w:p w14:paraId="4CC101E3" w14:textId="77777777" w:rsidR="00226339" w:rsidRDefault="00226339" w:rsidP="00226339">
      <w:pPr>
        <w:rPr>
          <w:color w:val="000000"/>
        </w:rPr>
      </w:pPr>
      <w:r>
        <w:t xml:space="preserve">      </w:t>
      </w:r>
      <w:r w:rsidRPr="00D56208">
        <w:t>Children from more underprivileged homes might not have as many opportunities to expand their vocabulary. Nonetheless, studies indicate that a great deal may be done in the formative years to prevent disparities in young children's language development.</w:t>
      </w:r>
      <w:r w:rsidRPr="00D56208">
        <w:rPr>
          <w:color w:val="000000"/>
        </w:rPr>
        <w:t xml:space="preserve"> </w:t>
      </w:r>
      <w:r w:rsidRPr="00930330">
        <w:rPr>
          <w:color w:val="000000"/>
        </w:rPr>
        <w:t>(Department for Education, 2022)</w:t>
      </w:r>
    </w:p>
    <w:p w14:paraId="6F9399EE" w14:textId="77777777" w:rsidR="00226339" w:rsidRDefault="00226339" w:rsidP="00226339">
      <w:pPr>
        <w:rPr>
          <w:color w:val="000000"/>
        </w:rPr>
      </w:pPr>
    </w:p>
    <w:p w14:paraId="0C8528AA" w14:textId="77777777" w:rsidR="00226339" w:rsidRDefault="00226339" w:rsidP="00226339">
      <w:pPr>
        <w:rPr>
          <w:color w:val="000000"/>
        </w:rPr>
      </w:pPr>
      <w:r>
        <w:rPr>
          <w:color w:val="000000"/>
        </w:rPr>
        <w:t xml:space="preserve">   </w:t>
      </w:r>
      <w:r w:rsidRPr="00D56208">
        <w:rPr>
          <w:color w:val="000000"/>
        </w:rPr>
        <w:t>When infants are immersed in engaging, language-rich contexts that offer them chances to pick up new vocabulary, they grow up with good language abilities. Engaging in practical activities fosters learning and offers a framework for examining new vocabulary. For instance, youngsters find it simpler to learn the names of vegetables when they touch or taste them.</w:t>
      </w:r>
      <w:r>
        <w:rPr>
          <w:color w:val="000000"/>
        </w:rPr>
        <w:t xml:space="preserve"> </w:t>
      </w:r>
      <w:r w:rsidRPr="00930330">
        <w:rPr>
          <w:color w:val="000000"/>
        </w:rPr>
        <w:t>(Department for Education, 2022)</w:t>
      </w:r>
    </w:p>
    <w:p w14:paraId="207274CF" w14:textId="77777777" w:rsidR="00C9496F" w:rsidRDefault="00C9496F" w:rsidP="00585BB1">
      <w:pPr>
        <w:rPr>
          <w:color w:val="000000"/>
        </w:rPr>
      </w:pPr>
    </w:p>
    <w:p w14:paraId="62AA5FF1" w14:textId="77777777" w:rsidR="001D5F78" w:rsidRDefault="001D5F78" w:rsidP="001D5F78">
      <w:pPr>
        <w:rPr>
          <w:color w:val="000000"/>
        </w:rPr>
      </w:pPr>
      <w:r w:rsidRPr="002A2791">
        <w:t>One of the most important parts of human life is communication. Human interaction involves the exchange of messages, information, and emotions through communication. Language is a method by which communication takes place.</w:t>
      </w:r>
      <w:r w:rsidRPr="002A2791">
        <w:rPr>
          <w:color w:val="000000"/>
        </w:rPr>
        <w:t xml:space="preserve"> </w:t>
      </w:r>
      <w:r>
        <w:rPr>
          <w:color w:val="000000"/>
        </w:rPr>
        <w:t>(Communication theory, 2021)</w:t>
      </w:r>
    </w:p>
    <w:p w14:paraId="3D2F81E2" w14:textId="77777777" w:rsidR="001D5F78" w:rsidRDefault="001D5F78" w:rsidP="001D5F78">
      <w:pPr>
        <w:rPr>
          <w:color w:val="000000"/>
        </w:rPr>
      </w:pPr>
      <w:r>
        <w:rPr>
          <w:noProof/>
        </w:rPr>
        <w:drawing>
          <wp:anchor distT="0" distB="0" distL="114300" distR="114300" simplePos="0" relativeHeight="251664384" behindDoc="0" locked="0" layoutInCell="1" allowOverlap="1" wp14:anchorId="62969311" wp14:editId="4594D675">
            <wp:simplePos x="0" y="0"/>
            <wp:positionH relativeFrom="column">
              <wp:posOffset>-743585</wp:posOffset>
            </wp:positionH>
            <wp:positionV relativeFrom="paragraph">
              <wp:posOffset>241935</wp:posOffset>
            </wp:positionV>
            <wp:extent cx="2571750" cy="1819275"/>
            <wp:effectExtent l="0" t="0" r="6350" b="0"/>
            <wp:wrapSquare wrapText="bothSides"/>
            <wp:docPr id="1737889099" name="Picture 1" descr="A child shouting into a mega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032129" name="Picture 1" descr="A child shouting into a megapho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571750" cy="1819275"/>
                    </a:xfrm>
                    <a:prstGeom prst="rect">
                      <a:avLst/>
                    </a:prstGeom>
                  </pic:spPr>
                </pic:pic>
              </a:graphicData>
            </a:graphic>
            <wp14:sizeRelH relativeFrom="page">
              <wp14:pctWidth>0</wp14:pctWidth>
            </wp14:sizeRelH>
            <wp14:sizeRelV relativeFrom="page">
              <wp14:pctHeight>0</wp14:pctHeight>
            </wp14:sizeRelV>
          </wp:anchor>
        </w:drawing>
      </w:r>
    </w:p>
    <w:p w14:paraId="069D7BFD" w14:textId="77777777" w:rsidR="001D5F78" w:rsidRDefault="001D5F78" w:rsidP="00585BB1">
      <w:pPr>
        <w:rPr>
          <w:color w:val="000000"/>
        </w:rPr>
      </w:pPr>
    </w:p>
    <w:p w14:paraId="1E9B47BE" w14:textId="77777777" w:rsidR="00A647D1" w:rsidRDefault="00A647D1" w:rsidP="00585BB1">
      <w:pPr>
        <w:rPr>
          <w:color w:val="000000"/>
        </w:rPr>
      </w:pPr>
    </w:p>
    <w:p w14:paraId="3A2958B7" w14:textId="77777777" w:rsidR="00A647D1" w:rsidRDefault="00A647D1" w:rsidP="00585BB1">
      <w:pPr>
        <w:rPr>
          <w:color w:val="000000"/>
        </w:rPr>
      </w:pPr>
    </w:p>
    <w:p w14:paraId="4B3F04F4" w14:textId="77777777" w:rsidR="00A647D1" w:rsidRDefault="00A647D1" w:rsidP="00585BB1">
      <w:pPr>
        <w:rPr>
          <w:color w:val="000000"/>
        </w:rPr>
      </w:pPr>
    </w:p>
    <w:p w14:paraId="67990DBA" w14:textId="77777777" w:rsidR="00A647D1" w:rsidRDefault="00A647D1" w:rsidP="00585BB1">
      <w:pPr>
        <w:rPr>
          <w:color w:val="000000"/>
        </w:rPr>
      </w:pPr>
    </w:p>
    <w:p w14:paraId="0DC5D073" w14:textId="77777777" w:rsidR="00A647D1" w:rsidRDefault="00A647D1" w:rsidP="00585BB1">
      <w:pPr>
        <w:rPr>
          <w:color w:val="000000"/>
        </w:rPr>
      </w:pPr>
    </w:p>
    <w:p w14:paraId="708D3B14" w14:textId="77777777" w:rsidR="00A647D1" w:rsidRDefault="00A647D1" w:rsidP="00585BB1">
      <w:pPr>
        <w:rPr>
          <w:color w:val="000000"/>
        </w:rPr>
      </w:pPr>
    </w:p>
    <w:p w14:paraId="742A3227" w14:textId="77777777" w:rsidR="00A647D1" w:rsidRDefault="00A647D1" w:rsidP="00585BB1">
      <w:pPr>
        <w:rPr>
          <w:color w:val="000000"/>
        </w:rPr>
      </w:pPr>
    </w:p>
    <w:p w14:paraId="67650460" w14:textId="77777777" w:rsidR="00A647D1" w:rsidRDefault="00A647D1" w:rsidP="00585BB1">
      <w:pPr>
        <w:rPr>
          <w:color w:val="000000"/>
        </w:rPr>
      </w:pPr>
    </w:p>
    <w:p w14:paraId="42AB4F6E" w14:textId="77777777" w:rsidR="00A647D1" w:rsidRDefault="00A647D1" w:rsidP="00585BB1">
      <w:pPr>
        <w:rPr>
          <w:color w:val="000000"/>
        </w:rPr>
      </w:pPr>
    </w:p>
    <w:p w14:paraId="11A19985" w14:textId="77777777" w:rsidR="00A647D1" w:rsidRDefault="00A647D1" w:rsidP="00585BB1">
      <w:pPr>
        <w:rPr>
          <w:color w:val="000000"/>
        </w:rPr>
      </w:pPr>
    </w:p>
    <w:p w14:paraId="1B65B40D" w14:textId="77777777" w:rsidR="00A647D1" w:rsidRDefault="00A647D1" w:rsidP="00585BB1">
      <w:pPr>
        <w:rPr>
          <w:color w:val="000000"/>
        </w:rPr>
      </w:pPr>
    </w:p>
    <w:p w14:paraId="1885F8D0" w14:textId="29B2AE98" w:rsidR="00A647D1" w:rsidRDefault="00E43D42" w:rsidP="00A647D1">
      <w:pPr>
        <w:rPr>
          <w:color w:val="000000"/>
        </w:rPr>
      </w:pPr>
      <w:r>
        <w:t xml:space="preserve"> </w:t>
      </w:r>
      <w:r w:rsidR="00A647D1" w:rsidRPr="002A2791">
        <w:t>When communicating, language can be non-verbal, such as through signs, body language, or facial expressions, or verbal, such as using words to read, write, and talk. Despite the abundance of communication channels, communications are occasionally misinterpreted or not fully understood.</w:t>
      </w:r>
      <w:r w:rsidR="00A647D1">
        <w:t xml:space="preserve"> </w:t>
      </w:r>
      <w:r w:rsidR="00A647D1">
        <w:rPr>
          <w:color w:val="000000"/>
        </w:rPr>
        <w:t>(Communication theory, 2021)</w:t>
      </w:r>
    </w:p>
    <w:p w14:paraId="387F44F4" w14:textId="77777777" w:rsidR="00455236" w:rsidRDefault="00455236" w:rsidP="00A647D1">
      <w:pPr>
        <w:rPr>
          <w:color w:val="000000"/>
        </w:rPr>
      </w:pPr>
    </w:p>
    <w:p w14:paraId="66A70007" w14:textId="77777777" w:rsidR="00A647D1" w:rsidRDefault="00A647D1" w:rsidP="00A647D1">
      <w:pPr>
        <w:rPr>
          <w:color w:val="000000"/>
        </w:rPr>
      </w:pPr>
      <w:r>
        <w:rPr>
          <w:color w:val="000000"/>
        </w:rPr>
        <w:t xml:space="preserve">  </w:t>
      </w:r>
      <w:r w:rsidRPr="00DF02ED">
        <w:rPr>
          <w:color w:val="000000"/>
        </w:rPr>
        <w:t>Language barriers are those aspects of language use that cause misunderstandings or a total breakdown in communication. Language obstacles pertain to linguistic features that impede comprehension. This could be due to several things, including variations in the language user's nation or region, reading level, and educational background.</w:t>
      </w:r>
      <w:r>
        <w:rPr>
          <w:color w:val="000000"/>
        </w:rPr>
        <w:t xml:space="preserve"> (Communication theory, 2021)</w:t>
      </w:r>
    </w:p>
    <w:p w14:paraId="2FB8FCC9" w14:textId="77777777" w:rsidR="00A647D1" w:rsidRDefault="00A647D1" w:rsidP="00A647D1">
      <w:pPr>
        <w:rPr>
          <w:color w:val="000000"/>
        </w:rPr>
      </w:pPr>
    </w:p>
    <w:p w14:paraId="66C6889A" w14:textId="77777777" w:rsidR="00A647D1" w:rsidRDefault="00A647D1" w:rsidP="00A647D1">
      <w:pPr>
        <w:rPr>
          <w:color w:val="000000"/>
        </w:rPr>
      </w:pPr>
      <w:r>
        <w:t xml:space="preserve">  </w:t>
      </w:r>
      <w:r w:rsidRPr="00DA587D">
        <w:t>Language development can be impacted by cultural and linguistic differences among carers, educators, and the local community, especially for children from immigrant or minority backgrounds.</w:t>
      </w:r>
      <w:r>
        <w:t xml:space="preserve"> </w:t>
      </w:r>
      <w:r>
        <w:rPr>
          <w:color w:val="000000"/>
        </w:rPr>
        <w:t>(</w:t>
      </w:r>
      <w:proofErr w:type="spellStart"/>
      <w:r>
        <w:rPr>
          <w:color w:val="000000"/>
        </w:rPr>
        <w:t>Toppelberg</w:t>
      </w:r>
      <w:proofErr w:type="spellEnd"/>
      <w:r>
        <w:rPr>
          <w:color w:val="000000"/>
        </w:rPr>
        <w:t xml:space="preserve"> and Collins, 2010)</w:t>
      </w:r>
    </w:p>
    <w:p w14:paraId="69737720" w14:textId="77777777" w:rsidR="00A647D1" w:rsidRDefault="00A647D1" w:rsidP="00A647D1">
      <w:pPr>
        <w:rPr>
          <w:color w:val="000000"/>
        </w:rPr>
      </w:pPr>
    </w:p>
    <w:p w14:paraId="0DADF825" w14:textId="77777777" w:rsidR="00A647D1" w:rsidRDefault="00A647D1" w:rsidP="00A647D1">
      <w:pPr>
        <w:rPr>
          <w:color w:val="000000"/>
        </w:rPr>
      </w:pPr>
      <w:r>
        <w:rPr>
          <w:color w:val="000000"/>
        </w:rPr>
        <w:t xml:space="preserve">  </w:t>
      </w:r>
      <w:r w:rsidRPr="00DA587D">
        <w:rPr>
          <w:color w:val="000000"/>
        </w:rPr>
        <w:t>To ensure that children receive the necessary support to effectively develop their language abilities, it is often necessary to take a diverse strategy to addressing these hurdles. This approach should involve families, educators, healthcare experts, lawmakers, and communities.</w:t>
      </w:r>
      <w:r>
        <w:rPr>
          <w:color w:val="000000"/>
        </w:rPr>
        <w:t xml:space="preserve"> (Department for Education, 2022)</w:t>
      </w:r>
    </w:p>
    <w:p w14:paraId="0005A0FF" w14:textId="027046C3" w:rsidR="00A647D1" w:rsidRDefault="00BE4BD6" w:rsidP="00585BB1">
      <w:pPr>
        <w:rPr>
          <w:color w:val="000000"/>
        </w:rPr>
      </w:pPr>
      <w:r>
        <w:rPr>
          <w:noProof/>
          <w:color w:val="000000"/>
        </w:rPr>
        <w:drawing>
          <wp:anchor distT="0" distB="0" distL="114300" distR="114300" simplePos="0" relativeHeight="251666432" behindDoc="0" locked="0" layoutInCell="1" allowOverlap="1" wp14:anchorId="28574710" wp14:editId="55B99785">
            <wp:simplePos x="0" y="0"/>
            <wp:positionH relativeFrom="column">
              <wp:posOffset>-841375</wp:posOffset>
            </wp:positionH>
            <wp:positionV relativeFrom="paragraph">
              <wp:posOffset>190500</wp:posOffset>
            </wp:positionV>
            <wp:extent cx="2841625" cy="1477645"/>
            <wp:effectExtent l="0" t="0" r="3175" b="0"/>
            <wp:wrapSquare wrapText="bothSides"/>
            <wp:docPr id="530726922" name="Picture 2" descr="A person and a child reading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726922" name="Picture 2" descr="A person and a child reading a book&#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41625" cy="1477645"/>
                    </a:xfrm>
                    <a:prstGeom prst="rect">
                      <a:avLst/>
                    </a:prstGeom>
                  </pic:spPr>
                </pic:pic>
              </a:graphicData>
            </a:graphic>
            <wp14:sizeRelH relativeFrom="page">
              <wp14:pctWidth>0</wp14:pctWidth>
            </wp14:sizeRelH>
            <wp14:sizeRelV relativeFrom="page">
              <wp14:pctHeight>0</wp14:pctHeight>
            </wp14:sizeRelV>
          </wp:anchor>
        </w:drawing>
      </w:r>
    </w:p>
    <w:p w14:paraId="4C8B731F" w14:textId="77777777" w:rsidR="00476AB8" w:rsidRDefault="00476AB8" w:rsidP="00585BB1">
      <w:pPr>
        <w:rPr>
          <w:color w:val="000000"/>
        </w:rPr>
      </w:pPr>
    </w:p>
    <w:p w14:paraId="63202B53" w14:textId="77777777" w:rsidR="00476AB8" w:rsidRDefault="00476AB8" w:rsidP="00585BB1">
      <w:pPr>
        <w:rPr>
          <w:color w:val="000000"/>
        </w:rPr>
      </w:pPr>
    </w:p>
    <w:p w14:paraId="5E0DE060" w14:textId="77777777" w:rsidR="00476AB8" w:rsidRDefault="00476AB8" w:rsidP="00585BB1">
      <w:pPr>
        <w:rPr>
          <w:color w:val="000000"/>
        </w:rPr>
      </w:pPr>
    </w:p>
    <w:p w14:paraId="36736791" w14:textId="77777777" w:rsidR="00476AB8" w:rsidRDefault="00476AB8" w:rsidP="00585BB1">
      <w:pPr>
        <w:rPr>
          <w:color w:val="000000"/>
        </w:rPr>
      </w:pPr>
    </w:p>
    <w:p w14:paraId="6463873A" w14:textId="77777777" w:rsidR="00476AB8" w:rsidRDefault="00476AB8" w:rsidP="00585BB1">
      <w:pPr>
        <w:rPr>
          <w:color w:val="000000"/>
        </w:rPr>
      </w:pPr>
    </w:p>
    <w:p w14:paraId="07117B8B" w14:textId="77777777" w:rsidR="00476AB8" w:rsidRDefault="00476AB8" w:rsidP="00585BB1">
      <w:pPr>
        <w:rPr>
          <w:color w:val="000000"/>
        </w:rPr>
      </w:pPr>
    </w:p>
    <w:p w14:paraId="2A8DF926" w14:textId="77777777" w:rsidR="00476AB8" w:rsidRDefault="00476AB8" w:rsidP="00585BB1">
      <w:pPr>
        <w:rPr>
          <w:color w:val="000000"/>
        </w:rPr>
      </w:pPr>
    </w:p>
    <w:p w14:paraId="2E25C16A" w14:textId="77777777" w:rsidR="00476AB8" w:rsidRDefault="00476AB8" w:rsidP="00585BB1">
      <w:pPr>
        <w:rPr>
          <w:color w:val="000000"/>
        </w:rPr>
      </w:pPr>
    </w:p>
    <w:p w14:paraId="2DCD6DA0" w14:textId="77777777" w:rsidR="0034788E" w:rsidRDefault="0034788E" w:rsidP="0034788E">
      <w:pPr>
        <w:rPr>
          <w:color w:val="000000"/>
        </w:rPr>
      </w:pPr>
    </w:p>
    <w:p w14:paraId="5CBD0A0C" w14:textId="77777777" w:rsidR="0034788E" w:rsidRDefault="0034788E" w:rsidP="0034788E">
      <w:pPr>
        <w:rPr>
          <w:color w:val="000000"/>
        </w:rPr>
      </w:pPr>
    </w:p>
    <w:p w14:paraId="3C2C0899" w14:textId="76A8C0B9" w:rsidR="0034788E" w:rsidRDefault="0034788E" w:rsidP="0034788E">
      <w:pPr>
        <w:rPr>
          <w:color w:val="000000"/>
        </w:rPr>
      </w:pPr>
      <w:r>
        <w:rPr>
          <w:color w:val="000000"/>
        </w:rPr>
        <w:lastRenderedPageBreak/>
        <w:t xml:space="preserve">    </w:t>
      </w:r>
      <w:r w:rsidRPr="00AC6D54">
        <w:rPr>
          <w:color w:val="000000"/>
        </w:rPr>
        <w:t>It is possible that schools and other educational environments do not provide sufficient support for language development due to insufficient teaching techniques, curricula, or educational policies.</w:t>
      </w:r>
      <w:r>
        <w:rPr>
          <w:color w:val="000000"/>
        </w:rPr>
        <w:t xml:space="preserve"> (OECD, 2019)</w:t>
      </w:r>
    </w:p>
    <w:p w14:paraId="0052A024" w14:textId="77777777" w:rsidR="0034788E" w:rsidRDefault="0034788E" w:rsidP="0034788E">
      <w:pPr>
        <w:rPr>
          <w:color w:val="000000"/>
        </w:rPr>
      </w:pPr>
    </w:p>
    <w:p w14:paraId="7CD62E49" w14:textId="4940F7D2" w:rsidR="0034788E" w:rsidRDefault="0034788E" w:rsidP="0034788E">
      <w:pPr>
        <w:rPr>
          <w:color w:val="000000"/>
        </w:rPr>
      </w:pPr>
      <w:r>
        <w:t xml:space="preserve">    </w:t>
      </w:r>
      <w:r w:rsidRPr="00AC6D54">
        <w:t>Throughout the entirety of a person's life, from childhood to adulthood, the development of language is significantly influenced by social interaction</w:t>
      </w:r>
      <w:r>
        <w:t xml:space="preserve">. </w:t>
      </w:r>
      <w:r w:rsidRPr="005B2552">
        <w:t>Attempts at language acquisition are provided with instant feedback and reinforcement through social interactions. When a child tries to communicate, whether through babbling, words, or sentences, the responses they receive from others help reinforce correct language use and encourage further language development</w:t>
      </w:r>
      <w:r w:rsidR="00DA1538">
        <w:t xml:space="preserve">. </w:t>
      </w:r>
      <w:r w:rsidR="00DA1538" w:rsidRPr="00DA1538">
        <w:rPr>
          <w:color w:val="000000"/>
        </w:rPr>
        <w:t xml:space="preserve"> </w:t>
      </w:r>
      <w:r w:rsidR="00DA1538">
        <w:rPr>
          <w:color w:val="000000"/>
        </w:rPr>
        <w:t>(Allen and Kelly, 2015)</w:t>
      </w:r>
      <w:r w:rsidR="00AA629F">
        <w:rPr>
          <w:color w:val="000000"/>
        </w:rPr>
        <w:t xml:space="preserve"> </w:t>
      </w:r>
    </w:p>
    <w:p w14:paraId="36065D82" w14:textId="77777777" w:rsidR="00592B66" w:rsidRDefault="00592B66" w:rsidP="0034788E">
      <w:pPr>
        <w:rPr>
          <w:color w:val="000000"/>
        </w:rPr>
      </w:pPr>
    </w:p>
    <w:p w14:paraId="4231B3FA" w14:textId="77777777" w:rsidR="007B35E8" w:rsidRDefault="007B35E8" w:rsidP="007B35E8">
      <w:pPr>
        <w:rPr>
          <w:color w:val="000000"/>
        </w:rPr>
      </w:pPr>
      <w:r w:rsidRPr="005B2552">
        <w:rPr>
          <w:color w:val="000000"/>
        </w:rPr>
        <w:t>It is possible for governments to develop policies concerning language education in schools. These policies may include requirements for language instruction, bilingual education programmes, language immersion efforts, and support for the preservation of heritage languages.</w:t>
      </w:r>
      <w:r>
        <w:rPr>
          <w:color w:val="000000"/>
        </w:rPr>
        <w:t xml:space="preserve"> </w:t>
      </w:r>
      <w:r w:rsidRPr="007A1794">
        <w:rPr>
          <w:color w:val="000000"/>
        </w:rPr>
        <w:t>Supporting multilingualism, building inclusive linguistic environments, and encouraging equitable access to excellent language education are all important goals that can be accomplished through the implementation of language development policies.</w:t>
      </w:r>
      <w:r>
        <w:rPr>
          <w:color w:val="000000"/>
        </w:rPr>
        <w:t xml:space="preserve"> (Cleave, 2020)</w:t>
      </w:r>
    </w:p>
    <w:p w14:paraId="5F794DF3" w14:textId="1EB7DD92" w:rsidR="002057A9" w:rsidRPr="00D93151" w:rsidRDefault="002057A9" w:rsidP="002057A9">
      <w:pPr>
        <w:rPr>
          <w:color w:val="000000"/>
        </w:rPr>
      </w:pPr>
    </w:p>
    <w:p w14:paraId="4BB0498E" w14:textId="072AE70A" w:rsidR="002057A9" w:rsidRPr="00D93151" w:rsidRDefault="002057A9" w:rsidP="002057A9">
      <w:pPr>
        <w:rPr>
          <w:color w:val="000000"/>
        </w:rPr>
      </w:pPr>
      <w:r>
        <w:rPr>
          <w:color w:val="000000"/>
        </w:rPr>
        <w:t xml:space="preserve"> </w:t>
      </w:r>
      <w:r w:rsidR="00E43D42">
        <w:rPr>
          <w:color w:val="000000"/>
        </w:rPr>
        <w:t xml:space="preserve">  </w:t>
      </w:r>
      <w:r w:rsidRPr="00D93151">
        <w:rPr>
          <w:color w:val="000000"/>
        </w:rPr>
        <w:t>Primary legislation, sometimes known as "statutes," is where most of the laws that pertain to the Welsh language can be found. These laws can be generated by either the United Kingdom Parliament or Senedd Cymru. The principal statutes which contain provisions that apply in relation to the Welsh language are</w:t>
      </w:r>
      <w:r>
        <w:rPr>
          <w:color w:val="000000"/>
        </w:rPr>
        <w:t xml:space="preserve"> t</w:t>
      </w:r>
      <w:r w:rsidRPr="00D93151">
        <w:rPr>
          <w:color w:val="000000"/>
        </w:rPr>
        <w:t>he Welsh Language Act 1993 (the 1993 Act)</w:t>
      </w:r>
      <w:r>
        <w:rPr>
          <w:color w:val="000000"/>
        </w:rPr>
        <w:t xml:space="preserve"> and</w:t>
      </w:r>
    </w:p>
    <w:p w14:paraId="4502BB1B" w14:textId="5CB5FFF6" w:rsidR="002057A9" w:rsidRDefault="002057A9" w:rsidP="002057A9">
      <w:r>
        <w:rPr>
          <w:color w:val="000000"/>
        </w:rPr>
        <w:t>t</w:t>
      </w:r>
      <w:r w:rsidRPr="00D93151">
        <w:rPr>
          <w:color w:val="000000"/>
        </w:rPr>
        <w:t>he Welsh Language (Wales) Measure 2011 (the Measure)</w:t>
      </w:r>
      <w:r>
        <w:rPr>
          <w:color w:val="000000"/>
        </w:rPr>
        <w:t xml:space="preserve">. </w:t>
      </w:r>
      <w:r w:rsidR="00530D19">
        <w:rPr>
          <w:color w:val="000000"/>
        </w:rPr>
        <w:t xml:space="preserve">(Welsh </w:t>
      </w:r>
      <w:r w:rsidR="00455236">
        <w:rPr>
          <w:color w:val="000000"/>
        </w:rPr>
        <w:t>Government,</w:t>
      </w:r>
      <w:r w:rsidR="00530D19">
        <w:rPr>
          <w:color w:val="000000"/>
        </w:rPr>
        <w:t xml:space="preserve"> 2020)</w:t>
      </w:r>
    </w:p>
    <w:p w14:paraId="2FF625EE" w14:textId="0B1306FB" w:rsidR="00476AB8" w:rsidRPr="00C65EBA" w:rsidRDefault="0043284C" w:rsidP="00585BB1">
      <w:r>
        <w:rPr>
          <w:color w:val="000000"/>
        </w:rPr>
        <w:t xml:space="preserve">   </w:t>
      </w:r>
    </w:p>
    <w:p w14:paraId="64B20C2F" w14:textId="3AC94268" w:rsidR="00C65EBA" w:rsidRDefault="00C65EBA" w:rsidP="00C65EBA">
      <w:r w:rsidRPr="003A36EE">
        <w:t>Jerome Bruner, a prominent psychologist, is credited with developing a theory of language development that is commonly referred to as the "Language Acquisition Support System" (CLASS). This theory is part of his broader framework of "scaffolding," which emphasizes the role of social interaction and environmental support in cognitive development, including language acquisition. Bruner's ideas have significantly contributed to our understanding of how children learn language.</w:t>
      </w:r>
      <w:r>
        <w:t xml:space="preserve"> </w:t>
      </w:r>
      <w:r>
        <w:rPr>
          <w:color w:val="000000"/>
        </w:rPr>
        <w:t>(Pound,2016)</w:t>
      </w:r>
    </w:p>
    <w:p w14:paraId="2C575779" w14:textId="77777777" w:rsidR="00476AB8" w:rsidRDefault="00476AB8" w:rsidP="00585BB1">
      <w:pPr>
        <w:rPr>
          <w:color w:val="000000"/>
        </w:rPr>
      </w:pPr>
    </w:p>
    <w:p w14:paraId="3943685A" w14:textId="77777777" w:rsidR="00FB0280" w:rsidRDefault="00FB0280" w:rsidP="00FB0280">
      <w:r w:rsidRPr="0069050E">
        <w:t>The importance of context in language learning was emphasised by Bruner, who proposed that the most effective way to comprehend and acquire a language is by circumstances that are relevant and authentic. He advocated for providing children with rich, interactive experiences that allow them to use language in purposeful ways and make connections between language and their everyday experiences.</w:t>
      </w:r>
      <w:r>
        <w:t xml:space="preserve"> </w:t>
      </w:r>
      <w:r>
        <w:rPr>
          <w:color w:val="000000"/>
        </w:rPr>
        <w:t>(Mcleod, S. 2023)</w:t>
      </w:r>
    </w:p>
    <w:p w14:paraId="7DEAF199" w14:textId="50D348C8" w:rsidR="00FB0280" w:rsidRDefault="002F587F" w:rsidP="00585BB1">
      <w:pPr>
        <w:rPr>
          <w:color w:val="000000"/>
        </w:rPr>
      </w:pPr>
      <w:r>
        <w:rPr>
          <w:color w:val="000000"/>
        </w:rPr>
        <w:t xml:space="preserve"> </w:t>
      </w:r>
    </w:p>
    <w:p w14:paraId="4D8573EF" w14:textId="327F2081" w:rsidR="00E16B8E" w:rsidRDefault="003C487D" w:rsidP="00E2575A">
      <w:pPr>
        <w:rPr>
          <w:color w:val="000000"/>
        </w:rPr>
      </w:pPr>
      <w:r w:rsidRPr="003C487D">
        <w:rPr>
          <w:color w:val="000000"/>
        </w:rPr>
        <w:t>Vygotsky</w:t>
      </w:r>
      <w:r w:rsidRPr="003C487D">
        <w:rPr>
          <w:color w:val="000000"/>
        </w:rPr>
        <w:t xml:space="preserve"> </w:t>
      </w:r>
      <w:r w:rsidRPr="003C487D">
        <w:rPr>
          <w:color w:val="000000"/>
        </w:rPr>
        <w:t>concluded</w:t>
      </w:r>
      <w:r w:rsidRPr="003C487D">
        <w:rPr>
          <w:color w:val="000000"/>
        </w:rPr>
        <w:t xml:space="preserve"> that language is a cultural instrument that acts as a mediator for social interactions and changes cognitive processes. He argued that language not only reflects the culture in which it is used but also actively influences how individuals think, learn, and perceive the world around them. Through language, individuals access cultural knowledge, engage in social activities, and participate in shared meaning-making practices.</w:t>
      </w:r>
      <w:r w:rsidR="005712DF">
        <w:rPr>
          <w:color w:val="000000"/>
        </w:rPr>
        <w:t xml:space="preserve"> </w:t>
      </w:r>
      <w:r w:rsidR="005712DF">
        <w:rPr>
          <w:color w:val="000000"/>
        </w:rPr>
        <w:t>(Mcleod, 2024)</w:t>
      </w:r>
      <w:r w:rsidR="005712DF">
        <w:rPr>
          <w:color w:val="000000"/>
        </w:rPr>
        <w:t xml:space="preserve"> </w:t>
      </w:r>
    </w:p>
    <w:p w14:paraId="5208DCED" w14:textId="77777777" w:rsidR="000F3858" w:rsidRDefault="000F3858" w:rsidP="00585BB1">
      <w:pPr>
        <w:rPr>
          <w:color w:val="000000"/>
        </w:rPr>
      </w:pPr>
    </w:p>
    <w:p w14:paraId="434732F6" w14:textId="77777777" w:rsidR="000F3858" w:rsidRDefault="000F3858" w:rsidP="00585BB1">
      <w:pPr>
        <w:rPr>
          <w:color w:val="000000"/>
        </w:rPr>
      </w:pPr>
    </w:p>
    <w:p w14:paraId="0C135777" w14:textId="77777777" w:rsidR="000F3858" w:rsidRDefault="000F3858" w:rsidP="00585BB1">
      <w:pPr>
        <w:rPr>
          <w:color w:val="000000"/>
        </w:rPr>
      </w:pPr>
    </w:p>
    <w:p w14:paraId="2BF304BC" w14:textId="77777777" w:rsidR="000F3858" w:rsidRDefault="000F3858" w:rsidP="00585BB1">
      <w:pPr>
        <w:rPr>
          <w:color w:val="000000"/>
        </w:rPr>
      </w:pPr>
    </w:p>
    <w:p w14:paraId="25DDCD93" w14:textId="5BA30758" w:rsidR="00875225" w:rsidRPr="00875225" w:rsidRDefault="006355F4" w:rsidP="00585BB1">
      <w:pPr>
        <w:rPr>
          <w:color w:val="000000"/>
          <w:shd w:val="clear" w:color="auto" w:fill="FFFFFF"/>
        </w:rPr>
      </w:pPr>
      <w:r>
        <w:rPr>
          <w:color w:val="000000"/>
        </w:rPr>
        <w:t xml:space="preserve">The difference between Vygotsky and bruners theory is that </w:t>
      </w:r>
      <w:r w:rsidR="00822E78" w:rsidRPr="00822E78">
        <w:rPr>
          <w:color w:val="000000"/>
        </w:rPr>
        <w:t>Vygotsky viewed language as a tool for communication, thought</w:t>
      </w:r>
      <w:r>
        <w:rPr>
          <w:color w:val="000000"/>
        </w:rPr>
        <w:t xml:space="preserve"> </w:t>
      </w:r>
      <w:r w:rsidR="00822E78" w:rsidRPr="00822E78">
        <w:rPr>
          <w:color w:val="000000"/>
        </w:rPr>
        <w:t>and the transfer of cultural values</w:t>
      </w:r>
      <w:r w:rsidR="00A13AEC">
        <w:rPr>
          <w:color w:val="000000"/>
        </w:rPr>
        <w:t xml:space="preserve"> </w:t>
      </w:r>
      <w:r w:rsidR="00822E78" w:rsidRPr="00822E78">
        <w:rPr>
          <w:color w:val="000000"/>
        </w:rPr>
        <w:t xml:space="preserve">and he placed a significant amount of importance on the function that language plays in the development of cognitive abilities. </w:t>
      </w:r>
      <w:r w:rsidR="00A13AEC">
        <w:rPr>
          <w:color w:val="000000"/>
        </w:rPr>
        <w:t xml:space="preserve">Vygotsky </w:t>
      </w:r>
      <w:r w:rsidR="00822E78" w:rsidRPr="00822E78">
        <w:rPr>
          <w:color w:val="000000"/>
        </w:rPr>
        <w:t>argued that language mediates social interactions and shapes cognitive processes, such as problem-solving and reasoning</w:t>
      </w:r>
      <w:r w:rsidR="00E33C6C">
        <w:rPr>
          <w:color w:val="000000"/>
        </w:rPr>
        <w:t>.</w:t>
      </w:r>
      <w:r>
        <w:rPr>
          <w:color w:val="000000"/>
        </w:rPr>
        <w:t xml:space="preserve"> </w:t>
      </w:r>
      <w:r w:rsidR="00875225">
        <w:rPr>
          <w:color w:val="000000"/>
        </w:rPr>
        <w:t xml:space="preserve"> “</w:t>
      </w:r>
      <w:r w:rsidR="00875225" w:rsidRPr="00875225">
        <w:rPr>
          <w:color w:val="000000"/>
          <w:shd w:val="clear" w:color="auto" w:fill="FFFFFF"/>
        </w:rPr>
        <w:t>Vygotsky believed that language develops from social interactions for communication purposes. Vygotsky viewed language as man’s greatest tool for communicating with the outside world.</w:t>
      </w:r>
      <w:r w:rsidR="00875225">
        <w:rPr>
          <w:color w:val="000000"/>
          <w:shd w:val="clear" w:color="auto" w:fill="FFFFFF"/>
        </w:rPr>
        <w:t xml:space="preserve">” </w:t>
      </w:r>
      <w:r w:rsidR="00E5054C">
        <w:rPr>
          <w:color w:val="000000"/>
        </w:rPr>
        <w:t>(Mcleod, 2024)</w:t>
      </w:r>
    </w:p>
    <w:p w14:paraId="6ADF11D2" w14:textId="7AA8A577" w:rsidR="000F3858" w:rsidRDefault="006355F4" w:rsidP="00585BB1">
      <w:pPr>
        <w:rPr>
          <w:color w:val="000000"/>
        </w:rPr>
      </w:pPr>
      <w:r w:rsidRPr="006355F4">
        <w:rPr>
          <w:color w:val="000000"/>
        </w:rPr>
        <w:t>Bruner acknowledged the significance of language in the process of cognitive growth; nonetheless, his theory primarily concentrated on the narrative and symbolic parts of language. He emphasized the role of storytelling, narrative structures, and cultural narratives in organizing experiences and constructing meaning.</w:t>
      </w:r>
      <w:r w:rsidR="00B00908">
        <w:rPr>
          <w:color w:val="000000"/>
        </w:rPr>
        <w:t xml:space="preserve">  “</w:t>
      </w:r>
      <w:r w:rsidR="00B00908" w:rsidRPr="00B00908">
        <w:rPr>
          <w:color w:val="000000"/>
          <w:shd w:val="clear" w:color="auto" w:fill="FFFFFF"/>
        </w:rPr>
        <w:t>Bruner argues that, as children age, they are capable of increasingly complex modes of representation (basically, ways of thinking) – and the spiral curriculum should be sensitive to this development</w:t>
      </w:r>
      <w:r w:rsidR="00B00908">
        <w:rPr>
          <w:color w:val="000000"/>
          <w:shd w:val="clear" w:color="auto" w:fill="FFFFFF"/>
        </w:rPr>
        <w:t>.”</w:t>
      </w:r>
      <w:r w:rsidR="00727D25">
        <w:rPr>
          <w:color w:val="000000"/>
          <w:shd w:val="clear" w:color="auto" w:fill="FFFFFF"/>
        </w:rPr>
        <w:t xml:space="preserve"> </w:t>
      </w:r>
      <w:r w:rsidR="00727D25">
        <w:rPr>
          <w:color w:val="000000"/>
        </w:rPr>
        <w:t>(Mcleod, 2023)</w:t>
      </w:r>
    </w:p>
    <w:p w14:paraId="42DB7AC9" w14:textId="77777777" w:rsidR="00114899" w:rsidRDefault="00114899" w:rsidP="00585BB1">
      <w:pPr>
        <w:rPr>
          <w:color w:val="000000"/>
        </w:rPr>
      </w:pPr>
    </w:p>
    <w:p w14:paraId="463315DC" w14:textId="77777777" w:rsidR="00ED5D01" w:rsidRDefault="00ED5D01" w:rsidP="003D2AD0">
      <w:pPr>
        <w:pStyle w:val="Heading1"/>
        <w:spacing w:before="0" w:after="240" w:line="540" w:lineRule="atLeast"/>
        <w:rPr>
          <w:rFonts w:ascii="Calibri" w:hAnsi="Calibri" w:cs="Calibri"/>
          <w:color w:val="000000"/>
          <w:sz w:val="36"/>
          <w:szCs w:val="36"/>
        </w:rPr>
      </w:pPr>
    </w:p>
    <w:p w14:paraId="55EF66FF" w14:textId="77777777" w:rsidR="00655E23" w:rsidRDefault="00655E23" w:rsidP="003D2AD0">
      <w:pPr>
        <w:pStyle w:val="Heading1"/>
        <w:spacing w:before="0" w:after="240" w:line="540" w:lineRule="atLeast"/>
        <w:rPr>
          <w:rFonts w:ascii="Calibri" w:hAnsi="Calibri" w:cs="Calibri"/>
          <w:color w:val="000000"/>
          <w:sz w:val="36"/>
          <w:szCs w:val="36"/>
        </w:rPr>
      </w:pPr>
    </w:p>
    <w:p w14:paraId="61F7E400" w14:textId="77777777" w:rsidR="00655E23" w:rsidRDefault="00655E23" w:rsidP="003D2AD0">
      <w:pPr>
        <w:pStyle w:val="Heading1"/>
        <w:spacing w:before="0" w:after="240" w:line="540" w:lineRule="atLeast"/>
        <w:rPr>
          <w:rFonts w:ascii="Calibri" w:hAnsi="Calibri" w:cs="Calibri"/>
          <w:color w:val="000000"/>
          <w:sz w:val="36"/>
          <w:szCs w:val="36"/>
        </w:rPr>
      </w:pPr>
    </w:p>
    <w:p w14:paraId="3D6BBD8D" w14:textId="77777777" w:rsidR="00655E23" w:rsidRPr="00655E23" w:rsidRDefault="00655E23" w:rsidP="00655E23"/>
    <w:p w14:paraId="58941065" w14:textId="3106AF00" w:rsidR="003D2AD0" w:rsidRPr="00EF2394" w:rsidRDefault="003D2AD0" w:rsidP="003D2AD0">
      <w:pPr>
        <w:pStyle w:val="Heading1"/>
        <w:spacing w:before="0" w:after="240" w:line="540" w:lineRule="atLeast"/>
        <w:rPr>
          <w:rFonts w:ascii="Calibri" w:hAnsi="Calibri" w:cs="Calibri"/>
          <w:color w:val="000000"/>
          <w:sz w:val="36"/>
          <w:szCs w:val="36"/>
        </w:rPr>
      </w:pPr>
      <w:r w:rsidRPr="00EF2394">
        <w:rPr>
          <w:rFonts w:ascii="Calibri" w:hAnsi="Calibri" w:cs="Calibri"/>
          <w:color w:val="000000"/>
          <w:sz w:val="36"/>
          <w:szCs w:val="36"/>
        </w:rPr>
        <w:t>Reference list</w:t>
      </w:r>
    </w:p>
    <w:p w14:paraId="4345E4CF" w14:textId="77777777" w:rsidR="003D2AD0" w:rsidRPr="00EF2394" w:rsidRDefault="003D2AD0" w:rsidP="003D2AD0">
      <w:pPr>
        <w:pStyle w:val="NormalWeb"/>
        <w:spacing w:before="0" w:beforeAutospacing="0" w:after="240" w:afterAutospacing="0" w:line="360" w:lineRule="atLeast"/>
        <w:rPr>
          <w:rFonts w:ascii="Calibri" w:hAnsi="Calibri" w:cs="Calibri"/>
          <w:color w:val="000000"/>
        </w:rPr>
      </w:pPr>
      <w:r w:rsidRPr="00EF2394">
        <w:rPr>
          <w:rFonts w:ascii="Calibri" w:hAnsi="Calibri" w:cs="Calibri"/>
          <w:color w:val="000000"/>
        </w:rPr>
        <w:t xml:space="preserve">Allen, </w:t>
      </w:r>
      <w:proofErr w:type="gramStart"/>
      <w:r w:rsidRPr="00EF2394">
        <w:rPr>
          <w:rFonts w:ascii="Calibri" w:hAnsi="Calibri" w:cs="Calibri"/>
          <w:color w:val="000000"/>
        </w:rPr>
        <w:t>L.</w:t>
      </w:r>
      <w:proofErr w:type="gramEnd"/>
      <w:r w:rsidRPr="00EF2394">
        <w:rPr>
          <w:rFonts w:ascii="Calibri" w:hAnsi="Calibri" w:cs="Calibri"/>
          <w:color w:val="000000"/>
        </w:rPr>
        <w:t xml:space="preserve"> and Kelly, B.B. (2015).</w:t>
      </w:r>
      <w:r w:rsidRPr="00EF2394">
        <w:rPr>
          <w:rStyle w:val="apple-converted-space"/>
          <w:rFonts w:ascii="Calibri" w:eastAsiaTheme="majorEastAsia" w:hAnsi="Calibri" w:cs="Calibri"/>
          <w:color w:val="000000"/>
        </w:rPr>
        <w:t> </w:t>
      </w:r>
      <w:r w:rsidRPr="00EF2394">
        <w:rPr>
          <w:rFonts w:ascii="Calibri" w:hAnsi="Calibri" w:cs="Calibri"/>
          <w:i/>
          <w:iCs/>
          <w:color w:val="000000"/>
        </w:rPr>
        <w:t xml:space="preserve">Child Development and Early </w:t>
      </w:r>
      <w:proofErr w:type="gramStart"/>
      <w:r w:rsidRPr="00EF2394">
        <w:rPr>
          <w:rFonts w:ascii="Calibri" w:hAnsi="Calibri" w:cs="Calibri"/>
          <w:i/>
          <w:iCs/>
          <w:color w:val="000000"/>
        </w:rPr>
        <w:t>Learning</w:t>
      </w:r>
      <w:r w:rsidRPr="00EF2394">
        <w:rPr>
          <w:rStyle w:val="apple-converted-space"/>
          <w:rFonts w:ascii="Calibri" w:eastAsiaTheme="majorEastAsia" w:hAnsi="Calibri" w:cs="Calibri"/>
          <w:i/>
          <w:iCs/>
          <w:color w:val="000000"/>
        </w:rPr>
        <w:t> </w:t>
      </w:r>
      <w:r w:rsidRPr="00EF2394">
        <w:rPr>
          <w:rFonts w:ascii="Calibri" w:hAnsi="Calibri" w:cs="Calibri"/>
          <w:color w:val="000000"/>
        </w:rPr>
        <w:t>.</w:t>
      </w:r>
      <w:proofErr w:type="gramEnd"/>
      <w:r w:rsidRPr="00EF2394">
        <w:rPr>
          <w:rFonts w:ascii="Calibri" w:hAnsi="Calibri" w:cs="Calibri"/>
          <w:color w:val="000000"/>
        </w:rPr>
        <w:t xml:space="preserve"> [online] nih.gov. Available at: https://www.ncbi.nlm.nih.gov/books/NBK310550/ [Accessed 16 May 2024].</w:t>
      </w:r>
    </w:p>
    <w:p w14:paraId="6B67A52D" w14:textId="77777777" w:rsidR="003D2AD0" w:rsidRPr="00EF2394" w:rsidRDefault="003D2AD0" w:rsidP="003D2AD0">
      <w:pPr>
        <w:pStyle w:val="NormalWeb"/>
        <w:spacing w:before="0" w:beforeAutospacing="0" w:after="240" w:afterAutospacing="0" w:line="360" w:lineRule="atLeast"/>
        <w:rPr>
          <w:rFonts w:ascii="Calibri" w:hAnsi="Calibri" w:cs="Calibri"/>
          <w:color w:val="000000"/>
        </w:rPr>
      </w:pPr>
      <w:r w:rsidRPr="00EF2394">
        <w:rPr>
          <w:rFonts w:ascii="Calibri" w:hAnsi="Calibri" w:cs="Calibri"/>
          <w:color w:val="000000"/>
        </w:rPr>
        <w:t>Cleave, E. (2020).</w:t>
      </w:r>
      <w:r w:rsidRPr="00EF2394">
        <w:rPr>
          <w:rStyle w:val="apple-converted-space"/>
          <w:rFonts w:ascii="Calibri" w:eastAsiaTheme="majorEastAsia" w:hAnsi="Calibri" w:cs="Calibri"/>
          <w:color w:val="000000"/>
        </w:rPr>
        <w:t> </w:t>
      </w:r>
      <w:r w:rsidRPr="00EF2394">
        <w:rPr>
          <w:rFonts w:ascii="Calibri" w:hAnsi="Calibri" w:cs="Calibri"/>
          <w:i/>
          <w:iCs/>
          <w:color w:val="000000"/>
        </w:rPr>
        <w:t xml:space="preserve">Language, </w:t>
      </w:r>
      <w:proofErr w:type="gramStart"/>
      <w:r w:rsidRPr="00EF2394">
        <w:rPr>
          <w:rFonts w:ascii="Calibri" w:hAnsi="Calibri" w:cs="Calibri"/>
          <w:i/>
          <w:iCs/>
          <w:color w:val="000000"/>
        </w:rPr>
        <w:t>education</w:t>
      </w:r>
      <w:proofErr w:type="gramEnd"/>
      <w:r w:rsidRPr="00EF2394">
        <w:rPr>
          <w:rFonts w:ascii="Calibri" w:hAnsi="Calibri" w:cs="Calibri"/>
          <w:i/>
          <w:iCs/>
          <w:color w:val="000000"/>
        </w:rPr>
        <w:t xml:space="preserve"> and social justice: International strategies for systems change in multilingual schools AUTHOR</w:t>
      </w:r>
      <w:r w:rsidRPr="00EF2394">
        <w:rPr>
          <w:rFonts w:ascii="Calibri" w:hAnsi="Calibri" w:cs="Calibri"/>
          <w:color w:val="000000"/>
        </w:rPr>
        <w:t>. [online] Available at: https://www.bell-foundation.org.uk/app/uploads/2020/06/Churchill-Report-2020-FV-web.pdf [Accessed 15 May 2024].</w:t>
      </w:r>
    </w:p>
    <w:p w14:paraId="0238903C" w14:textId="77777777" w:rsidR="003D2AD0" w:rsidRPr="00EF2394" w:rsidRDefault="003D2AD0" w:rsidP="003D2AD0">
      <w:pPr>
        <w:pStyle w:val="NormalWeb"/>
        <w:spacing w:before="0" w:beforeAutospacing="0" w:after="240" w:afterAutospacing="0" w:line="360" w:lineRule="atLeast"/>
        <w:rPr>
          <w:rFonts w:ascii="Calibri" w:hAnsi="Calibri" w:cs="Calibri"/>
          <w:color w:val="000000"/>
        </w:rPr>
      </w:pPr>
      <w:r w:rsidRPr="00EF2394">
        <w:rPr>
          <w:rFonts w:ascii="Calibri" w:hAnsi="Calibri" w:cs="Calibri"/>
          <w:color w:val="000000"/>
        </w:rPr>
        <w:t>Communication theory (2021).</w:t>
      </w:r>
      <w:r w:rsidRPr="00EF2394">
        <w:rPr>
          <w:rStyle w:val="apple-converted-space"/>
          <w:rFonts w:ascii="Calibri" w:eastAsiaTheme="majorEastAsia" w:hAnsi="Calibri" w:cs="Calibri"/>
          <w:color w:val="000000"/>
        </w:rPr>
        <w:t> </w:t>
      </w:r>
      <w:r w:rsidRPr="00EF2394">
        <w:rPr>
          <w:rFonts w:ascii="Calibri" w:hAnsi="Calibri" w:cs="Calibri"/>
          <w:i/>
          <w:iCs/>
          <w:color w:val="000000"/>
        </w:rPr>
        <w:t>Language Barriers in Communication</w:t>
      </w:r>
      <w:r w:rsidRPr="00EF2394">
        <w:rPr>
          <w:rFonts w:ascii="Calibri" w:hAnsi="Calibri" w:cs="Calibri"/>
          <w:color w:val="000000"/>
        </w:rPr>
        <w:t>. [online] Communication Theory. Available at: https://www.communicationtheory.org/language-barriers-in-communication/ [Accessed 15 May 2024].</w:t>
      </w:r>
    </w:p>
    <w:p w14:paraId="4F01FC07" w14:textId="77777777" w:rsidR="003D2AD0" w:rsidRPr="00EF2394" w:rsidRDefault="003D2AD0" w:rsidP="003D2AD0">
      <w:pPr>
        <w:pStyle w:val="NormalWeb"/>
        <w:spacing w:before="0" w:beforeAutospacing="0" w:after="240" w:afterAutospacing="0" w:line="360" w:lineRule="atLeast"/>
        <w:rPr>
          <w:rFonts w:ascii="Calibri" w:hAnsi="Calibri" w:cs="Calibri"/>
          <w:color w:val="000000"/>
        </w:rPr>
      </w:pPr>
      <w:r w:rsidRPr="00EF2394">
        <w:rPr>
          <w:rFonts w:ascii="Calibri" w:hAnsi="Calibri" w:cs="Calibri"/>
          <w:color w:val="000000"/>
        </w:rPr>
        <w:t>Department For Education (2023).</w:t>
      </w:r>
      <w:r w:rsidRPr="00EF2394">
        <w:rPr>
          <w:rStyle w:val="apple-converted-space"/>
          <w:rFonts w:ascii="Calibri" w:eastAsiaTheme="majorEastAsia" w:hAnsi="Calibri" w:cs="Calibri"/>
          <w:color w:val="000000"/>
        </w:rPr>
        <w:t> </w:t>
      </w:r>
      <w:r w:rsidRPr="00EF2394">
        <w:rPr>
          <w:rFonts w:ascii="Calibri" w:hAnsi="Calibri" w:cs="Calibri"/>
          <w:i/>
          <w:iCs/>
          <w:color w:val="000000"/>
        </w:rPr>
        <w:t>Exploring Language - Help for Early Years Providers - GOV.UK</w:t>
      </w:r>
      <w:r w:rsidRPr="00EF2394">
        <w:rPr>
          <w:rFonts w:ascii="Calibri" w:hAnsi="Calibri" w:cs="Calibri"/>
          <w:color w:val="000000"/>
        </w:rPr>
        <w:t>. [online] help-for-early-years-providers.education.gov.uk. Available at: https://help-for-early-years-providers.education.gov.uk/communication-and-language/exploring-language [Accessed 30 Apr. 2024].</w:t>
      </w:r>
    </w:p>
    <w:p w14:paraId="1A2E7529" w14:textId="77777777" w:rsidR="003D2AD0" w:rsidRPr="00EF2394" w:rsidRDefault="003D2AD0" w:rsidP="003D2AD0">
      <w:pPr>
        <w:pStyle w:val="NormalWeb"/>
        <w:spacing w:before="0" w:beforeAutospacing="0" w:after="240" w:afterAutospacing="0" w:line="360" w:lineRule="atLeast"/>
        <w:rPr>
          <w:rFonts w:ascii="Calibri" w:hAnsi="Calibri" w:cs="Calibri"/>
          <w:color w:val="000000"/>
        </w:rPr>
      </w:pPr>
      <w:r w:rsidRPr="00EF2394">
        <w:rPr>
          <w:rFonts w:ascii="Calibri" w:hAnsi="Calibri" w:cs="Calibri"/>
          <w:color w:val="000000"/>
        </w:rPr>
        <w:lastRenderedPageBreak/>
        <w:t>Department for Education (2021).</w:t>
      </w:r>
      <w:r w:rsidRPr="00EF2394">
        <w:rPr>
          <w:rStyle w:val="apple-converted-space"/>
          <w:rFonts w:ascii="Calibri" w:eastAsiaTheme="majorEastAsia" w:hAnsi="Calibri" w:cs="Calibri"/>
          <w:color w:val="000000"/>
        </w:rPr>
        <w:t> </w:t>
      </w:r>
      <w:r w:rsidRPr="00EF2394">
        <w:rPr>
          <w:rFonts w:ascii="Calibri" w:hAnsi="Calibri" w:cs="Calibri"/>
          <w:i/>
          <w:iCs/>
          <w:color w:val="000000"/>
        </w:rPr>
        <w:t>Meeting the Needs of All Children - Help for Early Years Providers - GOV.UK</w:t>
      </w:r>
      <w:r w:rsidRPr="00EF2394">
        <w:rPr>
          <w:rFonts w:ascii="Calibri" w:hAnsi="Calibri" w:cs="Calibri"/>
          <w:color w:val="000000"/>
        </w:rPr>
        <w:t>. [online] help-for-early-years-providers.education.gov.uk. Available at: https://help-for-early-years-providers.education.gov.uk/get-help-to-improve-your-practice/meeting-the-needs-of-all-children [Accessed 25 Apr. 2024].</w:t>
      </w:r>
    </w:p>
    <w:p w14:paraId="03515D7F" w14:textId="77777777" w:rsidR="003D2AD0" w:rsidRPr="00EF2394" w:rsidRDefault="003D2AD0" w:rsidP="003D2AD0">
      <w:pPr>
        <w:pStyle w:val="NormalWeb"/>
        <w:spacing w:before="0" w:beforeAutospacing="0" w:after="240" w:afterAutospacing="0" w:line="360" w:lineRule="atLeast"/>
        <w:rPr>
          <w:rFonts w:ascii="Calibri" w:hAnsi="Calibri" w:cs="Calibri"/>
          <w:color w:val="000000"/>
        </w:rPr>
      </w:pPr>
      <w:r w:rsidRPr="00EF2394">
        <w:rPr>
          <w:rFonts w:ascii="Calibri" w:hAnsi="Calibri" w:cs="Calibri"/>
          <w:color w:val="000000"/>
        </w:rPr>
        <w:t>Mcleod, S. (2024a).</w:t>
      </w:r>
      <w:r w:rsidRPr="00EF2394">
        <w:rPr>
          <w:rStyle w:val="apple-converted-space"/>
          <w:rFonts w:ascii="Calibri" w:eastAsiaTheme="majorEastAsia" w:hAnsi="Calibri" w:cs="Calibri"/>
          <w:color w:val="000000"/>
        </w:rPr>
        <w:t> </w:t>
      </w:r>
      <w:r w:rsidRPr="00EF2394">
        <w:rPr>
          <w:rFonts w:ascii="Calibri" w:hAnsi="Calibri" w:cs="Calibri"/>
          <w:i/>
          <w:iCs/>
          <w:color w:val="000000"/>
        </w:rPr>
        <w:t xml:space="preserve">Bruner - Learning Theory in </w:t>
      </w:r>
      <w:proofErr w:type="gramStart"/>
      <w:r w:rsidRPr="00EF2394">
        <w:rPr>
          <w:rFonts w:ascii="Calibri" w:hAnsi="Calibri" w:cs="Calibri"/>
          <w:i/>
          <w:iCs/>
          <w:color w:val="000000"/>
        </w:rPr>
        <w:t>Education</w:t>
      </w:r>
      <w:r w:rsidRPr="00EF2394">
        <w:rPr>
          <w:rStyle w:val="apple-converted-space"/>
          <w:rFonts w:ascii="Calibri" w:eastAsiaTheme="majorEastAsia" w:hAnsi="Calibri" w:cs="Calibri"/>
          <w:i/>
          <w:iCs/>
          <w:color w:val="000000"/>
        </w:rPr>
        <w:t> </w:t>
      </w:r>
      <w:r w:rsidRPr="00EF2394">
        <w:rPr>
          <w:rFonts w:ascii="Calibri" w:hAnsi="Calibri" w:cs="Calibri"/>
          <w:color w:val="000000"/>
        </w:rPr>
        <w:t>.</w:t>
      </w:r>
      <w:proofErr w:type="gramEnd"/>
      <w:r w:rsidRPr="00EF2394">
        <w:rPr>
          <w:rFonts w:ascii="Calibri" w:hAnsi="Calibri" w:cs="Calibri"/>
          <w:color w:val="000000"/>
        </w:rPr>
        <w:t xml:space="preserve"> [online] Simply Psychology. Available at: https://www.simplypsychology.org/bruner.html [Accessed 15 May 2024].</w:t>
      </w:r>
    </w:p>
    <w:p w14:paraId="637C7C12" w14:textId="77777777" w:rsidR="003D2AD0" w:rsidRPr="00EF2394" w:rsidRDefault="003D2AD0" w:rsidP="003D2AD0">
      <w:pPr>
        <w:pStyle w:val="NormalWeb"/>
        <w:spacing w:before="0" w:beforeAutospacing="0" w:after="240" w:afterAutospacing="0" w:line="360" w:lineRule="atLeast"/>
        <w:rPr>
          <w:rFonts w:ascii="Calibri" w:hAnsi="Calibri" w:cs="Calibri"/>
          <w:color w:val="000000"/>
        </w:rPr>
      </w:pPr>
      <w:r w:rsidRPr="00EF2394">
        <w:rPr>
          <w:rFonts w:ascii="Calibri" w:hAnsi="Calibri" w:cs="Calibri"/>
          <w:color w:val="000000"/>
        </w:rPr>
        <w:t>Mcleod, S. (2024b).</w:t>
      </w:r>
      <w:r w:rsidRPr="00EF2394">
        <w:rPr>
          <w:rStyle w:val="apple-converted-space"/>
          <w:rFonts w:ascii="Calibri" w:eastAsiaTheme="majorEastAsia" w:hAnsi="Calibri" w:cs="Calibri"/>
          <w:color w:val="000000"/>
        </w:rPr>
        <w:t> </w:t>
      </w:r>
      <w:r w:rsidRPr="00EF2394">
        <w:rPr>
          <w:rFonts w:ascii="Calibri" w:hAnsi="Calibri" w:cs="Calibri"/>
          <w:i/>
          <w:iCs/>
          <w:color w:val="000000"/>
        </w:rPr>
        <w:t>Vygotsky’s Sociocultural Theory of Cognitive Development</w:t>
      </w:r>
      <w:r w:rsidRPr="00EF2394">
        <w:rPr>
          <w:rFonts w:ascii="Calibri" w:hAnsi="Calibri" w:cs="Calibri"/>
          <w:color w:val="000000"/>
        </w:rPr>
        <w:t>. [online] Simply Psychology. Available at: https://www.simplypsychology.org/vygotsky.html [Accessed 15 May 2024].</w:t>
      </w:r>
    </w:p>
    <w:p w14:paraId="39B09B74" w14:textId="77777777" w:rsidR="003D2AD0" w:rsidRPr="00EF2394" w:rsidRDefault="003D2AD0" w:rsidP="003D2AD0">
      <w:pPr>
        <w:pStyle w:val="NormalWeb"/>
        <w:spacing w:before="0" w:beforeAutospacing="0" w:after="240" w:afterAutospacing="0" w:line="360" w:lineRule="atLeast"/>
        <w:rPr>
          <w:rFonts w:ascii="Calibri" w:hAnsi="Calibri" w:cs="Calibri"/>
          <w:color w:val="000000"/>
        </w:rPr>
      </w:pPr>
      <w:r w:rsidRPr="00EF2394">
        <w:rPr>
          <w:rFonts w:ascii="Calibri" w:hAnsi="Calibri" w:cs="Calibri"/>
          <w:color w:val="000000"/>
        </w:rPr>
        <w:t>OECD (2019).</w:t>
      </w:r>
      <w:r w:rsidRPr="00EF2394">
        <w:rPr>
          <w:rStyle w:val="apple-converted-space"/>
          <w:rFonts w:ascii="Calibri" w:eastAsiaTheme="majorEastAsia" w:hAnsi="Calibri" w:cs="Calibri"/>
          <w:color w:val="000000"/>
        </w:rPr>
        <w:t> </w:t>
      </w:r>
      <w:r w:rsidRPr="00EF2394">
        <w:rPr>
          <w:rFonts w:ascii="Calibri" w:hAnsi="Calibri" w:cs="Calibri"/>
          <w:i/>
          <w:iCs/>
          <w:color w:val="000000"/>
        </w:rPr>
        <w:t xml:space="preserve">Creating Effective Teaching and Learning </w:t>
      </w:r>
      <w:proofErr w:type="gramStart"/>
      <w:r w:rsidRPr="00EF2394">
        <w:rPr>
          <w:rFonts w:ascii="Calibri" w:hAnsi="Calibri" w:cs="Calibri"/>
          <w:i/>
          <w:iCs/>
          <w:color w:val="000000"/>
        </w:rPr>
        <w:t>Environments</w:t>
      </w:r>
      <w:r w:rsidRPr="00EF2394">
        <w:rPr>
          <w:rStyle w:val="apple-converted-space"/>
          <w:rFonts w:ascii="Calibri" w:eastAsiaTheme="majorEastAsia" w:hAnsi="Calibri" w:cs="Calibri"/>
          <w:i/>
          <w:iCs/>
          <w:color w:val="000000"/>
        </w:rPr>
        <w:t> </w:t>
      </w:r>
      <w:r w:rsidRPr="00EF2394">
        <w:rPr>
          <w:rFonts w:ascii="Calibri" w:hAnsi="Calibri" w:cs="Calibri"/>
          <w:color w:val="000000"/>
        </w:rPr>
        <w:t>.</w:t>
      </w:r>
      <w:proofErr w:type="gramEnd"/>
      <w:r w:rsidRPr="00EF2394">
        <w:rPr>
          <w:rFonts w:ascii="Calibri" w:hAnsi="Calibri" w:cs="Calibri"/>
          <w:color w:val="000000"/>
        </w:rPr>
        <w:t xml:space="preserve"> [online] Available at: https://www.oecd.org/education/school/43023606.pdf [Accessed 15 May 2024].</w:t>
      </w:r>
    </w:p>
    <w:p w14:paraId="4748849C" w14:textId="77777777" w:rsidR="003D2AD0" w:rsidRPr="00EF2394" w:rsidRDefault="003D2AD0" w:rsidP="003D2AD0">
      <w:pPr>
        <w:pStyle w:val="NormalWeb"/>
        <w:spacing w:before="0" w:beforeAutospacing="0" w:after="240" w:afterAutospacing="0" w:line="360" w:lineRule="atLeast"/>
        <w:rPr>
          <w:rFonts w:ascii="Calibri" w:hAnsi="Calibri" w:cs="Calibri"/>
          <w:color w:val="000000"/>
        </w:rPr>
      </w:pPr>
      <w:r w:rsidRPr="00EF2394">
        <w:rPr>
          <w:rFonts w:ascii="Calibri" w:hAnsi="Calibri" w:cs="Calibri"/>
          <w:color w:val="000000"/>
        </w:rPr>
        <w:t>Pound, L. (2016).</w:t>
      </w:r>
      <w:r w:rsidRPr="00EF2394">
        <w:rPr>
          <w:rStyle w:val="apple-converted-space"/>
          <w:rFonts w:ascii="Calibri" w:eastAsiaTheme="majorEastAsia" w:hAnsi="Calibri" w:cs="Calibri"/>
          <w:color w:val="000000"/>
        </w:rPr>
        <w:t> </w:t>
      </w:r>
      <w:r w:rsidRPr="00EF2394">
        <w:rPr>
          <w:rFonts w:ascii="Calibri" w:hAnsi="Calibri" w:cs="Calibri"/>
          <w:i/>
          <w:iCs/>
          <w:color w:val="000000"/>
        </w:rPr>
        <w:t>Early Years Pioneers - Jerome Bruner</w:t>
      </w:r>
      <w:r w:rsidRPr="00EF2394">
        <w:rPr>
          <w:rFonts w:ascii="Calibri" w:hAnsi="Calibri" w:cs="Calibri"/>
          <w:color w:val="000000"/>
        </w:rPr>
        <w:t>. [online] Nursery World. Available at: https://www.nurseryworld.co.uk/features/article/early-years-pioneers-jerome-bruner [Accessed 15 May 2024].</w:t>
      </w:r>
    </w:p>
    <w:p w14:paraId="44143BD9" w14:textId="77777777" w:rsidR="003D2AD0" w:rsidRPr="00EF2394" w:rsidRDefault="003D2AD0" w:rsidP="003D2AD0">
      <w:pPr>
        <w:pStyle w:val="NormalWeb"/>
        <w:spacing w:before="0" w:beforeAutospacing="0" w:after="240" w:afterAutospacing="0" w:line="360" w:lineRule="atLeast"/>
        <w:rPr>
          <w:rFonts w:ascii="Calibri" w:hAnsi="Calibri" w:cs="Calibri"/>
          <w:color w:val="000000"/>
        </w:rPr>
      </w:pPr>
      <w:proofErr w:type="spellStart"/>
      <w:r w:rsidRPr="00EF2394">
        <w:rPr>
          <w:rFonts w:ascii="Calibri" w:hAnsi="Calibri" w:cs="Calibri"/>
          <w:color w:val="000000"/>
        </w:rPr>
        <w:t>Toppelberg</w:t>
      </w:r>
      <w:proofErr w:type="spellEnd"/>
      <w:r w:rsidRPr="00EF2394">
        <w:rPr>
          <w:rFonts w:ascii="Calibri" w:hAnsi="Calibri" w:cs="Calibri"/>
          <w:color w:val="000000"/>
        </w:rPr>
        <w:t>, C.O. and Collins, B.A. (2012). Language, Culture, and Adaptation in Immigrant Children.</w:t>
      </w:r>
      <w:r w:rsidRPr="00EF2394">
        <w:rPr>
          <w:rStyle w:val="apple-converted-space"/>
          <w:rFonts w:ascii="Calibri" w:eastAsiaTheme="majorEastAsia" w:hAnsi="Calibri" w:cs="Calibri"/>
          <w:color w:val="000000"/>
        </w:rPr>
        <w:t> </w:t>
      </w:r>
      <w:r w:rsidRPr="00EF2394">
        <w:rPr>
          <w:rFonts w:ascii="Calibri" w:hAnsi="Calibri" w:cs="Calibri"/>
          <w:i/>
          <w:iCs/>
          <w:color w:val="000000"/>
        </w:rPr>
        <w:t>Child and Adolescent Psychiatric Clinics of North America</w:t>
      </w:r>
      <w:r w:rsidRPr="00EF2394">
        <w:rPr>
          <w:rFonts w:ascii="Calibri" w:hAnsi="Calibri" w:cs="Calibri"/>
          <w:color w:val="000000"/>
        </w:rPr>
        <w:t xml:space="preserve">, [online] 19(4), pp.697–717. </w:t>
      </w:r>
      <w:proofErr w:type="spellStart"/>
      <w:proofErr w:type="gramStart"/>
      <w:r w:rsidRPr="00EF2394">
        <w:rPr>
          <w:rFonts w:ascii="Calibri" w:hAnsi="Calibri" w:cs="Calibri"/>
          <w:color w:val="000000"/>
        </w:rPr>
        <w:t>doi:https</w:t>
      </w:r>
      <w:proofErr w:type="spellEnd"/>
      <w:r w:rsidRPr="00EF2394">
        <w:rPr>
          <w:rFonts w:ascii="Calibri" w:hAnsi="Calibri" w:cs="Calibri"/>
          <w:color w:val="000000"/>
        </w:rPr>
        <w:t>://doi.org/10.1016/j.chc.2010.07.003</w:t>
      </w:r>
      <w:proofErr w:type="gramEnd"/>
      <w:r w:rsidRPr="00EF2394">
        <w:rPr>
          <w:rFonts w:ascii="Calibri" w:hAnsi="Calibri" w:cs="Calibri"/>
          <w:color w:val="000000"/>
        </w:rPr>
        <w:t>.</w:t>
      </w:r>
    </w:p>
    <w:p w14:paraId="5748D23E" w14:textId="77777777" w:rsidR="003D2AD0" w:rsidRPr="00EF2394" w:rsidRDefault="003D2AD0" w:rsidP="003D2AD0">
      <w:pPr>
        <w:pStyle w:val="NormalWeb"/>
        <w:spacing w:before="0" w:beforeAutospacing="0" w:after="240" w:afterAutospacing="0" w:line="360" w:lineRule="atLeast"/>
        <w:rPr>
          <w:rFonts w:ascii="Calibri" w:hAnsi="Calibri" w:cs="Calibri"/>
          <w:color w:val="000000"/>
        </w:rPr>
      </w:pPr>
      <w:r w:rsidRPr="00EF2394">
        <w:rPr>
          <w:rFonts w:ascii="Calibri" w:hAnsi="Calibri" w:cs="Calibri"/>
          <w:color w:val="000000"/>
        </w:rPr>
        <w:t>Welsh Government (2020).</w:t>
      </w:r>
      <w:r w:rsidRPr="00EF2394">
        <w:rPr>
          <w:rStyle w:val="apple-converted-space"/>
          <w:rFonts w:ascii="Calibri" w:eastAsiaTheme="majorEastAsia" w:hAnsi="Calibri" w:cs="Calibri"/>
          <w:color w:val="000000"/>
        </w:rPr>
        <w:t> </w:t>
      </w:r>
      <w:r w:rsidRPr="00EF2394">
        <w:rPr>
          <w:rFonts w:ascii="Calibri" w:hAnsi="Calibri" w:cs="Calibri"/>
          <w:i/>
          <w:iCs/>
          <w:color w:val="000000"/>
        </w:rPr>
        <w:t>Welsh Language | Law Wales</w:t>
      </w:r>
      <w:r w:rsidRPr="00EF2394">
        <w:rPr>
          <w:rFonts w:ascii="Calibri" w:hAnsi="Calibri" w:cs="Calibri"/>
          <w:color w:val="000000"/>
        </w:rPr>
        <w:t xml:space="preserve">. [online] </w:t>
      </w:r>
      <w:proofErr w:type="spellStart"/>
      <w:proofErr w:type="gramStart"/>
      <w:r w:rsidRPr="00EF2394">
        <w:rPr>
          <w:rFonts w:ascii="Calibri" w:hAnsi="Calibri" w:cs="Calibri"/>
          <w:color w:val="000000"/>
        </w:rPr>
        <w:t>law.gov.wales</w:t>
      </w:r>
      <w:proofErr w:type="spellEnd"/>
      <w:proofErr w:type="gramEnd"/>
      <w:r w:rsidRPr="00EF2394">
        <w:rPr>
          <w:rFonts w:ascii="Calibri" w:hAnsi="Calibri" w:cs="Calibri"/>
          <w:color w:val="000000"/>
        </w:rPr>
        <w:t>. Available at: https://law.gov.wales/culture/welsh-language [Accessed 1 Sep. 2022].</w:t>
      </w:r>
    </w:p>
    <w:p w14:paraId="1FB66945" w14:textId="77777777" w:rsidR="003D2AD0" w:rsidRDefault="003D2AD0" w:rsidP="003D2AD0">
      <w:pPr>
        <w:rPr>
          <w:color w:val="000000"/>
        </w:rPr>
      </w:pPr>
    </w:p>
    <w:p w14:paraId="013DAA6D" w14:textId="77777777" w:rsidR="000F3858" w:rsidRDefault="000F3858" w:rsidP="00585BB1">
      <w:pPr>
        <w:rPr>
          <w:color w:val="000000"/>
        </w:rPr>
      </w:pPr>
    </w:p>
    <w:p w14:paraId="55CE6EE7" w14:textId="77777777" w:rsidR="00F51F94" w:rsidRDefault="00F51F94" w:rsidP="00585BB1">
      <w:pPr>
        <w:rPr>
          <w:color w:val="000000"/>
        </w:rPr>
      </w:pPr>
    </w:p>
    <w:p w14:paraId="5EE98252" w14:textId="77777777" w:rsidR="00F51F94" w:rsidRDefault="00F51F94" w:rsidP="00585BB1">
      <w:pPr>
        <w:rPr>
          <w:color w:val="000000"/>
        </w:rPr>
      </w:pPr>
    </w:p>
    <w:p w14:paraId="186D6848" w14:textId="77777777" w:rsidR="00F51F94" w:rsidRDefault="00F51F94" w:rsidP="00585BB1">
      <w:pPr>
        <w:rPr>
          <w:color w:val="000000"/>
        </w:rPr>
      </w:pPr>
    </w:p>
    <w:p w14:paraId="7CAA9558" w14:textId="77777777" w:rsidR="00F51F94" w:rsidRDefault="00F51F94" w:rsidP="00585BB1">
      <w:pPr>
        <w:rPr>
          <w:color w:val="000000"/>
        </w:rPr>
      </w:pPr>
    </w:p>
    <w:p w14:paraId="54FA0778" w14:textId="77777777" w:rsidR="00F51F94" w:rsidRDefault="00F51F94" w:rsidP="00585BB1">
      <w:pPr>
        <w:rPr>
          <w:color w:val="000000"/>
        </w:rPr>
      </w:pPr>
    </w:p>
    <w:p w14:paraId="525B8863" w14:textId="598CD1D4" w:rsidR="00F51F94" w:rsidRDefault="00F51F94" w:rsidP="00585BB1">
      <w:pPr>
        <w:rPr>
          <w:color w:val="000000"/>
        </w:rPr>
      </w:pPr>
    </w:p>
    <w:p w14:paraId="11DB7218" w14:textId="77777777" w:rsidR="00655E23" w:rsidRDefault="00655E23" w:rsidP="00585BB1">
      <w:pPr>
        <w:rPr>
          <w:color w:val="000000"/>
        </w:rPr>
      </w:pPr>
    </w:p>
    <w:p w14:paraId="7448109B" w14:textId="77777777" w:rsidR="00655E23" w:rsidRDefault="00655E23" w:rsidP="00585BB1">
      <w:pPr>
        <w:rPr>
          <w:color w:val="000000"/>
        </w:rPr>
      </w:pPr>
    </w:p>
    <w:p w14:paraId="46A0A87A" w14:textId="77777777" w:rsidR="00655E23" w:rsidRDefault="00655E23" w:rsidP="00585BB1">
      <w:pPr>
        <w:rPr>
          <w:color w:val="000000"/>
        </w:rPr>
      </w:pPr>
    </w:p>
    <w:p w14:paraId="7CFED409" w14:textId="77777777" w:rsidR="00655E23" w:rsidRDefault="00655E23" w:rsidP="00585BB1">
      <w:pPr>
        <w:rPr>
          <w:color w:val="000000"/>
        </w:rPr>
      </w:pPr>
    </w:p>
    <w:p w14:paraId="04740D80" w14:textId="77777777" w:rsidR="00655E23" w:rsidRDefault="00655E23" w:rsidP="00585BB1">
      <w:pPr>
        <w:rPr>
          <w:color w:val="000000"/>
        </w:rPr>
      </w:pPr>
    </w:p>
    <w:p w14:paraId="134E3EB1" w14:textId="77777777" w:rsidR="00655E23" w:rsidRDefault="00655E23" w:rsidP="00585BB1">
      <w:pPr>
        <w:rPr>
          <w:color w:val="000000"/>
        </w:rPr>
      </w:pPr>
    </w:p>
    <w:p w14:paraId="7879CDF2" w14:textId="77777777" w:rsidR="00655E23" w:rsidRDefault="00655E23" w:rsidP="00585BB1">
      <w:pPr>
        <w:rPr>
          <w:color w:val="000000"/>
        </w:rPr>
      </w:pPr>
    </w:p>
    <w:p w14:paraId="41D3879D" w14:textId="77777777" w:rsidR="00655E23" w:rsidRDefault="00655E23" w:rsidP="00585BB1">
      <w:pPr>
        <w:rPr>
          <w:color w:val="000000"/>
        </w:rPr>
      </w:pPr>
    </w:p>
    <w:p w14:paraId="6F17D10C" w14:textId="77777777" w:rsidR="00655E23" w:rsidRDefault="00655E23" w:rsidP="00585BB1">
      <w:pPr>
        <w:rPr>
          <w:color w:val="000000"/>
        </w:rPr>
      </w:pPr>
    </w:p>
    <w:p w14:paraId="446EB789" w14:textId="0AF1BCF1" w:rsidR="00F51F94" w:rsidRDefault="00F51F94" w:rsidP="00585BB1">
      <w:pPr>
        <w:rPr>
          <w:color w:val="000000"/>
        </w:rPr>
      </w:pPr>
    </w:p>
    <w:p w14:paraId="14996290" w14:textId="602B6CEE" w:rsidR="00F51F94" w:rsidRPr="00F51F94" w:rsidRDefault="00F51F94" w:rsidP="00F51F94">
      <w:pPr>
        <w:rPr>
          <w:b/>
          <w:bCs/>
          <w:color w:val="0C27EF"/>
          <w:sz w:val="28"/>
          <w:szCs w:val="28"/>
          <w:u w:val="single"/>
        </w:rPr>
      </w:pPr>
      <w:r w:rsidRPr="00F51F94">
        <w:rPr>
          <w:b/>
          <w:bCs/>
          <w:color w:val="0C27EF"/>
          <w:sz w:val="28"/>
          <w:szCs w:val="28"/>
          <w:u w:val="single"/>
        </w:rPr>
        <w:lastRenderedPageBreak/>
        <w:t xml:space="preserve">What impact does poverty have on children’s emotional </w:t>
      </w:r>
      <w:proofErr w:type="gramStart"/>
      <w:r w:rsidRPr="00F51F94">
        <w:rPr>
          <w:b/>
          <w:bCs/>
          <w:color w:val="0C27EF"/>
          <w:sz w:val="28"/>
          <w:szCs w:val="28"/>
          <w:u w:val="single"/>
        </w:rPr>
        <w:t>wellbeing</w:t>
      </w:r>
      <w:proofErr w:type="gramEnd"/>
    </w:p>
    <w:p w14:paraId="6B937FC4" w14:textId="3028AC5F" w:rsidR="00F51F94" w:rsidRDefault="00F51F94" w:rsidP="00585BB1">
      <w:pPr>
        <w:rPr>
          <w:color w:val="000000"/>
        </w:rPr>
      </w:pPr>
    </w:p>
    <w:p w14:paraId="5ACAB7AB" w14:textId="6FFDE387" w:rsidR="00657069" w:rsidRPr="008F5A20" w:rsidRDefault="00657069" w:rsidP="00657069">
      <w:r w:rsidRPr="008F5A20">
        <w:t xml:space="preserve">Health is impacted by poverty even before birth. Low birthweight babies and infant mortality are more common among children whose parents are impoverished. </w:t>
      </w:r>
      <w:r w:rsidRPr="008F5A20">
        <w:rPr>
          <w:color w:val="000000"/>
        </w:rPr>
        <w:t>(Child Poverty Action Group, 2024)</w:t>
      </w:r>
    </w:p>
    <w:p w14:paraId="2DF50299" w14:textId="0A2E545B" w:rsidR="00657069" w:rsidRPr="008F5A20" w:rsidRDefault="00657069" w:rsidP="00657069"/>
    <w:p w14:paraId="3A15C283" w14:textId="440E8E09" w:rsidR="00F51F94" w:rsidRDefault="00657069" w:rsidP="00585BB1">
      <w:r w:rsidRPr="008F5A20">
        <w:t xml:space="preserve">Additionally, they have a higher likelihood of developing asthma and other juvenile illnesses. Growing up in poverty might have a negative impact on a child's future health. Children who live in poverty are more prone to experience psychological discomfort and to have poor mental health. </w:t>
      </w:r>
      <w:r w:rsidRPr="008F5A20">
        <w:rPr>
          <w:color w:val="000000"/>
        </w:rPr>
        <w:t>(Child Poverty Action Group, 2024)</w:t>
      </w:r>
    </w:p>
    <w:p w14:paraId="10DBF913" w14:textId="07427513" w:rsidR="007B7C81" w:rsidRDefault="007B7C81" w:rsidP="00585BB1"/>
    <w:p w14:paraId="43EB0B48" w14:textId="794C91CD" w:rsidR="007B7C81" w:rsidRDefault="007B7C81" w:rsidP="007B7C81">
      <w:r w:rsidRPr="00B15E80">
        <w:t>Since it influences many areas of children's life, such as the dynamics of their families, the resources they have access to, and the stressors they are exposed to, poverty can have a considerable impact on the emotional wellness of younger generations.</w:t>
      </w:r>
      <w:r>
        <w:t xml:space="preserve"> </w:t>
      </w:r>
      <w:r w:rsidRPr="00B15E80">
        <w:t>It is less likely that families living in poverty would be able to purchase necessities like food and heating on a regular basis.</w:t>
      </w:r>
      <w:r>
        <w:t xml:space="preserve"> </w:t>
      </w:r>
      <w:r>
        <w:rPr>
          <w:color w:val="000000"/>
        </w:rPr>
        <w:t>(Action For Children, 2023)</w:t>
      </w:r>
    </w:p>
    <w:p w14:paraId="2C0E8402" w14:textId="602E54C4" w:rsidR="007B7C81" w:rsidRPr="007B7C81" w:rsidRDefault="007B7C81" w:rsidP="00585BB1"/>
    <w:p w14:paraId="7B1E8317" w14:textId="58E50665" w:rsidR="00573E43" w:rsidRDefault="00573E43" w:rsidP="00573E43">
      <w:pPr>
        <w:rPr>
          <w:color w:val="000000"/>
        </w:rPr>
      </w:pPr>
      <w:r>
        <w:t>As a result of living in poverty, children are frequently subjected to persistent sources of stress, including financial instability, housing insecurity, and conflicts within the family. Constant exposure to stress can trigger anxiety and contribute to a heightened sense of uncertainty and insecurity in children's lives.  “</w:t>
      </w:r>
      <w:r w:rsidRPr="00872071">
        <w:rPr>
          <w:color w:val="212121"/>
          <w:shd w:val="clear" w:color="auto" w:fill="FFFFFF"/>
        </w:rPr>
        <w:t>Children of colour, from single-parent households, and from immigrant families are most likely to live below the poverty line”.</w:t>
      </w:r>
      <w:r>
        <w:rPr>
          <w:color w:val="212121"/>
          <w:shd w:val="clear" w:color="auto" w:fill="FFFFFF"/>
        </w:rPr>
        <w:t xml:space="preserve"> </w:t>
      </w:r>
      <w:r>
        <w:rPr>
          <w:color w:val="000000"/>
        </w:rPr>
        <w:t>(Francis et al., 2018)</w:t>
      </w:r>
    </w:p>
    <w:p w14:paraId="32BD5727" w14:textId="09825BA3" w:rsidR="00F51F94" w:rsidRDefault="00B27FA6" w:rsidP="00585BB1">
      <w:pPr>
        <w:rPr>
          <w:color w:val="000000"/>
        </w:rPr>
      </w:pPr>
      <w:r>
        <w:rPr>
          <w:noProof/>
          <w:color w:val="000000"/>
        </w:rPr>
        <w:drawing>
          <wp:anchor distT="0" distB="0" distL="114300" distR="114300" simplePos="0" relativeHeight="251667456" behindDoc="0" locked="0" layoutInCell="1" allowOverlap="1" wp14:anchorId="4AF21986" wp14:editId="3FC25B62">
            <wp:simplePos x="0" y="0"/>
            <wp:positionH relativeFrom="column">
              <wp:posOffset>-873760</wp:posOffset>
            </wp:positionH>
            <wp:positionV relativeFrom="paragraph">
              <wp:posOffset>113665</wp:posOffset>
            </wp:positionV>
            <wp:extent cx="2734945" cy="1824355"/>
            <wp:effectExtent l="0" t="0" r="0" b="4445"/>
            <wp:wrapSquare wrapText="bothSides"/>
            <wp:docPr id="518220303" name="Picture 1" descr="A child lying on a table with her head on a stuffed anim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220303" name="Picture 1" descr="A child lying on a table with her head on a stuffed anima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734945" cy="1824355"/>
                    </a:xfrm>
                    <a:prstGeom prst="rect">
                      <a:avLst/>
                    </a:prstGeom>
                  </pic:spPr>
                </pic:pic>
              </a:graphicData>
            </a:graphic>
            <wp14:sizeRelH relativeFrom="page">
              <wp14:pctWidth>0</wp14:pctWidth>
            </wp14:sizeRelH>
            <wp14:sizeRelV relativeFrom="page">
              <wp14:pctHeight>0</wp14:pctHeight>
            </wp14:sizeRelV>
          </wp:anchor>
        </w:drawing>
      </w:r>
    </w:p>
    <w:p w14:paraId="39608E47" w14:textId="27B2D59A" w:rsidR="00B27FA6" w:rsidRDefault="00B27FA6" w:rsidP="00585BB1">
      <w:pPr>
        <w:rPr>
          <w:color w:val="000000"/>
        </w:rPr>
      </w:pPr>
    </w:p>
    <w:p w14:paraId="34A4F943" w14:textId="40C5BE4D" w:rsidR="00B27FA6" w:rsidRDefault="00B27FA6" w:rsidP="00585BB1">
      <w:pPr>
        <w:rPr>
          <w:color w:val="000000"/>
        </w:rPr>
      </w:pPr>
    </w:p>
    <w:p w14:paraId="1AEF7D4B" w14:textId="77777777" w:rsidR="000F3858" w:rsidRDefault="000F3858" w:rsidP="00585BB1">
      <w:pPr>
        <w:rPr>
          <w:color w:val="000000"/>
        </w:rPr>
      </w:pPr>
    </w:p>
    <w:p w14:paraId="39459A73" w14:textId="77777777" w:rsidR="000F3858" w:rsidRDefault="000F3858" w:rsidP="00585BB1">
      <w:pPr>
        <w:rPr>
          <w:color w:val="000000"/>
        </w:rPr>
      </w:pPr>
    </w:p>
    <w:p w14:paraId="2985ACBB" w14:textId="77777777" w:rsidR="000F3858" w:rsidRDefault="000F3858" w:rsidP="00585BB1">
      <w:pPr>
        <w:rPr>
          <w:color w:val="000000"/>
        </w:rPr>
      </w:pPr>
    </w:p>
    <w:p w14:paraId="26C5DB59" w14:textId="77777777" w:rsidR="000F3858" w:rsidRDefault="000F3858" w:rsidP="00585BB1">
      <w:pPr>
        <w:rPr>
          <w:color w:val="000000"/>
        </w:rPr>
      </w:pPr>
    </w:p>
    <w:p w14:paraId="3B57FF5A" w14:textId="77777777" w:rsidR="000F3858" w:rsidRDefault="000F3858" w:rsidP="00585BB1">
      <w:pPr>
        <w:rPr>
          <w:color w:val="000000"/>
        </w:rPr>
      </w:pPr>
    </w:p>
    <w:p w14:paraId="2D6087FA" w14:textId="77777777" w:rsidR="000F3858" w:rsidRDefault="000F3858" w:rsidP="00585BB1">
      <w:pPr>
        <w:rPr>
          <w:color w:val="000000"/>
        </w:rPr>
      </w:pPr>
    </w:p>
    <w:p w14:paraId="0F8ECD6B" w14:textId="77777777" w:rsidR="000F3858" w:rsidRDefault="000F3858" w:rsidP="00585BB1">
      <w:pPr>
        <w:rPr>
          <w:color w:val="000000"/>
        </w:rPr>
      </w:pPr>
    </w:p>
    <w:p w14:paraId="5029A628" w14:textId="77777777" w:rsidR="000F3858" w:rsidRDefault="000F3858" w:rsidP="00585BB1">
      <w:pPr>
        <w:rPr>
          <w:color w:val="000000"/>
        </w:rPr>
      </w:pPr>
    </w:p>
    <w:p w14:paraId="4ADCB2CD" w14:textId="77777777" w:rsidR="000F3858" w:rsidRDefault="000F3858" w:rsidP="00585BB1">
      <w:pPr>
        <w:rPr>
          <w:color w:val="000000"/>
        </w:rPr>
      </w:pPr>
    </w:p>
    <w:p w14:paraId="095FBD3D" w14:textId="77777777" w:rsidR="00154262" w:rsidRDefault="00154262" w:rsidP="00154262">
      <w:r w:rsidRPr="00EA2E10">
        <w:t>The stigma and discrimination that children face because of their socioeconomic situation can have a negative impact on their feeling of self-worth and self-esteem, particularly if they are living in poverty. Limited access to resources and opportunities may lead children to internalize negative perceptions about themselves and their capabilities.</w:t>
      </w:r>
    </w:p>
    <w:p w14:paraId="4FE1357B" w14:textId="257BE174" w:rsidR="000F3858" w:rsidRDefault="000F3858" w:rsidP="00585BB1">
      <w:pPr>
        <w:rPr>
          <w:color w:val="000000"/>
        </w:rPr>
      </w:pPr>
    </w:p>
    <w:p w14:paraId="198CFBA0" w14:textId="77777777" w:rsidR="00A95731" w:rsidRDefault="00A95731" w:rsidP="00A95731">
      <w:pPr>
        <w:rPr>
          <w:color w:val="000000"/>
        </w:rPr>
      </w:pPr>
      <w:r>
        <w:t xml:space="preserve">There are 4.3 million children in the UK that are growing up in poverty and there is 47% of children from black and minority ethnic groups are in poverty compared to 24% of white children. This can affect a child’s emotional wellbeing because </w:t>
      </w:r>
      <w:r w:rsidRPr="00544A5B">
        <w:t xml:space="preserve">children </w:t>
      </w:r>
      <w:r>
        <w:t xml:space="preserve">that are </w:t>
      </w:r>
      <w:r w:rsidRPr="00544A5B">
        <w:t>from less fortunate homes don't have the same possibilities as other kids their age. Many won't have access to the same learning resources, many will have to work part-time jobs in addition to their studies, and many won't be able to go on excursions with friends because they can't afford it.</w:t>
      </w:r>
      <w:r w:rsidRPr="00544A5B">
        <w:rPr>
          <w:color w:val="000000"/>
        </w:rPr>
        <w:t xml:space="preserve"> </w:t>
      </w:r>
      <w:r>
        <w:rPr>
          <w:color w:val="000000"/>
        </w:rPr>
        <w:t>(The Children's Society, 2024)</w:t>
      </w:r>
    </w:p>
    <w:p w14:paraId="75C17406" w14:textId="77777777" w:rsidR="00A95731" w:rsidRDefault="00A95731" w:rsidP="00585BB1">
      <w:pPr>
        <w:rPr>
          <w:color w:val="000000"/>
        </w:rPr>
      </w:pPr>
    </w:p>
    <w:p w14:paraId="49676AF7" w14:textId="77777777" w:rsidR="00BD3E03" w:rsidRDefault="00BD3E03" w:rsidP="00BD3E03">
      <w:pPr>
        <w:rPr>
          <w:color w:val="000000"/>
        </w:rPr>
      </w:pPr>
      <w:r w:rsidRPr="00544A5B">
        <w:rPr>
          <w:color w:val="000000"/>
        </w:rPr>
        <w:t>Due to financial limitations, a lack of insurance, and a lack of resources in low-income areas, children living in poverty frequently have restricted access to mental health services and support networks. Delays in seeking help for emotional problems and unfulfilled mental health requirements may arise from this.</w:t>
      </w:r>
      <w:r>
        <w:rPr>
          <w:color w:val="000000"/>
        </w:rPr>
        <w:t xml:space="preserve"> </w:t>
      </w:r>
      <w:r w:rsidRPr="00544A5B">
        <w:rPr>
          <w:color w:val="000000"/>
        </w:rPr>
        <w:t>Being poor or coming from a low-income family has been associated with ill health and a higher risk of mental health issues that can last a lifetime for both adults and children. Children and families living in poverty are the least likely to have access to high-quality mental health treatment, despite their significant demand for mental health services.</w:t>
      </w:r>
      <w:r>
        <w:rPr>
          <w:color w:val="000000"/>
        </w:rPr>
        <w:t xml:space="preserve"> (Hodgkinson et al., 2017) </w:t>
      </w:r>
    </w:p>
    <w:p w14:paraId="10D6BBF2" w14:textId="77777777" w:rsidR="004F46B0" w:rsidRPr="00EA2E10" w:rsidRDefault="004F46B0" w:rsidP="00BD3E03"/>
    <w:p w14:paraId="772A963A" w14:textId="77777777" w:rsidR="004F46B0" w:rsidRDefault="004F46B0" w:rsidP="004F46B0">
      <w:r>
        <w:rPr>
          <w:color w:val="000000"/>
        </w:rPr>
        <w:t xml:space="preserve"> </w:t>
      </w:r>
      <w:r w:rsidRPr="00753134">
        <w:t>It can be challenging for individuals and families to afford safe and stable housing due to housing affordability difficulties, such as excessive rents, a lack of suitable public housing options, and homelessness.</w:t>
      </w:r>
      <w:r>
        <w:t xml:space="preserve"> </w:t>
      </w:r>
      <w:r w:rsidRPr="00CC74DE">
        <w:t>Parents' mental health suffers because of poverty, which has an impact on how they parent. Because of this, poverty has a detrimental impact on children both before and after they are born.</w:t>
      </w:r>
      <w:r>
        <w:t xml:space="preserve"> </w:t>
      </w:r>
      <w:r>
        <w:rPr>
          <w:color w:val="000000"/>
        </w:rPr>
        <w:t>(Action For Children, 2023)</w:t>
      </w:r>
    </w:p>
    <w:p w14:paraId="63BF9FEE" w14:textId="7BD67E90" w:rsidR="00BD3E03" w:rsidRDefault="0068209E" w:rsidP="00585BB1">
      <w:pPr>
        <w:rPr>
          <w:color w:val="000000"/>
        </w:rPr>
      </w:pPr>
      <w:r>
        <w:rPr>
          <w:noProof/>
          <w:color w:val="000000"/>
        </w:rPr>
        <w:drawing>
          <wp:anchor distT="0" distB="0" distL="114300" distR="114300" simplePos="0" relativeHeight="251668480" behindDoc="0" locked="0" layoutInCell="1" allowOverlap="1" wp14:anchorId="67B10803" wp14:editId="47AEAEBD">
            <wp:simplePos x="0" y="0"/>
            <wp:positionH relativeFrom="column">
              <wp:posOffset>-530860</wp:posOffset>
            </wp:positionH>
            <wp:positionV relativeFrom="paragraph">
              <wp:posOffset>187960</wp:posOffset>
            </wp:positionV>
            <wp:extent cx="2404745" cy="1600200"/>
            <wp:effectExtent l="0" t="0" r="0" b="0"/>
            <wp:wrapSquare wrapText="bothSides"/>
            <wp:docPr id="534870925" name="Picture 2" descr="A young child looking out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870925" name="Picture 2" descr="A young child looking out a window&#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04745" cy="1600200"/>
                    </a:xfrm>
                    <a:prstGeom prst="rect">
                      <a:avLst/>
                    </a:prstGeom>
                  </pic:spPr>
                </pic:pic>
              </a:graphicData>
            </a:graphic>
            <wp14:sizeRelH relativeFrom="page">
              <wp14:pctWidth>0</wp14:pctWidth>
            </wp14:sizeRelH>
            <wp14:sizeRelV relativeFrom="page">
              <wp14:pctHeight>0</wp14:pctHeight>
            </wp14:sizeRelV>
          </wp:anchor>
        </w:drawing>
      </w:r>
    </w:p>
    <w:p w14:paraId="070092F3" w14:textId="2210DC0C" w:rsidR="004F46B0" w:rsidRDefault="004F46B0" w:rsidP="00585BB1">
      <w:pPr>
        <w:rPr>
          <w:color w:val="000000"/>
        </w:rPr>
      </w:pPr>
    </w:p>
    <w:p w14:paraId="2426E891" w14:textId="77777777" w:rsidR="000F3858" w:rsidRDefault="000F3858" w:rsidP="00585BB1">
      <w:pPr>
        <w:rPr>
          <w:color w:val="000000"/>
        </w:rPr>
      </w:pPr>
    </w:p>
    <w:p w14:paraId="4F839894" w14:textId="77777777" w:rsidR="00A35E63" w:rsidRDefault="00A35E63" w:rsidP="00585BB1">
      <w:pPr>
        <w:rPr>
          <w:color w:val="000000"/>
        </w:rPr>
      </w:pPr>
    </w:p>
    <w:p w14:paraId="286643FD" w14:textId="77777777" w:rsidR="00A35E63" w:rsidRDefault="00A35E63" w:rsidP="00585BB1">
      <w:pPr>
        <w:rPr>
          <w:color w:val="000000"/>
        </w:rPr>
      </w:pPr>
    </w:p>
    <w:p w14:paraId="397C32DD" w14:textId="77777777" w:rsidR="00A35E63" w:rsidRDefault="00A35E63" w:rsidP="00585BB1">
      <w:pPr>
        <w:rPr>
          <w:color w:val="000000"/>
        </w:rPr>
      </w:pPr>
    </w:p>
    <w:p w14:paraId="6E0AC26B" w14:textId="77777777" w:rsidR="00A35E63" w:rsidRDefault="00A35E63" w:rsidP="00585BB1">
      <w:pPr>
        <w:rPr>
          <w:color w:val="000000"/>
        </w:rPr>
      </w:pPr>
    </w:p>
    <w:p w14:paraId="552BF4DC" w14:textId="77777777" w:rsidR="00A35E63" w:rsidRDefault="00A35E63" w:rsidP="00585BB1">
      <w:pPr>
        <w:rPr>
          <w:color w:val="000000"/>
        </w:rPr>
      </w:pPr>
    </w:p>
    <w:p w14:paraId="2A8EFC91" w14:textId="77777777" w:rsidR="00A35E63" w:rsidRDefault="00A35E63" w:rsidP="00585BB1">
      <w:pPr>
        <w:rPr>
          <w:color w:val="000000"/>
        </w:rPr>
      </w:pPr>
    </w:p>
    <w:p w14:paraId="16EF9A04" w14:textId="77777777" w:rsidR="00A35E63" w:rsidRDefault="00A35E63" w:rsidP="00585BB1">
      <w:pPr>
        <w:rPr>
          <w:color w:val="000000"/>
        </w:rPr>
      </w:pPr>
    </w:p>
    <w:p w14:paraId="36E80D92" w14:textId="77777777" w:rsidR="00A35E63" w:rsidRDefault="00A35E63" w:rsidP="00585BB1">
      <w:pPr>
        <w:rPr>
          <w:color w:val="000000"/>
        </w:rPr>
      </w:pPr>
    </w:p>
    <w:p w14:paraId="716B00E2" w14:textId="77777777" w:rsidR="00A35E63" w:rsidRDefault="00A35E63" w:rsidP="00A35E63">
      <w:pPr>
        <w:rPr>
          <w:color w:val="000000"/>
        </w:rPr>
      </w:pPr>
      <w:r w:rsidRPr="00753134">
        <w:t>Inadequate access to medical care, mental health services, and preventative care can worsen health inequities and put a financial strain on low-income individuals and families.</w:t>
      </w:r>
      <w:r>
        <w:t xml:space="preserve"> </w:t>
      </w:r>
      <w:r w:rsidRPr="00CC74DE">
        <w:t>As an employer and a supplier of public services, the NHS has a part to play in addressing poverty. A lot more work must be done to encourage improved access and better outcomes for those living in poverty, but there are some excellent initiatives underway, like as poverty-proofing services, which ensure that every step of the patient route is accessible to more disadvantaged groups.</w:t>
      </w:r>
      <w:r w:rsidRPr="00CC74DE">
        <w:rPr>
          <w:color w:val="000000"/>
        </w:rPr>
        <w:t xml:space="preserve"> </w:t>
      </w:r>
      <w:r>
        <w:rPr>
          <w:color w:val="000000"/>
        </w:rPr>
        <w:t>(Mallorie, 2024)</w:t>
      </w:r>
    </w:p>
    <w:p w14:paraId="3EAC41F4" w14:textId="77777777" w:rsidR="00A35E63" w:rsidRDefault="00A35E63" w:rsidP="00585BB1">
      <w:pPr>
        <w:rPr>
          <w:color w:val="000000"/>
        </w:rPr>
      </w:pPr>
    </w:p>
    <w:p w14:paraId="4F3B7EF3" w14:textId="77777777" w:rsidR="000401FF" w:rsidRDefault="000401FF" w:rsidP="000401FF">
      <w:r w:rsidRPr="00EA7307">
        <w:t>Abraham Maslow's hierarchy of needs can help us comprehend what it's like to live in poverty and the difficulties people have in achieving their most basic requirements.</w:t>
      </w:r>
      <w:r>
        <w:t xml:space="preserve"> </w:t>
      </w:r>
      <w:r w:rsidRPr="00EA7307">
        <w:t>Maslow ranked physiological demands, such as the need for clothing, food, water, and shelter, at the bottom of his hierarchy. Lack of access to these essentials causes food insecurity, homelessness, and subpar healthcare in many cases of poverty.</w:t>
      </w:r>
      <w:r>
        <w:t xml:space="preserve"> </w:t>
      </w:r>
      <w:r w:rsidRPr="002102B5">
        <w:t>Maslow's hierarchy of needs consists of five tiers. The wants are as follows, starting from the bottom of the hierarchy: physiologic (clothes and food), safety (work security), love and belonging (friendship), esteem, and self-actualization.</w:t>
      </w:r>
      <w:r>
        <w:t xml:space="preserve"> </w:t>
      </w:r>
      <w:r>
        <w:rPr>
          <w:color w:val="000000"/>
        </w:rPr>
        <w:t>(Mcleod, 2024)</w:t>
      </w:r>
    </w:p>
    <w:p w14:paraId="2E495B2C" w14:textId="77777777" w:rsidR="000401FF" w:rsidRDefault="000401FF" w:rsidP="00585BB1">
      <w:pPr>
        <w:rPr>
          <w:color w:val="000000"/>
        </w:rPr>
      </w:pPr>
    </w:p>
    <w:p w14:paraId="08EA0892" w14:textId="77777777" w:rsidR="00DA7C1A" w:rsidRPr="003B4B21" w:rsidRDefault="00DA7C1A" w:rsidP="00DA7C1A">
      <w:r w:rsidRPr="00C8769D">
        <w:t>Paulo Freire's learning theory offers significant insights into how education might solve the problems of poverty, especially in relation to his ideas of critical pedagogy and the "banking model" of education. According to Freire, education may provide marginalised people with the tools they need to confront and change oppressive societal norms.</w:t>
      </w:r>
      <w:r>
        <w:t xml:space="preserve">  “</w:t>
      </w:r>
      <w:r w:rsidRPr="003B4B21">
        <w:rPr>
          <w:color w:val="2B2B2B"/>
          <w:sz w:val="26"/>
          <w:szCs w:val="26"/>
          <w:shd w:val="clear" w:color="auto" w:fill="FFFFFF"/>
        </w:rPr>
        <w:t xml:space="preserve">The educational </w:t>
      </w:r>
      <w:r w:rsidRPr="003B4B21">
        <w:rPr>
          <w:color w:val="2B2B2B"/>
          <w:sz w:val="26"/>
          <w:szCs w:val="26"/>
          <w:shd w:val="clear" w:color="auto" w:fill="FFFFFF"/>
        </w:rPr>
        <w:lastRenderedPageBreak/>
        <w:t>perspectives he developed were influenced by his middle-class upbringing, experience of poverty (during the world depression)</w:t>
      </w:r>
      <w:r>
        <w:rPr>
          <w:color w:val="2B2B2B"/>
          <w:sz w:val="26"/>
          <w:szCs w:val="26"/>
          <w:shd w:val="clear" w:color="auto" w:fill="FFFFFF"/>
        </w:rPr>
        <w:t>”.</w:t>
      </w:r>
      <w:r w:rsidRPr="003D5835">
        <w:rPr>
          <w:color w:val="000000"/>
        </w:rPr>
        <w:t xml:space="preserve"> </w:t>
      </w:r>
      <w:r>
        <w:rPr>
          <w:color w:val="000000"/>
        </w:rPr>
        <w:t>(university of Bedfordshire, 2012)</w:t>
      </w:r>
    </w:p>
    <w:p w14:paraId="5ABC67E1" w14:textId="77777777" w:rsidR="00DA7C1A" w:rsidRDefault="00DA7C1A" w:rsidP="00585BB1">
      <w:pPr>
        <w:rPr>
          <w:color w:val="000000"/>
        </w:rPr>
      </w:pPr>
    </w:p>
    <w:p w14:paraId="4B22EC51" w14:textId="12E4D1A3" w:rsidR="00DA7C1A" w:rsidRDefault="00DA7C1A" w:rsidP="00585BB1">
      <w:pPr>
        <w:rPr>
          <w:color w:val="000000"/>
        </w:rPr>
      </w:pPr>
      <w:r>
        <w:rPr>
          <w:color w:val="000000"/>
        </w:rPr>
        <w:t xml:space="preserve">The difference between </w:t>
      </w:r>
      <w:r w:rsidR="00267325">
        <w:rPr>
          <w:color w:val="000000"/>
        </w:rPr>
        <w:t>Maslow’s</w:t>
      </w:r>
      <w:r>
        <w:rPr>
          <w:color w:val="000000"/>
        </w:rPr>
        <w:t xml:space="preserve"> theory and </w:t>
      </w:r>
      <w:r w:rsidR="00267325">
        <w:rPr>
          <w:color w:val="000000"/>
        </w:rPr>
        <w:t xml:space="preserve">Freire’s theory is that </w:t>
      </w:r>
      <w:r w:rsidR="00C2137B">
        <w:rPr>
          <w:color w:val="000000"/>
        </w:rPr>
        <w:t>Maslow’s t</w:t>
      </w:r>
      <w:r w:rsidR="00C2137B" w:rsidRPr="00C2137B">
        <w:rPr>
          <w:color w:val="000000"/>
        </w:rPr>
        <w:t xml:space="preserve">heory is mostly concerned with how people grow as individuals and how their </w:t>
      </w:r>
      <w:r w:rsidR="00BB1D10">
        <w:rPr>
          <w:color w:val="000000"/>
        </w:rPr>
        <w:t xml:space="preserve">needs </w:t>
      </w:r>
      <w:r w:rsidR="00C2137B" w:rsidRPr="00C2137B">
        <w:rPr>
          <w:color w:val="000000"/>
        </w:rPr>
        <w:t>are met. The focus is on personal development and self-actualization as people work to reach their full potentia</w:t>
      </w:r>
      <w:r w:rsidR="00BA29CD">
        <w:rPr>
          <w:color w:val="000000"/>
        </w:rPr>
        <w:t>l a</w:t>
      </w:r>
      <w:r w:rsidR="00BB1D10">
        <w:rPr>
          <w:color w:val="000000"/>
        </w:rPr>
        <w:t xml:space="preserve">nd Freire’s </w:t>
      </w:r>
      <w:r w:rsidR="00BA29CD">
        <w:rPr>
          <w:color w:val="000000"/>
        </w:rPr>
        <w:t xml:space="preserve">theory </w:t>
      </w:r>
      <w:r w:rsidR="006D5041">
        <w:rPr>
          <w:color w:val="000000"/>
        </w:rPr>
        <w:t xml:space="preserve">is </w:t>
      </w:r>
      <w:r w:rsidR="00BA29CD" w:rsidRPr="00BA29CD">
        <w:rPr>
          <w:color w:val="000000"/>
        </w:rPr>
        <w:t>views on group action and societal change. He believed that repressive social structures are the cause of poverty and promoted the use of collective action and education to enable marginalised groups to confront and alter these institutions.</w:t>
      </w:r>
      <w:r w:rsidR="003E09DF" w:rsidRPr="003E09DF">
        <w:t xml:space="preserve"> </w:t>
      </w:r>
      <w:r w:rsidR="003E09DF" w:rsidRPr="003E09DF">
        <w:rPr>
          <w:color w:val="000000"/>
        </w:rPr>
        <w:t>The learning theory developed by Paulo Freire offers a paradigm for utilising education as a weapon for social change, especially for the poor.</w:t>
      </w:r>
      <w:r w:rsidR="003E09DF">
        <w:rPr>
          <w:color w:val="000000"/>
        </w:rPr>
        <w:t xml:space="preserve"> </w:t>
      </w:r>
      <w:r w:rsidR="005F7977">
        <w:rPr>
          <w:rFonts w:ascii="Segoe UI" w:hAnsi="Segoe UI" w:cs="Segoe UI"/>
          <w:color w:val="0D0D0D"/>
          <w:shd w:val="clear" w:color="auto" w:fill="FFFFFF"/>
        </w:rPr>
        <w:t xml:space="preserve"> </w:t>
      </w:r>
      <w:r w:rsidR="005F7977" w:rsidRPr="005F7977">
        <w:rPr>
          <w:rFonts w:ascii="Segoe UI" w:hAnsi="Segoe UI" w:cs="Segoe UI"/>
          <w:color w:val="0D0D0D"/>
          <w:shd w:val="clear" w:color="auto" w:fill="FFFFFF"/>
        </w:rPr>
        <w:t>It is believed that being poor prevents people from meeting their requirements for safety, esteem, and physiology, all of which might impede their ability to grow as people.</w:t>
      </w:r>
      <w:r w:rsidR="002C7DE1" w:rsidRPr="002C7DE1">
        <w:rPr>
          <w:color w:val="000000"/>
        </w:rPr>
        <w:t xml:space="preserve"> </w:t>
      </w:r>
      <w:r w:rsidR="002C7DE1">
        <w:rPr>
          <w:color w:val="000000"/>
        </w:rPr>
        <w:t>(McLeod, 2018)</w:t>
      </w:r>
    </w:p>
    <w:p w14:paraId="1D87B521" w14:textId="77777777" w:rsidR="00663894" w:rsidRDefault="00663894" w:rsidP="00585BB1">
      <w:pPr>
        <w:rPr>
          <w:color w:val="000000"/>
        </w:rPr>
      </w:pPr>
    </w:p>
    <w:p w14:paraId="7A30D507" w14:textId="77777777" w:rsidR="00663894" w:rsidRDefault="00663894" w:rsidP="00585BB1">
      <w:pPr>
        <w:rPr>
          <w:color w:val="000000"/>
        </w:rPr>
      </w:pPr>
    </w:p>
    <w:p w14:paraId="6E33C3AA" w14:textId="77777777" w:rsidR="00663894" w:rsidRDefault="00663894" w:rsidP="00585BB1">
      <w:pPr>
        <w:rPr>
          <w:color w:val="000000"/>
        </w:rPr>
      </w:pPr>
    </w:p>
    <w:p w14:paraId="6794AC5C" w14:textId="77777777" w:rsidR="00663894" w:rsidRDefault="00663894" w:rsidP="00585BB1">
      <w:pPr>
        <w:rPr>
          <w:color w:val="000000"/>
        </w:rPr>
      </w:pPr>
    </w:p>
    <w:p w14:paraId="4BA3A737" w14:textId="6C022E71" w:rsidR="00663894" w:rsidRPr="00663894" w:rsidRDefault="00316D79" w:rsidP="00663894">
      <w:pPr>
        <w:pStyle w:val="Heading1"/>
        <w:spacing w:before="0" w:after="240" w:line="540" w:lineRule="atLeast"/>
        <w:rPr>
          <w:rFonts w:ascii="Calibri" w:hAnsi="Calibri" w:cs="Calibri"/>
          <w:color w:val="000000"/>
          <w:sz w:val="36"/>
          <w:szCs w:val="36"/>
        </w:rPr>
      </w:pPr>
      <w:r w:rsidRPr="00316D79">
        <w:rPr>
          <w:rFonts w:ascii="Calibri" w:hAnsi="Calibri" w:cs="Calibri"/>
          <w:color w:val="000000"/>
          <w:sz w:val="36"/>
          <w:szCs w:val="36"/>
        </w:rPr>
        <w:t>Reference list</w:t>
      </w:r>
    </w:p>
    <w:p w14:paraId="5ABB572A" w14:textId="77777777" w:rsidR="00316D79" w:rsidRDefault="00316D79" w:rsidP="00316D79">
      <w:pPr>
        <w:pStyle w:val="NormalWeb"/>
        <w:spacing w:before="0" w:beforeAutospacing="0" w:after="240" w:afterAutospacing="0" w:line="360" w:lineRule="atLeast"/>
        <w:rPr>
          <w:rFonts w:ascii="Calibri" w:hAnsi="Calibri" w:cs="Calibri"/>
          <w:color w:val="000000"/>
        </w:rPr>
      </w:pPr>
      <w:r w:rsidRPr="00316D79">
        <w:rPr>
          <w:rFonts w:ascii="Calibri" w:hAnsi="Calibri" w:cs="Calibri"/>
          <w:color w:val="000000"/>
        </w:rPr>
        <w:t>Action For Children (2023).</w:t>
      </w:r>
      <w:r w:rsidRPr="00316D79">
        <w:rPr>
          <w:rStyle w:val="apple-converted-space"/>
          <w:rFonts w:ascii="Calibri" w:eastAsiaTheme="majorEastAsia" w:hAnsi="Calibri" w:cs="Calibri"/>
          <w:color w:val="000000"/>
        </w:rPr>
        <w:t> </w:t>
      </w:r>
      <w:r w:rsidRPr="00316D79">
        <w:rPr>
          <w:rFonts w:ascii="Calibri" w:hAnsi="Calibri" w:cs="Calibri"/>
          <w:i/>
          <w:iCs/>
          <w:color w:val="000000"/>
        </w:rPr>
        <w:t>How poverty affects children’s mental health</w:t>
      </w:r>
      <w:r w:rsidRPr="00316D79">
        <w:rPr>
          <w:rFonts w:ascii="Calibri" w:hAnsi="Calibri" w:cs="Calibri"/>
          <w:color w:val="000000"/>
        </w:rPr>
        <w:t>. [online] Action for Children. Available at: https://www.actionforchildren.org.uk/blog/how-poverty-affects-childrens-mental-health/ [Accessed 16 May 2024].</w:t>
      </w:r>
    </w:p>
    <w:p w14:paraId="152491A5" w14:textId="77777777" w:rsidR="00C13070" w:rsidRPr="00C13070" w:rsidRDefault="00C13070" w:rsidP="00C13070">
      <w:pPr>
        <w:pStyle w:val="NormalWeb"/>
        <w:spacing w:before="0" w:beforeAutospacing="0" w:after="240" w:afterAutospacing="0" w:line="360" w:lineRule="atLeast"/>
        <w:rPr>
          <w:rFonts w:ascii="Calibri" w:hAnsi="Calibri" w:cs="Calibri"/>
          <w:color w:val="000000"/>
        </w:rPr>
      </w:pPr>
      <w:r w:rsidRPr="00C13070">
        <w:rPr>
          <w:rFonts w:ascii="Calibri" w:hAnsi="Calibri" w:cs="Calibri"/>
          <w:color w:val="000000"/>
        </w:rPr>
        <w:t>Child Poverty Action Group (2024).</w:t>
      </w:r>
      <w:r w:rsidRPr="00C13070">
        <w:rPr>
          <w:rStyle w:val="apple-converted-space"/>
          <w:rFonts w:ascii="Calibri" w:eastAsiaTheme="majorEastAsia" w:hAnsi="Calibri" w:cs="Calibri"/>
          <w:color w:val="000000"/>
        </w:rPr>
        <w:t> </w:t>
      </w:r>
      <w:r w:rsidRPr="00C13070">
        <w:rPr>
          <w:rFonts w:ascii="Calibri" w:hAnsi="Calibri" w:cs="Calibri"/>
          <w:i/>
          <w:iCs/>
          <w:color w:val="000000"/>
        </w:rPr>
        <w:t>Effects of poverty | CPAG</w:t>
      </w:r>
      <w:r w:rsidRPr="00C13070">
        <w:rPr>
          <w:rFonts w:ascii="Calibri" w:hAnsi="Calibri" w:cs="Calibri"/>
          <w:color w:val="000000"/>
        </w:rPr>
        <w:t>. [online] cpag.org.uk. Available at: https://cpag.org.uk/child-poverty/effects-poverty#:~:text=Poverty%20affects%20health%20even%20before [Accessed 15 May 2024].</w:t>
      </w:r>
    </w:p>
    <w:p w14:paraId="3FDAB97A" w14:textId="77777777" w:rsidR="00316D79" w:rsidRPr="00316D79" w:rsidRDefault="00316D79" w:rsidP="00316D79">
      <w:pPr>
        <w:pStyle w:val="NormalWeb"/>
        <w:spacing w:before="0" w:beforeAutospacing="0" w:after="240" w:afterAutospacing="0" w:line="360" w:lineRule="atLeast"/>
        <w:rPr>
          <w:rFonts w:ascii="Calibri" w:hAnsi="Calibri" w:cs="Calibri"/>
          <w:color w:val="000000"/>
        </w:rPr>
      </w:pPr>
      <w:r w:rsidRPr="00316D79">
        <w:rPr>
          <w:rFonts w:ascii="Calibri" w:hAnsi="Calibri" w:cs="Calibri"/>
          <w:color w:val="000000"/>
        </w:rPr>
        <w:t xml:space="preserve">Francis, L., </w:t>
      </w:r>
      <w:proofErr w:type="spellStart"/>
      <w:r w:rsidRPr="00316D79">
        <w:rPr>
          <w:rFonts w:ascii="Calibri" w:hAnsi="Calibri" w:cs="Calibri"/>
          <w:color w:val="000000"/>
        </w:rPr>
        <w:t>DePriest</w:t>
      </w:r>
      <w:proofErr w:type="spellEnd"/>
      <w:r w:rsidRPr="00316D79">
        <w:rPr>
          <w:rFonts w:ascii="Calibri" w:hAnsi="Calibri" w:cs="Calibri"/>
          <w:color w:val="000000"/>
        </w:rPr>
        <w:t>, K., Wilson, M. and Gross, D. (2018). Child poverty, Toxic stress, and Social Determinants of health: Screening and Care Coordination.</w:t>
      </w:r>
      <w:r w:rsidRPr="00316D79">
        <w:rPr>
          <w:rStyle w:val="apple-converted-space"/>
          <w:rFonts w:ascii="Calibri" w:eastAsiaTheme="majorEastAsia" w:hAnsi="Calibri" w:cs="Calibri"/>
          <w:color w:val="000000"/>
        </w:rPr>
        <w:t> </w:t>
      </w:r>
      <w:r w:rsidRPr="00316D79">
        <w:rPr>
          <w:rFonts w:ascii="Calibri" w:hAnsi="Calibri" w:cs="Calibri"/>
          <w:i/>
          <w:iCs/>
          <w:color w:val="000000"/>
        </w:rPr>
        <w:t>Online Journal of Issues in Nursing</w:t>
      </w:r>
      <w:r w:rsidRPr="00316D79">
        <w:rPr>
          <w:rFonts w:ascii="Calibri" w:hAnsi="Calibri" w:cs="Calibri"/>
          <w:color w:val="000000"/>
        </w:rPr>
        <w:t xml:space="preserve">, 23(3), p.2. </w:t>
      </w:r>
      <w:proofErr w:type="spellStart"/>
      <w:proofErr w:type="gramStart"/>
      <w:r w:rsidRPr="00316D79">
        <w:rPr>
          <w:rFonts w:ascii="Calibri" w:hAnsi="Calibri" w:cs="Calibri"/>
          <w:color w:val="000000"/>
        </w:rPr>
        <w:t>doi:https</w:t>
      </w:r>
      <w:proofErr w:type="spellEnd"/>
      <w:r w:rsidRPr="00316D79">
        <w:rPr>
          <w:rFonts w:ascii="Calibri" w:hAnsi="Calibri" w:cs="Calibri"/>
          <w:color w:val="000000"/>
        </w:rPr>
        <w:t>://doi.org/10.3912/OJIN.Vol23No03Man02</w:t>
      </w:r>
      <w:proofErr w:type="gramEnd"/>
      <w:r w:rsidRPr="00316D79">
        <w:rPr>
          <w:rFonts w:ascii="Calibri" w:hAnsi="Calibri" w:cs="Calibri"/>
          <w:color w:val="000000"/>
        </w:rPr>
        <w:t>.</w:t>
      </w:r>
    </w:p>
    <w:p w14:paraId="450A49D2" w14:textId="77777777" w:rsidR="00316D79" w:rsidRPr="00316D79" w:rsidRDefault="00316D79" w:rsidP="00316D79">
      <w:pPr>
        <w:pStyle w:val="NormalWeb"/>
        <w:spacing w:before="0" w:beforeAutospacing="0" w:after="240" w:afterAutospacing="0" w:line="360" w:lineRule="atLeast"/>
        <w:rPr>
          <w:rFonts w:ascii="Calibri" w:hAnsi="Calibri" w:cs="Calibri"/>
          <w:color w:val="000000"/>
        </w:rPr>
      </w:pPr>
      <w:r w:rsidRPr="00316D79">
        <w:rPr>
          <w:rFonts w:ascii="Calibri" w:hAnsi="Calibri" w:cs="Calibri"/>
          <w:color w:val="000000"/>
        </w:rPr>
        <w:t>Hodgkinson, S., Godoy, L., Beers, L.S. and Lewin, A. (2017). Improving mental health access for low-income children and families in the primary care setting.</w:t>
      </w:r>
      <w:r w:rsidRPr="00316D79">
        <w:rPr>
          <w:rStyle w:val="apple-converted-space"/>
          <w:rFonts w:ascii="Calibri" w:eastAsiaTheme="majorEastAsia" w:hAnsi="Calibri" w:cs="Calibri"/>
          <w:color w:val="000000"/>
        </w:rPr>
        <w:t> </w:t>
      </w:r>
      <w:proofErr w:type="spellStart"/>
      <w:r w:rsidRPr="00316D79">
        <w:rPr>
          <w:rFonts w:ascii="Calibri" w:hAnsi="Calibri" w:cs="Calibri"/>
          <w:i/>
          <w:iCs/>
          <w:color w:val="000000"/>
        </w:rPr>
        <w:t>Pediatrics</w:t>
      </w:r>
      <w:proofErr w:type="spellEnd"/>
      <w:r w:rsidRPr="00316D79">
        <w:rPr>
          <w:rFonts w:ascii="Calibri" w:hAnsi="Calibri" w:cs="Calibri"/>
          <w:color w:val="000000"/>
        </w:rPr>
        <w:t xml:space="preserve">, [online] 139(1), pp.1–9. </w:t>
      </w:r>
      <w:proofErr w:type="spellStart"/>
      <w:proofErr w:type="gramStart"/>
      <w:r w:rsidRPr="00316D79">
        <w:rPr>
          <w:rFonts w:ascii="Calibri" w:hAnsi="Calibri" w:cs="Calibri"/>
          <w:color w:val="000000"/>
        </w:rPr>
        <w:t>doi:https</w:t>
      </w:r>
      <w:proofErr w:type="spellEnd"/>
      <w:r w:rsidRPr="00316D79">
        <w:rPr>
          <w:rFonts w:ascii="Calibri" w:hAnsi="Calibri" w:cs="Calibri"/>
          <w:color w:val="000000"/>
        </w:rPr>
        <w:t>://doi.org/10.1542/peds.2015-1175</w:t>
      </w:r>
      <w:proofErr w:type="gramEnd"/>
      <w:r w:rsidRPr="00316D79">
        <w:rPr>
          <w:rFonts w:ascii="Calibri" w:hAnsi="Calibri" w:cs="Calibri"/>
          <w:color w:val="000000"/>
        </w:rPr>
        <w:t>.</w:t>
      </w:r>
    </w:p>
    <w:p w14:paraId="36BEE896" w14:textId="77777777" w:rsidR="00316D79" w:rsidRPr="00316D79" w:rsidRDefault="00316D79" w:rsidP="00316D79">
      <w:pPr>
        <w:pStyle w:val="NormalWeb"/>
        <w:spacing w:before="0" w:beforeAutospacing="0" w:after="240" w:afterAutospacing="0" w:line="360" w:lineRule="atLeast"/>
        <w:rPr>
          <w:rFonts w:ascii="Calibri" w:hAnsi="Calibri" w:cs="Calibri"/>
          <w:color w:val="000000"/>
        </w:rPr>
      </w:pPr>
      <w:r w:rsidRPr="00316D79">
        <w:rPr>
          <w:rFonts w:ascii="Calibri" w:hAnsi="Calibri" w:cs="Calibri"/>
          <w:color w:val="000000"/>
        </w:rPr>
        <w:t>Mallorie, S. (2024).</w:t>
      </w:r>
      <w:r w:rsidRPr="00316D79">
        <w:rPr>
          <w:rStyle w:val="apple-converted-space"/>
          <w:rFonts w:ascii="Calibri" w:eastAsiaTheme="majorEastAsia" w:hAnsi="Calibri" w:cs="Calibri"/>
          <w:color w:val="000000"/>
        </w:rPr>
        <w:t> </w:t>
      </w:r>
      <w:r w:rsidRPr="00316D79">
        <w:rPr>
          <w:rFonts w:ascii="Calibri" w:hAnsi="Calibri" w:cs="Calibri"/>
          <w:i/>
          <w:iCs/>
          <w:color w:val="000000"/>
        </w:rPr>
        <w:t xml:space="preserve">The Relationship Between Poverty </w:t>
      </w:r>
      <w:proofErr w:type="gramStart"/>
      <w:r w:rsidRPr="00316D79">
        <w:rPr>
          <w:rFonts w:ascii="Calibri" w:hAnsi="Calibri" w:cs="Calibri"/>
          <w:i/>
          <w:iCs/>
          <w:color w:val="000000"/>
        </w:rPr>
        <w:t>And</w:t>
      </w:r>
      <w:proofErr w:type="gramEnd"/>
      <w:r w:rsidRPr="00316D79">
        <w:rPr>
          <w:rFonts w:ascii="Calibri" w:hAnsi="Calibri" w:cs="Calibri"/>
          <w:i/>
          <w:iCs/>
          <w:color w:val="000000"/>
        </w:rPr>
        <w:t xml:space="preserve"> NHS Services</w:t>
      </w:r>
      <w:r w:rsidRPr="00316D79">
        <w:rPr>
          <w:rFonts w:ascii="Calibri" w:hAnsi="Calibri" w:cs="Calibri"/>
          <w:color w:val="000000"/>
        </w:rPr>
        <w:t>. [online] The King’s Fund. Available at: https://www.kingsfund.org.uk/insight-and-analysis/long-reads/relationship-poverty-nhs-services [Accessed 17 May 2024].</w:t>
      </w:r>
    </w:p>
    <w:p w14:paraId="54EDA087" w14:textId="77777777" w:rsidR="00316D79" w:rsidRPr="00316D79" w:rsidRDefault="00316D79" w:rsidP="00316D79">
      <w:pPr>
        <w:pStyle w:val="NormalWeb"/>
        <w:spacing w:before="0" w:beforeAutospacing="0" w:after="240" w:afterAutospacing="0" w:line="360" w:lineRule="atLeast"/>
        <w:rPr>
          <w:rFonts w:ascii="Calibri" w:hAnsi="Calibri" w:cs="Calibri"/>
          <w:color w:val="000000"/>
        </w:rPr>
      </w:pPr>
      <w:r w:rsidRPr="00316D79">
        <w:rPr>
          <w:rFonts w:ascii="Calibri" w:hAnsi="Calibri" w:cs="Calibri"/>
          <w:color w:val="000000"/>
        </w:rPr>
        <w:t>McLeod, S. (2018).</w:t>
      </w:r>
      <w:r w:rsidRPr="00316D79">
        <w:rPr>
          <w:rStyle w:val="apple-converted-space"/>
          <w:rFonts w:ascii="Calibri" w:eastAsiaTheme="majorEastAsia" w:hAnsi="Calibri" w:cs="Calibri"/>
          <w:color w:val="000000"/>
        </w:rPr>
        <w:t> </w:t>
      </w:r>
      <w:r w:rsidRPr="00316D79">
        <w:rPr>
          <w:rFonts w:ascii="Calibri" w:hAnsi="Calibri" w:cs="Calibri"/>
          <w:i/>
          <w:iCs/>
          <w:color w:val="000000"/>
        </w:rPr>
        <w:t>Maslow’s Hierarchy of Needs</w:t>
      </w:r>
      <w:r w:rsidRPr="00316D79">
        <w:rPr>
          <w:rFonts w:ascii="Calibri" w:hAnsi="Calibri" w:cs="Calibri"/>
          <w:color w:val="000000"/>
        </w:rPr>
        <w:t>. [online]</w:t>
      </w:r>
      <w:r w:rsidRPr="00316D79">
        <w:rPr>
          <w:rStyle w:val="apple-converted-space"/>
          <w:rFonts w:ascii="Calibri" w:eastAsiaTheme="majorEastAsia" w:hAnsi="Calibri" w:cs="Calibri"/>
          <w:color w:val="000000"/>
        </w:rPr>
        <w:t> </w:t>
      </w:r>
      <w:r w:rsidRPr="00316D79">
        <w:rPr>
          <w:rFonts w:ascii="Calibri" w:hAnsi="Calibri" w:cs="Calibri"/>
          <w:i/>
          <w:iCs/>
          <w:color w:val="000000"/>
        </w:rPr>
        <w:t>Canada College</w:t>
      </w:r>
      <w:r w:rsidRPr="00316D79">
        <w:rPr>
          <w:rFonts w:ascii="Calibri" w:hAnsi="Calibri" w:cs="Calibri"/>
          <w:color w:val="000000"/>
        </w:rPr>
        <w:t>. Simply Psychology. Available at: https://canadacollege.edu/dreamers/docs/Maslows-Hierarchy-of-Needs.pdf [Accessed 17 May 2024].</w:t>
      </w:r>
    </w:p>
    <w:p w14:paraId="3B34334F" w14:textId="77777777" w:rsidR="00316D79" w:rsidRPr="00316D79" w:rsidRDefault="00316D79" w:rsidP="00316D79">
      <w:pPr>
        <w:pStyle w:val="NormalWeb"/>
        <w:spacing w:before="0" w:beforeAutospacing="0" w:after="240" w:afterAutospacing="0" w:line="360" w:lineRule="atLeast"/>
        <w:rPr>
          <w:rFonts w:ascii="Calibri" w:hAnsi="Calibri" w:cs="Calibri"/>
          <w:color w:val="000000"/>
        </w:rPr>
      </w:pPr>
      <w:r w:rsidRPr="00316D79">
        <w:rPr>
          <w:rFonts w:ascii="Calibri" w:hAnsi="Calibri" w:cs="Calibri"/>
          <w:color w:val="000000"/>
        </w:rPr>
        <w:lastRenderedPageBreak/>
        <w:t>Mcleod, S. (2024). Maslow’s Hierarchy of Needs.</w:t>
      </w:r>
      <w:r w:rsidRPr="00316D79">
        <w:rPr>
          <w:rStyle w:val="apple-converted-space"/>
          <w:rFonts w:ascii="Calibri" w:eastAsiaTheme="majorEastAsia" w:hAnsi="Calibri" w:cs="Calibri"/>
          <w:color w:val="000000"/>
        </w:rPr>
        <w:t> </w:t>
      </w:r>
      <w:r w:rsidRPr="00316D79">
        <w:rPr>
          <w:rFonts w:ascii="Calibri" w:hAnsi="Calibri" w:cs="Calibri"/>
          <w:i/>
          <w:iCs/>
          <w:color w:val="000000"/>
        </w:rPr>
        <w:t>Simply Psychology</w:t>
      </w:r>
      <w:r w:rsidRPr="00316D79">
        <w:rPr>
          <w:rFonts w:ascii="Calibri" w:hAnsi="Calibri" w:cs="Calibri"/>
          <w:color w:val="000000"/>
        </w:rPr>
        <w:t>. [online] Available at: https://www.simplypsychology.org/maslow.html#:~:text=There%20are%20five%20levels%20in [Accessed 17 May 2024].</w:t>
      </w:r>
    </w:p>
    <w:p w14:paraId="5CA1367D" w14:textId="77777777" w:rsidR="00316D79" w:rsidRPr="00316D79" w:rsidRDefault="00316D79" w:rsidP="00316D79">
      <w:pPr>
        <w:pStyle w:val="NormalWeb"/>
        <w:spacing w:before="0" w:beforeAutospacing="0" w:after="240" w:afterAutospacing="0" w:line="360" w:lineRule="atLeast"/>
        <w:rPr>
          <w:rFonts w:ascii="Calibri" w:hAnsi="Calibri" w:cs="Calibri"/>
          <w:color w:val="000000"/>
        </w:rPr>
      </w:pPr>
      <w:r w:rsidRPr="00316D79">
        <w:rPr>
          <w:rFonts w:ascii="Calibri" w:hAnsi="Calibri" w:cs="Calibri"/>
          <w:color w:val="000000"/>
        </w:rPr>
        <w:t>The Children's Society (2024).</w:t>
      </w:r>
      <w:r w:rsidRPr="00316D79">
        <w:rPr>
          <w:rStyle w:val="apple-converted-space"/>
          <w:rFonts w:ascii="Calibri" w:eastAsiaTheme="majorEastAsia" w:hAnsi="Calibri" w:cs="Calibri"/>
          <w:color w:val="000000"/>
        </w:rPr>
        <w:t> </w:t>
      </w:r>
      <w:r w:rsidRPr="00316D79">
        <w:rPr>
          <w:rFonts w:ascii="Calibri" w:hAnsi="Calibri" w:cs="Calibri"/>
          <w:i/>
          <w:iCs/>
          <w:color w:val="000000"/>
        </w:rPr>
        <w:t>Effects Of Child Poverty | The Children’s Society</w:t>
      </w:r>
      <w:r w:rsidRPr="00316D79">
        <w:rPr>
          <w:rFonts w:ascii="Calibri" w:hAnsi="Calibri" w:cs="Calibri"/>
          <w:color w:val="000000"/>
        </w:rPr>
        <w:t>. [online] www.childrenssociety.org.uk. Available at: https://www.childrenssociety.org.uk/what-we-do/our-work/ending-child-poverty/effects-of-living-in-poverty#:~:text=mental%20health&amp;text=Money%20worries%20can%20make%20anyone [Accessed 16 May 2024].</w:t>
      </w:r>
    </w:p>
    <w:p w14:paraId="2FB43C9E" w14:textId="77777777" w:rsidR="00316D79" w:rsidRDefault="00316D79" w:rsidP="00316D79">
      <w:pPr>
        <w:pStyle w:val="NormalWeb"/>
        <w:spacing w:before="0" w:beforeAutospacing="0" w:after="240" w:afterAutospacing="0" w:line="360" w:lineRule="atLeast"/>
        <w:rPr>
          <w:rFonts w:ascii="Calibri" w:hAnsi="Calibri" w:cs="Calibri"/>
          <w:color w:val="000000"/>
        </w:rPr>
      </w:pPr>
      <w:r w:rsidRPr="00316D79">
        <w:rPr>
          <w:rFonts w:ascii="Calibri" w:hAnsi="Calibri" w:cs="Calibri"/>
          <w:color w:val="000000"/>
        </w:rPr>
        <w:t>university of Bedfordshire (2012).</w:t>
      </w:r>
      <w:r w:rsidRPr="00316D79">
        <w:rPr>
          <w:rStyle w:val="apple-converted-space"/>
          <w:rFonts w:ascii="Calibri" w:eastAsiaTheme="majorEastAsia" w:hAnsi="Calibri" w:cs="Calibri"/>
          <w:color w:val="000000"/>
        </w:rPr>
        <w:t> </w:t>
      </w:r>
      <w:r w:rsidRPr="00316D79">
        <w:rPr>
          <w:rFonts w:ascii="Calibri" w:hAnsi="Calibri" w:cs="Calibri"/>
          <w:i/>
          <w:iCs/>
          <w:color w:val="000000"/>
        </w:rPr>
        <w:t xml:space="preserve">Key Pedagogic Thinkers: Paulo </w:t>
      </w:r>
      <w:proofErr w:type="spellStart"/>
      <w:r w:rsidRPr="00316D79">
        <w:rPr>
          <w:rFonts w:ascii="Calibri" w:hAnsi="Calibri" w:cs="Calibri"/>
          <w:i/>
          <w:iCs/>
          <w:color w:val="000000"/>
        </w:rPr>
        <w:t>Friere</w:t>
      </w:r>
      <w:proofErr w:type="spellEnd"/>
      <w:r w:rsidRPr="00316D79">
        <w:rPr>
          <w:rFonts w:ascii="Calibri" w:hAnsi="Calibri" w:cs="Calibri"/>
          <w:i/>
          <w:iCs/>
          <w:color w:val="000000"/>
        </w:rPr>
        <w:t xml:space="preserve"> - Journal of Pedagogic Development | University of Bedfordshire</w:t>
      </w:r>
      <w:r w:rsidRPr="00316D79">
        <w:rPr>
          <w:rFonts w:ascii="Calibri" w:hAnsi="Calibri" w:cs="Calibri"/>
          <w:color w:val="000000"/>
        </w:rPr>
        <w:t>. [online] www.beds.ac.uk. Available at: https://www.beds.ac.uk/jpd/journal-of-pedagogic-development-volume-2-issue-3/key-pedagogic-thinkers-paulo-friere/ [Accessed 17 May 2024].</w:t>
      </w:r>
    </w:p>
    <w:p w14:paraId="5C9FFF87" w14:textId="77777777" w:rsidR="00655E23" w:rsidRDefault="00655E23" w:rsidP="00316D79">
      <w:pPr>
        <w:pStyle w:val="NormalWeb"/>
        <w:spacing w:before="0" w:beforeAutospacing="0" w:after="240" w:afterAutospacing="0" w:line="360" w:lineRule="atLeast"/>
        <w:rPr>
          <w:rFonts w:ascii="Calibri" w:hAnsi="Calibri" w:cs="Calibri"/>
          <w:color w:val="000000"/>
        </w:rPr>
      </w:pPr>
    </w:p>
    <w:p w14:paraId="7BB94BFE" w14:textId="77777777" w:rsidR="00655E23" w:rsidRDefault="00655E23" w:rsidP="00316D79">
      <w:pPr>
        <w:pStyle w:val="NormalWeb"/>
        <w:spacing w:before="0" w:beforeAutospacing="0" w:after="240" w:afterAutospacing="0" w:line="360" w:lineRule="atLeast"/>
        <w:rPr>
          <w:rFonts w:ascii="Calibri" w:hAnsi="Calibri" w:cs="Calibri"/>
          <w:color w:val="000000"/>
        </w:rPr>
      </w:pPr>
    </w:p>
    <w:p w14:paraId="7393FEBC" w14:textId="77777777" w:rsidR="00655E23" w:rsidRDefault="00655E23" w:rsidP="00316D79">
      <w:pPr>
        <w:pStyle w:val="NormalWeb"/>
        <w:spacing w:before="0" w:beforeAutospacing="0" w:after="240" w:afterAutospacing="0" w:line="360" w:lineRule="atLeast"/>
        <w:rPr>
          <w:rFonts w:ascii="Calibri" w:hAnsi="Calibri" w:cs="Calibri"/>
          <w:color w:val="000000"/>
        </w:rPr>
      </w:pPr>
    </w:p>
    <w:p w14:paraId="16E5A63D" w14:textId="77777777" w:rsidR="00655E23" w:rsidRDefault="00655E23" w:rsidP="00316D79">
      <w:pPr>
        <w:pStyle w:val="NormalWeb"/>
        <w:spacing w:before="0" w:beforeAutospacing="0" w:after="240" w:afterAutospacing="0" w:line="360" w:lineRule="atLeast"/>
        <w:rPr>
          <w:rFonts w:ascii="Calibri" w:hAnsi="Calibri" w:cs="Calibri"/>
          <w:color w:val="000000"/>
        </w:rPr>
      </w:pPr>
    </w:p>
    <w:p w14:paraId="11937C1A" w14:textId="77777777" w:rsidR="00655E23" w:rsidRDefault="00655E23" w:rsidP="00316D79">
      <w:pPr>
        <w:pStyle w:val="NormalWeb"/>
        <w:spacing w:before="0" w:beforeAutospacing="0" w:after="240" w:afterAutospacing="0" w:line="360" w:lineRule="atLeast"/>
        <w:rPr>
          <w:rFonts w:ascii="Calibri" w:hAnsi="Calibri" w:cs="Calibri"/>
          <w:color w:val="000000"/>
        </w:rPr>
      </w:pPr>
    </w:p>
    <w:p w14:paraId="1D4D55D0" w14:textId="77777777" w:rsidR="00655E23" w:rsidRDefault="00655E23" w:rsidP="00316D79">
      <w:pPr>
        <w:pStyle w:val="NormalWeb"/>
        <w:spacing w:before="0" w:beforeAutospacing="0" w:after="240" w:afterAutospacing="0" w:line="360" w:lineRule="atLeast"/>
        <w:rPr>
          <w:rFonts w:ascii="Calibri" w:hAnsi="Calibri" w:cs="Calibri"/>
          <w:color w:val="000000"/>
        </w:rPr>
      </w:pPr>
    </w:p>
    <w:p w14:paraId="03967A08" w14:textId="77777777" w:rsidR="00655E23" w:rsidRDefault="00655E23" w:rsidP="00316D79">
      <w:pPr>
        <w:pStyle w:val="NormalWeb"/>
        <w:spacing w:before="0" w:beforeAutospacing="0" w:after="240" w:afterAutospacing="0" w:line="360" w:lineRule="atLeast"/>
        <w:rPr>
          <w:rFonts w:ascii="Calibri" w:hAnsi="Calibri" w:cs="Calibri"/>
          <w:color w:val="000000"/>
        </w:rPr>
      </w:pPr>
    </w:p>
    <w:p w14:paraId="6C84304A" w14:textId="77777777" w:rsidR="00655E23" w:rsidRDefault="00655E23" w:rsidP="00316D79">
      <w:pPr>
        <w:pStyle w:val="NormalWeb"/>
        <w:spacing w:before="0" w:beforeAutospacing="0" w:after="240" w:afterAutospacing="0" w:line="360" w:lineRule="atLeast"/>
        <w:rPr>
          <w:rFonts w:ascii="Calibri" w:hAnsi="Calibri" w:cs="Calibri"/>
          <w:color w:val="000000"/>
        </w:rPr>
      </w:pPr>
    </w:p>
    <w:p w14:paraId="22152180" w14:textId="77777777" w:rsidR="00655E23" w:rsidRDefault="00655E23" w:rsidP="00316D79">
      <w:pPr>
        <w:pStyle w:val="NormalWeb"/>
        <w:spacing w:before="0" w:beforeAutospacing="0" w:after="240" w:afterAutospacing="0" w:line="360" w:lineRule="atLeast"/>
        <w:rPr>
          <w:rFonts w:ascii="Calibri" w:hAnsi="Calibri" w:cs="Calibri"/>
          <w:color w:val="000000"/>
        </w:rPr>
      </w:pPr>
    </w:p>
    <w:p w14:paraId="2D040447" w14:textId="77777777" w:rsidR="00655E23" w:rsidRDefault="00655E23" w:rsidP="00316D79">
      <w:pPr>
        <w:pStyle w:val="NormalWeb"/>
        <w:spacing w:before="0" w:beforeAutospacing="0" w:after="240" w:afterAutospacing="0" w:line="360" w:lineRule="atLeast"/>
        <w:rPr>
          <w:rFonts w:ascii="Calibri" w:hAnsi="Calibri" w:cs="Calibri"/>
          <w:color w:val="000000"/>
        </w:rPr>
      </w:pPr>
    </w:p>
    <w:p w14:paraId="3779A681" w14:textId="77777777" w:rsidR="00655E23" w:rsidRDefault="00655E23" w:rsidP="00316D79">
      <w:pPr>
        <w:pStyle w:val="NormalWeb"/>
        <w:spacing w:before="0" w:beforeAutospacing="0" w:after="240" w:afterAutospacing="0" w:line="360" w:lineRule="atLeast"/>
        <w:rPr>
          <w:rFonts w:ascii="Calibri" w:hAnsi="Calibri" w:cs="Calibri"/>
          <w:color w:val="000000"/>
        </w:rPr>
      </w:pPr>
    </w:p>
    <w:p w14:paraId="712EA00E" w14:textId="77777777" w:rsidR="00655E23" w:rsidRDefault="00655E23" w:rsidP="00316D79">
      <w:pPr>
        <w:pStyle w:val="NormalWeb"/>
        <w:spacing w:before="0" w:beforeAutospacing="0" w:after="240" w:afterAutospacing="0" w:line="360" w:lineRule="atLeast"/>
        <w:rPr>
          <w:rFonts w:ascii="Calibri" w:hAnsi="Calibri" w:cs="Calibri"/>
          <w:color w:val="000000"/>
        </w:rPr>
      </w:pPr>
    </w:p>
    <w:p w14:paraId="7B25D38B" w14:textId="77777777" w:rsidR="00655E23" w:rsidRDefault="00655E23" w:rsidP="00316D79">
      <w:pPr>
        <w:pStyle w:val="NormalWeb"/>
        <w:spacing w:before="0" w:beforeAutospacing="0" w:after="240" w:afterAutospacing="0" w:line="360" w:lineRule="atLeast"/>
        <w:rPr>
          <w:rFonts w:ascii="Calibri" w:hAnsi="Calibri" w:cs="Calibri"/>
          <w:color w:val="000000"/>
        </w:rPr>
      </w:pPr>
    </w:p>
    <w:p w14:paraId="0796E5DD" w14:textId="77777777" w:rsidR="00655E23" w:rsidRDefault="00655E23" w:rsidP="00316D79">
      <w:pPr>
        <w:pStyle w:val="NormalWeb"/>
        <w:spacing w:before="0" w:beforeAutospacing="0" w:after="240" w:afterAutospacing="0" w:line="360" w:lineRule="atLeast"/>
        <w:rPr>
          <w:rFonts w:ascii="Calibri" w:hAnsi="Calibri" w:cs="Calibri"/>
          <w:color w:val="000000"/>
        </w:rPr>
      </w:pPr>
    </w:p>
    <w:p w14:paraId="0239E3AB" w14:textId="77777777" w:rsidR="00655E23" w:rsidRDefault="00655E23" w:rsidP="00316D79">
      <w:pPr>
        <w:pStyle w:val="NormalWeb"/>
        <w:spacing w:before="0" w:beforeAutospacing="0" w:after="240" w:afterAutospacing="0" w:line="360" w:lineRule="atLeast"/>
        <w:rPr>
          <w:rFonts w:ascii="Calibri" w:hAnsi="Calibri" w:cs="Calibri"/>
          <w:color w:val="000000"/>
        </w:rPr>
      </w:pPr>
    </w:p>
    <w:p w14:paraId="7FB734E9" w14:textId="77777777" w:rsidR="00655E23" w:rsidRDefault="00655E23" w:rsidP="00316D79">
      <w:pPr>
        <w:pStyle w:val="NormalWeb"/>
        <w:spacing w:before="0" w:beforeAutospacing="0" w:after="240" w:afterAutospacing="0" w:line="360" w:lineRule="atLeast"/>
        <w:rPr>
          <w:rFonts w:ascii="Calibri" w:hAnsi="Calibri" w:cs="Calibri"/>
          <w:color w:val="000000"/>
        </w:rPr>
      </w:pPr>
    </w:p>
    <w:p w14:paraId="7ED3C0BB" w14:textId="77777777" w:rsidR="001A2BD3" w:rsidRDefault="001A2BD3" w:rsidP="001A2BD3">
      <w:pPr>
        <w:rPr>
          <w:b/>
          <w:bCs/>
          <w:color w:val="0C27EF"/>
          <w:sz w:val="28"/>
          <w:szCs w:val="28"/>
          <w:u w:val="single"/>
        </w:rPr>
      </w:pPr>
      <w:r w:rsidRPr="002D1AC7">
        <w:rPr>
          <w:b/>
          <w:bCs/>
          <w:color w:val="0C27EF"/>
          <w:sz w:val="28"/>
          <w:szCs w:val="28"/>
          <w:u w:val="single"/>
        </w:rPr>
        <w:t xml:space="preserve">How does gender development impact the human </w:t>
      </w:r>
      <w:proofErr w:type="gramStart"/>
      <w:r w:rsidRPr="002D1AC7">
        <w:rPr>
          <w:b/>
          <w:bCs/>
          <w:color w:val="0C27EF"/>
          <w:sz w:val="28"/>
          <w:szCs w:val="28"/>
          <w:u w:val="single"/>
        </w:rPr>
        <w:t>brain</w:t>
      </w:r>
      <w:proofErr w:type="gramEnd"/>
    </w:p>
    <w:p w14:paraId="012FC097" w14:textId="77777777" w:rsidR="00F91828" w:rsidRDefault="00F91828" w:rsidP="00585BB1"/>
    <w:p w14:paraId="3BB30F85" w14:textId="5524D5ED" w:rsidR="00316D79" w:rsidRDefault="00004F03" w:rsidP="00585BB1">
      <w:pPr>
        <w:rPr>
          <w:color w:val="000000"/>
        </w:rPr>
      </w:pPr>
      <w:r w:rsidRPr="000F7D5C">
        <w:t>The human brain can be significantly impacted by gender development. Gender identity formation and its effects on the brain are influenced by social and environmental factors in addition to biological elements like hormones and genetics that shape brain development.</w:t>
      </w:r>
      <w:r w:rsidRPr="006571FB">
        <w:rPr>
          <w:color w:val="000000"/>
        </w:rPr>
        <w:t xml:space="preserve"> </w:t>
      </w:r>
      <w:r>
        <w:rPr>
          <w:color w:val="000000"/>
        </w:rPr>
        <w:t>(</w:t>
      </w:r>
      <w:proofErr w:type="spellStart"/>
      <w:r>
        <w:rPr>
          <w:color w:val="000000"/>
        </w:rPr>
        <w:t>Ristori</w:t>
      </w:r>
      <w:proofErr w:type="spellEnd"/>
      <w:r>
        <w:rPr>
          <w:color w:val="000000"/>
        </w:rPr>
        <w:t xml:space="preserve"> et al., 2020)</w:t>
      </w:r>
    </w:p>
    <w:p w14:paraId="2E0A6392" w14:textId="77777777" w:rsidR="00563A76" w:rsidRDefault="00563A76" w:rsidP="00585BB1">
      <w:pPr>
        <w:rPr>
          <w:color w:val="000000"/>
        </w:rPr>
      </w:pPr>
    </w:p>
    <w:p w14:paraId="21D5D831" w14:textId="77777777" w:rsidR="00563A76" w:rsidRDefault="00563A76" w:rsidP="00563A76">
      <w:pPr>
        <w:rPr>
          <w:color w:val="000000"/>
        </w:rPr>
      </w:pPr>
      <w:r w:rsidRPr="0033793C">
        <w:rPr>
          <w:color w:val="000000"/>
        </w:rPr>
        <w:t>Gender development is shaped by socialisation and cultural influences, which also have an impact on the brain. People are exposed to society norms and expectations about gender roles and behaviour starting in early childhood.</w:t>
      </w:r>
      <w:r>
        <w:rPr>
          <w:color w:val="000000"/>
        </w:rPr>
        <w:t xml:space="preserve"> (Martin and </w:t>
      </w:r>
      <w:proofErr w:type="spellStart"/>
      <w:r>
        <w:rPr>
          <w:color w:val="000000"/>
        </w:rPr>
        <w:t>Ruble</w:t>
      </w:r>
      <w:proofErr w:type="spellEnd"/>
      <w:r>
        <w:rPr>
          <w:color w:val="000000"/>
        </w:rPr>
        <w:t>, 2013)</w:t>
      </w:r>
    </w:p>
    <w:p w14:paraId="4C959730" w14:textId="77777777" w:rsidR="00563A76" w:rsidRDefault="00563A76" w:rsidP="00585BB1">
      <w:pPr>
        <w:rPr>
          <w:color w:val="000000"/>
        </w:rPr>
      </w:pPr>
    </w:p>
    <w:p w14:paraId="19A90A6D" w14:textId="77777777" w:rsidR="00263E95" w:rsidRDefault="00263E95" w:rsidP="00263E95">
      <w:pPr>
        <w:rPr>
          <w:color w:val="000000"/>
        </w:rPr>
      </w:pPr>
      <w:r w:rsidRPr="00243237">
        <w:rPr>
          <w:color w:val="000000"/>
        </w:rPr>
        <w:t>It is believed that either by the absence of this hormone surge in the female direction, or through the direct action of testosterone on the growing nerve cells in the male direction, the foetal brain develops during the intrauterine period.</w:t>
      </w:r>
      <w:r>
        <w:rPr>
          <w:color w:val="000000"/>
        </w:rPr>
        <w:t xml:space="preserve"> (</w:t>
      </w:r>
      <w:proofErr w:type="spellStart"/>
      <w:r>
        <w:rPr>
          <w:color w:val="000000"/>
        </w:rPr>
        <w:t>Savic</w:t>
      </w:r>
      <w:proofErr w:type="spellEnd"/>
      <w:r>
        <w:rPr>
          <w:color w:val="000000"/>
        </w:rPr>
        <w:t>, Garcia-</w:t>
      </w:r>
      <w:proofErr w:type="spellStart"/>
      <w:r>
        <w:rPr>
          <w:color w:val="000000"/>
        </w:rPr>
        <w:t>Falgueras</w:t>
      </w:r>
      <w:proofErr w:type="spellEnd"/>
      <w:r>
        <w:rPr>
          <w:color w:val="000000"/>
        </w:rPr>
        <w:t xml:space="preserve"> and </w:t>
      </w:r>
      <w:proofErr w:type="spellStart"/>
      <w:r>
        <w:rPr>
          <w:color w:val="000000"/>
        </w:rPr>
        <w:t>Swaab</w:t>
      </w:r>
      <w:proofErr w:type="spellEnd"/>
      <w:r>
        <w:rPr>
          <w:color w:val="000000"/>
        </w:rPr>
        <w:t>, 2010)</w:t>
      </w:r>
    </w:p>
    <w:p w14:paraId="7D96B4F5" w14:textId="77777777" w:rsidR="00263E95" w:rsidRDefault="00263E95" w:rsidP="00585BB1">
      <w:pPr>
        <w:rPr>
          <w:color w:val="000000"/>
        </w:rPr>
      </w:pPr>
    </w:p>
    <w:p w14:paraId="67E55580" w14:textId="77777777" w:rsidR="006B2AA2" w:rsidRDefault="006B2AA2" w:rsidP="006B2AA2">
      <w:pPr>
        <w:rPr>
          <w:color w:val="000000"/>
        </w:rPr>
      </w:pPr>
      <w:r w:rsidRPr="0033793C">
        <w:rPr>
          <w:color w:val="000000"/>
        </w:rPr>
        <w:t>The complex interactions between biological, social, and environmental factors are reflected in the ways that gender development affects many facets of brain structure and function. Gaining knowledge of these relationships can help us understand how different human genders think and behave.</w:t>
      </w:r>
      <w:r>
        <w:rPr>
          <w:color w:val="000000"/>
        </w:rPr>
        <w:t xml:space="preserve"> (</w:t>
      </w:r>
      <w:proofErr w:type="spellStart"/>
      <w:r>
        <w:rPr>
          <w:color w:val="000000"/>
        </w:rPr>
        <w:t>Ngun</w:t>
      </w:r>
      <w:proofErr w:type="spellEnd"/>
      <w:r>
        <w:rPr>
          <w:color w:val="000000"/>
        </w:rPr>
        <w:t xml:space="preserve"> et al., 2012)</w:t>
      </w:r>
    </w:p>
    <w:p w14:paraId="75EEDEC6" w14:textId="77777777" w:rsidR="006B2AA2" w:rsidRDefault="006B2AA2" w:rsidP="00585BB1">
      <w:pPr>
        <w:rPr>
          <w:color w:val="000000"/>
        </w:rPr>
      </w:pPr>
    </w:p>
    <w:p w14:paraId="1BC8C27C" w14:textId="77777777" w:rsidR="00973594" w:rsidRDefault="00973594" w:rsidP="00973594">
      <w:r w:rsidRPr="008D5C3B">
        <w:t>Male and female cognitive capacities can differ due to changes in brain development between the sexes. For instance, studies indicate that while girls may perform better in verbal and emotional intelligence activities, men often perform better in skills involving spatial reasoning and navigation.</w:t>
      </w:r>
      <w:r>
        <w:t xml:space="preserve"> </w:t>
      </w:r>
      <w:r>
        <w:rPr>
          <w:color w:val="000000"/>
        </w:rPr>
        <w:t>(Goldman, 2017)</w:t>
      </w:r>
    </w:p>
    <w:p w14:paraId="3CBC384D" w14:textId="77777777" w:rsidR="00973594" w:rsidRDefault="00973594" w:rsidP="00585BB1">
      <w:pPr>
        <w:rPr>
          <w:color w:val="000000"/>
        </w:rPr>
      </w:pPr>
    </w:p>
    <w:p w14:paraId="27B524E3" w14:textId="77777777" w:rsidR="000F7C39" w:rsidRPr="006571FB" w:rsidRDefault="000F7C39" w:rsidP="000F7C39">
      <w:r w:rsidRPr="008D5C3B">
        <w:t>The brain's mechanisms for regulating emotions can be impacted by gender development. Research indicates that while men may have higher activation in brain regions linked to emotional regulation and problem-solving, like the prefrontal cortex, women typically show higher activation in areas related to emotional processing and empathy, such as the insula and amygdala</w:t>
      </w:r>
      <w:r>
        <w:t xml:space="preserve">. </w:t>
      </w:r>
      <w:r>
        <w:rPr>
          <w:color w:val="000000"/>
        </w:rPr>
        <w:t>(McRae et al., 2008)</w:t>
      </w:r>
    </w:p>
    <w:p w14:paraId="6B54E484" w14:textId="77777777" w:rsidR="000F7C39" w:rsidRDefault="000F7C39" w:rsidP="000F7C39"/>
    <w:p w14:paraId="32CF83CE" w14:textId="77777777" w:rsidR="000F7C39" w:rsidRPr="00930330" w:rsidRDefault="000F7C39" w:rsidP="000F7C39">
      <w:pPr>
        <w:rPr>
          <w:color w:val="000000"/>
        </w:rPr>
      </w:pPr>
      <w:r w:rsidRPr="00315155">
        <w:rPr>
          <w:color w:val="000000"/>
        </w:rPr>
        <w:t>Research has indicated that structural variations exist between the brains of men and women. For instance, female brains may have a higher proportion of grey matter in specific regions, but male brains typically have an almost bigger overall capacity. Gender disparities in cognitive ability and behavioural tendencies may be partially explained by these characteristics.</w:t>
      </w:r>
      <w:r>
        <w:rPr>
          <w:color w:val="000000"/>
        </w:rPr>
        <w:t xml:space="preserve"> </w:t>
      </w:r>
      <w:r w:rsidRPr="00786415">
        <w:rPr>
          <w:color w:val="000000"/>
        </w:rPr>
        <w:t xml:space="preserve">Women typically have stronger interpersonal ties, which may facilitate more intuitive analysis, reasoning, and conclusion-drawing. Contrarily, men typically have stronger connections from front to back, which can lead to improved motor abilities and increased perception. </w:t>
      </w:r>
      <w:r>
        <w:rPr>
          <w:color w:val="000000"/>
        </w:rPr>
        <w:t>(Grant, 2023)</w:t>
      </w:r>
    </w:p>
    <w:p w14:paraId="5E00463C" w14:textId="77777777" w:rsidR="000F7C39" w:rsidRDefault="000F7C39" w:rsidP="000F7C39"/>
    <w:p w14:paraId="4B9341D0" w14:textId="77777777" w:rsidR="000F7C39" w:rsidRDefault="000F7C39" w:rsidP="000F7C39">
      <w:pPr>
        <w:rPr>
          <w:color w:val="000000"/>
        </w:rPr>
      </w:pPr>
      <w:r w:rsidRPr="00FE023C">
        <w:rPr>
          <w:color w:val="000000"/>
        </w:rPr>
        <w:t xml:space="preserve">Additional factors that impact gender-related brain variations include hormonal changes during key stages of brain development, such as puberty. For instance, testosterone has been connected to the growth of specific brain regions linked to aggression and spatial aptitude, which may explain the typical behavioural characteristics of men. Contrarily, </w:t>
      </w:r>
      <w:r w:rsidRPr="00FE023C">
        <w:rPr>
          <w:color w:val="000000"/>
        </w:rPr>
        <w:lastRenderedPageBreak/>
        <w:t>oestrogen affects brain areas linked to social cognition and emotion control, which may influence typical female behavioural tendencies.</w:t>
      </w:r>
      <w:r w:rsidRPr="00786415">
        <w:t xml:space="preserve"> </w:t>
      </w:r>
      <w:r w:rsidRPr="00786415">
        <w:rPr>
          <w:color w:val="000000"/>
        </w:rPr>
        <w:t xml:space="preserve">Physical aggression in children peaks between the ages of two and four, but after that, it starts to diverge because girls learn to repress these overt behaviours faster than boys do. </w:t>
      </w:r>
      <w:r>
        <w:rPr>
          <w:color w:val="000000"/>
        </w:rPr>
        <w:t>(Eliot, 2021)</w:t>
      </w:r>
    </w:p>
    <w:p w14:paraId="392A64B7" w14:textId="77777777" w:rsidR="00203B71" w:rsidRDefault="00203B71" w:rsidP="000F7C39">
      <w:pPr>
        <w:rPr>
          <w:color w:val="000000"/>
        </w:rPr>
      </w:pPr>
    </w:p>
    <w:p w14:paraId="2B09C14F" w14:textId="60431E19" w:rsidR="00C063AC" w:rsidRDefault="00F91828" w:rsidP="00C063AC">
      <w:pPr>
        <w:rPr>
          <w:color w:val="000000"/>
        </w:rPr>
      </w:pPr>
      <w:r w:rsidRPr="00F91828">
        <w:rPr>
          <w:color w:val="000000"/>
        </w:rPr>
        <w:t xml:space="preserve">Gender development affects the brain through various biological, psychological, and social variables. The process of developing a gender identity, duties, and behaviours is known as gender development, and it can have a profound impact on an individual's brain. Research indicates that while a complex combination of genetic, hormonal, environmental, and social factors influence the structure and function of the brain, gender development and experiences can alter certain aspects of brain function. Similar effects of testosterone exposure are shown in the development of other sex-related behaviours in humans, such as sexual orientation and core gender identity. </w:t>
      </w:r>
      <w:r w:rsidR="00C063AC">
        <w:rPr>
          <w:color w:val="000000"/>
        </w:rPr>
        <w:t>(Hines, 2011)</w:t>
      </w:r>
    </w:p>
    <w:p w14:paraId="3049B736" w14:textId="77777777" w:rsidR="00C063AC" w:rsidRDefault="00C063AC" w:rsidP="00C063AC">
      <w:pPr>
        <w:rPr>
          <w:color w:val="000000"/>
        </w:rPr>
      </w:pPr>
    </w:p>
    <w:p w14:paraId="17065F59" w14:textId="77777777" w:rsidR="00C063AC" w:rsidRDefault="00C063AC" w:rsidP="00C063AC">
      <w:pPr>
        <w:rPr>
          <w:color w:val="000000"/>
        </w:rPr>
      </w:pPr>
      <w:r w:rsidRPr="00EE4A48">
        <w:rPr>
          <w:color w:val="000000"/>
        </w:rPr>
        <w:t xml:space="preserve">Male and female brain development differentiates in response to the foetal testis's synthesis of androgen. During a sensitive window, the brain undergoes sexual differentiation, which results in long-lasting neuroanatomical and physiological changes that have a significant influence on behaviour. </w:t>
      </w:r>
      <w:r>
        <w:rPr>
          <w:color w:val="000000"/>
        </w:rPr>
        <w:t>(McCarthy, 2016)</w:t>
      </w:r>
    </w:p>
    <w:p w14:paraId="6A848CCE" w14:textId="77777777" w:rsidR="00C063AC" w:rsidRDefault="00C063AC" w:rsidP="00C063AC">
      <w:pPr>
        <w:rPr>
          <w:color w:val="000000"/>
        </w:rPr>
      </w:pPr>
    </w:p>
    <w:p w14:paraId="6D4CEE66" w14:textId="101FAB33" w:rsidR="00C063AC" w:rsidRDefault="00611529" w:rsidP="00C063AC">
      <w:pPr>
        <w:rPr>
          <w:color w:val="000000"/>
        </w:rPr>
      </w:pPr>
      <w:r w:rsidRPr="00611529">
        <w:rPr>
          <w:color w:val="000000"/>
        </w:rPr>
        <w:t>Socialisation and gender norms affect emotional management and communication. Boys may be trained to repress specific emotions, which can have an adverse effect on emotional development and mental health. In contrast, girls are frequently encouraged to express emotions more freely. The difficulties and barriers people may run into when trying to comprehend, articulate, and validate their gender identity, roles, and expression are referred to as barriers to gender development. These obstacles may originate from institutional procedures, cultural norms, individual attitudes, and cultural beliefs.</w:t>
      </w:r>
    </w:p>
    <w:p w14:paraId="21EF6E29" w14:textId="77777777" w:rsidR="00611529" w:rsidRDefault="00611529" w:rsidP="00C063AC"/>
    <w:p w14:paraId="3B62B3B8" w14:textId="77777777" w:rsidR="00C063AC" w:rsidRDefault="00C063AC" w:rsidP="00C063AC">
      <w:r w:rsidRPr="00651E6E">
        <w:t>Bronfenbrenner emphasised the significance of considering numerous levels of impact, spanning from immediate surroundings to broader social issues, when attempting to comprehend the process of human growth.</w:t>
      </w:r>
      <w:r>
        <w:t xml:space="preserve"> </w:t>
      </w:r>
      <w:r w:rsidRPr="00D706D8">
        <w:t>In a child's microsystems, norms and values are established by beliefs regarding gender roles, individualism, family structures, and social issues. These beliefs permeate the child's environment. For example, boys raised in patriarchal cultures might be socialized to assume domineering masculine roles.</w:t>
      </w:r>
      <w:r>
        <w:t xml:space="preserve"> </w:t>
      </w:r>
      <w:r>
        <w:rPr>
          <w:color w:val="000000"/>
        </w:rPr>
        <w:t>(Guy-Evans, 2022)</w:t>
      </w:r>
    </w:p>
    <w:p w14:paraId="54956CA3" w14:textId="77777777" w:rsidR="00C063AC" w:rsidRDefault="00C063AC" w:rsidP="00C063AC"/>
    <w:p w14:paraId="03759E68" w14:textId="77777777" w:rsidR="00C063AC" w:rsidRDefault="00C063AC" w:rsidP="00C063AC">
      <w:pPr>
        <w:rPr>
          <w:color w:val="000000"/>
        </w:rPr>
      </w:pPr>
      <w:r w:rsidRPr="00651E6E">
        <w:t>Although Piaget's theory is primarily concerned with cognitive development, it is indirectly connected to the development of the brain. This is because cognitive processes are closely tied to the functioning of the brain.</w:t>
      </w:r>
      <w:r>
        <w:t xml:space="preserve"> </w:t>
      </w:r>
      <w:r w:rsidRPr="00651E6E">
        <w:t>It is possible for gender expectations to influence the toys that are given to infants. A boy might be given more cars or action figures, while a girl might receive dolls or kitchen sets. This can influence early interactions and sensory explorations.</w:t>
      </w:r>
      <w:r w:rsidRPr="00D706D8">
        <w:rPr>
          <w:color w:val="000000"/>
        </w:rPr>
        <w:t xml:space="preserve"> </w:t>
      </w:r>
      <w:r>
        <w:rPr>
          <w:color w:val="000000"/>
        </w:rPr>
        <w:t xml:space="preserve">(Mcleod, 2024) </w:t>
      </w:r>
    </w:p>
    <w:p w14:paraId="524AB28E" w14:textId="77777777" w:rsidR="00C063AC" w:rsidRDefault="00C063AC" w:rsidP="00C063AC">
      <w:pPr>
        <w:rPr>
          <w:color w:val="000000"/>
        </w:rPr>
      </w:pPr>
    </w:p>
    <w:p w14:paraId="621F263E" w14:textId="77777777" w:rsidR="00CC73D4" w:rsidRDefault="00CC73D4" w:rsidP="00CC73D4">
      <w:r>
        <w:rPr>
          <w:color w:val="000000"/>
        </w:rPr>
        <w:t>The difference between Piaget and Bronfenbrenner’s theory is that w</w:t>
      </w:r>
      <w:r w:rsidRPr="00987458">
        <w:rPr>
          <w:color w:val="000000"/>
        </w:rPr>
        <w:t>hen it comes to comprehending human development, Bronfenbrenner's theory emphasises the significance of considering the wider social, cultural, and environmental settings</w:t>
      </w:r>
      <w:r>
        <w:rPr>
          <w:color w:val="000000"/>
        </w:rPr>
        <w:t xml:space="preserve"> and Piaget’s theory says that i</w:t>
      </w:r>
      <w:r w:rsidRPr="00987458">
        <w:rPr>
          <w:color w:val="000000"/>
        </w:rPr>
        <w:t xml:space="preserve">ndividual cognitive processes, such as assimilation, accommodation, and equilibrium, are emphasised in Piaget's theory as having a significant impact on the development of </w:t>
      </w:r>
      <w:r w:rsidRPr="00987458">
        <w:rPr>
          <w:color w:val="000000"/>
        </w:rPr>
        <w:lastRenderedPageBreak/>
        <w:t>intellectual capacity.</w:t>
      </w:r>
      <w:r>
        <w:rPr>
          <w:color w:val="000000"/>
        </w:rPr>
        <w:t xml:space="preserve"> “There</w:t>
      </w:r>
      <w:r w:rsidRPr="00987458">
        <w:rPr>
          <w:color w:val="000000"/>
        </w:rPr>
        <w:t xml:space="preserve"> are significant distinctions between Piaget's theory and that of Lev Vygotsky, another prominent expert in the field of child development. While acknowledging the importance of curiosity and active participation in learning, Vygotsky gave society and culture more weight</w:t>
      </w:r>
      <w:r>
        <w:rPr>
          <w:color w:val="000000"/>
        </w:rPr>
        <w:t xml:space="preserve">” and </w:t>
      </w:r>
      <w:r w:rsidRPr="002F70F6">
        <w:rPr>
          <w:color w:val="000000"/>
        </w:rPr>
        <w:t>Piaget believed that most development comes from within, but Vygotsky thought that people and external influences—like culture—play a bigger part. These individuals and external elements include parents, carers, and peers.</w:t>
      </w:r>
      <w:r>
        <w:rPr>
          <w:color w:val="000000"/>
        </w:rPr>
        <w:t xml:space="preserve"> (Cherry, 2024)</w:t>
      </w:r>
    </w:p>
    <w:p w14:paraId="600AF189" w14:textId="77777777" w:rsidR="00CC73D4" w:rsidRDefault="00CC73D4" w:rsidP="00CC73D4"/>
    <w:p w14:paraId="1E0F0B2E" w14:textId="77777777" w:rsidR="00E556E8" w:rsidRPr="00E556E8" w:rsidRDefault="00E556E8" w:rsidP="00E556E8">
      <w:pPr>
        <w:pStyle w:val="Heading1"/>
        <w:spacing w:before="0" w:after="240" w:line="540" w:lineRule="atLeast"/>
        <w:rPr>
          <w:rFonts w:ascii="Calibri" w:hAnsi="Calibri" w:cs="Calibri"/>
          <w:color w:val="000000"/>
          <w:sz w:val="36"/>
          <w:szCs w:val="36"/>
        </w:rPr>
      </w:pPr>
      <w:r w:rsidRPr="00E556E8">
        <w:rPr>
          <w:rFonts w:ascii="Calibri" w:hAnsi="Calibri" w:cs="Calibri"/>
          <w:color w:val="000000"/>
          <w:sz w:val="36"/>
          <w:szCs w:val="36"/>
        </w:rPr>
        <w:t>Reference list</w:t>
      </w:r>
    </w:p>
    <w:p w14:paraId="422C941D" w14:textId="77777777" w:rsidR="00E556E8" w:rsidRPr="00E556E8" w:rsidRDefault="00E556E8" w:rsidP="00E556E8">
      <w:pPr>
        <w:pStyle w:val="NormalWeb"/>
        <w:spacing w:before="0" w:beforeAutospacing="0" w:after="240" w:afterAutospacing="0" w:line="360" w:lineRule="atLeast"/>
        <w:rPr>
          <w:rFonts w:ascii="Calibri" w:hAnsi="Calibri" w:cs="Calibri"/>
          <w:color w:val="000000"/>
        </w:rPr>
      </w:pPr>
      <w:r w:rsidRPr="00E556E8">
        <w:rPr>
          <w:rFonts w:ascii="Calibri" w:hAnsi="Calibri" w:cs="Calibri"/>
          <w:color w:val="000000"/>
        </w:rPr>
        <w:t>Cherry, K. (2024).</w:t>
      </w:r>
      <w:r w:rsidRPr="00E556E8">
        <w:rPr>
          <w:rStyle w:val="apple-converted-space"/>
          <w:rFonts w:ascii="Calibri" w:eastAsiaTheme="majorEastAsia" w:hAnsi="Calibri" w:cs="Calibri"/>
          <w:color w:val="000000"/>
        </w:rPr>
        <w:t> </w:t>
      </w:r>
      <w:r w:rsidRPr="00E556E8">
        <w:rPr>
          <w:rFonts w:ascii="Calibri" w:hAnsi="Calibri" w:cs="Calibri"/>
          <w:i/>
          <w:iCs/>
          <w:color w:val="000000"/>
        </w:rPr>
        <w:t>Piaget’s 4 Stages of Cognitive Development Explained</w:t>
      </w:r>
      <w:r w:rsidRPr="00E556E8">
        <w:rPr>
          <w:rFonts w:ascii="Calibri" w:hAnsi="Calibri" w:cs="Calibri"/>
          <w:color w:val="000000"/>
        </w:rPr>
        <w:t xml:space="preserve">. [online] </w:t>
      </w:r>
      <w:proofErr w:type="spellStart"/>
      <w:r w:rsidRPr="00E556E8">
        <w:rPr>
          <w:rFonts w:ascii="Calibri" w:hAnsi="Calibri" w:cs="Calibri"/>
          <w:color w:val="000000"/>
        </w:rPr>
        <w:t>Verywell</w:t>
      </w:r>
      <w:proofErr w:type="spellEnd"/>
      <w:r w:rsidRPr="00E556E8">
        <w:rPr>
          <w:rFonts w:ascii="Calibri" w:hAnsi="Calibri" w:cs="Calibri"/>
          <w:color w:val="000000"/>
        </w:rPr>
        <w:t xml:space="preserve"> Mind. Available at: https://www.verywellmind.com/piagets-stages-of-cognitive-development-2795457 [Accessed 18 May 2024].</w:t>
      </w:r>
    </w:p>
    <w:p w14:paraId="433B0369" w14:textId="77777777" w:rsidR="00E556E8" w:rsidRPr="00E556E8" w:rsidRDefault="00E556E8" w:rsidP="00E556E8">
      <w:pPr>
        <w:pStyle w:val="NormalWeb"/>
        <w:spacing w:before="0" w:beforeAutospacing="0" w:after="240" w:afterAutospacing="0" w:line="360" w:lineRule="atLeast"/>
        <w:rPr>
          <w:rFonts w:ascii="Calibri" w:hAnsi="Calibri" w:cs="Calibri"/>
          <w:color w:val="000000"/>
        </w:rPr>
      </w:pPr>
      <w:r w:rsidRPr="00E556E8">
        <w:rPr>
          <w:rFonts w:ascii="Calibri" w:hAnsi="Calibri" w:cs="Calibri"/>
          <w:color w:val="000000"/>
        </w:rPr>
        <w:t>Eliot, L. (2021). Brain Development and Physical Aggression.</w:t>
      </w:r>
      <w:r w:rsidRPr="00E556E8">
        <w:rPr>
          <w:rStyle w:val="apple-converted-space"/>
          <w:rFonts w:ascii="Calibri" w:eastAsiaTheme="majorEastAsia" w:hAnsi="Calibri" w:cs="Calibri"/>
          <w:color w:val="000000"/>
        </w:rPr>
        <w:t> </w:t>
      </w:r>
      <w:r w:rsidRPr="00E556E8">
        <w:rPr>
          <w:rFonts w:ascii="Calibri" w:hAnsi="Calibri" w:cs="Calibri"/>
          <w:i/>
          <w:iCs/>
          <w:color w:val="000000"/>
        </w:rPr>
        <w:t>Current Anthropology</w:t>
      </w:r>
      <w:r w:rsidRPr="00E556E8">
        <w:rPr>
          <w:rFonts w:ascii="Calibri" w:hAnsi="Calibri" w:cs="Calibri"/>
          <w:color w:val="000000"/>
        </w:rPr>
        <w:t xml:space="preserve">, 62(S23), </w:t>
      </w:r>
      <w:proofErr w:type="gramStart"/>
      <w:r w:rsidRPr="00E556E8">
        <w:rPr>
          <w:rFonts w:ascii="Calibri" w:hAnsi="Calibri" w:cs="Calibri"/>
          <w:color w:val="000000"/>
        </w:rPr>
        <w:t>pp.S</w:t>
      </w:r>
      <w:proofErr w:type="gramEnd"/>
      <w:r w:rsidRPr="00E556E8">
        <w:rPr>
          <w:rFonts w:ascii="Calibri" w:hAnsi="Calibri" w:cs="Calibri"/>
          <w:color w:val="000000"/>
        </w:rPr>
        <w:t xml:space="preserve">66–S78. </w:t>
      </w:r>
      <w:proofErr w:type="spellStart"/>
      <w:proofErr w:type="gramStart"/>
      <w:r w:rsidRPr="00E556E8">
        <w:rPr>
          <w:rFonts w:ascii="Calibri" w:hAnsi="Calibri" w:cs="Calibri"/>
          <w:color w:val="000000"/>
        </w:rPr>
        <w:t>doi:https</w:t>
      </w:r>
      <w:proofErr w:type="spellEnd"/>
      <w:r w:rsidRPr="00E556E8">
        <w:rPr>
          <w:rFonts w:ascii="Calibri" w:hAnsi="Calibri" w:cs="Calibri"/>
          <w:color w:val="000000"/>
        </w:rPr>
        <w:t>://doi.org/10.1086/711705</w:t>
      </w:r>
      <w:proofErr w:type="gramEnd"/>
      <w:r w:rsidRPr="00E556E8">
        <w:rPr>
          <w:rFonts w:ascii="Calibri" w:hAnsi="Calibri" w:cs="Calibri"/>
          <w:color w:val="000000"/>
        </w:rPr>
        <w:t>.</w:t>
      </w:r>
    </w:p>
    <w:p w14:paraId="49FEBC0B" w14:textId="77777777" w:rsidR="00E556E8" w:rsidRPr="00E556E8" w:rsidRDefault="00E556E8" w:rsidP="00E556E8">
      <w:pPr>
        <w:pStyle w:val="NormalWeb"/>
        <w:spacing w:before="0" w:beforeAutospacing="0" w:after="240" w:afterAutospacing="0" w:line="360" w:lineRule="atLeast"/>
        <w:rPr>
          <w:rFonts w:ascii="Calibri" w:hAnsi="Calibri" w:cs="Calibri"/>
          <w:color w:val="000000"/>
        </w:rPr>
      </w:pPr>
      <w:r w:rsidRPr="00E556E8">
        <w:rPr>
          <w:rFonts w:ascii="Calibri" w:hAnsi="Calibri" w:cs="Calibri"/>
          <w:color w:val="000000"/>
        </w:rPr>
        <w:t>Goldman, B. (2017).</w:t>
      </w:r>
      <w:r w:rsidRPr="00E556E8">
        <w:rPr>
          <w:rStyle w:val="apple-converted-space"/>
          <w:rFonts w:ascii="Calibri" w:eastAsiaTheme="majorEastAsia" w:hAnsi="Calibri" w:cs="Calibri"/>
          <w:color w:val="000000"/>
        </w:rPr>
        <w:t> </w:t>
      </w:r>
      <w:r w:rsidRPr="00E556E8">
        <w:rPr>
          <w:rFonts w:ascii="Calibri" w:hAnsi="Calibri" w:cs="Calibri"/>
          <w:i/>
          <w:iCs/>
          <w:color w:val="000000"/>
        </w:rPr>
        <w:t>How men’s and women’s brains are different</w:t>
      </w:r>
      <w:r w:rsidRPr="00E556E8">
        <w:rPr>
          <w:rFonts w:ascii="Calibri" w:hAnsi="Calibri" w:cs="Calibri"/>
          <w:color w:val="000000"/>
        </w:rPr>
        <w:t>. [online] Stanford Medicine Magazine. Available at: https://stanmed.stanford.edu/how-mens-and-womens-brains-are-different/ [Accessed 17 May 2024].</w:t>
      </w:r>
    </w:p>
    <w:p w14:paraId="4C80D739" w14:textId="77777777" w:rsidR="00E556E8" w:rsidRPr="00E556E8" w:rsidRDefault="00E556E8" w:rsidP="00E556E8">
      <w:pPr>
        <w:pStyle w:val="NormalWeb"/>
        <w:spacing w:before="0" w:beforeAutospacing="0" w:after="240" w:afterAutospacing="0" w:line="360" w:lineRule="atLeast"/>
        <w:rPr>
          <w:rFonts w:ascii="Calibri" w:hAnsi="Calibri" w:cs="Calibri"/>
          <w:color w:val="000000"/>
        </w:rPr>
      </w:pPr>
      <w:r w:rsidRPr="00E556E8">
        <w:rPr>
          <w:rFonts w:ascii="Calibri" w:hAnsi="Calibri" w:cs="Calibri"/>
          <w:color w:val="000000"/>
        </w:rPr>
        <w:t>Grant, I. (2023).</w:t>
      </w:r>
      <w:r w:rsidRPr="00E556E8">
        <w:rPr>
          <w:rStyle w:val="apple-converted-space"/>
          <w:rFonts w:ascii="Calibri" w:eastAsiaTheme="majorEastAsia" w:hAnsi="Calibri" w:cs="Calibri"/>
          <w:color w:val="000000"/>
        </w:rPr>
        <w:t> </w:t>
      </w:r>
      <w:r w:rsidRPr="00E556E8">
        <w:rPr>
          <w:rFonts w:ascii="Calibri" w:hAnsi="Calibri" w:cs="Calibri"/>
          <w:i/>
          <w:iCs/>
          <w:color w:val="000000"/>
        </w:rPr>
        <w:t>Battle of the Brain: Men Vs. Women [Infographic]</w:t>
      </w:r>
      <w:r w:rsidRPr="00E556E8">
        <w:rPr>
          <w:rFonts w:ascii="Calibri" w:hAnsi="Calibri" w:cs="Calibri"/>
          <w:color w:val="000000"/>
        </w:rPr>
        <w:t xml:space="preserve">. [online] </w:t>
      </w:r>
      <w:proofErr w:type="spellStart"/>
      <w:r w:rsidRPr="00E556E8">
        <w:rPr>
          <w:rFonts w:ascii="Calibri" w:hAnsi="Calibri" w:cs="Calibri"/>
          <w:color w:val="000000"/>
        </w:rPr>
        <w:t>Northwestern</w:t>
      </w:r>
      <w:proofErr w:type="spellEnd"/>
      <w:r w:rsidRPr="00E556E8">
        <w:rPr>
          <w:rFonts w:ascii="Calibri" w:hAnsi="Calibri" w:cs="Calibri"/>
          <w:color w:val="000000"/>
        </w:rPr>
        <w:t xml:space="preserve"> Medicine. Available at: https://www.nm.org/healthbeat/healthy-tips/battle-of-the-brain-men-vs-women-infographic [Accessed 17 May 2024].</w:t>
      </w:r>
    </w:p>
    <w:p w14:paraId="05CD8EC3" w14:textId="77777777" w:rsidR="00E556E8" w:rsidRPr="00E556E8" w:rsidRDefault="00E556E8" w:rsidP="00E556E8">
      <w:pPr>
        <w:pStyle w:val="NormalWeb"/>
        <w:spacing w:before="0" w:beforeAutospacing="0" w:after="240" w:afterAutospacing="0" w:line="360" w:lineRule="atLeast"/>
        <w:rPr>
          <w:rFonts w:ascii="Calibri" w:hAnsi="Calibri" w:cs="Calibri"/>
          <w:color w:val="000000"/>
        </w:rPr>
      </w:pPr>
      <w:r w:rsidRPr="00E556E8">
        <w:rPr>
          <w:rFonts w:ascii="Calibri" w:hAnsi="Calibri" w:cs="Calibri"/>
          <w:color w:val="000000"/>
        </w:rPr>
        <w:t>Guy-Evans, O. (2022).</w:t>
      </w:r>
      <w:r w:rsidRPr="00E556E8">
        <w:rPr>
          <w:rStyle w:val="apple-converted-space"/>
          <w:rFonts w:ascii="Calibri" w:eastAsiaTheme="majorEastAsia" w:hAnsi="Calibri" w:cs="Calibri"/>
          <w:color w:val="000000"/>
        </w:rPr>
        <w:t> </w:t>
      </w:r>
      <w:r w:rsidRPr="00E556E8">
        <w:rPr>
          <w:rFonts w:ascii="Calibri" w:hAnsi="Calibri" w:cs="Calibri"/>
          <w:i/>
          <w:iCs/>
          <w:color w:val="000000"/>
        </w:rPr>
        <w:t>Bronfenbrenner’s Ecological Systems Theory</w:t>
      </w:r>
      <w:r w:rsidRPr="00E556E8">
        <w:rPr>
          <w:rFonts w:ascii="Calibri" w:hAnsi="Calibri" w:cs="Calibri"/>
          <w:color w:val="000000"/>
        </w:rPr>
        <w:t>. [online] Simply Psychology. Available at: https://www.simplypsychology.org/Bronfenbrenner.html#The-Five-Ecological-Systems [Accessed 18 May 2024].</w:t>
      </w:r>
    </w:p>
    <w:p w14:paraId="39EA7547" w14:textId="77777777" w:rsidR="00E556E8" w:rsidRPr="00E556E8" w:rsidRDefault="00E556E8" w:rsidP="00E556E8">
      <w:pPr>
        <w:pStyle w:val="NormalWeb"/>
        <w:spacing w:before="0" w:beforeAutospacing="0" w:after="240" w:afterAutospacing="0" w:line="360" w:lineRule="atLeast"/>
        <w:rPr>
          <w:rFonts w:ascii="Calibri" w:hAnsi="Calibri" w:cs="Calibri"/>
          <w:color w:val="000000"/>
        </w:rPr>
      </w:pPr>
      <w:r w:rsidRPr="00E556E8">
        <w:rPr>
          <w:rFonts w:ascii="Calibri" w:hAnsi="Calibri" w:cs="Calibri"/>
          <w:color w:val="000000"/>
        </w:rPr>
        <w:t>Hines, M. (2011). Gender Development and the Human Brain.</w:t>
      </w:r>
      <w:r w:rsidRPr="00E556E8">
        <w:rPr>
          <w:rStyle w:val="apple-converted-space"/>
          <w:rFonts w:ascii="Calibri" w:eastAsiaTheme="majorEastAsia" w:hAnsi="Calibri" w:cs="Calibri"/>
          <w:color w:val="000000"/>
        </w:rPr>
        <w:t> </w:t>
      </w:r>
      <w:r w:rsidRPr="00E556E8">
        <w:rPr>
          <w:rFonts w:ascii="Calibri" w:hAnsi="Calibri" w:cs="Calibri"/>
          <w:i/>
          <w:iCs/>
          <w:color w:val="000000"/>
        </w:rPr>
        <w:t>Annual Review of Neuroscience</w:t>
      </w:r>
      <w:r w:rsidRPr="00E556E8">
        <w:rPr>
          <w:rFonts w:ascii="Calibri" w:hAnsi="Calibri" w:cs="Calibri"/>
          <w:color w:val="000000"/>
        </w:rPr>
        <w:t xml:space="preserve">, 34(1), pp.69–88. </w:t>
      </w:r>
      <w:proofErr w:type="spellStart"/>
      <w:proofErr w:type="gramStart"/>
      <w:r w:rsidRPr="00E556E8">
        <w:rPr>
          <w:rFonts w:ascii="Calibri" w:hAnsi="Calibri" w:cs="Calibri"/>
          <w:color w:val="000000"/>
        </w:rPr>
        <w:t>doi:https</w:t>
      </w:r>
      <w:proofErr w:type="spellEnd"/>
      <w:r w:rsidRPr="00E556E8">
        <w:rPr>
          <w:rFonts w:ascii="Calibri" w:hAnsi="Calibri" w:cs="Calibri"/>
          <w:color w:val="000000"/>
        </w:rPr>
        <w:t>://doi.org/10.1146/annurev-neuro-061010-113654</w:t>
      </w:r>
      <w:proofErr w:type="gramEnd"/>
      <w:r w:rsidRPr="00E556E8">
        <w:rPr>
          <w:rFonts w:ascii="Calibri" w:hAnsi="Calibri" w:cs="Calibri"/>
          <w:color w:val="000000"/>
        </w:rPr>
        <w:t>.</w:t>
      </w:r>
    </w:p>
    <w:p w14:paraId="72A20599" w14:textId="77777777" w:rsidR="00E556E8" w:rsidRPr="00E556E8" w:rsidRDefault="00E556E8" w:rsidP="00E556E8">
      <w:pPr>
        <w:pStyle w:val="NormalWeb"/>
        <w:spacing w:before="0" w:beforeAutospacing="0" w:after="240" w:afterAutospacing="0" w:line="360" w:lineRule="atLeast"/>
        <w:rPr>
          <w:rFonts w:ascii="Calibri" w:hAnsi="Calibri" w:cs="Calibri"/>
          <w:color w:val="000000"/>
        </w:rPr>
      </w:pPr>
      <w:r w:rsidRPr="00E556E8">
        <w:rPr>
          <w:rFonts w:ascii="Calibri" w:hAnsi="Calibri" w:cs="Calibri"/>
          <w:color w:val="000000"/>
        </w:rPr>
        <w:t xml:space="preserve">Martin, C.L. and </w:t>
      </w:r>
      <w:proofErr w:type="spellStart"/>
      <w:r w:rsidRPr="00E556E8">
        <w:rPr>
          <w:rFonts w:ascii="Calibri" w:hAnsi="Calibri" w:cs="Calibri"/>
          <w:color w:val="000000"/>
        </w:rPr>
        <w:t>Ruble</w:t>
      </w:r>
      <w:proofErr w:type="spellEnd"/>
      <w:r w:rsidRPr="00E556E8">
        <w:rPr>
          <w:rFonts w:ascii="Calibri" w:hAnsi="Calibri" w:cs="Calibri"/>
          <w:color w:val="000000"/>
        </w:rPr>
        <w:t>, D.N. (2013). Patterns of Gender Development.</w:t>
      </w:r>
      <w:r w:rsidRPr="00E556E8">
        <w:rPr>
          <w:rStyle w:val="apple-converted-space"/>
          <w:rFonts w:ascii="Calibri" w:eastAsiaTheme="majorEastAsia" w:hAnsi="Calibri" w:cs="Calibri"/>
          <w:color w:val="000000"/>
        </w:rPr>
        <w:t> </w:t>
      </w:r>
      <w:r w:rsidRPr="00E556E8">
        <w:rPr>
          <w:rFonts w:ascii="Calibri" w:hAnsi="Calibri" w:cs="Calibri"/>
          <w:i/>
          <w:iCs/>
          <w:color w:val="000000"/>
        </w:rPr>
        <w:t>Annual Review of Psychology</w:t>
      </w:r>
      <w:r w:rsidRPr="00E556E8">
        <w:rPr>
          <w:rFonts w:ascii="Calibri" w:hAnsi="Calibri" w:cs="Calibri"/>
          <w:color w:val="000000"/>
        </w:rPr>
        <w:t xml:space="preserve">, [online] 61(1), pp.353–381. </w:t>
      </w:r>
      <w:proofErr w:type="spellStart"/>
      <w:proofErr w:type="gramStart"/>
      <w:r w:rsidRPr="00E556E8">
        <w:rPr>
          <w:rFonts w:ascii="Calibri" w:hAnsi="Calibri" w:cs="Calibri"/>
          <w:color w:val="000000"/>
        </w:rPr>
        <w:t>doi:https</w:t>
      </w:r>
      <w:proofErr w:type="spellEnd"/>
      <w:r w:rsidRPr="00E556E8">
        <w:rPr>
          <w:rFonts w:ascii="Calibri" w:hAnsi="Calibri" w:cs="Calibri"/>
          <w:color w:val="000000"/>
        </w:rPr>
        <w:t>://doi.org/10.1146/annurev.psych.093008.100511</w:t>
      </w:r>
      <w:proofErr w:type="gramEnd"/>
      <w:r w:rsidRPr="00E556E8">
        <w:rPr>
          <w:rFonts w:ascii="Calibri" w:hAnsi="Calibri" w:cs="Calibri"/>
          <w:color w:val="000000"/>
        </w:rPr>
        <w:t>.</w:t>
      </w:r>
    </w:p>
    <w:p w14:paraId="4CBDB27F" w14:textId="77777777" w:rsidR="00E556E8" w:rsidRPr="00E556E8" w:rsidRDefault="00E556E8" w:rsidP="00E556E8">
      <w:pPr>
        <w:pStyle w:val="NormalWeb"/>
        <w:spacing w:before="0" w:beforeAutospacing="0" w:after="240" w:afterAutospacing="0" w:line="360" w:lineRule="atLeast"/>
        <w:rPr>
          <w:rFonts w:ascii="Calibri" w:hAnsi="Calibri" w:cs="Calibri"/>
          <w:color w:val="000000"/>
        </w:rPr>
      </w:pPr>
      <w:r w:rsidRPr="00E556E8">
        <w:rPr>
          <w:rFonts w:ascii="Calibri" w:hAnsi="Calibri" w:cs="Calibri"/>
          <w:color w:val="000000"/>
        </w:rPr>
        <w:t>McCarthy, M.M.M. (2016). Sex differences in the developing brain as a source of inherent risk.</w:t>
      </w:r>
      <w:r w:rsidRPr="00E556E8">
        <w:rPr>
          <w:rStyle w:val="apple-converted-space"/>
          <w:rFonts w:ascii="Calibri" w:eastAsiaTheme="majorEastAsia" w:hAnsi="Calibri" w:cs="Calibri"/>
          <w:color w:val="000000"/>
        </w:rPr>
        <w:t> </w:t>
      </w:r>
      <w:r w:rsidRPr="00E556E8">
        <w:rPr>
          <w:rFonts w:ascii="Calibri" w:hAnsi="Calibri" w:cs="Calibri"/>
          <w:i/>
          <w:iCs/>
          <w:color w:val="000000"/>
        </w:rPr>
        <w:t>Sex Differences</w:t>
      </w:r>
      <w:r w:rsidRPr="00E556E8">
        <w:rPr>
          <w:rFonts w:ascii="Calibri" w:hAnsi="Calibri" w:cs="Calibri"/>
          <w:color w:val="000000"/>
        </w:rPr>
        <w:t xml:space="preserve">, 18(4), pp.361–372. </w:t>
      </w:r>
      <w:proofErr w:type="spellStart"/>
      <w:proofErr w:type="gramStart"/>
      <w:r w:rsidRPr="00E556E8">
        <w:rPr>
          <w:rFonts w:ascii="Calibri" w:hAnsi="Calibri" w:cs="Calibri"/>
          <w:color w:val="000000"/>
        </w:rPr>
        <w:t>doi:https</w:t>
      </w:r>
      <w:proofErr w:type="spellEnd"/>
      <w:r w:rsidRPr="00E556E8">
        <w:rPr>
          <w:rFonts w:ascii="Calibri" w:hAnsi="Calibri" w:cs="Calibri"/>
          <w:color w:val="000000"/>
        </w:rPr>
        <w:t>://doi.org/10.31887/dcns.2016.18.4/</w:t>
      </w:r>
      <w:proofErr w:type="spellStart"/>
      <w:r w:rsidRPr="00E556E8">
        <w:rPr>
          <w:rFonts w:ascii="Calibri" w:hAnsi="Calibri" w:cs="Calibri"/>
          <w:color w:val="000000"/>
        </w:rPr>
        <w:t>mmccarthy</w:t>
      </w:r>
      <w:proofErr w:type="spellEnd"/>
      <w:proofErr w:type="gramEnd"/>
      <w:r w:rsidRPr="00E556E8">
        <w:rPr>
          <w:rFonts w:ascii="Calibri" w:hAnsi="Calibri" w:cs="Calibri"/>
          <w:color w:val="000000"/>
        </w:rPr>
        <w:t>.</w:t>
      </w:r>
    </w:p>
    <w:p w14:paraId="24758BFA" w14:textId="77777777" w:rsidR="00E556E8" w:rsidRPr="00E556E8" w:rsidRDefault="00E556E8" w:rsidP="00E556E8">
      <w:pPr>
        <w:pStyle w:val="NormalWeb"/>
        <w:spacing w:before="0" w:beforeAutospacing="0" w:after="240" w:afterAutospacing="0" w:line="360" w:lineRule="atLeast"/>
        <w:rPr>
          <w:rFonts w:ascii="Calibri" w:hAnsi="Calibri" w:cs="Calibri"/>
          <w:color w:val="000000"/>
        </w:rPr>
      </w:pPr>
      <w:r w:rsidRPr="00E556E8">
        <w:rPr>
          <w:rFonts w:ascii="Calibri" w:hAnsi="Calibri" w:cs="Calibri"/>
          <w:color w:val="000000"/>
        </w:rPr>
        <w:lastRenderedPageBreak/>
        <w:t>Mcleod, S. (2024).</w:t>
      </w:r>
      <w:r w:rsidRPr="00E556E8">
        <w:rPr>
          <w:rStyle w:val="apple-converted-space"/>
          <w:rFonts w:ascii="Calibri" w:eastAsiaTheme="majorEastAsia" w:hAnsi="Calibri" w:cs="Calibri"/>
          <w:color w:val="000000"/>
        </w:rPr>
        <w:t> </w:t>
      </w:r>
      <w:r w:rsidRPr="00E556E8">
        <w:rPr>
          <w:rFonts w:ascii="Calibri" w:hAnsi="Calibri" w:cs="Calibri"/>
          <w:i/>
          <w:iCs/>
          <w:color w:val="000000"/>
        </w:rPr>
        <w:t>Piaget’s Theory and Stages of Cognitive Development</w:t>
      </w:r>
      <w:r w:rsidRPr="00E556E8">
        <w:rPr>
          <w:rFonts w:ascii="Calibri" w:hAnsi="Calibri" w:cs="Calibri"/>
          <w:color w:val="000000"/>
        </w:rPr>
        <w:t>. [online] Simply Psychology. Available at: https://www.simplypsychology.org/piaget.html [Accessed 18 May 2024].</w:t>
      </w:r>
    </w:p>
    <w:p w14:paraId="4C87C77E" w14:textId="77777777" w:rsidR="00E556E8" w:rsidRPr="00E556E8" w:rsidRDefault="00E556E8" w:rsidP="00E556E8">
      <w:pPr>
        <w:pStyle w:val="NormalWeb"/>
        <w:spacing w:before="0" w:beforeAutospacing="0" w:after="240" w:afterAutospacing="0" w:line="360" w:lineRule="atLeast"/>
        <w:rPr>
          <w:rFonts w:ascii="Calibri" w:hAnsi="Calibri" w:cs="Calibri"/>
          <w:color w:val="000000"/>
        </w:rPr>
      </w:pPr>
      <w:r w:rsidRPr="00E556E8">
        <w:rPr>
          <w:rFonts w:ascii="Calibri" w:hAnsi="Calibri" w:cs="Calibri"/>
          <w:color w:val="000000"/>
        </w:rPr>
        <w:t xml:space="preserve">McRae, K., Ochsner, K.N., </w:t>
      </w:r>
      <w:proofErr w:type="spellStart"/>
      <w:r w:rsidRPr="00E556E8">
        <w:rPr>
          <w:rFonts w:ascii="Calibri" w:hAnsi="Calibri" w:cs="Calibri"/>
          <w:color w:val="000000"/>
        </w:rPr>
        <w:t>Mauss</w:t>
      </w:r>
      <w:proofErr w:type="spellEnd"/>
      <w:r w:rsidRPr="00E556E8">
        <w:rPr>
          <w:rFonts w:ascii="Calibri" w:hAnsi="Calibri" w:cs="Calibri"/>
          <w:color w:val="000000"/>
        </w:rPr>
        <w:t xml:space="preserve">, I.B., </w:t>
      </w:r>
      <w:proofErr w:type="spellStart"/>
      <w:r w:rsidRPr="00E556E8">
        <w:rPr>
          <w:rFonts w:ascii="Calibri" w:hAnsi="Calibri" w:cs="Calibri"/>
          <w:color w:val="000000"/>
        </w:rPr>
        <w:t>Gabrieli</w:t>
      </w:r>
      <w:proofErr w:type="spellEnd"/>
      <w:r w:rsidRPr="00E556E8">
        <w:rPr>
          <w:rFonts w:ascii="Calibri" w:hAnsi="Calibri" w:cs="Calibri"/>
          <w:color w:val="000000"/>
        </w:rPr>
        <w:t>, J.J.D. and Gross, J.J. (2008). Gender Differences in Emotion Regulation: an fMRI Study of Cognitive Reappraisal.</w:t>
      </w:r>
      <w:r w:rsidRPr="00E556E8">
        <w:rPr>
          <w:rStyle w:val="apple-converted-space"/>
          <w:rFonts w:ascii="Calibri" w:eastAsiaTheme="majorEastAsia" w:hAnsi="Calibri" w:cs="Calibri"/>
          <w:color w:val="000000"/>
        </w:rPr>
        <w:t> </w:t>
      </w:r>
      <w:r w:rsidRPr="00E556E8">
        <w:rPr>
          <w:rFonts w:ascii="Calibri" w:hAnsi="Calibri" w:cs="Calibri"/>
          <w:i/>
          <w:iCs/>
          <w:color w:val="000000"/>
        </w:rPr>
        <w:t>Group Processes &amp; Intergroup Relations</w:t>
      </w:r>
      <w:r w:rsidRPr="00E556E8">
        <w:rPr>
          <w:rFonts w:ascii="Calibri" w:hAnsi="Calibri" w:cs="Calibri"/>
          <w:color w:val="000000"/>
        </w:rPr>
        <w:t xml:space="preserve">, [online] 11(2), pp.143–162. </w:t>
      </w:r>
      <w:proofErr w:type="spellStart"/>
      <w:proofErr w:type="gramStart"/>
      <w:r w:rsidRPr="00E556E8">
        <w:rPr>
          <w:rFonts w:ascii="Calibri" w:hAnsi="Calibri" w:cs="Calibri"/>
          <w:color w:val="000000"/>
        </w:rPr>
        <w:t>doi:https</w:t>
      </w:r>
      <w:proofErr w:type="spellEnd"/>
      <w:r w:rsidRPr="00E556E8">
        <w:rPr>
          <w:rFonts w:ascii="Calibri" w:hAnsi="Calibri" w:cs="Calibri"/>
          <w:color w:val="000000"/>
        </w:rPr>
        <w:t>://doi.org/10.1177/1368430207088035</w:t>
      </w:r>
      <w:proofErr w:type="gramEnd"/>
      <w:r w:rsidRPr="00E556E8">
        <w:rPr>
          <w:rFonts w:ascii="Calibri" w:hAnsi="Calibri" w:cs="Calibri"/>
          <w:color w:val="000000"/>
        </w:rPr>
        <w:t>.</w:t>
      </w:r>
    </w:p>
    <w:p w14:paraId="0FFD062B" w14:textId="77777777" w:rsidR="00E556E8" w:rsidRPr="00E556E8" w:rsidRDefault="00E556E8" w:rsidP="00E556E8">
      <w:pPr>
        <w:pStyle w:val="NormalWeb"/>
        <w:spacing w:before="0" w:beforeAutospacing="0" w:after="240" w:afterAutospacing="0" w:line="360" w:lineRule="atLeast"/>
        <w:rPr>
          <w:rFonts w:ascii="Calibri" w:hAnsi="Calibri" w:cs="Calibri"/>
          <w:color w:val="000000"/>
        </w:rPr>
      </w:pPr>
      <w:proofErr w:type="spellStart"/>
      <w:r w:rsidRPr="00E556E8">
        <w:rPr>
          <w:rFonts w:ascii="Calibri" w:hAnsi="Calibri" w:cs="Calibri"/>
          <w:color w:val="000000"/>
        </w:rPr>
        <w:t>Ngun</w:t>
      </w:r>
      <w:proofErr w:type="spellEnd"/>
      <w:r w:rsidRPr="00E556E8">
        <w:rPr>
          <w:rFonts w:ascii="Calibri" w:hAnsi="Calibri" w:cs="Calibri"/>
          <w:color w:val="000000"/>
        </w:rPr>
        <w:t xml:space="preserve">, T.C., </w:t>
      </w:r>
      <w:proofErr w:type="spellStart"/>
      <w:r w:rsidRPr="00E556E8">
        <w:rPr>
          <w:rFonts w:ascii="Calibri" w:hAnsi="Calibri" w:cs="Calibri"/>
          <w:color w:val="000000"/>
        </w:rPr>
        <w:t>Ghahramani</w:t>
      </w:r>
      <w:proofErr w:type="spellEnd"/>
      <w:r w:rsidRPr="00E556E8">
        <w:rPr>
          <w:rFonts w:ascii="Calibri" w:hAnsi="Calibri" w:cs="Calibri"/>
          <w:color w:val="000000"/>
        </w:rPr>
        <w:t xml:space="preserve">, N., Sánchez, F.J., </w:t>
      </w:r>
      <w:proofErr w:type="spellStart"/>
      <w:r w:rsidRPr="00E556E8">
        <w:rPr>
          <w:rFonts w:ascii="Calibri" w:hAnsi="Calibri" w:cs="Calibri"/>
          <w:color w:val="000000"/>
        </w:rPr>
        <w:t>Bocklandt</w:t>
      </w:r>
      <w:proofErr w:type="spellEnd"/>
      <w:r w:rsidRPr="00E556E8">
        <w:rPr>
          <w:rFonts w:ascii="Calibri" w:hAnsi="Calibri" w:cs="Calibri"/>
          <w:color w:val="000000"/>
        </w:rPr>
        <w:t xml:space="preserve">, S. and </w:t>
      </w:r>
      <w:proofErr w:type="spellStart"/>
      <w:r w:rsidRPr="00E556E8">
        <w:rPr>
          <w:rFonts w:ascii="Calibri" w:hAnsi="Calibri" w:cs="Calibri"/>
          <w:color w:val="000000"/>
        </w:rPr>
        <w:t>Vilain</w:t>
      </w:r>
      <w:proofErr w:type="spellEnd"/>
      <w:r w:rsidRPr="00E556E8">
        <w:rPr>
          <w:rFonts w:ascii="Calibri" w:hAnsi="Calibri" w:cs="Calibri"/>
          <w:color w:val="000000"/>
        </w:rPr>
        <w:t xml:space="preserve">, E. (2012). The Genetics of Sex Differences in Brain and </w:t>
      </w:r>
      <w:proofErr w:type="spellStart"/>
      <w:r w:rsidRPr="00E556E8">
        <w:rPr>
          <w:rFonts w:ascii="Calibri" w:hAnsi="Calibri" w:cs="Calibri"/>
          <w:color w:val="000000"/>
        </w:rPr>
        <w:t>Behavior</w:t>
      </w:r>
      <w:proofErr w:type="spellEnd"/>
      <w:r w:rsidRPr="00E556E8">
        <w:rPr>
          <w:rFonts w:ascii="Calibri" w:hAnsi="Calibri" w:cs="Calibri"/>
          <w:color w:val="000000"/>
        </w:rPr>
        <w:t>.</w:t>
      </w:r>
      <w:r w:rsidRPr="00E556E8">
        <w:rPr>
          <w:rStyle w:val="apple-converted-space"/>
          <w:rFonts w:ascii="Calibri" w:eastAsiaTheme="majorEastAsia" w:hAnsi="Calibri" w:cs="Calibri"/>
          <w:color w:val="000000"/>
        </w:rPr>
        <w:t> </w:t>
      </w:r>
      <w:r w:rsidRPr="00E556E8">
        <w:rPr>
          <w:rFonts w:ascii="Calibri" w:hAnsi="Calibri" w:cs="Calibri"/>
          <w:i/>
          <w:iCs/>
          <w:color w:val="000000"/>
        </w:rPr>
        <w:t>Frontiers in Neuroendocrinology</w:t>
      </w:r>
      <w:r w:rsidRPr="00E556E8">
        <w:rPr>
          <w:rFonts w:ascii="Calibri" w:hAnsi="Calibri" w:cs="Calibri"/>
          <w:color w:val="000000"/>
        </w:rPr>
        <w:t xml:space="preserve">, [online] 32(2), pp.227–246. </w:t>
      </w:r>
      <w:proofErr w:type="spellStart"/>
      <w:proofErr w:type="gramStart"/>
      <w:r w:rsidRPr="00E556E8">
        <w:rPr>
          <w:rFonts w:ascii="Calibri" w:hAnsi="Calibri" w:cs="Calibri"/>
          <w:color w:val="000000"/>
        </w:rPr>
        <w:t>doi:https</w:t>
      </w:r>
      <w:proofErr w:type="spellEnd"/>
      <w:r w:rsidRPr="00E556E8">
        <w:rPr>
          <w:rFonts w:ascii="Calibri" w:hAnsi="Calibri" w:cs="Calibri"/>
          <w:color w:val="000000"/>
        </w:rPr>
        <w:t>://doi.org/10.1016/j.yfrne.2010.10.001</w:t>
      </w:r>
      <w:proofErr w:type="gramEnd"/>
      <w:r w:rsidRPr="00E556E8">
        <w:rPr>
          <w:rFonts w:ascii="Calibri" w:hAnsi="Calibri" w:cs="Calibri"/>
          <w:color w:val="000000"/>
        </w:rPr>
        <w:t>.</w:t>
      </w:r>
    </w:p>
    <w:p w14:paraId="78E2477B" w14:textId="77777777" w:rsidR="00E556E8" w:rsidRPr="00E556E8" w:rsidRDefault="00E556E8" w:rsidP="00E556E8">
      <w:pPr>
        <w:pStyle w:val="NormalWeb"/>
        <w:spacing w:before="0" w:beforeAutospacing="0" w:after="240" w:afterAutospacing="0" w:line="360" w:lineRule="atLeast"/>
        <w:rPr>
          <w:rFonts w:ascii="Calibri" w:hAnsi="Calibri" w:cs="Calibri"/>
          <w:color w:val="000000"/>
        </w:rPr>
      </w:pPr>
      <w:proofErr w:type="spellStart"/>
      <w:r w:rsidRPr="00E556E8">
        <w:rPr>
          <w:rFonts w:ascii="Calibri" w:hAnsi="Calibri" w:cs="Calibri"/>
          <w:color w:val="000000"/>
        </w:rPr>
        <w:t>Ristori</w:t>
      </w:r>
      <w:proofErr w:type="spellEnd"/>
      <w:r w:rsidRPr="00E556E8">
        <w:rPr>
          <w:rFonts w:ascii="Calibri" w:hAnsi="Calibri" w:cs="Calibri"/>
          <w:color w:val="000000"/>
        </w:rPr>
        <w:t xml:space="preserve">, J., </w:t>
      </w:r>
      <w:proofErr w:type="spellStart"/>
      <w:r w:rsidRPr="00E556E8">
        <w:rPr>
          <w:rFonts w:ascii="Calibri" w:hAnsi="Calibri" w:cs="Calibri"/>
          <w:color w:val="000000"/>
        </w:rPr>
        <w:t>Cocchetti</w:t>
      </w:r>
      <w:proofErr w:type="spellEnd"/>
      <w:r w:rsidRPr="00E556E8">
        <w:rPr>
          <w:rFonts w:ascii="Calibri" w:hAnsi="Calibri" w:cs="Calibri"/>
          <w:color w:val="000000"/>
        </w:rPr>
        <w:t xml:space="preserve">, C., Romani, A., </w:t>
      </w:r>
      <w:proofErr w:type="spellStart"/>
      <w:r w:rsidRPr="00E556E8">
        <w:rPr>
          <w:rFonts w:ascii="Calibri" w:hAnsi="Calibri" w:cs="Calibri"/>
          <w:color w:val="000000"/>
        </w:rPr>
        <w:t>Mazzoli</w:t>
      </w:r>
      <w:proofErr w:type="spellEnd"/>
      <w:r w:rsidRPr="00E556E8">
        <w:rPr>
          <w:rFonts w:ascii="Calibri" w:hAnsi="Calibri" w:cs="Calibri"/>
          <w:color w:val="000000"/>
        </w:rPr>
        <w:t xml:space="preserve">, F., </w:t>
      </w:r>
      <w:proofErr w:type="spellStart"/>
      <w:r w:rsidRPr="00E556E8">
        <w:rPr>
          <w:rFonts w:ascii="Calibri" w:hAnsi="Calibri" w:cs="Calibri"/>
          <w:color w:val="000000"/>
        </w:rPr>
        <w:t>Vignozzi</w:t>
      </w:r>
      <w:proofErr w:type="spellEnd"/>
      <w:r w:rsidRPr="00E556E8">
        <w:rPr>
          <w:rFonts w:ascii="Calibri" w:hAnsi="Calibri" w:cs="Calibri"/>
          <w:color w:val="000000"/>
        </w:rPr>
        <w:t>, L., Maggi, M. and Fisher, A.D. (2020). Brain Sex Differences Related to Gender Identity Development: Genes or Hormones?</w:t>
      </w:r>
      <w:r w:rsidRPr="00E556E8">
        <w:rPr>
          <w:rStyle w:val="apple-converted-space"/>
          <w:rFonts w:ascii="Calibri" w:eastAsiaTheme="majorEastAsia" w:hAnsi="Calibri" w:cs="Calibri"/>
          <w:color w:val="000000"/>
        </w:rPr>
        <w:t> </w:t>
      </w:r>
      <w:r w:rsidRPr="00E556E8">
        <w:rPr>
          <w:rFonts w:ascii="Calibri" w:hAnsi="Calibri" w:cs="Calibri"/>
          <w:i/>
          <w:iCs/>
          <w:color w:val="000000"/>
        </w:rPr>
        <w:t>International Journal of Molecular Sciences</w:t>
      </w:r>
      <w:r w:rsidRPr="00E556E8">
        <w:rPr>
          <w:rFonts w:ascii="Calibri" w:hAnsi="Calibri" w:cs="Calibri"/>
          <w:color w:val="000000"/>
        </w:rPr>
        <w:t xml:space="preserve">, [online] 21(6), p.2123. </w:t>
      </w:r>
      <w:proofErr w:type="spellStart"/>
      <w:proofErr w:type="gramStart"/>
      <w:r w:rsidRPr="00E556E8">
        <w:rPr>
          <w:rFonts w:ascii="Calibri" w:hAnsi="Calibri" w:cs="Calibri"/>
          <w:color w:val="000000"/>
        </w:rPr>
        <w:t>doi:https</w:t>
      </w:r>
      <w:proofErr w:type="spellEnd"/>
      <w:r w:rsidRPr="00E556E8">
        <w:rPr>
          <w:rFonts w:ascii="Calibri" w:hAnsi="Calibri" w:cs="Calibri"/>
          <w:color w:val="000000"/>
        </w:rPr>
        <w:t>://doi.org/10.3390/ijms21062123</w:t>
      </w:r>
      <w:proofErr w:type="gramEnd"/>
      <w:r w:rsidRPr="00E556E8">
        <w:rPr>
          <w:rFonts w:ascii="Calibri" w:hAnsi="Calibri" w:cs="Calibri"/>
          <w:color w:val="000000"/>
        </w:rPr>
        <w:t>.</w:t>
      </w:r>
    </w:p>
    <w:p w14:paraId="1BDD2BCD" w14:textId="77777777" w:rsidR="00E556E8" w:rsidRPr="00E556E8" w:rsidRDefault="00E556E8" w:rsidP="00E556E8">
      <w:pPr>
        <w:pStyle w:val="NormalWeb"/>
        <w:spacing w:before="0" w:beforeAutospacing="0" w:after="240" w:afterAutospacing="0" w:line="360" w:lineRule="atLeast"/>
        <w:rPr>
          <w:rFonts w:ascii="Calibri" w:hAnsi="Calibri" w:cs="Calibri"/>
          <w:color w:val="000000"/>
        </w:rPr>
      </w:pPr>
      <w:proofErr w:type="spellStart"/>
      <w:r w:rsidRPr="00E556E8">
        <w:rPr>
          <w:rFonts w:ascii="Calibri" w:hAnsi="Calibri" w:cs="Calibri"/>
          <w:color w:val="000000"/>
        </w:rPr>
        <w:t>Savic</w:t>
      </w:r>
      <w:proofErr w:type="spellEnd"/>
      <w:r w:rsidRPr="00E556E8">
        <w:rPr>
          <w:rFonts w:ascii="Calibri" w:hAnsi="Calibri" w:cs="Calibri"/>
          <w:color w:val="000000"/>
        </w:rPr>
        <w:t>, I., Garcia-</w:t>
      </w:r>
      <w:proofErr w:type="spellStart"/>
      <w:r w:rsidRPr="00E556E8">
        <w:rPr>
          <w:rFonts w:ascii="Calibri" w:hAnsi="Calibri" w:cs="Calibri"/>
          <w:color w:val="000000"/>
        </w:rPr>
        <w:t>Falgueras</w:t>
      </w:r>
      <w:proofErr w:type="spellEnd"/>
      <w:r w:rsidRPr="00E556E8">
        <w:rPr>
          <w:rFonts w:ascii="Calibri" w:hAnsi="Calibri" w:cs="Calibri"/>
          <w:color w:val="000000"/>
        </w:rPr>
        <w:t xml:space="preserve">, A. and </w:t>
      </w:r>
      <w:proofErr w:type="spellStart"/>
      <w:r w:rsidRPr="00E556E8">
        <w:rPr>
          <w:rFonts w:ascii="Calibri" w:hAnsi="Calibri" w:cs="Calibri"/>
          <w:color w:val="000000"/>
        </w:rPr>
        <w:t>Swaab</w:t>
      </w:r>
      <w:proofErr w:type="spellEnd"/>
      <w:r w:rsidRPr="00E556E8">
        <w:rPr>
          <w:rFonts w:ascii="Calibri" w:hAnsi="Calibri" w:cs="Calibri"/>
          <w:color w:val="000000"/>
        </w:rPr>
        <w:t>, D.F. (2010). Sexual differentiation of the human brain in relation to gender identity and sexual orientation.</w:t>
      </w:r>
      <w:r w:rsidRPr="00E556E8">
        <w:rPr>
          <w:rStyle w:val="apple-converted-space"/>
          <w:rFonts w:ascii="Calibri" w:eastAsiaTheme="majorEastAsia" w:hAnsi="Calibri" w:cs="Calibri"/>
          <w:color w:val="000000"/>
        </w:rPr>
        <w:t> </w:t>
      </w:r>
      <w:r w:rsidRPr="00E556E8">
        <w:rPr>
          <w:rFonts w:ascii="Calibri" w:hAnsi="Calibri" w:cs="Calibri"/>
          <w:i/>
          <w:iCs/>
          <w:color w:val="000000"/>
        </w:rPr>
        <w:t xml:space="preserve">Sex Differences in the Human Brain, their </w:t>
      </w:r>
      <w:proofErr w:type="gramStart"/>
      <w:r w:rsidRPr="00E556E8">
        <w:rPr>
          <w:rFonts w:ascii="Calibri" w:hAnsi="Calibri" w:cs="Calibri"/>
          <w:i/>
          <w:iCs/>
          <w:color w:val="000000"/>
        </w:rPr>
        <w:t>Underpinnings</w:t>
      </w:r>
      <w:proofErr w:type="gramEnd"/>
      <w:r w:rsidRPr="00E556E8">
        <w:rPr>
          <w:rFonts w:ascii="Calibri" w:hAnsi="Calibri" w:cs="Calibri"/>
          <w:i/>
          <w:iCs/>
          <w:color w:val="000000"/>
        </w:rPr>
        <w:t xml:space="preserve"> and Implications</w:t>
      </w:r>
      <w:r w:rsidRPr="00E556E8">
        <w:rPr>
          <w:rFonts w:ascii="Calibri" w:hAnsi="Calibri" w:cs="Calibri"/>
          <w:color w:val="000000"/>
        </w:rPr>
        <w:t xml:space="preserve">, 186, pp.41–62. </w:t>
      </w:r>
      <w:proofErr w:type="spellStart"/>
      <w:proofErr w:type="gramStart"/>
      <w:r w:rsidRPr="00E556E8">
        <w:rPr>
          <w:rFonts w:ascii="Calibri" w:hAnsi="Calibri" w:cs="Calibri"/>
          <w:color w:val="000000"/>
        </w:rPr>
        <w:t>doi:https</w:t>
      </w:r>
      <w:proofErr w:type="spellEnd"/>
      <w:r w:rsidRPr="00E556E8">
        <w:rPr>
          <w:rFonts w:ascii="Calibri" w:hAnsi="Calibri" w:cs="Calibri"/>
          <w:color w:val="000000"/>
        </w:rPr>
        <w:t>://doi.org/10.1016/b978-0-444-53630-3.00004-x</w:t>
      </w:r>
      <w:proofErr w:type="gramEnd"/>
      <w:r w:rsidRPr="00E556E8">
        <w:rPr>
          <w:rFonts w:ascii="Calibri" w:hAnsi="Calibri" w:cs="Calibri"/>
          <w:color w:val="000000"/>
        </w:rPr>
        <w:t>.</w:t>
      </w:r>
    </w:p>
    <w:p w14:paraId="721B9878" w14:textId="77777777" w:rsidR="000F7C39" w:rsidRPr="00930330" w:rsidRDefault="000F7C39" w:rsidP="00585BB1">
      <w:pPr>
        <w:rPr>
          <w:color w:val="000000"/>
        </w:rPr>
      </w:pPr>
    </w:p>
    <w:sectPr w:rsidR="000F7C39" w:rsidRPr="009303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BD50EB"/>
    <w:multiLevelType w:val="multilevel"/>
    <w:tmpl w:val="31866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2096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BB1"/>
    <w:rsid w:val="00004F03"/>
    <w:rsid w:val="000401FF"/>
    <w:rsid w:val="000742AE"/>
    <w:rsid w:val="000F3858"/>
    <w:rsid w:val="000F7C39"/>
    <w:rsid w:val="000F7D5C"/>
    <w:rsid w:val="00114899"/>
    <w:rsid w:val="00115645"/>
    <w:rsid w:val="0013621C"/>
    <w:rsid w:val="00154262"/>
    <w:rsid w:val="00190E74"/>
    <w:rsid w:val="001A2BD3"/>
    <w:rsid w:val="001D5F78"/>
    <w:rsid w:val="00203B71"/>
    <w:rsid w:val="002057A9"/>
    <w:rsid w:val="00222EBE"/>
    <w:rsid w:val="00226339"/>
    <w:rsid w:val="00263E95"/>
    <w:rsid w:val="00267325"/>
    <w:rsid w:val="00277551"/>
    <w:rsid w:val="002A63B2"/>
    <w:rsid w:val="002C7DE1"/>
    <w:rsid w:val="002D1AC7"/>
    <w:rsid w:val="002F587F"/>
    <w:rsid w:val="00315155"/>
    <w:rsid w:val="00316D79"/>
    <w:rsid w:val="00336632"/>
    <w:rsid w:val="0034788E"/>
    <w:rsid w:val="003855D3"/>
    <w:rsid w:val="003C487D"/>
    <w:rsid w:val="003D2AD0"/>
    <w:rsid w:val="003E09DF"/>
    <w:rsid w:val="0043284C"/>
    <w:rsid w:val="00455236"/>
    <w:rsid w:val="00476AB8"/>
    <w:rsid w:val="004F46B0"/>
    <w:rsid w:val="00516800"/>
    <w:rsid w:val="00530D19"/>
    <w:rsid w:val="00563A76"/>
    <w:rsid w:val="005712DF"/>
    <w:rsid w:val="00573E43"/>
    <w:rsid w:val="00585BB1"/>
    <w:rsid w:val="00592B66"/>
    <w:rsid w:val="005F7977"/>
    <w:rsid w:val="0061042B"/>
    <w:rsid w:val="00611529"/>
    <w:rsid w:val="006355F4"/>
    <w:rsid w:val="00655E23"/>
    <w:rsid w:val="00657069"/>
    <w:rsid w:val="00663894"/>
    <w:rsid w:val="0068209E"/>
    <w:rsid w:val="0069252A"/>
    <w:rsid w:val="0069618F"/>
    <w:rsid w:val="006B0C06"/>
    <w:rsid w:val="006B2AA2"/>
    <w:rsid w:val="006C645E"/>
    <w:rsid w:val="006C6F94"/>
    <w:rsid w:val="006D5041"/>
    <w:rsid w:val="00727D25"/>
    <w:rsid w:val="00752618"/>
    <w:rsid w:val="0077646C"/>
    <w:rsid w:val="007B35E8"/>
    <w:rsid w:val="007B7C81"/>
    <w:rsid w:val="00822E78"/>
    <w:rsid w:val="0085789B"/>
    <w:rsid w:val="00875225"/>
    <w:rsid w:val="008B5581"/>
    <w:rsid w:val="00930330"/>
    <w:rsid w:val="009342E3"/>
    <w:rsid w:val="009440D7"/>
    <w:rsid w:val="00961325"/>
    <w:rsid w:val="00970513"/>
    <w:rsid w:val="00973594"/>
    <w:rsid w:val="00983656"/>
    <w:rsid w:val="009C2A1D"/>
    <w:rsid w:val="00A13AEC"/>
    <w:rsid w:val="00A24D56"/>
    <w:rsid w:val="00A35D64"/>
    <w:rsid w:val="00A35E63"/>
    <w:rsid w:val="00A647D1"/>
    <w:rsid w:val="00A95731"/>
    <w:rsid w:val="00AA629F"/>
    <w:rsid w:val="00AB6E32"/>
    <w:rsid w:val="00AC0077"/>
    <w:rsid w:val="00B00908"/>
    <w:rsid w:val="00B1225B"/>
    <w:rsid w:val="00B27FA6"/>
    <w:rsid w:val="00BA29CD"/>
    <w:rsid w:val="00BB1D10"/>
    <w:rsid w:val="00BD3E03"/>
    <w:rsid w:val="00BE4BD6"/>
    <w:rsid w:val="00C063AC"/>
    <w:rsid w:val="00C13070"/>
    <w:rsid w:val="00C2137B"/>
    <w:rsid w:val="00C22A36"/>
    <w:rsid w:val="00C65EBA"/>
    <w:rsid w:val="00C9496F"/>
    <w:rsid w:val="00CC73D4"/>
    <w:rsid w:val="00CE4F4C"/>
    <w:rsid w:val="00D201A9"/>
    <w:rsid w:val="00D56021"/>
    <w:rsid w:val="00D708E4"/>
    <w:rsid w:val="00DA1538"/>
    <w:rsid w:val="00DA7C1A"/>
    <w:rsid w:val="00E16B8E"/>
    <w:rsid w:val="00E2575A"/>
    <w:rsid w:val="00E33C6C"/>
    <w:rsid w:val="00E43D42"/>
    <w:rsid w:val="00E5054C"/>
    <w:rsid w:val="00E556E8"/>
    <w:rsid w:val="00EA08AE"/>
    <w:rsid w:val="00EA4B3D"/>
    <w:rsid w:val="00ED5D01"/>
    <w:rsid w:val="00EE5CC9"/>
    <w:rsid w:val="00EF2394"/>
    <w:rsid w:val="00F51F94"/>
    <w:rsid w:val="00F538E9"/>
    <w:rsid w:val="00F61B4B"/>
    <w:rsid w:val="00F91828"/>
    <w:rsid w:val="00FB0280"/>
    <w:rsid w:val="00FE023C"/>
    <w:rsid w:val="00FE7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AEDF5"/>
  <w15:chartTrackingRefBased/>
  <w15:docId w15:val="{52FAE534-1263-5746-A30C-395E485DB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Calibr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5B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5B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5B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5B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5B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5BB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5BB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5BB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5BB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B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5B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5B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5B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5B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5B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5B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5B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5BB1"/>
    <w:rPr>
      <w:rFonts w:eastAsiaTheme="majorEastAsia" w:cstheme="majorBidi"/>
      <w:color w:val="272727" w:themeColor="text1" w:themeTint="D8"/>
    </w:rPr>
  </w:style>
  <w:style w:type="paragraph" w:styleId="Title">
    <w:name w:val="Title"/>
    <w:basedOn w:val="Normal"/>
    <w:next w:val="Normal"/>
    <w:link w:val="TitleChar"/>
    <w:uiPriority w:val="10"/>
    <w:qFormat/>
    <w:rsid w:val="00585BB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5B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5BB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5B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5BB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85BB1"/>
    <w:rPr>
      <w:i/>
      <w:iCs/>
      <w:color w:val="404040" w:themeColor="text1" w:themeTint="BF"/>
    </w:rPr>
  </w:style>
  <w:style w:type="paragraph" w:styleId="ListParagraph">
    <w:name w:val="List Paragraph"/>
    <w:basedOn w:val="Normal"/>
    <w:uiPriority w:val="34"/>
    <w:qFormat/>
    <w:rsid w:val="00585BB1"/>
    <w:pPr>
      <w:ind w:left="720"/>
      <w:contextualSpacing/>
    </w:pPr>
  </w:style>
  <w:style w:type="character" w:styleId="IntenseEmphasis">
    <w:name w:val="Intense Emphasis"/>
    <w:basedOn w:val="DefaultParagraphFont"/>
    <w:uiPriority w:val="21"/>
    <w:qFormat/>
    <w:rsid w:val="00585BB1"/>
    <w:rPr>
      <w:i/>
      <w:iCs/>
      <w:color w:val="0F4761" w:themeColor="accent1" w:themeShade="BF"/>
    </w:rPr>
  </w:style>
  <w:style w:type="paragraph" w:styleId="IntenseQuote">
    <w:name w:val="Intense Quote"/>
    <w:basedOn w:val="Normal"/>
    <w:next w:val="Normal"/>
    <w:link w:val="IntenseQuoteChar"/>
    <w:uiPriority w:val="30"/>
    <w:qFormat/>
    <w:rsid w:val="00585B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5BB1"/>
    <w:rPr>
      <w:i/>
      <w:iCs/>
      <w:color w:val="0F4761" w:themeColor="accent1" w:themeShade="BF"/>
    </w:rPr>
  </w:style>
  <w:style w:type="character" w:styleId="IntenseReference">
    <w:name w:val="Intense Reference"/>
    <w:basedOn w:val="DefaultParagraphFont"/>
    <w:uiPriority w:val="32"/>
    <w:qFormat/>
    <w:rsid w:val="00585BB1"/>
    <w:rPr>
      <w:b/>
      <w:bCs/>
      <w:smallCaps/>
      <w:color w:val="0F4761" w:themeColor="accent1" w:themeShade="BF"/>
      <w:spacing w:val="5"/>
    </w:rPr>
  </w:style>
  <w:style w:type="paragraph" w:styleId="NormalWeb">
    <w:name w:val="Normal (Web)"/>
    <w:basedOn w:val="Normal"/>
    <w:uiPriority w:val="99"/>
    <w:semiHidden/>
    <w:unhideWhenUsed/>
    <w:rsid w:val="0011489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148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87450">
      <w:bodyDiv w:val="1"/>
      <w:marLeft w:val="0"/>
      <w:marRight w:val="0"/>
      <w:marTop w:val="0"/>
      <w:marBottom w:val="0"/>
      <w:divBdr>
        <w:top w:val="none" w:sz="0" w:space="0" w:color="auto"/>
        <w:left w:val="none" w:sz="0" w:space="0" w:color="auto"/>
        <w:bottom w:val="none" w:sz="0" w:space="0" w:color="auto"/>
        <w:right w:val="none" w:sz="0" w:space="0" w:color="auto"/>
      </w:divBdr>
      <w:divsChild>
        <w:div w:id="2078743597">
          <w:marLeft w:val="0"/>
          <w:marRight w:val="0"/>
          <w:marTop w:val="0"/>
          <w:marBottom w:val="0"/>
          <w:divBdr>
            <w:top w:val="none" w:sz="0" w:space="0" w:color="auto"/>
            <w:left w:val="none" w:sz="0" w:space="0" w:color="auto"/>
            <w:bottom w:val="none" w:sz="0" w:space="0" w:color="auto"/>
            <w:right w:val="none" w:sz="0" w:space="0" w:color="auto"/>
          </w:divBdr>
        </w:div>
      </w:divsChild>
    </w:div>
    <w:div w:id="442462261">
      <w:bodyDiv w:val="1"/>
      <w:marLeft w:val="0"/>
      <w:marRight w:val="0"/>
      <w:marTop w:val="0"/>
      <w:marBottom w:val="0"/>
      <w:divBdr>
        <w:top w:val="none" w:sz="0" w:space="0" w:color="auto"/>
        <w:left w:val="none" w:sz="0" w:space="0" w:color="auto"/>
        <w:bottom w:val="none" w:sz="0" w:space="0" w:color="auto"/>
        <w:right w:val="none" w:sz="0" w:space="0" w:color="auto"/>
      </w:divBdr>
      <w:divsChild>
        <w:div w:id="192159980">
          <w:marLeft w:val="0"/>
          <w:marRight w:val="0"/>
          <w:marTop w:val="0"/>
          <w:marBottom w:val="0"/>
          <w:divBdr>
            <w:top w:val="none" w:sz="0" w:space="0" w:color="auto"/>
            <w:left w:val="none" w:sz="0" w:space="0" w:color="auto"/>
            <w:bottom w:val="none" w:sz="0" w:space="0" w:color="auto"/>
            <w:right w:val="none" w:sz="0" w:space="0" w:color="auto"/>
          </w:divBdr>
        </w:div>
      </w:divsChild>
    </w:div>
    <w:div w:id="755632193">
      <w:bodyDiv w:val="1"/>
      <w:marLeft w:val="0"/>
      <w:marRight w:val="0"/>
      <w:marTop w:val="0"/>
      <w:marBottom w:val="0"/>
      <w:divBdr>
        <w:top w:val="none" w:sz="0" w:space="0" w:color="auto"/>
        <w:left w:val="none" w:sz="0" w:space="0" w:color="auto"/>
        <w:bottom w:val="none" w:sz="0" w:space="0" w:color="auto"/>
        <w:right w:val="none" w:sz="0" w:space="0" w:color="auto"/>
      </w:divBdr>
    </w:div>
    <w:div w:id="1050303096">
      <w:bodyDiv w:val="1"/>
      <w:marLeft w:val="0"/>
      <w:marRight w:val="0"/>
      <w:marTop w:val="0"/>
      <w:marBottom w:val="0"/>
      <w:divBdr>
        <w:top w:val="none" w:sz="0" w:space="0" w:color="auto"/>
        <w:left w:val="none" w:sz="0" w:space="0" w:color="auto"/>
        <w:bottom w:val="none" w:sz="0" w:space="0" w:color="auto"/>
        <w:right w:val="none" w:sz="0" w:space="0" w:color="auto"/>
      </w:divBdr>
      <w:divsChild>
        <w:div w:id="1211040843">
          <w:marLeft w:val="0"/>
          <w:marRight w:val="0"/>
          <w:marTop w:val="0"/>
          <w:marBottom w:val="0"/>
          <w:divBdr>
            <w:top w:val="none" w:sz="0" w:space="0" w:color="auto"/>
            <w:left w:val="none" w:sz="0" w:space="0" w:color="auto"/>
            <w:bottom w:val="none" w:sz="0" w:space="0" w:color="auto"/>
            <w:right w:val="none" w:sz="0" w:space="0" w:color="auto"/>
          </w:divBdr>
        </w:div>
      </w:divsChild>
    </w:div>
    <w:div w:id="1525247743">
      <w:bodyDiv w:val="1"/>
      <w:marLeft w:val="0"/>
      <w:marRight w:val="0"/>
      <w:marTop w:val="0"/>
      <w:marBottom w:val="0"/>
      <w:divBdr>
        <w:top w:val="none" w:sz="0" w:space="0" w:color="auto"/>
        <w:left w:val="none" w:sz="0" w:space="0" w:color="auto"/>
        <w:bottom w:val="none" w:sz="0" w:space="0" w:color="auto"/>
        <w:right w:val="none" w:sz="0" w:space="0" w:color="auto"/>
      </w:divBdr>
      <w:divsChild>
        <w:div w:id="2131363666">
          <w:marLeft w:val="0"/>
          <w:marRight w:val="0"/>
          <w:marTop w:val="0"/>
          <w:marBottom w:val="0"/>
          <w:divBdr>
            <w:top w:val="none" w:sz="0" w:space="0" w:color="auto"/>
            <w:left w:val="none" w:sz="0" w:space="0" w:color="auto"/>
            <w:bottom w:val="none" w:sz="0" w:space="0" w:color="auto"/>
            <w:right w:val="none" w:sz="0" w:space="0" w:color="auto"/>
          </w:divBdr>
        </w:div>
      </w:divsChild>
    </w:div>
    <w:div w:id="1673529940">
      <w:bodyDiv w:val="1"/>
      <w:marLeft w:val="0"/>
      <w:marRight w:val="0"/>
      <w:marTop w:val="0"/>
      <w:marBottom w:val="0"/>
      <w:divBdr>
        <w:top w:val="none" w:sz="0" w:space="0" w:color="auto"/>
        <w:left w:val="none" w:sz="0" w:space="0" w:color="auto"/>
        <w:bottom w:val="none" w:sz="0" w:space="0" w:color="auto"/>
        <w:right w:val="none" w:sz="0" w:space="0" w:color="auto"/>
      </w:divBdr>
      <w:divsChild>
        <w:div w:id="5971051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276CDE-7667-0B47-9D36-67A744541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13</Pages>
  <Words>3864</Words>
  <Characters>24770</Characters>
  <Application>Microsoft Office Word</Application>
  <DocSecurity>0</DocSecurity>
  <Lines>562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Charley Stephens (2306714)</dc:creator>
  <cp:keywords/>
  <dc:description/>
  <cp:lastModifiedBy>Charley Stephens (2306714)</cp:lastModifiedBy>
  <cp:revision>120</cp:revision>
  <dcterms:created xsi:type="dcterms:W3CDTF">2024-03-25T23:14:00Z</dcterms:created>
  <dcterms:modified xsi:type="dcterms:W3CDTF">2024-05-17T23:47:00Z</dcterms:modified>
</cp:coreProperties>
</file>