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47547" w14:textId="4FCF826A" w:rsidR="00B1432A" w:rsidRPr="00D3335F" w:rsidRDefault="00B1432A" w:rsidP="00B1432A">
      <w:pPr>
        <w:jc w:val="center"/>
        <w:rPr>
          <w:rFonts w:cs="Times New Roman"/>
          <w:lang w:val="en-IN"/>
        </w:rPr>
      </w:pPr>
      <w:r w:rsidRPr="00D3335F">
        <w:rPr>
          <w:rFonts w:cs="Times New Roman"/>
          <w:noProof/>
          <w:lang w:val="en-IN"/>
        </w:rPr>
        <w:drawing>
          <wp:inline distT="0" distB="0" distL="0" distR="0" wp14:anchorId="081F2D54" wp14:editId="2F1A9B93">
            <wp:extent cx="1874520" cy="702945"/>
            <wp:effectExtent l="0" t="0" r="0" b="1905"/>
            <wp:docPr id="1437903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903358" name=""/>
                    <pic:cNvPicPr/>
                  </pic:nvPicPr>
                  <pic:blipFill>
                    <a:blip r:embed="rId7"/>
                    <a:stretch>
                      <a:fillRect/>
                    </a:stretch>
                  </pic:blipFill>
                  <pic:spPr>
                    <a:xfrm>
                      <a:off x="0" y="0"/>
                      <a:ext cx="1878699" cy="704512"/>
                    </a:xfrm>
                    <a:prstGeom prst="rect">
                      <a:avLst/>
                    </a:prstGeom>
                  </pic:spPr>
                </pic:pic>
              </a:graphicData>
            </a:graphic>
          </wp:inline>
        </w:drawing>
      </w:r>
    </w:p>
    <w:p w14:paraId="18541291" w14:textId="77777777" w:rsidR="00B1432A" w:rsidRPr="00D3335F" w:rsidRDefault="00B1432A" w:rsidP="00B1432A">
      <w:pPr>
        <w:jc w:val="center"/>
        <w:rPr>
          <w:rFonts w:cs="Times New Roman"/>
          <w:lang w:val="en-IN"/>
        </w:rPr>
      </w:pPr>
    </w:p>
    <w:p w14:paraId="6C58FC32" w14:textId="77777777" w:rsidR="00B1432A" w:rsidRPr="00D3335F" w:rsidRDefault="00B1432A" w:rsidP="00B1432A">
      <w:pPr>
        <w:jc w:val="center"/>
        <w:rPr>
          <w:rFonts w:cs="Times New Roman"/>
          <w:b/>
          <w:sz w:val="40"/>
          <w:szCs w:val="40"/>
        </w:rPr>
      </w:pPr>
    </w:p>
    <w:p w14:paraId="2CCFFADC" w14:textId="77777777" w:rsidR="00B1432A" w:rsidRPr="00D3335F" w:rsidRDefault="00B1432A" w:rsidP="00B1432A">
      <w:pPr>
        <w:jc w:val="center"/>
        <w:rPr>
          <w:rFonts w:cs="Times New Roman"/>
          <w:b/>
          <w:sz w:val="40"/>
          <w:szCs w:val="40"/>
        </w:rPr>
      </w:pPr>
    </w:p>
    <w:p w14:paraId="41D78497" w14:textId="77777777" w:rsidR="00B1432A" w:rsidRPr="00D3335F" w:rsidRDefault="00B1432A" w:rsidP="00B1432A">
      <w:pPr>
        <w:jc w:val="center"/>
        <w:rPr>
          <w:rFonts w:cs="Times New Roman"/>
          <w:b/>
          <w:sz w:val="40"/>
          <w:szCs w:val="40"/>
        </w:rPr>
      </w:pPr>
      <w:r w:rsidRPr="00D3335F">
        <w:rPr>
          <w:rFonts w:cs="Times New Roman"/>
          <w:b/>
          <w:sz w:val="40"/>
          <w:szCs w:val="40"/>
        </w:rPr>
        <w:t>Global Business Environment</w:t>
      </w:r>
    </w:p>
    <w:p w14:paraId="04067751" w14:textId="77777777" w:rsidR="00B1432A" w:rsidRPr="00D3335F" w:rsidRDefault="00B1432A" w:rsidP="00B1432A">
      <w:pPr>
        <w:jc w:val="center"/>
        <w:rPr>
          <w:rFonts w:cs="Times New Roman"/>
          <w:b/>
          <w:sz w:val="40"/>
          <w:szCs w:val="40"/>
        </w:rPr>
      </w:pPr>
      <w:r w:rsidRPr="00D3335F">
        <w:rPr>
          <w:rFonts w:cs="Times New Roman"/>
          <w:b/>
          <w:sz w:val="40"/>
          <w:szCs w:val="40"/>
        </w:rPr>
        <w:t>LCBB4016</w:t>
      </w:r>
    </w:p>
    <w:p w14:paraId="071C0578" w14:textId="77777777" w:rsidR="00B1432A" w:rsidRPr="00D3335F" w:rsidRDefault="00B1432A" w:rsidP="00B1432A">
      <w:pPr>
        <w:jc w:val="center"/>
        <w:rPr>
          <w:rFonts w:cs="Times New Roman"/>
          <w:b/>
          <w:sz w:val="40"/>
          <w:szCs w:val="40"/>
        </w:rPr>
      </w:pPr>
    </w:p>
    <w:p w14:paraId="590A720F" w14:textId="77777777" w:rsidR="00B1432A" w:rsidRPr="00D3335F" w:rsidRDefault="00B1432A" w:rsidP="00B1432A">
      <w:pPr>
        <w:jc w:val="center"/>
        <w:rPr>
          <w:rFonts w:cs="Times New Roman"/>
          <w:b/>
          <w:sz w:val="40"/>
          <w:szCs w:val="40"/>
        </w:rPr>
      </w:pPr>
    </w:p>
    <w:p w14:paraId="00C67C66" w14:textId="77777777" w:rsidR="00B1432A" w:rsidRPr="00D3335F" w:rsidRDefault="00B1432A" w:rsidP="00B1432A">
      <w:pPr>
        <w:jc w:val="center"/>
        <w:rPr>
          <w:rFonts w:cs="Times New Roman"/>
          <w:b/>
          <w:sz w:val="40"/>
          <w:szCs w:val="40"/>
        </w:rPr>
      </w:pPr>
    </w:p>
    <w:p w14:paraId="599F0B74" w14:textId="77777777" w:rsidR="00B1432A" w:rsidRPr="00D3335F" w:rsidRDefault="00B1432A" w:rsidP="00B1432A">
      <w:pPr>
        <w:jc w:val="center"/>
        <w:rPr>
          <w:rFonts w:cs="Times New Roman"/>
          <w:b/>
          <w:sz w:val="40"/>
          <w:szCs w:val="40"/>
        </w:rPr>
      </w:pPr>
    </w:p>
    <w:p w14:paraId="45873609" w14:textId="77777777" w:rsidR="00B1432A" w:rsidRPr="00D3335F" w:rsidRDefault="00B1432A" w:rsidP="00B1432A">
      <w:pPr>
        <w:jc w:val="center"/>
        <w:rPr>
          <w:rFonts w:cs="Times New Roman"/>
          <w:b/>
          <w:sz w:val="40"/>
          <w:szCs w:val="40"/>
        </w:rPr>
      </w:pPr>
    </w:p>
    <w:p w14:paraId="6F30D4DA" w14:textId="77777777" w:rsidR="00B1432A" w:rsidRPr="00D3335F" w:rsidRDefault="00B1432A" w:rsidP="00B1432A">
      <w:pPr>
        <w:jc w:val="center"/>
        <w:rPr>
          <w:rFonts w:cs="Times New Roman"/>
          <w:b/>
          <w:sz w:val="40"/>
          <w:szCs w:val="40"/>
        </w:rPr>
      </w:pPr>
    </w:p>
    <w:p w14:paraId="3F62AA61" w14:textId="77777777" w:rsidR="00B1432A" w:rsidRPr="00D3335F" w:rsidRDefault="00B1432A" w:rsidP="00B1432A">
      <w:pPr>
        <w:jc w:val="center"/>
        <w:rPr>
          <w:rFonts w:cs="Times New Roman"/>
          <w:b/>
          <w:sz w:val="40"/>
          <w:szCs w:val="40"/>
        </w:rPr>
      </w:pPr>
    </w:p>
    <w:p w14:paraId="472F1664" w14:textId="255A9B80" w:rsidR="00B1432A" w:rsidRPr="00D3335F" w:rsidRDefault="00B1432A" w:rsidP="00B1432A">
      <w:pPr>
        <w:jc w:val="center"/>
        <w:rPr>
          <w:rFonts w:cs="Times New Roman"/>
          <w:b/>
          <w:sz w:val="40"/>
          <w:szCs w:val="40"/>
        </w:rPr>
      </w:pPr>
      <w:r w:rsidRPr="00D3335F">
        <w:rPr>
          <w:rFonts w:cs="Times New Roman"/>
          <w:b/>
          <w:sz w:val="40"/>
          <w:szCs w:val="40"/>
        </w:rPr>
        <w:t>Student Name:</w:t>
      </w:r>
      <w:r w:rsidR="006A366F">
        <w:rPr>
          <w:rFonts w:cs="Times New Roman"/>
          <w:b/>
          <w:sz w:val="40"/>
          <w:szCs w:val="40"/>
        </w:rPr>
        <w:t>Stefanita Calarasu</w:t>
      </w:r>
    </w:p>
    <w:p w14:paraId="747ADB48" w14:textId="580383F6" w:rsidR="00B1432A" w:rsidRPr="00D3335F" w:rsidRDefault="00B1432A" w:rsidP="00B1432A">
      <w:pPr>
        <w:jc w:val="center"/>
        <w:rPr>
          <w:rFonts w:cs="Times New Roman"/>
          <w:b/>
          <w:sz w:val="40"/>
          <w:szCs w:val="40"/>
        </w:rPr>
      </w:pPr>
      <w:r w:rsidRPr="00D3335F">
        <w:rPr>
          <w:rFonts w:cs="Times New Roman"/>
          <w:b/>
          <w:sz w:val="40"/>
          <w:szCs w:val="40"/>
        </w:rPr>
        <w:t>Student Number:</w:t>
      </w:r>
      <w:r w:rsidR="006A366F">
        <w:rPr>
          <w:rFonts w:cs="Times New Roman"/>
          <w:b/>
          <w:sz w:val="40"/>
          <w:szCs w:val="40"/>
        </w:rPr>
        <w:t xml:space="preserve"> 2328896</w:t>
      </w:r>
    </w:p>
    <w:p w14:paraId="719CF7D5" w14:textId="77777777" w:rsidR="00B1432A" w:rsidRPr="00D3335F" w:rsidRDefault="00B1432A">
      <w:pPr>
        <w:spacing w:line="278" w:lineRule="auto"/>
        <w:jc w:val="left"/>
        <w:rPr>
          <w:rFonts w:cs="Times New Roman"/>
          <w:b/>
          <w:sz w:val="40"/>
          <w:szCs w:val="40"/>
        </w:rPr>
      </w:pPr>
      <w:r w:rsidRPr="00D3335F">
        <w:rPr>
          <w:rFonts w:cs="Times New Roman"/>
          <w:b/>
          <w:sz w:val="40"/>
          <w:szCs w:val="40"/>
        </w:rPr>
        <w:br w:type="page"/>
      </w:r>
    </w:p>
    <w:sdt>
      <w:sdtPr>
        <w:rPr>
          <w:rFonts w:ascii="Times New Roman" w:eastAsiaTheme="minorHAnsi" w:hAnsi="Times New Roman" w:cs="Times New Roman"/>
          <w:color w:val="0D0D0D" w:themeColor="text1" w:themeTint="F2"/>
          <w:kern w:val="2"/>
          <w:sz w:val="24"/>
          <w:szCs w:val="24"/>
          <w:lang w:val="en-GB" w:bidi="hi-IN"/>
          <w14:ligatures w14:val="standardContextual"/>
        </w:rPr>
        <w:id w:val="1146323449"/>
        <w:docPartObj>
          <w:docPartGallery w:val="Table of Contents"/>
          <w:docPartUnique/>
        </w:docPartObj>
      </w:sdtPr>
      <w:sdtEndPr>
        <w:rPr>
          <w:b/>
          <w:bCs/>
          <w:noProof/>
        </w:rPr>
      </w:sdtEndPr>
      <w:sdtContent>
        <w:p w14:paraId="0B3E801A" w14:textId="587BD868" w:rsidR="00B1432A" w:rsidRPr="00D3335F" w:rsidRDefault="00B1432A">
          <w:pPr>
            <w:pStyle w:val="TOCHeading"/>
            <w:rPr>
              <w:rFonts w:ascii="Times New Roman" w:hAnsi="Times New Roman" w:cs="Times New Roman"/>
              <w:b/>
              <w:bCs/>
              <w:color w:val="0D0D0D" w:themeColor="text1" w:themeTint="F2"/>
              <w:sz w:val="36"/>
              <w:szCs w:val="36"/>
            </w:rPr>
          </w:pPr>
          <w:r w:rsidRPr="00D3335F">
            <w:rPr>
              <w:rFonts w:ascii="Times New Roman" w:hAnsi="Times New Roman" w:cs="Times New Roman"/>
              <w:b/>
              <w:bCs/>
              <w:color w:val="0D0D0D" w:themeColor="text1" w:themeTint="F2"/>
              <w:sz w:val="36"/>
              <w:szCs w:val="36"/>
            </w:rPr>
            <w:t>Table of Contents</w:t>
          </w:r>
        </w:p>
        <w:p w14:paraId="3D7D76E1" w14:textId="3683AB44" w:rsidR="00D609D3" w:rsidRDefault="00B1432A">
          <w:pPr>
            <w:pStyle w:val="TOC1"/>
            <w:tabs>
              <w:tab w:val="right" w:leader="dot" w:pos="9016"/>
            </w:tabs>
            <w:rPr>
              <w:rFonts w:asciiTheme="minorHAnsi" w:eastAsiaTheme="minorEastAsia" w:hAnsiTheme="minorHAnsi"/>
              <w:noProof/>
              <w:color w:val="auto"/>
              <w:lang w:val="en-IN" w:eastAsia="en-IN"/>
            </w:rPr>
          </w:pPr>
          <w:r w:rsidRPr="00D3335F">
            <w:rPr>
              <w:rFonts w:cs="Times New Roman"/>
            </w:rPr>
            <w:fldChar w:fldCharType="begin"/>
          </w:r>
          <w:r w:rsidRPr="00D3335F">
            <w:rPr>
              <w:rFonts w:cs="Times New Roman"/>
            </w:rPr>
            <w:instrText xml:space="preserve"> TOC \o "1-3" \h \z \u </w:instrText>
          </w:r>
          <w:r w:rsidRPr="00D3335F">
            <w:rPr>
              <w:rFonts w:cs="Times New Roman"/>
            </w:rPr>
            <w:fldChar w:fldCharType="separate"/>
          </w:r>
          <w:hyperlink w:anchor="_Toc223085979" w:history="1">
            <w:r w:rsidR="00D609D3" w:rsidRPr="00C86DD9">
              <w:rPr>
                <w:rStyle w:val="Hyperlink"/>
                <w:rFonts w:cs="Times New Roman"/>
                <w:noProof/>
                <w:lang w:val="en-IN"/>
              </w:rPr>
              <w:t>Introduction</w:t>
            </w:r>
            <w:r w:rsidR="00D609D3">
              <w:rPr>
                <w:noProof/>
                <w:webHidden/>
              </w:rPr>
              <w:tab/>
            </w:r>
            <w:r w:rsidR="00D609D3">
              <w:rPr>
                <w:noProof/>
                <w:webHidden/>
              </w:rPr>
              <w:fldChar w:fldCharType="begin"/>
            </w:r>
            <w:r w:rsidR="00D609D3">
              <w:rPr>
                <w:noProof/>
                <w:webHidden/>
              </w:rPr>
              <w:instrText xml:space="preserve"> PAGEREF _Toc223085979 \h </w:instrText>
            </w:r>
            <w:r w:rsidR="00D609D3">
              <w:rPr>
                <w:noProof/>
                <w:webHidden/>
              </w:rPr>
            </w:r>
            <w:r w:rsidR="00D609D3">
              <w:rPr>
                <w:noProof/>
                <w:webHidden/>
              </w:rPr>
              <w:fldChar w:fldCharType="separate"/>
            </w:r>
            <w:r w:rsidR="00D609D3">
              <w:rPr>
                <w:noProof/>
                <w:webHidden/>
              </w:rPr>
              <w:t>3</w:t>
            </w:r>
            <w:r w:rsidR="00D609D3">
              <w:rPr>
                <w:noProof/>
                <w:webHidden/>
              </w:rPr>
              <w:fldChar w:fldCharType="end"/>
            </w:r>
          </w:hyperlink>
        </w:p>
        <w:p w14:paraId="11466DC8" w14:textId="75ADCA64" w:rsidR="00D609D3" w:rsidRDefault="00D609D3">
          <w:pPr>
            <w:pStyle w:val="TOC1"/>
            <w:tabs>
              <w:tab w:val="right" w:leader="dot" w:pos="9016"/>
            </w:tabs>
            <w:rPr>
              <w:rFonts w:asciiTheme="minorHAnsi" w:eastAsiaTheme="minorEastAsia" w:hAnsiTheme="minorHAnsi"/>
              <w:noProof/>
              <w:color w:val="auto"/>
              <w:lang w:val="en-IN" w:eastAsia="en-IN"/>
            </w:rPr>
          </w:pPr>
          <w:hyperlink w:anchor="_Toc223085980" w:history="1">
            <w:r w:rsidRPr="00C86DD9">
              <w:rPr>
                <w:rStyle w:val="Hyperlink"/>
                <w:noProof/>
                <w:lang w:val="en-IN"/>
              </w:rPr>
              <w:t>Main Body</w:t>
            </w:r>
            <w:r>
              <w:rPr>
                <w:noProof/>
                <w:webHidden/>
              </w:rPr>
              <w:tab/>
            </w:r>
            <w:r>
              <w:rPr>
                <w:noProof/>
                <w:webHidden/>
              </w:rPr>
              <w:fldChar w:fldCharType="begin"/>
            </w:r>
            <w:r>
              <w:rPr>
                <w:noProof/>
                <w:webHidden/>
              </w:rPr>
              <w:instrText xml:space="preserve"> PAGEREF _Toc223085980 \h </w:instrText>
            </w:r>
            <w:r>
              <w:rPr>
                <w:noProof/>
                <w:webHidden/>
              </w:rPr>
            </w:r>
            <w:r>
              <w:rPr>
                <w:noProof/>
                <w:webHidden/>
              </w:rPr>
              <w:fldChar w:fldCharType="separate"/>
            </w:r>
            <w:r>
              <w:rPr>
                <w:noProof/>
                <w:webHidden/>
              </w:rPr>
              <w:t>4</w:t>
            </w:r>
            <w:r>
              <w:rPr>
                <w:noProof/>
                <w:webHidden/>
              </w:rPr>
              <w:fldChar w:fldCharType="end"/>
            </w:r>
          </w:hyperlink>
        </w:p>
        <w:p w14:paraId="55EE558A" w14:textId="0183849C" w:rsidR="00D609D3" w:rsidRDefault="00D609D3">
          <w:pPr>
            <w:pStyle w:val="TOC1"/>
            <w:tabs>
              <w:tab w:val="right" w:leader="dot" w:pos="9016"/>
            </w:tabs>
            <w:rPr>
              <w:rFonts w:asciiTheme="minorHAnsi" w:eastAsiaTheme="minorEastAsia" w:hAnsiTheme="minorHAnsi"/>
              <w:noProof/>
              <w:color w:val="auto"/>
              <w:lang w:val="en-IN" w:eastAsia="en-IN"/>
            </w:rPr>
          </w:pPr>
          <w:hyperlink w:anchor="_Toc223085981" w:history="1">
            <w:r w:rsidRPr="00C86DD9">
              <w:rPr>
                <w:rStyle w:val="Hyperlink"/>
                <w:rFonts w:cs="Times New Roman"/>
                <w:noProof/>
                <w:lang w:val="en-IN"/>
              </w:rPr>
              <w:t>Conclusion</w:t>
            </w:r>
            <w:r>
              <w:rPr>
                <w:noProof/>
                <w:webHidden/>
              </w:rPr>
              <w:tab/>
            </w:r>
            <w:r>
              <w:rPr>
                <w:noProof/>
                <w:webHidden/>
              </w:rPr>
              <w:fldChar w:fldCharType="begin"/>
            </w:r>
            <w:r>
              <w:rPr>
                <w:noProof/>
                <w:webHidden/>
              </w:rPr>
              <w:instrText xml:space="preserve"> PAGEREF _Toc223085981 \h </w:instrText>
            </w:r>
            <w:r>
              <w:rPr>
                <w:noProof/>
                <w:webHidden/>
              </w:rPr>
            </w:r>
            <w:r>
              <w:rPr>
                <w:noProof/>
                <w:webHidden/>
              </w:rPr>
              <w:fldChar w:fldCharType="separate"/>
            </w:r>
            <w:r>
              <w:rPr>
                <w:noProof/>
                <w:webHidden/>
              </w:rPr>
              <w:t>8</w:t>
            </w:r>
            <w:r>
              <w:rPr>
                <w:noProof/>
                <w:webHidden/>
              </w:rPr>
              <w:fldChar w:fldCharType="end"/>
            </w:r>
          </w:hyperlink>
        </w:p>
        <w:p w14:paraId="33547EB4" w14:textId="18607A05" w:rsidR="00D609D3" w:rsidRDefault="00D609D3">
          <w:pPr>
            <w:pStyle w:val="TOC1"/>
            <w:tabs>
              <w:tab w:val="right" w:leader="dot" w:pos="9016"/>
            </w:tabs>
            <w:rPr>
              <w:rFonts w:asciiTheme="minorHAnsi" w:eastAsiaTheme="minorEastAsia" w:hAnsiTheme="minorHAnsi"/>
              <w:noProof/>
              <w:color w:val="auto"/>
              <w:lang w:val="en-IN" w:eastAsia="en-IN"/>
            </w:rPr>
          </w:pPr>
          <w:hyperlink w:anchor="_Toc223085982" w:history="1">
            <w:r w:rsidRPr="00C86DD9">
              <w:rPr>
                <w:rStyle w:val="Hyperlink"/>
                <w:rFonts w:cs="Times New Roman"/>
                <w:noProof/>
                <w:lang w:val="en-IN"/>
              </w:rPr>
              <w:t>References</w:t>
            </w:r>
            <w:r>
              <w:rPr>
                <w:noProof/>
                <w:webHidden/>
              </w:rPr>
              <w:tab/>
            </w:r>
            <w:r>
              <w:rPr>
                <w:noProof/>
                <w:webHidden/>
              </w:rPr>
              <w:fldChar w:fldCharType="begin"/>
            </w:r>
            <w:r>
              <w:rPr>
                <w:noProof/>
                <w:webHidden/>
              </w:rPr>
              <w:instrText xml:space="preserve"> PAGEREF _Toc223085982 \h </w:instrText>
            </w:r>
            <w:r>
              <w:rPr>
                <w:noProof/>
                <w:webHidden/>
              </w:rPr>
            </w:r>
            <w:r>
              <w:rPr>
                <w:noProof/>
                <w:webHidden/>
              </w:rPr>
              <w:fldChar w:fldCharType="separate"/>
            </w:r>
            <w:r>
              <w:rPr>
                <w:noProof/>
                <w:webHidden/>
              </w:rPr>
              <w:t>9</w:t>
            </w:r>
            <w:r>
              <w:rPr>
                <w:noProof/>
                <w:webHidden/>
              </w:rPr>
              <w:fldChar w:fldCharType="end"/>
            </w:r>
          </w:hyperlink>
        </w:p>
        <w:p w14:paraId="77C51CBD" w14:textId="4B8D84A0" w:rsidR="00B1432A" w:rsidRPr="00D3335F" w:rsidRDefault="00B1432A">
          <w:pPr>
            <w:rPr>
              <w:rFonts w:cs="Times New Roman"/>
            </w:rPr>
          </w:pPr>
          <w:r w:rsidRPr="00D3335F">
            <w:rPr>
              <w:rFonts w:cs="Times New Roman"/>
              <w:b/>
              <w:bCs/>
              <w:noProof/>
            </w:rPr>
            <w:fldChar w:fldCharType="end"/>
          </w:r>
        </w:p>
      </w:sdtContent>
    </w:sdt>
    <w:p w14:paraId="155EEEBA" w14:textId="77777777" w:rsidR="00B1432A" w:rsidRPr="00D3335F" w:rsidRDefault="00B1432A" w:rsidP="00B1432A">
      <w:pPr>
        <w:rPr>
          <w:rFonts w:cs="Times New Roman"/>
        </w:rPr>
      </w:pPr>
    </w:p>
    <w:p w14:paraId="32476041" w14:textId="283B5B02" w:rsidR="00B1432A" w:rsidRPr="00D3335F" w:rsidRDefault="00B1432A">
      <w:pPr>
        <w:spacing w:line="278" w:lineRule="auto"/>
        <w:jc w:val="left"/>
        <w:rPr>
          <w:rFonts w:eastAsiaTheme="majorEastAsia" w:cs="Times New Roman"/>
          <w:b/>
          <w:sz w:val="36"/>
          <w:szCs w:val="36"/>
          <w:lang w:val="en-IN"/>
        </w:rPr>
      </w:pPr>
    </w:p>
    <w:p w14:paraId="05906CA3" w14:textId="77777777" w:rsidR="00B1432A" w:rsidRPr="00D3335F" w:rsidRDefault="00B1432A">
      <w:pPr>
        <w:spacing w:line="278" w:lineRule="auto"/>
        <w:jc w:val="left"/>
        <w:rPr>
          <w:rFonts w:eastAsiaTheme="majorEastAsia" w:cs="Times New Roman"/>
          <w:b/>
          <w:sz w:val="36"/>
          <w:szCs w:val="36"/>
          <w:lang w:val="en-IN"/>
        </w:rPr>
      </w:pPr>
      <w:r w:rsidRPr="00D3335F">
        <w:rPr>
          <w:rFonts w:cs="Times New Roman"/>
          <w:lang w:val="en-IN"/>
        </w:rPr>
        <w:br w:type="page"/>
      </w:r>
    </w:p>
    <w:p w14:paraId="10FC56A1" w14:textId="2DDCAAC7" w:rsidR="00C52618" w:rsidRPr="00D3335F" w:rsidRDefault="00C52618" w:rsidP="00C52618">
      <w:pPr>
        <w:pStyle w:val="Heading1"/>
        <w:rPr>
          <w:rFonts w:cs="Times New Roman"/>
          <w:lang w:val="en-IN"/>
        </w:rPr>
      </w:pPr>
      <w:bookmarkStart w:id="0" w:name="_Toc223085979"/>
      <w:r w:rsidRPr="00D3335F">
        <w:rPr>
          <w:rFonts w:cs="Times New Roman"/>
          <w:lang w:val="en-IN"/>
        </w:rPr>
        <w:lastRenderedPageBreak/>
        <w:t>Introduction</w:t>
      </w:r>
      <w:bookmarkEnd w:id="0"/>
    </w:p>
    <w:p w14:paraId="6280975C" w14:textId="645041BA" w:rsidR="00FE3B41" w:rsidRPr="00D3335F" w:rsidRDefault="00FE3B41" w:rsidP="00FE3B41">
      <w:pPr>
        <w:rPr>
          <w:rFonts w:cs="Times New Roman"/>
          <w:lang w:val="en-IN"/>
        </w:rPr>
      </w:pPr>
      <w:r w:rsidRPr="00D3335F">
        <w:rPr>
          <w:rFonts w:cs="Times New Roman"/>
          <w:lang w:val="en-IN"/>
        </w:rPr>
        <w:t xml:space="preserve">Globalisation is a process of growing economic, political and technological integration of national economies via trade, investment, free movement of capital and exchange of information (Alkharafi and Alsabah, 2025). Whereas globalisation allows a firm to expand internationally and enjoy global economies of scale, it is also increasing competition, regulatory oversight and systemic risk. To multinational enterprises (MNEs), globalisation is not just an opportunity but a structural condition that transforms strategic </w:t>
      </w:r>
      <w:r w:rsidR="003C6315" w:rsidRPr="00D3335F">
        <w:rPr>
          <w:rFonts w:cs="Times New Roman"/>
          <w:lang w:val="en-IN"/>
        </w:rPr>
        <w:t>decision-making</w:t>
      </w:r>
      <w:r w:rsidRPr="00D3335F">
        <w:rPr>
          <w:rFonts w:cs="Times New Roman"/>
          <w:lang w:val="en-IN"/>
        </w:rPr>
        <w:t>.</w:t>
      </w:r>
    </w:p>
    <w:p w14:paraId="482949CB" w14:textId="75AFE816" w:rsidR="00C52618" w:rsidRPr="00D3335F" w:rsidRDefault="00FE3B41" w:rsidP="00FE3B41">
      <w:pPr>
        <w:rPr>
          <w:rFonts w:cs="Times New Roman"/>
          <w:lang w:val="en-IN"/>
        </w:rPr>
      </w:pPr>
      <w:r w:rsidRPr="00D3335F">
        <w:rPr>
          <w:rFonts w:cs="Times New Roman"/>
          <w:lang w:val="en-IN"/>
        </w:rPr>
        <w:t xml:space="preserve">This essay critically </w:t>
      </w:r>
      <w:r w:rsidR="003C6315" w:rsidRPr="00D3335F">
        <w:rPr>
          <w:rFonts w:cs="Times New Roman"/>
          <w:lang w:val="en-IN"/>
        </w:rPr>
        <w:t>analyses</w:t>
      </w:r>
      <w:r w:rsidRPr="00D3335F">
        <w:rPr>
          <w:rFonts w:cs="Times New Roman"/>
          <w:lang w:val="en-IN"/>
        </w:rPr>
        <w:t xml:space="preserve"> how globalisation has impacted Unilever, a UK-based multinational fast-moving consumer goods (FMCG) firm that has operations in more than 190 countries and its brands include Dove, Lifebuoy and Magnum (Binti Tsuraya et al., 2023). Instead of outlining the impact of globalisation, the analysis assesses the influence of the global forces on the Unilever strategy through major frameworks such as PESTLE analysis, </w:t>
      </w:r>
      <w:r w:rsidR="003C6315" w:rsidRPr="00D3335F">
        <w:rPr>
          <w:rFonts w:cs="Times New Roman"/>
          <w:lang w:val="en-IN"/>
        </w:rPr>
        <w:t>Porter's</w:t>
      </w:r>
      <w:r w:rsidRPr="00D3335F">
        <w:rPr>
          <w:rFonts w:cs="Times New Roman"/>
          <w:lang w:val="en-IN"/>
        </w:rPr>
        <w:t xml:space="preserve"> Five Forces, Institutional Theory and the Resource-Based View (RBV). The essay presents the argument that despite the fact that globalisation improves the size of Unilever, its innovation ability, and market accessibility, it also structurally exposes it to geopolitical risks, costs of regulation and competitive pressures.</w:t>
      </w:r>
    </w:p>
    <w:p w14:paraId="2528371C" w14:textId="77777777" w:rsidR="00FE3B41" w:rsidRPr="00C52618" w:rsidRDefault="00FE3B41" w:rsidP="00FE3B41">
      <w:pPr>
        <w:rPr>
          <w:rFonts w:cs="Times New Roman"/>
          <w:lang w:val="en-IN"/>
        </w:rPr>
      </w:pPr>
    </w:p>
    <w:p w14:paraId="4FF5116A" w14:textId="77777777" w:rsidR="00C52618" w:rsidRPr="00D3335F" w:rsidRDefault="00C52618">
      <w:pPr>
        <w:spacing w:line="278" w:lineRule="auto"/>
        <w:jc w:val="left"/>
        <w:rPr>
          <w:rFonts w:cs="Times New Roman"/>
          <w:b/>
          <w:bCs/>
          <w:lang w:val="en-IN"/>
        </w:rPr>
      </w:pPr>
      <w:r w:rsidRPr="00D3335F">
        <w:rPr>
          <w:rFonts w:cs="Times New Roman"/>
          <w:b/>
          <w:bCs/>
          <w:lang w:val="en-IN"/>
        </w:rPr>
        <w:br w:type="page"/>
      </w:r>
    </w:p>
    <w:p w14:paraId="79488C98" w14:textId="1ABBDA40" w:rsidR="00C52618" w:rsidRPr="00D3335F" w:rsidRDefault="00C52618" w:rsidP="00E77F00">
      <w:pPr>
        <w:pStyle w:val="Heading1"/>
        <w:rPr>
          <w:lang w:val="en-IN"/>
        </w:rPr>
      </w:pPr>
      <w:bookmarkStart w:id="1" w:name="_Toc223085980"/>
      <w:r w:rsidRPr="00D3335F">
        <w:rPr>
          <w:lang w:val="en-IN"/>
        </w:rPr>
        <w:lastRenderedPageBreak/>
        <w:t>Main Body</w:t>
      </w:r>
      <w:bookmarkEnd w:id="1"/>
    </w:p>
    <w:p w14:paraId="4DC093C8" w14:textId="77777777" w:rsidR="00A25184" w:rsidRPr="00D3335F" w:rsidRDefault="00A25184" w:rsidP="00A25184">
      <w:pPr>
        <w:rPr>
          <w:rFonts w:cs="Times New Roman"/>
          <w:lang w:val="en-IN"/>
        </w:rPr>
      </w:pPr>
      <w:r w:rsidRPr="00D3335F">
        <w:rPr>
          <w:rFonts w:cs="Times New Roman"/>
          <w:lang w:val="en-IN"/>
        </w:rPr>
        <w:t>According to RBV, globalisation enhances the competitive advantage of Unilever by enabling it to exploit valuable, rare and hard-to-imitate resources in markets. Its worldwide brand portfolio, supply chain and research and development skills are strategic resources that create economies of scale (Gangele and Kumar, 2025). The use of centralised procurement and global sourcing minimises the cost of inputs, which increases the cost leadership in price-sensitive FMCG markets (Shaoping, 2023). Nevertheless, economies of scale are not necessarily sustainable; they have to be secured against imitation and disruption of supply.</w:t>
      </w:r>
    </w:p>
    <w:p w14:paraId="6FF23A8B" w14:textId="0508473E" w:rsidR="00A25184" w:rsidRPr="00D3335F" w:rsidRDefault="00A25184" w:rsidP="00A25184">
      <w:pPr>
        <w:rPr>
          <w:rFonts w:cs="Times New Roman"/>
          <w:lang w:val="en-IN"/>
        </w:rPr>
      </w:pPr>
      <w:r w:rsidRPr="00D3335F">
        <w:rPr>
          <w:rFonts w:cs="Times New Roman"/>
          <w:lang w:val="en-IN"/>
        </w:rPr>
        <w:t>Market access is also increased through globalisation. More than 50</w:t>
      </w:r>
      <w:r w:rsidR="00CF5143" w:rsidRPr="00D3335F">
        <w:rPr>
          <w:rFonts w:cs="Times New Roman"/>
          <w:lang w:val="en-IN"/>
        </w:rPr>
        <w:t>%</w:t>
      </w:r>
      <w:r w:rsidRPr="00D3335F">
        <w:rPr>
          <w:rFonts w:cs="Times New Roman"/>
          <w:lang w:val="en-IN"/>
        </w:rPr>
        <w:t xml:space="preserve"> of the revenues of Unilever are based on emerging markets, which proves the dependency of the company on the global integration (Unilever PLC, 2026). This is the rationale of international trade involvement, as companies want to expand beyond the already congested domestic markets. But at the same time</w:t>
      </w:r>
      <w:r w:rsidR="00CF5143" w:rsidRPr="00D3335F">
        <w:rPr>
          <w:rFonts w:cs="Times New Roman"/>
          <w:lang w:val="en-IN"/>
        </w:rPr>
        <w:t>,</w:t>
      </w:r>
      <w:r w:rsidRPr="00D3335F">
        <w:rPr>
          <w:rFonts w:cs="Times New Roman"/>
          <w:lang w:val="en-IN"/>
        </w:rPr>
        <w:t xml:space="preserve"> market growth brings about vulnerability to political and economic instability.</w:t>
      </w:r>
    </w:p>
    <w:p w14:paraId="3ABCCD00" w14:textId="2904FB00" w:rsidR="00A25184" w:rsidRPr="00D3335F" w:rsidRDefault="00A25184" w:rsidP="00A25184">
      <w:pPr>
        <w:rPr>
          <w:rFonts w:cs="Times New Roman"/>
          <w:lang w:val="en-IN"/>
        </w:rPr>
      </w:pPr>
      <w:r w:rsidRPr="00D3335F">
        <w:rPr>
          <w:rFonts w:cs="Times New Roman"/>
          <w:lang w:val="en-IN"/>
        </w:rPr>
        <w:t xml:space="preserve">Based on the global integration vs. local responsiveness framework by Bartlett and Ghoshal, Unilever has a transnational strategy: it keeps the global brand but </w:t>
      </w:r>
      <w:r w:rsidR="00CF5143" w:rsidRPr="00D3335F">
        <w:rPr>
          <w:rFonts w:cs="Times New Roman"/>
          <w:lang w:val="en-IN"/>
        </w:rPr>
        <w:t>localises</w:t>
      </w:r>
      <w:r w:rsidRPr="00D3335F">
        <w:rPr>
          <w:rFonts w:cs="Times New Roman"/>
          <w:lang w:val="en-IN"/>
        </w:rPr>
        <w:t xml:space="preserve"> its products to suit local tastes. The examples of this include the cultural localisation of Dove in its Real Beauty campaign, which has not become watered down in terms of brand identity (Prabhakar, 2025). This balancing exercise shows that globalisation does not erase the local differences</w:t>
      </w:r>
      <w:r w:rsidR="00CF5143" w:rsidRPr="00D3335F">
        <w:rPr>
          <w:rFonts w:cs="Times New Roman"/>
          <w:lang w:val="en-IN"/>
        </w:rPr>
        <w:t>,</w:t>
      </w:r>
      <w:r w:rsidRPr="00D3335F">
        <w:rPr>
          <w:rFonts w:cs="Times New Roman"/>
          <w:lang w:val="en-IN"/>
        </w:rPr>
        <w:t xml:space="preserve"> but it demands strategic hybridity. The inability to handle this tension would undermine brand equity.</w:t>
      </w:r>
    </w:p>
    <w:p w14:paraId="44184326" w14:textId="77777777" w:rsidR="00A25184" w:rsidRPr="00D3335F" w:rsidRDefault="00A25184" w:rsidP="00A25184">
      <w:pPr>
        <w:rPr>
          <w:rFonts w:cs="Times New Roman"/>
          <w:lang w:val="en-IN"/>
        </w:rPr>
      </w:pPr>
      <w:r w:rsidRPr="00D3335F">
        <w:rPr>
          <w:rFonts w:cs="Times New Roman"/>
          <w:lang w:val="en-IN"/>
        </w:rPr>
        <w:t>The efficiency of operations is also improved by technological globalisation. AI-based predictive analytics and forecasting enhance demand planning and supply chain optimisation (Kagalwala et al., 2025). Customer experience and operational precision are boosted with the help of automation (Gavrila Gavrila et al., 2023). Nevertheless, technological integration is also a vulnerability and a facilitator because digital transformation increases capital expenditure and cybersecurity risks.</w:t>
      </w:r>
    </w:p>
    <w:p w14:paraId="0EF5F405" w14:textId="77777777" w:rsidR="00351334" w:rsidRPr="00D3335F" w:rsidRDefault="00351334" w:rsidP="00351334">
      <w:pPr>
        <w:rPr>
          <w:rFonts w:cs="Times New Roman"/>
          <w:lang w:val="en-IN"/>
        </w:rPr>
      </w:pPr>
      <w:r w:rsidRPr="00D3335F">
        <w:rPr>
          <w:rFonts w:cs="Times New Roman"/>
          <w:lang w:val="en-IN"/>
        </w:rPr>
        <w:t xml:space="preserve">PESTLE analysis shows that globalisation entrenches Unilever in the intricate political, economic, social, technological, legal and environmental forces. Geopolitically, supply chains are disrupted by political tussles. The conflict between Russia and Ukraine caused the volatility of commodity prices and the instability of food supplies (Jagtap et al., 2022; Bullock, Lakkakula and Wilson, 2023). In the case of Unilever, this is how political shocks are directly </w:t>
      </w:r>
      <w:r w:rsidRPr="00D3335F">
        <w:rPr>
          <w:rFonts w:cs="Times New Roman"/>
          <w:lang w:val="en-IN"/>
        </w:rPr>
        <w:lastRenderedPageBreak/>
        <w:t>passed on to the cost of operations. Diversified sourcing reduces and not removes this systemic exposure.</w:t>
      </w:r>
    </w:p>
    <w:p w14:paraId="0C9F1DE4" w14:textId="516E68B1" w:rsidR="00351334" w:rsidRPr="00D3335F" w:rsidRDefault="00351334" w:rsidP="00351334">
      <w:pPr>
        <w:rPr>
          <w:rFonts w:cs="Times New Roman"/>
          <w:lang w:val="en-IN"/>
        </w:rPr>
      </w:pPr>
      <w:r w:rsidRPr="00D3335F">
        <w:rPr>
          <w:rFonts w:cs="Times New Roman"/>
          <w:lang w:val="en-IN"/>
        </w:rPr>
        <w:t xml:space="preserve">Consumer purchasing power has been decreased economically by inflation and disparate recovery after the pandemic (Macqueen et al., 2022). Volatility of exchange rates has an impact on earnings repatriation and profitability (Tahir et al., 2025). In markets where the price elasticity is high, an increase in the cost of inputs squeezes the margins. Moosa (2024) argues that the crisis of the </w:t>
      </w:r>
      <w:r w:rsidR="00937C6C" w:rsidRPr="00D3335F">
        <w:rPr>
          <w:rFonts w:cs="Times New Roman"/>
          <w:lang w:val="en-IN"/>
        </w:rPr>
        <w:t>cost-of-living</w:t>
      </w:r>
      <w:r w:rsidRPr="00D3335F">
        <w:rPr>
          <w:rFonts w:cs="Times New Roman"/>
          <w:lang w:val="en-IN"/>
        </w:rPr>
        <w:t xml:space="preserve"> changes consumer preference to less expensive options, which increases competition in the Five Forces model. Therefore, globalisation enhances the level of competition instead of ensuring growth.</w:t>
      </w:r>
    </w:p>
    <w:p w14:paraId="4F4A5E89" w14:textId="21B75044" w:rsidR="00351334" w:rsidRPr="00D3335F" w:rsidRDefault="00351334" w:rsidP="00351334">
      <w:pPr>
        <w:rPr>
          <w:rFonts w:cs="Times New Roman"/>
          <w:lang w:val="en-IN"/>
        </w:rPr>
      </w:pPr>
      <w:r w:rsidRPr="00D3335F">
        <w:rPr>
          <w:rFonts w:cs="Times New Roman"/>
          <w:lang w:val="en-IN"/>
        </w:rPr>
        <w:t xml:space="preserve">Regulatory divergence is complicated by </w:t>
      </w:r>
      <w:r w:rsidR="0040634F" w:rsidRPr="00D3335F">
        <w:rPr>
          <w:rFonts w:cs="Times New Roman"/>
          <w:lang w:val="en-IN"/>
        </w:rPr>
        <w:t xml:space="preserve">the </w:t>
      </w:r>
      <w:r w:rsidRPr="00D3335F">
        <w:rPr>
          <w:rFonts w:cs="Times New Roman"/>
          <w:lang w:val="en-IN"/>
        </w:rPr>
        <w:t xml:space="preserve">law and </w:t>
      </w:r>
      <w:r w:rsidR="0040634F" w:rsidRPr="00D3335F">
        <w:rPr>
          <w:rFonts w:cs="Times New Roman"/>
          <w:lang w:val="en-IN"/>
        </w:rPr>
        <w:t xml:space="preserve">the </w:t>
      </w:r>
      <w:r w:rsidRPr="00D3335F">
        <w:rPr>
          <w:rFonts w:cs="Times New Roman"/>
          <w:lang w:val="en-IN"/>
        </w:rPr>
        <w:t>environment. The costs of compliance and increased transparency are imposed by the EU sustainability reporting requirements (Hummel and Jobst, 2024). Carbon policies and environmental taxation are other policies that increase the operational cost (Green, 2021). According to the Institutional Theory, companies have to adapt to the norms of the host country to achieve legitimacy</w:t>
      </w:r>
      <w:r w:rsidR="00EB5710" w:rsidRPr="00D3335F">
        <w:rPr>
          <w:rFonts w:cs="Times New Roman"/>
          <w:lang w:val="en-IN"/>
        </w:rPr>
        <w:t xml:space="preserve"> (</w:t>
      </w:r>
      <w:r w:rsidR="00EB5710" w:rsidRPr="00EB5710">
        <w:rPr>
          <w:rFonts w:cs="Times New Roman"/>
          <w:lang w:val="en-IN"/>
        </w:rPr>
        <w:t>Risi</w:t>
      </w:r>
      <w:r w:rsidR="00EB5710" w:rsidRPr="00D3335F">
        <w:rPr>
          <w:rFonts w:cs="Times New Roman"/>
          <w:lang w:val="en-IN"/>
        </w:rPr>
        <w:t xml:space="preserve"> et al., </w:t>
      </w:r>
      <w:r w:rsidR="00EB5710" w:rsidRPr="00EB5710">
        <w:rPr>
          <w:rFonts w:cs="Times New Roman"/>
          <w:lang w:val="en-IN"/>
        </w:rPr>
        <w:t>2023</w:t>
      </w:r>
      <w:r w:rsidR="00EB5710" w:rsidRPr="00D3335F">
        <w:rPr>
          <w:rFonts w:cs="Times New Roman"/>
          <w:lang w:val="en-IN"/>
        </w:rPr>
        <w:t>)</w:t>
      </w:r>
      <w:r w:rsidRPr="00D3335F">
        <w:rPr>
          <w:rFonts w:cs="Times New Roman"/>
          <w:lang w:val="en-IN"/>
        </w:rPr>
        <w:t>. In the case of Unilever, sustainability is a reputational resource and a regulatory requirement.</w:t>
      </w:r>
    </w:p>
    <w:p w14:paraId="12706EE5" w14:textId="55812310" w:rsidR="00351334" w:rsidRPr="00D3335F" w:rsidRDefault="00351334" w:rsidP="00351334">
      <w:pPr>
        <w:rPr>
          <w:rFonts w:cs="Times New Roman"/>
          <w:lang w:val="en-IN"/>
        </w:rPr>
      </w:pPr>
      <w:r w:rsidRPr="00D3335F">
        <w:rPr>
          <w:rFonts w:cs="Times New Roman"/>
          <w:lang w:val="en-IN"/>
        </w:rPr>
        <w:t>Strategy is also formed by social and cultural forces. The existence of economic inequality in the emerging markets implies the need to adopt differentiated pricing models, e.g., sachet packaging among low-income consumers (Sharma and Gupta, 2021). Inclusive pricing is better than exclusive pricing as it increases accessibility</w:t>
      </w:r>
      <w:r w:rsidR="0040634F" w:rsidRPr="00D3335F">
        <w:rPr>
          <w:rFonts w:cs="Times New Roman"/>
          <w:lang w:val="en-IN"/>
        </w:rPr>
        <w:t>,</w:t>
      </w:r>
      <w:r w:rsidRPr="00D3335F">
        <w:rPr>
          <w:rFonts w:cs="Times New Roman"/>
          <w:lang w:val="en-IN"/>
        </w:rPr>
        <w:t xml:space="preserve"> but it can water down high premium brand positioning. Likewise, workforce diversity contributes to innovation and employer branding (Confetto et al., 2023; Sahoo, Mishra and Rout, 2024), but cross-cultural misfit causes a bad reputation in the highly visible digital markets.</w:t>
      </w:r>
    </w:p>
    <w:p w14:paraId="5EC0A19B" w14:textId="57E7AD0F" w:rsidR="0090489A" w:rsidRPr="00D3335F" w:rsidRDefault="0090489A" w:rsidP="0090489A">
      <w:pPr>
        <w:rPr>
          <w:rFonts w:cs="Times New Roman"/>
          <w:lang w:val="en-IN"/>
        </w:rPr>
      </w:pPr>
      <w:r w:rsidRPr="00D3335F">
        <w:rPr>
          <w:rFonts w:cs="Times New Roman"/>
          <w:lang w:val="en-IN"/>
        </w:rPr>
        <w:t xml:space="preserve">The use of Five Forces by Porter </w:t>
      </w:r>
      <w:r w:rsidR="0040634F" w:rsidRPr="00D3335F">
        <w:rPr>
          <w:rFonts w:cs="Times New Roman"/>
          <w:lang w:val="en-IN"/>
        </w:rPr>
        <w:t>emphasises</w:t>
      </w:r>
      <w:r w:rsidRPr="00D3335F">
        <w:rPr>
          <w:rFonts w:cs="Times New Roman"/>
          <w:lang w:val="en-IN"/>
        </w:rPr>
        <w:t xml:space="preserve"> the fact that globalisation is increasing the intensity of competition. Digital platforms in the world reduce the entry barrier, allowing agile competitors to grow fast (Weng et al., 2024). The power of retailers like Amazon and Alibaba has gone downstream</w:t>
      </w:r>
      <w:r w:rsidR="0040634F" w:rsidRPr="00D3335F">
        <w:rPr>
          <w:rFonts w:cs="Times New Roman"/>
          <w:lang w:val="en-IN"/>
        </w:rPr>
        <w:t>,</w:t>
      </w:r>
      <w:r w:rsidRPr="00D3335F">
        <w:rPr>
          <w:rFonts w:cs="Times New Roman"/>
          <w:lang w:val="en-IN"/>
        </w:rPr>
        <w:t xml:space="preserve"> and the bargaining power of these companies is higher. The inflationary pressures have increased buyer sensitivity to price (Moosa, 2024). The power of suppliers is also subject to change in response to commodity shocks due to the geopolitical conflict (Bullock, Lakkakula and Wilson, 2023).</w:t>
      </w:r>
    </w:p>
    <w:p w14:paraId="6B5C5FA3" w14:textId="11C960FF" w:rsidR="0090489A" w:rsidRPr="00D3335F" w:rsidRDefault="0090489A" w:rsidP="0090489A">
      <w:pPr>
        <w:rPr>
          <w:rFonts w:cs="Times New Roman"/>
          <w:lang w:val="en-IN"/>
        </w:rPr>
      </w:pPr>
      <w:r w:rsidRPr="00D3335F">
        <w:rPr>
          <w:rFonts w:cs="Times New Roman"/>
          <w:lang w:val="en-IN"/>
        </w:rPr>
        <w:t>Therefore, the global size of Unilever does not remove the competition but rather puts the company in the context of a very competitive international market. Lasting benefit relies on brand distinction and innovation</w:t>
      </w:r>
      <w:r w:rsidR="0040634F" w:rsidRPr="00D3335F">
        <w:rPr>
          <w:rFonts w:cs="Times New Roman"/>
          <w:lang w:val="en-IN"/>
        </w:rPr>
        <w:t>,</w:t>
      </w:r>
      <w:r w:rsidRPr="00D3335F">
        <w:rPr>
          <w:rFonts w:cs="Times New Roman"/>
          <w:lang w:val="en-IN"/>
        </w:rPr>
        <w:t xml:space="preserve"> and not cost efficiency.</w:t>
      </w:r>
    </w:p>
    <w:p w14:paraId="4E436DE6" w14:textId="6BCF6A3D" w:rsidR="00B042B2" w:rsidRPr="00D3335F" w:rsidRDefault="00B042B2" w:rsidP="00B042B2">
      <w:pPr>
        <w:rPr>
          <w:rFonts w:cs="Times New Roman"/>
          <w:lang w:val="en-IN"/>
        </w:rPr>
      </w:pPr>
      <w:r w:rsidRPr="00D3335F">
        <w:rPr>
          <w:rFonts w:cs="Times New Roman"/>
          <w:lang w:val="en-IN"/>
        </w:rPr>
        <w:lastRenderedPageBreak/>
        <w:t xml:space="preserve">The technological progress increases the accuracy of forecasting and precision in marketing (Kagalwala et al., 2025). But the speed of innovation demands more capital, and it can become technologically obsolete. According to RBV, the digital capabilities need to be integrated into organisational routines to create </w:t>
      </w:r>
      <w:r w:rsidR="0040634F" w:rsidRPr="00D3335F">
        <w:rPr>
          <w:rFonts w:cs="Times New Roman"/>
          <w:lang w:val="en-IN"/>
        </w:rPr>
        <w:t xml:space="preserve">a </w:t>
      </w:r>
      <w:r w:rsidRPr="00D3335F">
        <w:rPr>
          <w:rFonts w:cs="Times New Roman"/>
          <w:lang w:val="en-IN"/>
        </w:rPr>
        <w:t>sustainable advantage. Unless incorporated in strategic decision-making, digital investments will not be a value driver but a sunk cost.</w:t>
      </w:r>
    </w:p>
    <w:p w14:paraId="42048341" w14:textId="02CDBD9D" w:rsidR="004D0DD1" w:rsidRPr="00D3335F" w:rsidRDefault="004D0DD1" w:rsidP="004D0DD1">
      <w:pPr>
        <w:rPr>
          <w:rFonts w:cs="Times New Roman"/>
          <w:lang w:val="en-IN"/>
        </w:rPr>
      </w:pPr>
      <w:r w:rsidRPr="00D3335F">
        <w:rPr>
          <w:rFonts w:cs="Times New Roman"/>
          <w:lang w:val="en-IN"/>
        </w:rPr>
        <w:t xml:space="preserve">The main focus of innovation and competitiveness is strategic human capital (Jain, Saini and Shiwani, 2026). International talent mobility improves the transfer of knowledge but raises competition in the field of digital and sustainability expertise. Salary disparities and </w:t>
      </w:r>
      <w:r w:rsidR="0040634F" w:rsidRPr="00D3335F">
        <w:rPr>
          <w:rFonts w:cs="Times New Roman"/>
          <w:lang w:val="en-IN"/>
        </w:rPr>
        <w:t>labour</w:t>
      </w:r>
      <w:r w:rsidRPr="00D3335F">
        <w:rPr>
          <w:rFonts w:cs="Times New Roman"/>
          <w:lang w:val="en-IN"/>
        </w:rPr>
        <w:t xml:space="preserve"> regulations make workforce management in cross-jurisdictions difficult. Lack of talent is thus a structural limitation of the globalised environment.</w:t>
      </w:r>
    </w:p>
    <w:p w14:paraId="4ABE4817" w14:textId="7A47C3CA" w:rsidR="00871487" w:rsidRPr="00D3335F" w:rsidRDefault="00871487" w:rsidP="00871487">
      <w:pPr>
        <w:rPr>
          <w:rFonts w:cs="Times New Roman"/>
          <w:lang w:val="en-IN"/>
        </w:rPr>
      </w:pPr>
      <w:r w:rsidRPr="00D3335F">
        <w:rPr>
          <w:rFonts w:cs="Times New Roman"/>
          <w:lang w:val="en-IN"/>
        </w:rPr>
        <w:t xml:space="preserve">The main focus of innovation and competitiveness is strategic human capital (Jain, Saini and Shiwani, 2026). International talent mobility improves the transfer of knowledge but raises competition in the field of digital and sustainability expertise. Salary disparities and </w:t>
      </w:r>
      <w:r w:rsidR="0040634F" w:rsidRPr="00D3335F">
        <w:rPr>
          <w:rFonts w:cs="Times New Roman"/>
          <w:lang w:val="en-IN"/>
        </w:rPr>
        <w:t>labour</w:t>
      </w:r>
      <w:r w:rsidRPr="00D3335F">
        <w:rPr>
          <w:rFonts w:cs="Times New Roman"/>
          <w:lang w:val="en-IN"/>
        </w:rPr>
        <w:t xml:space="preserve"> regulations make workforce management in cross-jurisdictions difficult. Lack of talent is thus a structural limitation of the globalised environment.</w:t>
      </w:r>
    </w:p>
    <w:p w14:paraId="442D7E7F" w14:textId="77777777" w:rsidR="00B31BE0" w:rsidRPr="00D3335F" w:rsidRDefault="00B31BE0" w:rsidP="00B31BE0">
      <w:pPr>
        <w:rPr>
          <w:rFonts w:cs="Times New Roman"/>
          <w:lang w:val="en-IN"/>
        </w:rPr>
      </w:pPr>
      <w:r w:rsidRPr="00D3335F">
        <w:rPr>
          <w:rFonts w:cs="Times New Roman"/>
          <w:lang w:val="en-IN"/>
        </w:rPr>
        <w:t>Unilever needs to be more strategic and match its strategy with the identified global risks instead of depending on scale advantages to enhance resilience.</w:t>
      </w:r>
    </w:p>
    <w:p w14:paraId="525AE2F0" w14:textId="54140311" w:rsidR="00B31BE0" w:rsidRPr="00D3335F" w:rsidRDefault="00B31BE0" w:rsidP="00B31BE0">
      <w:pPr>
        <w:rPr>
          <w:rFonts w:cs="Times New Roman"/>
          <w:lang w:val="en-IN"/>
        </w:rPr>
      </w:pPr>
      <w:r w:rsidRPr="00D3335F">
        <w:rPr>
          <w:rFonts w:cs="Times New Roman"/>
          <w:lang w:val="en-IN"/>
        </w:rPr>
        <w:t>Cost Control Supply Chain Regionalisation</w:t>
      </w:r>
      <w:r w:rsidR="00D521EA" w:rsidRPr="00D3335F">
        <w:rPr>
          <w:rFonts w:cs="Times New Roman"/>
          <w:lang w:val="en-IN"/>
        </w:rPr>
        <w:t xml:space="preserve">:  </w:t>
      </w:r>
      <w:r w:rsidRPr="00D3335F">
        <w:rPr>
          <w:rFonts w:cs="Times New Roman"/>
          <w:lang w:val="en-IN"/>
        </w:rPr>
        <w:t>Geopolitical risk can also be minimised through diversification and nearshoring (Celestin et al., 2025). Regional production can, however, raise unit costs. Unilever can deal with this trade-off by implementing a dual sourcing approach that uses global suppliers with low costs and regional back-up capacity. This is a compromise between resilience and efficiency.</w:t>
      </w:r>
    </w:p>
    <w:p w14:paraId="1C63ED71" w14:textId="1AAAF817" w:rsidR="00B31BE0" w:rsidRPr="00D3335F" w:rsidRDefault="00B31BE0" w:rsidP="00B31BE0">
      <w:pPr>
        <w:rPr>
          <w:rFonts w:cs="Times New Roman"/>
          <w:lang w:val="en-IN"/>
        </w:rPr>
      </w:pPr>
      <w:r w:rsidRPr="00D3335F">
        <w:rPr>
          <w:rFonts w:cs="Times New Roman"/>
          <w:lang w:val="en-IN"/>
        </w:rPr>
        <w:t>Digital Capability Integration</w:t>
      </w:r>
      <w:r w:rsidR="00D521EA" w:rsidRPr="00D3335F">
        <w:rPr>
          <w:rFonts w:cs="Times New Roman"/>
          <w:lang w:val="en-IN"/>
        </w:rPr>
        <w:t xml:space="preserve">: </w:t>
      </w:r>
      <w:r w:rsidRPr="00D3335F">
        <w:rPr>
          <w:rFonts w:cs="Times New Roman"/>
          <w:lang w:val="en-IN"/>
        </w:rPr>
        <w:t>Unilever should not increase digital investments blindly but should instead incorporate AI systems in the strategic planning processes. Digital transformation needs to provide better dynamic capabilities, and not automation of operations. Systemic digital risk ought to be addressed by enhancing cybersecurity frameworks.</w:t>
      </w:r>
    </w:p>
    <w:p w14:paraId="3DB2837A" w14:textId="16B83861" w:rsidR="00B31BE0" w:rsidRPr="00D3335F" w:rsidRDefault="00B31BE0" w:rsidP="00B31BE0">
      <w:pPr>
        <w:rPr>
          <w:rFonts w:cs="Times New Roman"/>
          <w:lang w:val="en-IN"/>
        </w:rPr>
      </w:pPr>
      <w:r w:rsidRPr="00D3335F">
        <w:rPr>
          <w:rFonts w:cs="Times New Roman"/>
          <w:lang w:val="en-IN"/>
        </w:rPr>
        <w:t>Portfolio Diversification in Income Segments</w:t>
      </w:r>
      <w:r w:rsidR="00D521EA" w:rsidRPr="00D3335F">
        <w:rPr>
          <w:rFonts w:cs="Times New Roman"/>
          <w:lang w:val="en-IN"/>
        </w:rPr>
        <w:t xml:space="preserve">: </w:t>
      </w:r>
      <w:r w:rsidRPr="00D3335F">
        <w:rPr>
          <w:rFonts w:cs="Times New Roman"/>
          <w:lang w:val="en-IN"/>
        </w:rPr>
        <w:t>Unilever needs to have a tiered approach to product innovation, with premium innovation in higher-income markets and value-engineered products in price-sensitive markets to counter economic inequality and inflation. Nevertheless, brand architecture should avoid cannibalisation and watering down of premium equity.</w:t>
      </w:r>
    </w:p>
    <w:p w14:paraId="0A0C9113" w14:textId="677B6DD8" w:rsidR="00B31BE0" w:rsidRPr="00D3335F" w:rsidRDefault="00B31BE0" w:rsidP="00B31BE0">
      <w:pPr>
        <w:rPr>
          <w:rFonts w:cs="Times New Roman"/>
          <w:lang w:val="en-IN"/>
        </w:rPr>
      </w:pPr>
      <w:r w:rsidRPr="00D3335F">
        <w:rPr>
          <w:rFonts w:cs="Times New Roman"/>
          <w:lang w:val="en-IN"/>
        </w:rPr>
        <w:lastRenderedPageBreak/>
        <w:t>Sustainability and Alignment of Institution</w:t>
      </w:r>
      <w:r w:rsidR="00D521EA" w:rsidRPr="00D3335F">
        <w:rPr>
          <w:rFonts w:cs="Times New Roman"/>
          <w:lang w:val="en-IN"/>
        </w:rPr>
        <w:t xml:space="preserve">: </w:t>
      </w:r>
      <w:r w:rsidRPr="00D3335F">
        <w:rPr>
          <w:rFonts w:cs="Times New Roman"/>
          <w:lang w:val="en-IN"/>
        </w:rPr>
        <w:t xml:space="preserve">Sustainability must </w:t>
      </w:r>
      <w:r w:rsidR="0040634F" w:rsidRPr="00D3335F">
        <w:rPr>
          <w:rFonts w:cs="Times New Roman"/>
          <w:lang w:val="en-IN"/>
        </w:rPr>
        <w:t>shift</w:t>
      </w:r>
      <w:r w:rsidRPr="00D3335F">
        <w:rPr>
          <w:rFonts w:cs="Times New Roman"/>
          <w:lang w:val="en-IN"/>
        </w:rPr>
        <w:t xml:space="preserve"> away </w:t>
      </w:r>
      <w:r w:rsidR="0040634F" w:rsidRPr="00D3335F">
        <w:rPr>
          <w:rFonts w:cs="Times New Roman"/>
          <w:lang w:val="en-IN"/>
        </w:rPr>
        <w:t>from</w:t>
      </w:r>
      <w:r w:rsidRPr="00D3335F">
        <w:rPr>
          <w:rFonts w:cs="Times New Roman"/>
          <w:lang w:val="en-IN"/>
        </w:rPr>
        <w:t xml:space="preserve"> value creation and </w:t>
      </w:r>
      <w:r w:rsidR="0040634F" w:rsidRPr="00D3335F">
        <w:rPr>
          <w:rFonts w:cs="Times New Roman"/>
          <w:lang w:val="en-IN"/>
        </w:rPr>
        <w:t>toward</w:t>
      </w:r>
      <w:r w:rsidRPr="00D3335F">
        <w:rPr>
          <w:rFonts w:cs="Times New Roman"/>
          <w:lang w:val="en-IN"/>
        </w:rPr>
        <w:t xml:space="preserve"> compliance. Unilever can change regulatory pressure into competitive differentiation by integrating the principles of the circular economy into the design of its products. Capital allocation should</w:t>
      </w:r>
      <w:r w:rsidR="0040634F" w:rsidRPr="00D3335F">
        <w:rPr>
          <w:rFonts w:cs="Times New Roman"/>
          <w:lang w:val="en-IN"/>
        </w:rPr>
        <w:t>,</w:t>
      </w:r>
      <w:r w:rsidRPr="00D3335F">
        <w:rPr>
          <w:rFonts w:cs="Times New Roman"/>
          <w:lang w:val="en-IN"/>
        </w:rPr>
        <w:t xml:space="preserve"> however</w:t>
      </w:r>
      <w:r w:rsidR="0040634F" w:rsidRPr="00D3335F">
        <w:rPr>
          <w:rFonts w:cs="Times New Roman"/>
          <w:lang w:val="en-IN"/>
        </w:rPr>
        <w:t>,</w:t>
      </w:r>
      <w:r w:rsidRPr="00D3335F">
        <w:rPr>
          <w:rFonts w:cs="Times New Roman"/>
          <w:lang w:val="en-IN"/>
        </w:rPr>
        <w:t xml:space="preserve"> be disciplined </w:t>
      </w:r>
      <w:r w:rsidR="0040634F" w:rsidRPr="00D3335F">
        <w:rPr>
          <w:rFonts w:cs="Times New Roman"/>
          <w:lang w:val="en-IN"/>
        </w:rPr>
        <w:t>to</w:t>
      </w:r>
      <w:r w:rsidRPr="00D3335F">
        <w:rPr>
          <w:rFonts w:cs="Times New Roman"/>
          <w:lang w:val="en-IN"/>
        </w:rPr>
        <w:t xml:space="preserve"> prevent overextension.</w:t>
      </w:r>
    </w:p>
    <w:p w14:paraId="28140734" w14:textId="7FBF5D43" w:rsidR="00C52618" w:rsidRPr="00D3335F" w:rsidRDefault="00B31BE0" w:rsidP="00B31BE0">
      <w:pPr>
        <w:rPr>
          <w:rFonts w:cs="Times New Roman"/>
          <w:lang w:val="en-IN"/>
        </w:rPr>
      </w:pPr>
      <w:r w:rsidRPr="00D3335F">
        <w:rPr>
          <w:rFonts w:cs="Times New Roman"/>
          <w:lang w:val="en-IN"/>
        </w:rPr>
        <w:t>Strategic Talent Development</w:t>
      </w:r>
      <w:r w:rsidR="00D521EA" w:rsidRPr="00D3335F">
        <w:rPr>
          <w:rFonts w:cs="Times New Roman"/>
          <w:lang w:val="en-IN"/>
        </w:rPr>
        <w:t xml:space="preserve">: </w:t>
      </w:r>
      <w:r w:rsidRPr="00D3335F">
        <w:rPr>
          <w:rFonts w:cs="Times New Roman"/>
          <w:lang w:val="en-IN"/>
        </w:rPr>
        <w:t>Digital and sustainability-related skills should be invested in at the company level to limit reliance on unstable international labour markets. The development of leadership programmes should be able to increase cross-cultural intelligence to facilitate transnational coordination.</w:t>
      </w:r>
    </w:p>
    <w:p w14:paraId="44B925C0" w14:textId="77777777" w:rsidR="00B31BE0" w:rsidRPr="00C52618" w:rsidRDefault="00B31BE0" w:rsidP="00B31BE0">
      <w:pPr>
        <w:rPr>
          <w:rFonts w:cs="Times New Roman"/>
          <w:lang w:val="en-IN"/>
        </w:rPr>
      </w:pPr>
    </w:p>
    <w:p w14:paraId="77D57631" w14:textId="77777777" w:rsidR="004D56C9" w:rsidRPr="00D3335F" w:rsidRDefault="004D56C9">
      <w:pPr>
        <w:spacing w:line="278" w:lineRule="auto"/>
        <w:jc w:val="left"/>
        <w:rPr>
          <w:rFonts w:cs="Times New Roman"/>
          <w:b/>
          <w:bCs/>
          <w:lang w:val="en-IN"/>
        </w:rPr>
      </w:pPr>
      <w:r w:rsidRPr="00D3335F">
        <w:rPr>
          <w:rFonts w:cs="Times New Roman"/>
          <w:b/>
          <w:bCs/>
          <w:lang w:val="en-IN"/>
        </w:rPr>
        <w:br w:type="page"/>
      </w:r>
    </w:p>
    <w:p w14:paraId="23652CBC" w14:textId="053C5D57" w:rsidR="00C52618" w:rsidRPr="00D3335F" w:rsidRDefault="00C52618" w:rsidP="004D56C9">
      <w:pPr>
        <w:pStyle w:val="Heading1"/>
        <w:rPr>
          <w:rFonts w:cs="Times New Roman"/>
          <w:lang w:val="en-IN"/>
        </w:rPr>
      </w:pPr>
      <w:bookmarkStart w:id="2" w:name="_Toc223085981"/>
      <w:r w:rsidRPr="00D3335F">
        <w:rPr>
          <w:rFonts w:cs="Times New Roman"/>
          <w:lang w:val="en-IN"/>
        </w:rPr>
        <w:lastRenderedPageBreak/>
        <w:t>Conclusion</w:t>
      </w:r>
      <w:bookmarkEnd w:id="2"/>
    </w:p>
    <w:p w14:paraId="70088580" w14:textId="77777777" w:rsidR="006F350A" w:rsidRPr="00D3335F" w:rsidRDefault="006F350A" w:rsidP="006F350A">
      <w:pPr>
        <w:rPr>
          <w:rFonts w:cs="Times New Roman"/>
          <w:lang w:val="en-IN"/>
        </w:rPr>
      </w:pPr>
      <w:r w:rsidRPr="00D3335F">
        <w:rPr>
          <w:rFonts w:cs="Times New Roman"/>
          <w:lang w:val="en-IN"/>
        </w:rPr>
        <w:t>Unilever has a strategic environment that has been greatly influenced by globalisation. It facilitates economies of scale, international brand leverage and technological integration, which increase competitiveness and market penetration. But it also places the company in unstable geopolitical structures, inflationary forces, regulatory complexity and heightened competition.</w:t>
      </w:r>
    </w:p>
    <w:p w14:paraId="11F6621C" w14:textId="1FF6CF84" w:rsidR="006F350A" w:rsidRPr="00D3335F" w:rsidRDefault="006F350A" w:rsidP="006F350A">
      <w:pPr>
        <w:rPr>
          <w:rFonts w:cs="Times New Roman"/>
          <w:lang w:val="en-IN"/>
        </w:rPr>
      </w:pPr>
      <w:r w:rsidRPr="00D3335F">
        <w:rPr>
          <w:rFonts w:cs="Times New Roman"/>
          <w:lang w:val="en-IN"/>
        </w:rPr>
        <w:t xml:space="preserve">Applying theories like PESTLE, </w:t>
      </w:r>
      <w:r w:rsidR="0040634F" w:rsidRPr="00D3335F">
        <w:rPr>
          <w:rFonts w:cs="Times New Roman"/>
          <w:lang w:val="en-IN"/>
        </w:rPr>
        <w:t>Porter's</w:t>
      </w:r>
      <w:r w:rsidRPr="00D3335F">
        <w:rPr>
          <w:rFonts w:cs="Times New Roman"/>
          <w:lang w:val="en-IN"/>
        </w:rPr>
        <w:t xml:space="preserve"> Five Forces, the Institutional Theory</w:t>
      </w:r>
      <w:r w:rsidR="0040634F" w:rsidRPr="00D3335F">
        <w:rPr>
          <w:rFonts w:cs="Times New Roman"/>
          <w:lang w:val="en-IN"/>
        </w:rPr>
        <w:t>,</w:t>
      </w:r>
      <w:r w:rsidRPr="00D3335F">
        <w:rPr>
          <w:rFonts w:cs="Times New Roman"/>
          <w:lang w:val="en-IN"/>
        </w:rPr>
        <w:t xml:space="preserve"> and the RBV </w:t>
      </w:r>
      <w:r w:rsidR="0040634F" w:rsidRPr="00D3335F">
        <w:rPr>
          <w:rFonts w:cs="Times New Roman"/>
          <w:lang w:val="en-IN"/>
        </w:rPr>
        <w:t>proves</w:t>
      </w:r>
      <w:r w:rsidRPr="00D3335F">
        <w:rPr>
          <w:rFonts w:cs="Times New Roman"/>
          <w:lang w:val="en-IN"/>
        </w:rPr>
        <w:t xml:space="preserve"> that globalisation is not necessarily a good thing, </w:t>
      </w:r>
      <w:r w:rsidR="0040634F" w:rsidRPr="00D3335F">
        <w:rPr>
          <w:rFonts w:cs="Times New Roman"/>
          <w:lang w:val="en-IN"/>
        </w:rPr>
        <w:t>nor</w:t>
      </w:r>
      <w:r w:rsidRPr="00D3335F">
        <w:rPr>
          <w:rFonts w:cs="Times New Roman"/>
          <w:lang w:val="en-IN"/>
        </w:rPr>
        <w:t xml:space="preserve"> is it necessarily a disruptive one. Rather, it generates structural interdependence. The future competitiveness of Unilever is not about expansion but resilience, adaptive capability and strategic balance between global efficiency and local responsiveness.</w:t>
      </w:r>
    </w:p>
    <w:p w14:paraId="7C6BFEB9" w14:textId="341E8126" w:rsidR="00F576CF" w:rsidRPr="00D3335F" w:rsidRDefault="006F350A" w:rsidP="006F350A">
      <w:pPr>
        <w:rPr>
          <w:rFonts w:cs="Times New Roman"/>
          <w:lang w:val="en-IN"/>
        </w:rPr>
      </w:pPr>
      <w:r w:rsidRPr="00D3335F">
        <w:rPr>
          <w:rFonts w:cs="Times New Roman"/>
          <w:lang w:val="en-IN"/>
        </w:rPr>
        <w:t>Finally, globalisation is still an overall opportunity to Unilever- but only when handled critically, with the knowledge of the systemic risk and the long-term uncertainty. Companies that view globalisation as a consistent source of growth are exposed to strategic overexposure, whilst those that incorporate resilience into global strategy have a higher chance of maintaining competitive advantage in an ever more uncertain business world.</w:t>
      </w:r>
    </w:p>
    <w:p w14:paraId="7D496EF3" w14:textId="77777777" w:rsidR="006F350A" w:rsidRPr="00D3335F" w:rsidRDefault="006F350A" w:rsidP="006F350A">
      <w:pPr>
        <w:rPr>
          <w:rFonts w:cs="Times New Roman"/>
          <w:lang w:val="en-IN"/>
        </w:rPr>
      </w:pPr>
    </w:p>
    <w:p w14:paraId="3344E048" w14:textId="77777777" w:rsidR="00F576CF" w:rsidRPr="00D3335F" w:rsidRDefault="00F576CF">
      <w:pPr>
        <w:spacing w:line="278" w:lineRule="auto"/>
        <w:jc w:val="left"/>
        <w:rPr>
          <w:rFonts w:eastAsiaTheme="majorEastAsia" w:cs="Times New Roman"/>
          <w:b/>
          <w:sz w:val="36"/>
          <w:szCs w:val="36"/>
          <w:lang w:val="en-IN"/>
        </w:rPr>
      </w:pPr>
      <w:r w:rsidRPr="00D3335F">
        <w:rPr>
          <w:rFonts w:cs="Times New Roman"/>
          <w:lang w:val="en-IN"/>
        </w:rPr>
        <w:br w:type="page"/>
      </w:r>
    </w:p>
    <w:p w14:paraId="0AC837C4" w14:textId="68662FCE" w:rsidR="00F576CF" w:rsidRPr="00D3335F" w:rsidRDefault="00F576CF" w:rsidP="00F576CF">
      <w:pPr>
        <w:pStyle w:val="Heading1"/>
        <w:rPr>
          <w:rFonts w:cs="Times New Roman"/>
          <w:lang w:val="en-IN"/>
        </w:rPr>
      </w:pPr>
      <w:bookmarkStart w:id="3" w:name="_Toc223085982"/>
      <w:r w:rsidRPr="00D3335F">
        <w:rPr>
          <w:rFonts w:cs="Times New Roman"/>
          <w:lang w:val="en-IN"/>
        </w:rPr>
        <w:lastRenderedPageBreak/>
        <w:t>References</w:t>
      </w:r>
      <w:bookmarkEnd w:id="3"/>
    </w:p>
    <w:p w14:paraId="57A3517E" w14:textId="77777777" w:rsidR="00EB5710" w:rsidRPr="00D3335F" w:rsidRDefault="00EB5710" w:rsidP="00F576CF">
      <w:pPr>
        <w:rPr>
          <w:rFonts w:cs="Times New Roman"/>
          <w:lang w:val="en-IN"/>
        </w:rPr>
      </w:pPr>
      <w:r w:rsidRPr="00D3335F">
        <w:rPr>
          <w:rFonts w:cs="Times New Roman"/>
          <w:lang w:val="en-IN"/>
        </w:rPr>
        <w:t xml:space="preserve">Alkharafi, N. and Alsabah, M., (2025). Globalization: An overview of its main characteristics and types, and an exploration of its impacts on individuals, firms, and nations. </w:t>
      </w:r>
      <w:r w:rsidRPr="00D3335F">
        <w:rPr>
          <w:rFonts w:cs="Times New Roman"/>
          <w:i/>
          <w:iCs/>
          <w:lang w:val="en-IN"/>
        </w:rPr>
        <w:t>Economies</w:t>
      </w:r>
      <w:r w:rsidRPr="00D3335F">
        <w:rPr>
          <w:rFonts w:cs="Times New Roman"/>
          <w:lang w:val="en-IN"/>
        </w:rPr>
        <w:t xml:space="preserve">, </w:t>
      </w:r>
      <w:r w:rsidRPr="00D3335F">
        <w:rPr>
          <w:rFonts w:cs="Times New Roman"/>
          <w:i/>
          <w:iCs/>
          <w:lang w:val="en-IN"/>
        </w:rPr>
        <w:t>13</w:t>
      </w:r>
      <w:r w:rsidRPr="00D3335F">
        <w:rPr>
          <w:rFonts w:cs="Times New Roman"/>
          <w:lang w:val="en-IN"/>
        </w:rPr>
        <w:t>(4), p.91.</w:t>
      </w:r>
    </w:p>
    <w:p w14:paraId="2F7A2EDF" w14:textId="77777777" w:rsidR="00EB5710" w:rsidRPr="00D3335F" w:rsidRDefault="00EB5710" w:rsidP="00F576CF">
      <w:pPr>
        <w:rPr>
          <w:rFonts w:cs="Times New Roman"/>
          <w:lang w:val="en-IN"/>
        </w:rPr>
      </w:pPr>
      <w:r w:rsidRPr="00D3335F">
        <w:rPr>
          <w:rFonts w:cs="Times New Roman"/>
          <w:lang w:val="en-IN"/>
        </w:rPr>
        <w:t xml:space="preserve">Binti Tsuraya, H., Endayani, L., Zahda, F.M., Utami, I.S. and Jayadi, U., (2023). Unilever Company Work Model. </w:t>
      </w:r>
      <w:r w:rsidRPr="00D3335F">
        <w:rPr>
          <w:rFonts w:cs="Times New Roman"/>
          <w:i/>
          <w:iCs/>
          <w:lang w:val="en-IN"/>
        </w:rPr>
        <w:t>International Journal of Economics, Management and Accounting (IJEMA)</w:t>
      </w:r>
      <w:r w:rsidRPr="00D3335F">
        <w:rPr>
          <w:rFonts w:cs="Times New Roman"/>
          <w:lang w:val="en-IN"/>
        </w:rPr>
        <w:t xml:space="preserve">, </w:t>
      </w:r>
      <w:r w:rsidRPr="00D3335F">
        <w:rPr>
          <w:rFonts w:cs="Times New Roman"/>
          <w:i/>
          <w:iCs/>
          <w:lang w:val="en-IN"/>
        </w:rPr>
        <w:t>1</w:t>
      </w:r>
      <w:r w:rsidRPr="00D3335F">
        <w:rPr>
          <w:rFonts w:cs="Times New Roman"/>
          <w:lang w:val="en-IN"/>
        </w:rPr>
        <w:t>(1), pp.7-14.</w:t>
      </w:r>
    </w:p>
    <w:p w14:paraId="7D64E5F1" w14:textId="77777777" w:rsidR="00EB5710" w:rsidRPr="00D3335F" w:rsidRDefault="00EB5710" w:rsidP="00F576CF">
      <w:pPr>
        <w:rPr>
          <w:rFonts w:cs="Times New Roman"/>
          <w:lang w:val="en-IN"/>
        </w:rPr>
      </w:pPr>
      <w:r w:rsidRPr="00D3335F">
        <w:rPr>
          <w:rFonts w:cs="Times New Roman"/>
          <w:lang w:val="en-IN"/>
        </w:rPr>
        <w:t xml:space="preserve">Bullock, D.W., Lakkakula, P. and Wilson, W.W., (2023). Russia-Ukraine conflict and the global food grain price analysis. </w:t>
      </w:r>
      <w:r w:rsidRPr="00D3335F">
        <w:rPr>
          <w:rFonts w:cs="Times New Roman"/>
          <w:i/>
          <w:iCs/>
          <w:lang w:val="en-IN"/>
        </w:rPr>
        <w:t>Choices</w:t>
      </w:r>
      <w:r w:rsidRPr="00D3335F">
        <w:rPr>
          <w:rFonts w:cs="Times New Roman"/>
          <w:lang w:val="en-IN"/>
        </w:rPr>
        <w:t xml:space="preserve">, </w:t>
      </w:r>
      <w:r w:rsidRPr="00D3335F">
        <w:rPr>
          <w:rFonts w:cs="Times New Roman"/>
          <w:i/>
          <w:iCs/>
          <w:lang w:val="en-IN"/>
        </w:rPr>
        <w:t>38</w:t>
      </w:r>
      <w:r w:rsidRPr="00D3335F">
        <w:rPr>
          <w:rFonts w:cs="Times New Roman"/>
          <w:lang w:val="en-IN"/>
        </w:rPr>
        <w:t>(2), pp.1-9.</w:t>
      </w:r>
    </w:p>
    <w:p w14:paraId="22D652F4" w14:textId="77777777" w:rsidR="00EB5710" w:rsidRPr="00D3335F" w:rsidRDefault="00EB5710" w:rsidP="00F576CF">
      <w:pPr>
        <w:rPr>
          <w:rFonts w:cs="Times New Roman"/>
          <w:lang w:val="en-IN"/>
        </w:rPr>
      </w:pPr>
      <w:r w:rsidRPr="00D3335F">
        <w:rPr>
          <w:rFonts w:cs="Times New Roman"/>
          <w:lang w:val="en-IN"/>
        </w:rPr>
        <w:t xml:space="preserve">Celestin, M., Boakye, M.M., Nettey, T. and Abshana Begam, M., (2025). How procurement professionals can mitigate supply chain risks through diversification strategies. </w:t>
      </w:r>
      <w:r w:rsidRPr="00D3335F">
        <w:rPr>
          <w:rFonts w:cs="Times New Roman"/>
          <w:i/>
          <w:iCs/>
          <w:lang w:val="en-IN"/>
        </w:rPr>
        <w:t>International Journal of Current Research and Modern Education</w:t>
      </w:r>
      <w:r w:rsidRPr="00D3335F">
        <w:rPr>
          <w:rFonts w:cs="Times New Roman"/>
          <w:lang w:val="en-IN"/>
        </w:rPr>
        <w:t xml:space="preserve">, </w:t>
      </w:r>
      <w:r w:rsidRPr="00D3335F">
        <w:rPr>
          <w:rFonts w:cs="Times New Roman"/>
          <w:i/>
          <w:iCs/>
          <w:lang w:val="en-IN"/>
        </w:rPr>
        <w:t>10</w:t>
      </w:r>
      <w:r w:rsidRPr="00D3335F">
        <w:rPr>
          <w:rFonts w:cs="Times New Roman"/>
          <w:lang w:val="en-IN"/>
        </w:rPr>
        <w:t>(2), pp.107-117.</w:t>
      </w:r>
    </w:p>
    <w:p w14:paraId="13390C9F" w14:textId="77777777" w:rsidR="00EB5710" w:rsidRPr="00D3335F" w:rsidRDefault="00EB5710" w:rsidP="00F576CF">
      <w:pPr>
        <w:rPr>
          <w:rFonts w:cs="Times New Roman"/>
          <w:lang w:val="en-IN"/>
        </w:rPr>
      </w:pPr>
      <w:r w:rsidRPr="00D3335F">
        <w:rPr>
          <w:rFonts w:cs="Times New Roman"/>
          <w:lang w:val="en-IN"/>
        </w:rPr>
        <w:t xml:space="preserve">Confetto, M.G., Ključnikov, A., Covucci, C. and Normando, M., (2023). Diversity and inclusion in employer branding: an explorative analysis of European companies' digital communication. </w:t>
      </w:r>
      <w:r w:rsidRPr="00D3335F">
        <w:rPr>
          <w:rFonts w:cs="Times New Roman"/>
          <w:i/>
          <w:iCs/>
          <w:lang w:val="en-IN"/>
        </w:rPr>
        <w:t>Employee Relations: The International Journal</w:t>
      </w:r>
      <w:r w:rsidRPr="00D3335F">
        <w:rPr>
          <w:rFonts w:cs="Times New Roman"/>
          <w:lang w:val="en-IN"/>
        </w:rPr>
        <w:t xml:space="preserve">, </w:t>
      </w:r>
      <w:r w:rsidRPr="00D3335F">
        <w:rPr>
          <w:rFonts w:cs="Times New Roman"/>
          <w:i/>
          <w:iCs/>
          <w:lang w:val="en-IN"/>
        </w:rPr>
        <w:t>45</w:t>
      </w:r>
      <w:r w:rsidRPr="00D3335F">
        <w:rPr>
          <w:rFonts w:cs="Times New Roman"/>
          <w:lang w:val="en-IN"/>
        </w:rPr>
        <w:t>(7), pp.121-139.</w:t>
      </w:r>
    </w:p>
    <w:p w14:paraId="0EA5E929" w14:textId="77777777" w:rsidR="00EB5710" w:rsidRPr="00D3335F" w:rsidRDefault="00EB5710" w:rsidP="00F576CF">
      <w:pPr>
        <w:rPr>
          <w:rFonts w:cs="Times New Roman"/>
          <w:lang w:val="en-IN"/>
        </w:rPr>
      </w:pPr>
      <w:r w:rsidRPr="00D3335F">
        <w:rPr>
          <w:rFonts w:cs="Times New Roman"/>
          <w:lang w:val="en-IN"/>
        </w:rPr>
        <w:t xml:space="preserve">Gangele, P. and Kumar, A., (2025). The impact of globalization on business strategies: A systematic review. </w:t>
      </w:r>
      <w:r w:rsidRPr="00D3335F">
        <w:rPr>
          <w:rFonts w:cs="Times New Roman"/>
          <w:i/>
          <w:iCs/>
          <w:lang w:val="en-IN"/>
        </w:rPr>
        <w:t>International Journal of Innovations in Science, Engineering And Management</w:t>
      </w:r>
      <w:r w:rsidRPr="00D3335F">
        <w:rPr>
          <w:rFonts w:cs="Times New Roman"/>
          <w:lang w:val="en-IN"/>
        </w:rPr>
        <w:t>, pp.64-71.</w:t>
      </w:r>
    </w:p>
    <w:p w14:paraId="0DEE829E" w14:textId="77777777" w:rsidR="00EB5710" w:rsidRPr="00D3335F" w:rsidRDefault="00EB5710" w:rsidP="00F576CF">
      <w:pPr>
        <w:rPr>
          <w:rFonts w:cs="Times New Roman"/>
          <w:lang w:val="en-IN"/>
        </w:rPr>
      </w:pPr>
      <w:r w:rsidRPr="00D3335F">
        <w:rPr>
          <w:rFonts w:cs="Times New Roman"/>
          <w:lang w:val="en-IN"/>
        </w:rPr>
        <w:t xml:space="preserve">Gavrila Gavrila, S., Blanco González-Tejero, C., Gómez Gandía, J.A. and de Lucas Ancillo, A., (2023). The impact of automation and optimization on customer experience: a consumer perspective. </w:t>
      </w:r>
      <w:r w:rsidRPr="00D3335F">
        <w:rPr>
          <w:rFonts w:cs="Times New Roman"/>
          <w:i/>
          <w:iCs/>
          <w:lang w:val="en-IN"/>
        </w:rPr>
        <w:t>Humanities and Social Sciences Communications</w:t>
      </w:r>
      <w:r w:rsidRPr="00D3335F">
        <w:rPr>
          <w:rFonts w:cs="Times New Roman"/>
          <w:lang w:val="en-IN"/>
        </w:rPr>
        <w:t xml:space="preserve">, </w:t>
      </w:r>
      <w:r w:rsidRPr="00D3335F">
        <w:rPr>
          <w:rFonts w:cs="Times New Roman"/>
          <w:i/>
          <w:iCs/>
          <w:lang w:val="en-IN"/>
        </w:rPr>
        <w:t>10</w:t>
      </w:r>
      <w:r w:rsidRPr="00D3335F">
        <w:rPr>
          <w:rFonts w:cs="Times New Roman"/>
          <w:lang w:val="en-IN"/>
        </w:rPr>
        <w:t>(1), pp.1-10.</w:t>
      </w:r>
    </w:p>
    <w:p w14:paraId="1215AE22" w14:textId="77777777" w:rsidR="00EB5710" w:rsidRPr="00D3335F" w:rsidRDefault="00EB5710" w:rsidP="00F576CF">
      <w:pPr>
        <w:rPr>
          <w:rFonts w:cs="Times New Roman"/>
          <w:lang w:val="en-IN"/>
        </w:rPr>
      </w:pPr>
      <w:r w:rsidRPr="00D3335F">
        <w:rPr>
          <w:rFonts w:cs="Times New Roman"/>
          <w:lang w:val="en-IN"/>
        </w:rPr>
        <w:t xml:space="preserve">Green, J.F., (2021). Beyond carbon pricing: Tax reform is climate policy. </w:t>
      </w:r>
      <w:r w:rsidRPr="00D3335F">
        <w:rPr>
          <w:rFonts w:cs="Times New Roman"/>
          <w:i/>
          <w:iCs/>
          <w:lang w:val="en-IN"/>
        </w:rPr>
        <w:t>Global Policy</w:t>
      </w:r>
      <w:r w:rsidRPr="00D3335F">
        <w:rPr>
          <w:rFonts w:cs="Times New Roman"/>
          <w:lang w:val="en-IN"/>
        </w:rPr>
        <w:t xml:space="preserve">, </w:t>
      </w:r>
      <w:r w:rsidRPr="00D3335F">
        <w:rPr>
          <w:rFonts w:cs="Times New Roman"/>
          <w:i/>
          <w:iCs/>
          <w:lang w:val="en-IN"/>
        </w:rPr>
        <w:t>12</w:t>
      </w:r>
      <w:r w:rsidRPr="00D3335F">
        <w:rPr>
          <w:rFonts w:cs="Times New Roman"/>
          <w:lang w:val="en-IN"/>
        </w:rPr>
        <w:t>(3), pp.372-379.</w:t>
      </w:r>
    </w:p>
    <w:p w14:paraId="64C613CF" w14:textId="77777777" w:rsidR="00EB5710" w:rsidRPr="00D3335F" w:rsidRDefault="00EB5710" w:rsidP="00F576CF">
      <w:pPr>
        <w:rPr>
          <w:rFonts w:cs="Times New Roman"/>
          <w:lang w:val="en-IN"/>
        </w:rPr>
      </w:pPr>
      <w:r w:rsidRPr="00D3335F">
        <w:rPr>
          <w:rFonts w:cs="Times New Roman"/>
          <w:lang w:val="en-IN"/>
        </w:rPr>
        <w:t xml:space="preserve">Hummel, K. and Jobst, D., (2024). An overview of corporate sustainability reporting legislation in the European Union. </w:t>
      </w:r>
      <w:r w:rsidRPr="00D3335F">
        <w:rPr>
          <w:rFonts w:cs="Times New Roman"/>
          <w:i/>
          <w:iCs/>
          <w:lang w:val="en-IN"/>
        </w:rPr>
        <w:t>Accounting in Europe</w:t>
      </w:r>
      <w:r w:rsidRPr="00D3335F">
        <w:rPr>
          <w:rFonts w:cs="Times New Roman"/>
          <w:lang w:val="en-IN"/>
        </w:rPr>
        <w:t xml:space="preserve">, </w:t>
      </w:r>
      <w:r w:rsidRPr="00D3335F">
        <w:rPr>
          <w:rFonts w:cs="Times New Roman"/>
          <w:i/>
          <w:iCs/>
          <w:lang w:val="en-IN"/>
        </w:rPr>
        <w:t>21</w:t>
      </w:r>
      <w:r w:rsidRPr="00D3335F">
        <w:rPr>
          <w:rFonts w:cs="Times New Roman"/>
          <w:lang w:val="en-IN"/>
        </w:rPr>
        <w:t>(3), pp.320-355.</w:t>
      </w:r>
    </w:p>
    <w:p w14:paraId="1DF2D4A7" w14:textId="77777777" w:rsidR="00EB5710" w:rsidRPr="00D3335F" w:rsidRDefault="00EB5710" w:rsidP="00F576CF">
      <w:pPr>
        <w:rPr>
          <w:rFonts w:cs="Times New Roman"/>
          <w:lang w:val="en-IN"/>
        </w:rPr>
      </w:pPr>
      <w:r w:rsidRPr="00D3335F">
        <w:rPr>
          <w:rFonts w:cs="Times New Roman"/>
          <w:lang w:val="en-IN"/>
        </w:rPr>
        <w:t xml:space="preserve">Jagtap, S., Trollman, H., Trollman, F., Garcia-Garcia, G., Parra-López, C., Duong, L., Martindale, W., Munekata, P.E., Lorenzo, J.M., Hdaifeh, A. and Hassoun, A., (2022). The Russia-Ukraine conflict: Its implications for the global food supply chains. </w:t>
      </w:r>
      <w:r w:rsidRPr="00D3335F">
        <w:rPr>
          <w:rFonts w:cs="Times New Roman"/>
          <w:i/>
          <w:iCs/>
          <w:lang w:val="en-IN"/>
        </w:rPr>
        <w:t>Foods</w:t>
      </w:r>
      <w:r w:rsidRPr="00D3335F">
        <w:rPr>
          <w:rFonts w:cs="Times New Roman"/>
          <w:lang w:val="en-IN"/>
        </w:rPr>
        <w:t xml:space="preserve">, </w:t>
      </w:r>
      <w:r w:rsidRPr="00D3335F">
        <w:rPr>
          <w:rFonts w:cs="Times New Roman"/>
          <w:i/>
          <w:iCs/>
          <w:lang w:val="en-IN"/>
        </w:rPr>
        <w:t>11</w:t>
      </w:r>
      <w:r w:rsidRPr="00D3335F">
        <w:rPr>
          <w:rFonts w:cs="Times New Roman"/>
          <w:lang w:val="en-IN"/>
        </w:rPr>
        <w:t>(14), p.2098.</w:t>
      </w:r>
    </w:p>
    <w:p w14:paraId="07D4C617" w14:textId="77777777" w:rsidR="00EB5710" w:rsidRPr="00D3335F" w:rsidRDefault="00EB5710" w:rsidP="00F576CF">
      <w:pPr>
        <w:rPr>
          <w:rFonts w:cs="Times New Roman"/>
          <w:lang w:val="en-IN"/>
        </w:rPr>
      </w:pPr>
      <w:r w:rsidRPr="00D3335F">
        <w:rPr>
          <w:rFonts w:cs="Times New Roman"/>
          <w:lang w:val="en-IN"/>
        </w:rPr>
        <w:lastRenderedPageBreak/>
        <w:t xml:space="preserve">Jain, S., Saini, I.K. and Shiwani, N., (2026). The Role of Strategic Human Capital in Driving Innovation: A Study on Talent Retention and Organizational Performance. </w:t>
      </w:r>
      <w:r w:rsidRPr="00D3335F">
        <w:rPr>
          <w:rFonts w:cs="Times New Roman"/>
          <w:i/>
          <w:iCs/>
          <w:lang w:val="en-IN"/>
        </w:rPr>
        <w:t>Advances in Consumer Research</w:t>
      </w:r>
      <w:r w:rsidRPr="00D3335F">
        <w:rPr>
          <w:rFonts w:cs="Times New Roman"/>
          <w:lang w:val="en-IN"/>
        </w:rPr>
        <w:t xml:space="preserve">, </w:t>
      </w:r>
      <w:r w:rsidRPr="00D3335F">
        <w:rPr>
          <w:rFonts w:cs="Times New Roman"/>
          <w:i/>
          <w:iCs/>
          <w:lang w:val="en-IN"/>
        </w:rPr>
        <w:t>3</w:t>
      </w:r>
      <w:r w:rsidRPr="00D3335F">
        <w:rPr>
          <w:rFonts w:cs="Times New Roman"/>
          <w:lang w:val="en-IN"/>
        </w:rPr>
        <w:t>(1).</w:t>
      </w:r>
    </w:p>
    <w:p w14:paraId="08C01569" w14:textId="77777777" w:rsidR="00EB5710" w:rsidRPr="00D3335F" w:rsidRDefault="00EB5710" w:rsidP="00F576CF">
      <w:pPr>
        <w:rPr>
          <w:rFonts w:cs="Times New Roman"/>
          <w:lang w:val="en-IN"/>
        </w:rPr>
      </w:pPr>
      <w:r w:rsidRPr="00D3335F">
        <w:rPr>
          <w:rFonts w:cs="Times New Roman"/>
          <w:lang w:val="en-IN"/>
        </w:rPr>
        <w:t xml:space="preserve">Kagalwala, H., Radhakrishnan, G.V., Mohammed, I.A., Kothinti, R.R. and Kulkarni, N., (2025). Predictive analytics in supply chain management: The role of AI and machine learning in demand forecasting. </w:t>
      </w:r>
      <w:r w:rsidRPr="00D3335F">
        <w:rPr>
          <w:rFonts w:cs="Times New Roman"/>
          <w:i/>
          <w:iCs/>
          <w:lang w:val="en-IN"/>
        </w:rPr>
        <w:t>Advances in Consumer Research</w:t>
      </w:r>
      <w:r w:rsidRPr="00D3335F">
        <w:rPr>
          <w:rFonts w:cs="Times New Roman"/>
          <w:lang w:val="en-IN"/>
        </w:rPr>
        <w:t xml:space="preserve">, </w:t>
      </w:r>
      <w:r w:rsidRPr="00D3335F">
        <w:rPr>
          <w:rFonts w:cs="Times New Roman"/>
          <w:i/>
          <w:iCs/>
          <w:lang w:val="en-IN"/>
        </w:rPr>
        <w:t>2</w:t>
      </w:r>
      <w:r w:rsidRPr="00D3335F">
        <w:rPr>
          <w:rFonts w:cs="Times New Roman"/>
          <w:lang w:val="en-IN"/>
        </w:rPr>
        <w:t>, pp.142-149.</w:t>
      </w:r>
    </w:p>
    <w:p w14:paraId="4C020156" w14:textId="77777777" w:rsidR="00EB5710" w:rsidRPr="00D3335F" w:rsidRDefault="00EB5710" w:rsidP="00F576CF">
      <w:pPr>
        <w:rPr>
          <w:rFonts w:cs="Times New Roman"/>
          <w:lang w:val="en-IN"/>
        </w:rPr>
      </w:pPr>
      <w:r w:rsidRPr="00D3335F">
        <w:rPr>
          <w:rFonts w:cs="Times New Roman"/>
          <w:lang w:val="en-IN"/>
        </w:rPr>
        <w:t xml:space="preserve">Macqueen, R., Millard, S., Patel, U. and Whyte, K., (2022). UK Economic Outlook. </w:t>
      </w:r>
      <w:r w:rsidRPr="00D3335F">
        <w:rPr>
          <w:rFonts w:cs="Times New Roman"/>
          <w:i/>
          <w:iCs/>
          <w:lang w:val="en-IN"/>
        </w:rPr>
        <w:t>National Institute UK Economic Outlook</w:t>
      </w:r>
      <w:r w:rsidRPr="00D3335F">
        <w:rPr>
          <w:rFonts w:cs="Times New Roman"/>
          <w:lang w:val="en-IN"/>
        </w:rPr>
        <w:t>, (6), pp.6-36.</w:t>
      </w:r>
    </w:p>
    <w:p w14:paraId="03FA0FD2" w14:textId="77777777" w:rsidR="00EB5710" w:rsidRPr="00D3335F" w:rsidRDefault="00EB5710" w:rsidP="00F576CF">
      <w:pPr>
        <w:rPr>
          <w:rFonts w:cs="Times New Roman"/>
          <w:lang w:val="en-IN"/>
        </w:rPr>
      </w:pPr>
      <w:r w:rsidRPr="00D3335F">
        <w:rPr>
          <w:rFonts w:cs="Times New Roman"/>
          <w:lang w:val="en-IN"/>
        </w:rPr>
        <w:t xml:space="preserve">Moosa, I.A., (2024). </w:t>
      </w:r>
      <w:r w:rsidRPr="00D3335F">
        <w:rPr>
          <w:rFonts w:cs="Times New Roman"/>
          <w:i/>
          <w:iCs/>
          <w:lang w:val="en-IN"/>
        </w:rPr>
        <w:t>The cost of living crisis: Implications for economic theory and public policy</w:t>
      </w:r>
      <w:r w:rsidRPr="00D3335F">
        <w:rPr>
          <w:rFonts w:cs="Times New Roman"/>
          <w:lang w:val="en-IN"/>
        </w:rPr>
        <w:t>. Edward Elgar Publishing.</w:t>
      </w:r>
    </w:p>
    <w:p w14:paraId="2B3D9B05" w14:textId="77777777" w:rsidR="00EB5710" w:rsidRPr="00D3335F" w:rsidRDefault="00EB5710" w:rsidP="00F576CF">
      <w:pPr>
        <w:rPr>
          <w:rFonts w:cs="Times New Roman"/>
          <w:lang w:val="en-IN"/>
        </w:rPr>
      </w:pPr>
      <w:r w:rsidRPr="00D3335F">
        <w:rPr>
          <w:rFonts w:cs="Times New Roman"/>
          <w:lang w:val="en-IN"/>
        </w:rPr>
        <w:t xml:space="preserve">Natsir, M.N.I., (2025), July. Green Marketing and Sustainability Policies: Impact on Consumer Behaviour in Developed and Developing Nations. In </w:t>
      </w:r>
      <w:r w:rsidRPr="00D3335F">
        <w:rPr>
          <w:rFonts w:cs="Times New Roman"/>
          <w:i/>
          <w:iCs/>
          <w:lang w:val="en-IN"/>
        </w:rPr>
        <w:t>9th International Conference on Accounting, Management, and Economics 2024 (ICAME 2024)</w:t>
      </w:r>
      <w:r w:rsidRPr="00D3335F">
        <w:rPr>
          <w:rFonts w:cs="Times New Roman"/>
          <w:lang w:val="en-IN"/>
        </w:rPr>
        <w:t xml:space="preserve"> (pp. 2586-2595). Atlantis Press.</w:t>
      </w:r>
    </w:p>
    <w:p w14:paraId="7570DD57" w14:textId="77777777" w:rsidR="00EB5710" w:rsidRPr="00D3335F" w:rsidRDefault="00EB5710" w:rsidP="00F576CF">
      <w:pPr>
        <w:rPr>
          <w:rFonts w:cs="Times New Roman"/>
          <w:lang w:val="en-IN"/>
        </w:rPr>
      </w:pPr>
      <w:r w:rsidRPr="00D3335F">
        <w:rPr>
          <w:rFonts w:cs="Times New Roman"/>
          <w:lang w:val="en-IN"/>
        </w:rPr>
        <w:t xml:space="preserve">Prabhakar, V., (2025). Dove’s Real Beauty Campaign in India: Localizing a Global Purpose Brand. </w:t>
      </w:r>
      <w:r w:rsidRPr="00D3335F">
        <w:rPr>
          <w:rFonts w:cs="Times New Roman"/>
          <w:i/>
          <w:iCs/>
          <w:lang w:val="en-IN"/>
        </w:rPr>
        <w:t>Journal of Business and Management Studies</w:t>
      </w:r>
      <w:r w:rsidRPr="00D3335F">
        <w:rPr>
          <w:rFonts w:cs="Times New Roman"/>
          <w:lang w:val="en-IN"/>
        </w:rPr>
        <w:t xml:space="preserve">, </w:t>
      </w:r>
      <w:r w:rsidRPr="00D3335F">
        <w:rPr>
          <w:rFonts w:cs="Times New Roman"/>
          <w:i/>
          <w:iCs/>
          <w:lang w:val="en-IN"/>
        </w:rPr>
        <w:t>7</w:t>
      </w:r>
      <w:r w:rsidRPr="00D3335F">
        <w:rPr>
          <w:rFonts w:cs="Times New Roman"/>
          <w:lang w:val="en-IN"/>
        </w:rPr>
        <w:t>(6), pp.15-23.</w:t>
      </w:r>
    </w:p>
    <w:p w14:paraId="05E83A3C" w14:textId="77777777" w:rsidR="00EB5710" w:rsidRPr="00EB5710" w:rsidRDefault="00EB5710" w:rsidP="00EB5710">
      <w:pPr>
        <w:rPr>
          <w:rFonts w:cs="Times New Roman"/>
          <w:lang w:val="en-IN"/>
        </w:rPr>
      </w:pPr>
      <w:r w:rsidRPr="00EB5710">
        <w:rPr>
          <w:rFonts w:cs="Times New Roman"/>
          <w:lang w:val="en-IN"/>
        </w:rPr>
        <w:t xml:space="preserve">Risi, D., Vigneau, L., Bohn, S. and Wickert, C., </w:t>
      </w:r>
      <w:r w:rsidRPr="00D3335F">
        <w:rPr>
          <w:rFonts w:cs="Times New Roman"/>
          <w:lang w:val="en-IN"/>
        </w:rPr>
        <w:t>(</w:t>
      </w:r>
      <w:r w:rsidRPr="00EB5710">
        <w:rPr>
          <w:rFonts w:cs="Times New Roman"/>
          <w:lang w:val="en-IN"/>
        </w:rPr>
        <w:t>2023</w:t>
      </w:r>
      <w:r w:rsidRPr="00D3335F">
        <w:rPr>
          <w:rFonts w:cs="Times New Roman"/>
          <w:lang w:val="en-IN"/>
        </w:rPr>
        <w:t>)</w:t>
      </w:r>
      <w:r w:rsidRPr="00EB5710">
        <w:rPr>
          <w:rFonts w:cs="Times New Roman"/>
          <w:lang w:val="en-IN"/>
        </w:rPr>
        <w:t xml:space="preserve">. Institutional theory‐based research on corporate social responsibility: Bringing values back in. </w:t>
      </w:r>
      <w:r w:rsidRPr="00EB5710">
        <w:rPr>
          <w:rFonts w:cs="Times New Roman"/>
          <w:i/>
          <w:iCs/>
          <w:lang w:val="en-IN"/>
        </w:rPr>
        <w:t>International Journal of Management Reviews</w:t>
      </w:r>
      <w:r w:rsidRPr="00EB5710">
        <w:rPr>
          <w:rFonts w:cs="Times New Roman"/>
          <w:lang w:val="en-IN"/>
        </w:rPr>
        <w:t xml:space="preserve">, </w:t>
      </w:r>
      <w:r w:rsidRPr="00EB5710">
        <w:rPr>
          <w:rFonts w:cs="Times New Roman"/>
          <w:i/>
          <w:iCs/>
          <w:lang w:val="en-IN"/>
        </w:rPr>
        <w:t>25</w:t>
      </w:r>
      <w:r w:rsidRPr="00EB5710">
        <w:rPr>
          <w:rFonts w:cs="Times New Roman"/>
          <w:lang w:val="en-IN"/>
        </w:rPr>
        <w:t>(1), pp.3-23.</w:t>
      </w:r>
    </w:p>
    <w:p w14:paraId="390ECB5E" w14:textId="77777777" w:rsidR="00EB5710" w:rsidRPr="00D3335F" w:rsidRDefault="00EB5710" w:rsidP="00F576CF">
      <w:pPr>
        <w:rPr>
          <w:rFonts w:cs="Times New Roman"/>
          <w:lang w:val="en-IN"/>
        </w:rPr>
      </w:pPr>
      <w:r w:rsidRPr="00D3335F">
        <w:rPr>
          <w:rFonts w:cs="Times New Roman"/>
          <w:lang w:val="en-IN"/>
        </w:rPr>
        <w:t xml:space="preserve">Sahoo, D., Mishra, S.J. and Rout, D., (2024). Marketing diversity: How inclusive workplaces attract customers and improve brand image. </w:t>
      </w:r>
      <w:r w:rsidRPr="00D3335F">
        <w:rPr>
          <w:rFonts w:cs="Times New Roman"/>
          <w:i/>
          <w:iCs/>
          <w:lang w:val="en-IN"/>
        </w:rPr>
        <w:t>International Journal of Multidisciplinary Trends</w:t>
      </w:r>
      <w:r w:rsidRPr="00D3335F">
        <w:rPr>
          <w:rFonts w:cs="Times New Roman"/>
          <w:lang w:val="en-IN"/>
        </w:rPr>
        <w:t xml:space="preserve">, </w:t>
      </w:r>
      <w:r w:rsidRPr="00D3335F">
        <w:rPr>
          <w:rFonts w:cs="Times New Roman"/>
          <w:i/>
          <w:iCs/>
          <w:lang w:val="en-IN"/>
        </w:rPr>
        <w:t>6</w:t>
      </w:r>
      <w:r w:rsidRPr="00D3335F">
        <w:rPr>
          <w:rFonts w:cs="Times New Roman"/>
          <w:lang w:val="en-IN"/>
        </w:rPr>
        <w:t>(8), pp.14-19.</w:t>
      </w:r>
    </w:p>
    <w:p w14:paraId="079C9823" w14:textId="77777777" w:rsidR="00EB5710" w:rsidRPr="00D3335F" w:rsidRDefault="00EB5710" w:rsidP="00F576CF">
      <w:pPr>
        <w:rPr>
          <w:rFonts w:cs="Times New Roman"/>
          <w:lang w:val="en-IN"/>
        </w:rPr>
      </w:pPr>
      <w:r w:rsidRPr="00D3335F">
        <w:rPr>
          <w:rFonts w:cs="Times New Roman"/>
          <w:lang w:val="en-IN"/>
        </w:rPr>
        <w:t xml:space="preserve">Shaoping, L., (2023). Unilever Global Sourcing and Purchasing Strategies: A Case Study of Trade and Logistics between the EU and UK Post-Brexit. </w:t>
      </w:r>
      <w:r w:rsidRPr="00D3335F">
        <w:rPr>
          <w:rFonts w:cs="Times New Roman"/>
          <w:i/>
          <w:iCs/>
          <w:lang w:val="en-IN"/>
        </w:rPr>
        <w:t>Industrial Engineering and Innovation Management</w:t>
      </w:r>
      <w:r w:rsidRPr="00D3335F">
        <w:rPr>
          <w:rFonts w:cs="Times New Roman"/>
          <w:lang w:val="en-IN"/>
        </w:rPr>
        <w:t xml:space="preserve">, </w:t>
      </w:r>
      <w:r w:rsidRPr="00D3335F">
        <w:rPr>
          <w:rFonts w:cs="Times New Roman"/>
          <w:i/>
          <w:iCs/>
          <w:lang w:val="en-IN"/>
        </w:rPr>
        <w:t>6</w:t>
      </w:r>
      <w:r w:rsidRPr="00D3335F">
        <w:rPr>
          <w:rFonts w:cs="Times New Roman"/>
          <w:lang w:val="en-IN"/>
        </w:rPr>
        <w:t>(10), pp.124-131.</w:t>
      </w:r>
    </w:p>
    <w:p w14:paraId="1D853907" w14:textId="77777777" w:rsidR="00EB5710" w:rsidRPr="00D3335F" w:rsidRDefault="00EB5710" w:rsidP="00F576CF">
      <w:pPr>
        <w:rPr>
          <w:rFonts w:cs="Times New Roman"/>
          <w:lang w:val="en-IN"/>
        </w:rPr>
      </w:pPr>
      <w:r w:rsidRPr="00D3335F">
        <w:rPr>
          <w:rFonts w:cs="Times New Roman"/>
          <w:lang w:val="en-IN"/>
        </w:rPr>
        <w:t xml:space="preserve">Sharma, B.R. and Gupta, N., (2021). A qualitative investigation of shopping behavior of customers at bottom of the pyramid. </w:t>
      </w:r>
      <w:r w:rsidRPr="00D3335F">
        <w:rPr>
          <w:rFonts w:cs="Times New Roman"/>
          <w:i/>
          <w:iCs/>
          <w:lang w:val="en-IN"/>
        </w:rPr>
        <w:t>Journal of Global Marketing</w:t>
      </w:r>
      <w:r w:rsidRPr="00D3335F">
        <w:rPr>
          <w:rFonts w:cs="Times New Roman"/>
          <w:lang w:val="en-IN"/>
        </w:rPr>
        <w:t xml:space="preserve">, </w:t>
      </w:r>
      <w:r w:rsidRPr="00D3335F">
        <w:rPr>
          <w:rFonts w:cs="Times New Roman"/>
          <w:i/>
          <w:iCs/>
          <w:lang w:val="en-IN"/>
        </w:rPr>
        <w:t>34</w:t>
      </w:r>
      <w:r w:rsidRPr="00D3335F">
        <w:rPr>
          <w:rFonts w:cs="Times New Roman"/>
          <w:lang w:val="en-IN"/>
        </w:rPr>
        <w:t>(4), pp.308-327.</w:t>
      </w:r>
    </w:p>
    <w:p w14:paraId="1AE991DE" w14:textId="77777777" w:rsidR="00EB5710" w:rsidRPr="00D3335F" w:rsidRDefault="00EB5710" w:rsidP="00F576CF">
      <w:pPr>
        <w:rPr>
          <w:rFonts w:cs="Times New Roman"/>
          <w:lang w:val="en-IN"/>
        </w:rPr>
      </w:pPr>
      <w:r w:rsidRPr="00D3335F">
        <w:rPr>
          <w:rFonts w:cs="Times New Roman"/>
          <w:lang w:val="en-IN"/>
        </w:rPr>
        <w:t xml:space="preserve">Suprunenko, S., Pishenina, T., Pitel, N., Voronkova, A. and Riabovolyk, T., (2024). Analysis of the impact of globalization trends in the digital economy on business management and administration systems of enterprises. </w:t>
      </w:r>
      <w:r w:rsidRPr="00D3335F">
        <w:rPr>
          <w:rFonts w:cs="Times New Roman"/>
          <w:i/>
          <w:iCs/>
          <w:lang w:val="en-IN"/>
        </w:rPr>
        <w:t>Futurity Economics&amp;Law</w:t>
      </w:r>
      <w:r w:rsidRPr="00D3335F">
        <w:rPr>
          <w:rFonts w:cs="Times New Roman"/>
          <w:lang w:val="en-IN"/>
        </w:rPr>
        <w:t xml:space="preserve">, </w:t>
      </w:r>
      <w:r w:rsidRPr="00D3335F">
        <w:rPr>
          <w:rFonts w:cs="Times New Roman"/>
          <w:i/>
          <w:iCs/>
          <w:lang w:val="en-IN"/>
        </w:rPr>
        <w:t>4</w:t>
      </w:r>
      <w:r w:rsidRPr="00D3335F">
        <w:rPr>
          <w:rFonts w:cs="Times New Roman"/>
          <w:lang w:val="en-IN"/>
        </w:rPr>
        <w:t>(2), pp.131-147.</w:t>
      </w:r>
    </w:p>
    <w:p w14:paraId="0D8DC0B4" w14:textId="77777777" w:rsidR="00EB5710" w:rsidRPr="00D3335F" w:rsidRDefault="00EB5710" w:rsidP="00F576CF">
      <w:pPr>
        <w:rPr>
          <w:rFonts w:cs="Times New Roman"/>
          <w:lang w:val="en-IN"/>
        </w:rPr>
      </w:pPr>
      <w:r w:rsidRPr="00D3335F">
        <w:rPr>
          <w:rFonts w:cs="Times New Roman"/>
          <w:lang w:val="en-IN"/>
        </w:rPr>
        <w:lastRenderedPageBreak/>
        <w:t xml:space="preserve">Tahir, M., Ibrahim, H., Khan, B. and Ahmed, R., (2025). Foreign earnings repatriation: the effect of exchange rate volatility and the risk of expropriation. </w:t>
      </w:r>
      <w:r w:rsidRPr="00D3335F">
        <w:rPr>
          <w:rFonts w:cs="Times New Roman"/>
          <w:i/>
          <w:iCs/>
          <w:lang w:val="en-IN"/>
        </w:rPr>
        <w:t>Journal of Economic and Administrative Sciences</w:t>
      </w:r>
      <w:r w:rsidRPr="00D3335F">
        <w:rPr>
          <w:rFonts w:cs="Times New Roman"/>
          <w:lang w:val="en-IN"/>
        </w:rPr>
        <w:t xml:space="preserve">, </w:t>
      </w:r>
      <w:r w:rsidRPr="00D3335F">
        <w:rPr>
          <w:rFonts w:cs="Times New Roman"/>
          <w:i/>
          <w:iCs/>
          <w:lang w:val="en-IN"/>
        </w:rPr>
        <w:t>41</w:t>
      </w:r>
      <w:r w:rsidRPr="00D3335F">
        <w:rPr>
          <w:rFonts w:cs="Times New Roman"/>
          <w:lang w:val="en-IN"/>
        </w:rPr>
        <w:t>(2), pp.527-539.</w:t>
      </w:r>
    </w:p>
    <w:p w14:paraId="12265EB5" w14:textId="77777777" w:rsidR="00EB5710" w:rsidRPr="00D3335F" w:rsidRDefault="00EB5710" w:rsidP="00F576CF">
      <w:pPr>
        <w:rPr>
          <w:rFonts w:cs="Times New Roman"/>
          <w:lang w:val="en-IN"/>
        </w:rPr>
      </w:pPr>
      <w:r w:rsidRPr="00D3335F">
        <w:rPr>
          <w:rFonts w:cs="Times New Roman"/>
          <w:lang w:val="en-IN"/>
        </w:rPr>
        <w:t xml:space="preserve">Unilever PLC (2026) </w:t>
      </w:r>
      <w:r w:rsidRPr="00D3335F">
        <w:rPr>
          <w:rFonts w:cs="Times New Roman"/>
          <w:i/>
          <w:iCs/>
          <w:lang w:val="en-IN"/>
        </w:rPr>
        <w:t>Why invest in Unilever</w:t>
      </w:r>
      <w:r w:rsidRPr="00D3335F">
        <w:rPr>
          <w:rFonts w:cs="Times New Roman"/>
          <w:lang w:val="en-IN"/>
        </w:rPr>
        <w:t xml:space="preserve">, </w:t>
      </w:r>
      <w:r w:rsidRPr="00D3335F">
        <w:rPr>
          <w:rFonts w:cs="Times New Roman"/>
          <w:i/>
          <w:iCs/>
          <w:lang w:val="en-IN"/>
        </w:rPr>
        <w:t>Unilever</w:t>
      </w:r>
      <w:r w:rsidRPr="00D3335F">
        <w:rPr>
          <w:rFonts w:cs="Times New Roman"/>
          <w:lang w:val="en-IN"/>
        </w:rPr>
        <w:t xml:space="preserve">. Available at: </w:t>
      </w:r>
      <w:hyperlink r:id="rId8" w:history="1">
        <w:r w:rsidRPr="00D3335F">
          <w:rPr>
            <w:rStyle w:val="Hyperlink"/>
            <w:rFonts w:cs="Times New Roman"/>
            <w:lang w:val="en-IN"/>
          </w:rPr>
          <w:t>https://www.unilever.com/investors/why-invest-in-unilever/</w:t>
        </w:r>
      </w:hyperlink>
      <w:r w:rsidRPr="00D3335F">
        <w:rPr>
          <w:rFonts w:cs="Times New Roman"/>
          <w:lang w:val="en-IN"/>
        </w:rPr>
        <w:t xml:space="preserve">  (Accessed: 26 February 2026). </w:t>
      </w:r>
    </w:p>
    <w:p w14:paraId="650C0AC3" w14:textId="77777777" w:rsidR="00EB5710" w:rsidRPr="00D3335F" w:rsidRDefault="00EB5710" w:rsidP="00F576CF">
      <w:pPr>
        <w:rPr>
          <w:rFonts w:cs="Times New Roman"/>
          <w:lang w:val="en-IN"/>
        </w:rPr>
      </w:pPr>
      <w:r w:rsidRPr="00D3335F">
        <w:rPr>
          <w:rFonts w:cs="Times New Roman"/>
          <w:lang w:val="en-IN"/>
        </w:rPr>
        <w:t xml:space="preserve">Weng, C., Liu, M.J., Ye, D., Huang, J. and Liu, P.C., (2024). Platform success in the international marketplace: reconfiguring digital resources for marketing agility. </w:t>
      </w:r>
      <w:r w:rsidRPr="00D3335F">
        <w:rPr>
          <w:rFonts w:cs="Times New Roman"/>
          <w:i/>
          <w:iCs/>
          <w:lang w:val="en-IN"/>
        </w:rPr>
        <w:t>International Marketing Review</w:t>
      </w:r>
      <w:r w:rsidRPr="00D3335F">
        <w:rPr>
          <w:rFonts w:cs="Times New Roman"/>
          <w:lang w:val="en-IN"/>
        </w:rPr>
        <w:t xml:space="preserve">, </w:t>
      </w:r>
      <w:r w:rsidRPr="00D3335F">
        <w:rPr>
          <w:rFonts w:cs="Times New Roman"/>
          <w:i/>
          <w:iCs/>
          <w:lang w:val="en-IN"/>
        </w:rPr>
        <w:t>41</w:t>
      </w:r>
      <w:r w:rsidRPr="00D3335F">
        <w:rPr>
          <w:rFonts w:cs="Times New Roman"/>
          <w:lang w:val="en-IN"/>
        </w:rPr>
        <w:t>(5), pp.856-871.</w:t>
      </w:r>
    </w:p>
    <w:p w14:paraId="56984136" w14:textId="77777777" w:rsidR="00F576CF" w:rsidRPr="00F576CF" w:rsidRDefault="00F576CF" w:rsidP="00F576CF">
      <w:pPr>
        <w:rPr>
          <w:rFonts w:cs="Times New Roman"/>
          <w:lang w:val="en-IN"/>
        </w:rPr>
      </w:pPr>
    </w:p>
    <w:p w14:paraId="2414B6D3" w14:textId="77777777" w:rsidR="006C47AE" w:rsidRPr="00D3335F" w:rsidRDefault="006C47AE">
      <w:pPr>
        <w:rPr>
          <w:rFonts w:cs="Times New Roman"/>
        </w:rPr>
      </w:pPr>
    </w:p>
    <w:sectPr w:rsidR="006C47AE" w:rsidRPr="00D3335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4BC30" w14:textId="77777777" w:rsidR="004D74E6" w:rsidRDefault="004D74E6" w:rsidP="00EB5710">
      <w:pPr>
        <w:spacing w:after="0" w:line="240" w:lineRule="auto"/>
      </w:pPr>
      <w:r>
        <w:separator/>
      </w:r>
    </w:p>
  </w:endnote>
  <w:endnote w:type="continuationSeparator" w:id="0">
    <w:p w14:paraId="78F05A08" w14:textId="77777777" w:rsidR="004D74E6" w:rsidRDefault="004D74E6" w:rsidP="00EB5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897392"/>
      <w:docPartObj>
        <w:docPartGallery w:val="Page Numbers (Bottom of Page)"/>
        <w:docPartUnique/>
      </w:docPartObj>
    </w:sdtPr>
    <w:sdtEndPr>
      <w:rPr>
        <w:noProof/>
      </w:rPr>
    </w:sdtEndPr>
    <w:sdtContent>
      <w:p w14:paraId="51A73CBC" w14:textId="68B0AC4A" w:rsidR="00EB5710" w:rsidRDefault="00EB57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BF1595" w14:textId="77777777" w:rsidR="00EB5710" w:rsidRDefault="00EB5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E476F" w14:textId="77777777" w:rsidR="004D74E6" w:rsidRDefault="004D74E6" w:rsidP="00EB5710">
      <w:pPr>
        <w:spacing w:after="0" w:line="240" w:lineRule="auto"/>
      </w:pPr>
      <w:r>
        <w:separator/>
      </w:r>
    </w:p>
  </w:footnote>
  <w:footnote w:type="continuationSeparator" w:id="0">
    <w:p w14:paraId="0DE051C4" w14:textId="77777777" w:rsidR="004D74E6" w:rsidRDefault="004D74E6" w:rsidP="00EB57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6CF"/>
    <w:rsid w:val="00006364"/>
    <w:rsid w:val="000066C6"/>
    <w:rsid w:val="00036BB1"/>
    <w:rsid w:val="00040705"/>
    <w:rsid w:val="000436DA"/>
    <w:rsid w:val="00045EC3"/>
    <w:rsid w:val="00075085"/>
    <w:rsid w:val="00077ADF"/>
    <w:rsid w:val="00091279"/>
    <w:rsid w:val="000A744B"/>
    <w:rsid w:val="000B7548"/>
    <w:rsid w:val="000E5830"/>
    <w:rsid w:val="00106896"/>
    <w:rsid w:val="001541A9"/>
    <w:rsid w:val="00167BC9"/>
    <w:rsid w:val="001A15DB"/>
    <w:rsid w:val="001B71E8"/>
    <w:rsid w:val="001C3CE7"/>
    <w:rsid w:val="001D054A"/>
    <w:rsid w:val="001D28B2"/>
    <w:rsid w:val="001D3547"/>
    <w:rsid w:val="001E298C"/>
    <w:rsid w:val="00205A50"/>
    <w:rsid w:val="002071D6"/>
    <w:rsid w:val="002146C1"/>
    <w:rsid w:val="0025028E"/>
    <w:rsid w:val="002751A7"/>
    <w:rsid w:val="00284A84"/>
    <w:rsid w:val="0029176A"/>
    <w:rsid w:val="00294C3C"/>
    <w:rsid w:val="00294CE9"/>
    <w:rsid w:val="002B7F47"/>
    <w:rsid w:val="002D1EBC"/>
    <w:rsid w:val="002D4EF4"/>
    <w:rsid w:val="003036E0"/>
    <w:rsid w:val="00307DB7"/>
    <w:rsid w:val="00331B85"/>
    <w:rsid w:val="00333274"/>
    <w:rsid w:val="00333C4F"/>
    <w:rsid w:val="00336C7F"/>
    <w:rsid w:val="00351334"/>
    <w:rsid w:val="00355FAC"/>
    <w:rsid w:val="00364E47"/>
    <w:rsid w:val="003B3D8C"/>
    <w:rsid w:val="003B3F40"/>
    <w:rsid w:val="003B5371"/>
    <w:rsid w:val="003C6315"/>
    <w:rsid w:val="0040634F"/>
    <w:rsid w:val="00445ECA"/>
    <w:rsid w:val="0048216D"/>
    <w:rsid w:val="004950E9"/>
    <w:rsid w:val="004A01AD"/>
    <w:rsid w:val="004C0744"/>
    <w:rsid w:val="004D0DD1"/>
    <w:rsid w:val="004D56C9"/>
    <w:rsid w:val="004D74E6"/>
    <w:rsid w:val="00502E2F"/>
    <w:rsid w:val="005144E2"/>
    <w:rsid w:val="00522158"/>
    <w:rsid w:val="005311D7"/>
    <w:rsid w:val="00533E52"/>
    <w:rsid w:val="005638FD"/>
    <w:rsid w:val="005709E0"/>
    <w:rsid w:val="005967F8"/>
    <w:rsid w:val="005A1F76"/>
    <w:rsid w:val="00626623"/>
    <w:rsid w:val="00633F0B"/>
    <w:rsid w:val="00642579"/>
    <w:rsid w:val="0067033A"/>
    <w:rsid w:val="006728F0"/>
    <w:rsid w:val="006972CB"/>
    <w:rsid w:val="006A366F"/>
    <w:rsid w:val="006C0033"/>
    <w:rsid w:val="006C47AE"/>
    <w:rsid w:val="006D6D84"/>
    <w:rsid w:val="006E4D8C"/>
    <w:rsid w:val="006F350A"/>
    <w:rsid w:val="007032C3"/>
    <w:rsid w:val="00715AC6"/>
    <w:rsid w:val="00751A98"/>
    <w:rsid w:val="00767D33"/>
    <w:rsid w:val="00777B54"/>
    <w:rsid w:val="007844FF"/>
    <w:rsid w:val="007A2E3D"/>
    <w:rsid w:val="007B0740"/>
    <w:rsid w:val="007C2BBA"/>
    <w:rsid w:val="007D00E0"/>
    <w:rsid w:val="007E1595"/>
    <w:rsid w:val="0085282E"/>
    <w:rsid w:val="008675DF"/>
    <w:rsid w:val="00871487"/>
    <w:rsid w:val="0087152B"/>
    <w:rsid w:val="00876993"/>
    <w:rsid w:val="00883731"/>
    <w:rsid w:val="008B5976"/>
    <w:rsid w:val="008C0CF9"/>
    <w:rsid w:val="008D3C6D"/>
    <w:rsid w:val="008D51C5"/>
    <w:rsid w:val="0090489A"/>
    <w:rsid w:val="009339CF"/>
    <w:rsid w:val="00933D5D"/>
    <w:rsid w:val="00937C6C"/>
    <w:rsid w:val="009455F0"/>
    <w:rsid w:val="009606F1"/>
    <w:rsid w:val="00981538"/>
    <w:rsid w:val="00983B6C"/>
    <w:rsid w:val="00986CA8"/>
    <w:rsid w:val="009D4F07"/>
    <w:rsid w:val="009D6E51"/>
    <w:rsid w:val="009F50B3"/>
    <w:rsid w:val="009F5280"/>
    <w:rsid w:val="00A138DD"/>
    <w:rsid w:val="00A14390"/>
    <w:rsid w:val="00A25184"/>
    <w:rsid w:val="00A36199"/>
    <w:rsid w:val="00A632F1"/>
    <w:rsid w:val="00A66726"/>
    <w:rsid w:val="00A77849"/>
    <w:rsid w:val="00A875F3"/>
    <w:rsid w:val="00AA1047"/>
    <w:rsid w:val="00AB610A"/>
    <w:rsid w:val="00AE6147"/>
    <w:rsid w:val="00AE7826"/>
    <w:rsid w:val="00AF2B24"/>
    <w:rsid w:val="00B042B2"/>
    <w:rsid w:val="00B1432A"/>
    <w:rsid w:val="00B14571"/>
    <w:rsid w:val="00B1495C"/>
    <w:rsid w:val="00B24501"/>
    <w:rsid w:val="00B31BE0"/>
    <w:rsid w:val="00B9189A"/>
    <w:rsid w:val="00BD2A10"/>
    <w:rsid w:val="00BD4C94"/>
    <w:rsid w:val="00BE090C"/>
    <w:rsid w:val="00BE2CB5"/>
    <w:rsid w:val="00BE5B8E"/>
    <w:rsid w:val="00C07E29"/>
    <w:rsid w:val="00C307DC"/>
    <w:rsid w:val="00C37B38"/>
    <w:rsid w:val="00C45F6C"/>
    <w:rsid w:val="00C52618"/>
    <w:rsid w:val="00C529D1"/>
    <w:rsid w:val="00C712C7"/>
    <w:rsid w:val="00C86089"/>
    <w:rsid w:val="00C8670E"/>
    <w:rsid w:val="00C917BE"/>
    <w:rsid w:val="00C943F5"/>
    <w:rsid w:val="00CA7AEF"/>
    <w:rsid w:val="00CB0953"/>
    <w:rsid w:val="00CB276F"/>
    <w:rsid w:val="00CC5ACE"/>
    <w:rsid w:val="00CF5143"/>
    <w:rsid w:val="00D07B4F"/>
    <w:rsid w:val="00D3335F"/>
    <w:rsid w:val="00D4326D"/>
    <w:rsid w:val="00D521EA"/>
    <w:rsid w:val="00D609D3"/>
    <w:rsid w:val="00D715AB"/>
    <w:rsid w:val="00D75780"/>
    <w:rsid w:val="00D95883"/>
    <w:rsid w:val="00DA6385"/>
    <w:rsid w:val="00DA68BB"/>
    <w:rsid w:val="00DB0ED0"/>
    <w:rsid w:val="00DC3C67"/>
    <w:rsid w:val="00DC6B7E"/>
    <w:rsid w:val="00E055D5"/>
    <w:rsid w:val="00E148B0"/>
    <w:rsid w:val="00E261D1"/>
    <w:rsid w:val="00E556F3"/>
    <w:rsid w:val="00E77F00"/>
    <w:rsid w:val="00E819B8"/>
    <w:rsid w:val="00EB5710"/>
    <w:rsid w:val="00ED06B2"/>
    <w:rsid w:val="00EF361B"/>
    <w:rsid w:val="00EF7BEF"/>
    <w:rsid w:val="00F06A89"/>
    <w:rsid w:val="00F2350A"/>
    <w:rsid w:val="00F30D8D"/>
    <w:rsid w:val="00F35FE4"/>
    <w:rsid w:val="00F46330"/>
    <w:rsid w:val="00F50775"/>
    <w:rsid w:val="00F50ADF"/>
    <w:rsid w:val="00F51021"/>
    <w:rsid w:val="00F56641"/>
    <w:rsid w:val="00F576CF"/>
    <w:rsid w:val="00F61A21"/>
    <w:rsid w:val="00F61BC9"/>
    <w:rsid w:val="00F6538A"/>
    <w:rsid w:val="00F66632"/>
    <w:rsid w:val="00F855A1"/>
    <w:rsid w:val="00FA01F5"/>
    <w:rsid w:val="00FC2783"/>
    <w:rsid w:val="00FD5182"/>
    <w:rsid w:val="00FE0769"/>
    <w:rsid w:val="00FE3B41"/>
    <w:rsid w:val="00FF19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988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FE4"/>
    <w:pPr>
      <w:spacing w:line="360" w:lineRule="auto"/>
      <w:jc w:val="both"/>
    </w:pPr>
    <w:rPr>
      <w:rFonts w:ascii="Times New Roman" w:hAnsi="Times New Roman"/>
      <w:color w:val="0D0D0D" w:themeColor="text1" w:themeTint="F2"/>
      <w:lang w:val="en-GB" w:bidi="hi-IN"/>
    </w:rPr>
  </w:style>
  <w:style w:type="paragraph" w:styleId="Heading1">
    <w:name w:val="heading 1"/>
    <w:basedOn w:val="Normal"/>
    <w:next w:val="Normal"/>
    <w:link w:val="Heading1Char"/>
    <w:uiPriority w:val="9"/>
    <w:qFormat/>
    <w:rsid w:val="00522158"/>
    <w:pPr>
      <w:keepNext/>
      <w:keepLines/>
      <w:spacing w:before="360" w:after="80"/>
      <w:outlineLvl w:val="0"/>
    </w:pPr>
    <w:rPr>
      <w:rFonts w:eastAsiaTheme="majorEastAsia" w:cstheme="majorBidi"/>
      <w:b/>
      <w:sz w:val="36"/>
      <w:szCs w:val="36"/>
    </w:rPr>
  </w:style>
  <w:style w:type="paragraph" w:styleId="Heading2">
    <w:name w:val="heading 2"/>
    <w:basedOn w:val="Normal"/>
    <w:next w:val="Normal"/>
    <w:link w:val="Heading2Char"/>
    <w:uiPriority w:val="9"/>
    <w:semiHidden/>
    <w:unhideWhenUsed/>
    <w:qFormat/>
    <w:rsid w:val="00522158"/>
    <w:pPr>
      <w:keepNext/>
      <w:keepLines/>
      <w:spacing w:before="160" w:after="80"/>
      <w:outlineLvl w:val="1"/>
    </w:pPr>
    <w:rPr>
      <w:rFonts w:eastAsiaTheme="majorEastAsia" w:cstheme="majorBidi"/>
      <w:b/>
      <w:sz w:val="32"/>
      <w:szCs w:val="29"/>
    </w:rPr>
  </w:style>
  <w:style w:type="paragraph" w:styleId="Heading3">
    <w:name w:val="heading 3"/>
    <w:basedOn w:val="Normal"/>
    <w:next w:val="Normal"/>
    <w:link w:val="Heading3Char"/>
    <w:uiPriority w:val="9"/>
    <w:semiHidden/>
    <w:unhideWhenUsed/>
    <w:qFormat/>
    <w:rsid w:val="009F50B3"/>
    <w:pPr>
      <w:keepNext/>
      <w:keepLines/>
      <w:spacing w:before="160" w:after="80"/>
      <w:outlineLvl w:val="2"/>
    </w:pPr>
    <w:rPr>
      <w:rFonts w:eastAsiaTheme="majorEastAsia" w:cstheme="majorBidi"/>
      <w:b/>
      <w:sz w:val="28"/>
      <w:szCs w:val="25"/>
    </w:rPr>
  </w:style>
  <w:style w:type="paragraph" w:styleId="Heading4">
    <w:name w:val="heading 4"/>
    <w:basedOn w:val="Normal"/>
    <w:next w:val="Normal"/>
    <w:link w:val="Heading4Char"/>
    <w:uiPriority w:val="9"/>
    <w:semiHidden/>
    <w:unhideWhenUsed/>
    <w:qFormat/>
    <w:rsid w:val="00F576CF"/>
    <w:pPr>
      <w:keepNext/>
      <w:keepLines/>
      <w:spacing w:before="80" w:after="40"/>
      <w:outlineLvl w:val="3"/>
    </w:pPr>
    <w:rPr>
      <w:rFonts w:asciiTheme="minorHAnsi" w:eastAsiaTheme="majorEastAsia" w:hAnsiTheme="minorHAnsi" w:cstheme="majorBidi"/>
      <w:i/>
      <w:iCs/>
      <w:color w:val="0F4761" w:themeColor="accent1" w:themeShade="BF"/>
      <w:szCs w:val="21"/>
    </w:rPr>
  </w:style>
  <w:style w:type="paragraph" w:styleId="Heading5">
    <w:name w:val="heading 5"/>
    <w:basedOn w:val="Normal"/>
    <w:next w:val="Normal"/>
    <w:link w:val="Heading5Char"/>
    <w:uiPriority w:val="9"/>
    <w:semiHidden/>
    <w:unhideWhenUsed/>
    <w:qFormat/>
    <w:rsid w:val="00F576CF"/>
    <w:pPr>
      <w:keepNext/>
      <w:keepLines/>
      <w:spacing w:before="80" w:after="40"/>
      <w:outlineLvl w:val="4"/>
    </w:pPr>
    <w:rPr>
      <w:rFonts w:asciiTheme="minorHAnsi" w:eastAsiaTheme="majorEastAsia" w:hAnsiTheme="minorHAnsi" w:cstheme="majorBidi"/>
      <w:color w:val="0F4761" w:themeColor="accent1" w:themeShade="BF"/>
      <w:szCs w:val="21"/>
    </w:rPr>
  </w:style>
  <w:style w:type="paragraph" w:styleId="Heading6">
    <w:name w:val="heading 6"/>
    <w:basedOn w:val="Normal"/>
    <w:next w:val="Normal"/>
    <w:link w:val="Heading6Char"/>
    <w:uiPriority w:val="9"/>
    <w:semiHidden/>
    <w:unhideWhenUsed/>
    <w:qFormat/>
    <w:rsid w:val="00F576CF"/>
    <w:pPr>
      <w:keepNext/>
      <w:keepLines/>
      <w:spacing w:before="40" w:after="0"/>
      <w:outlineLvl w:val="5"/>
    </w:pPr>
    <w:rPr>
      <w:rFonts w:asciiTheme="minorHAnsi" w:eastAsiaTheme="majorEastAsia" w:hAnsiTheme="minorHAnsi" w:cstheme="majorBidi"/>
      <w:i/>
      <w:iCs/>
      <w:color w:val="595959" w:themeColor="text1" w:themeTint="A6"/>
      <w:szCs w:val="21"/>
    </w:rPr>
  </w:style>
  <w:style w:type="paragraph" w:styleId="Heading7">
    <w:name w:val="heading 7"/>
    <w:basedOn w:val="Normal"/>
    <w:next w:val="Normal"/>
    <w:link w:val="Heading7Char"/>
    <w:uiPriority w:val="9"/>
    <w:semiHidden/>
    <w:unhideWhenUsed/>
    <w:qFormat/>
    <w:rsid w:val="00F576CF"/>
    <w:pPr>
      <w:keepNext/>
      <w:keepLines/>
      <w:spacing w:before="40" w:after="0"/>
      <w:outlineLvl w:val="6"/>
    </w:pPr>
    <w:rPr>
      <w:rFonts w:asciiTheme="minorHAnsi" w:eastAsiaTheme="majorEastAsia" w:hAnsiTheme="minorHAnsi" w:cstheme="majorBidi"/>
      <w:color w:val="595959" w:themeColor="text1" w:themeTint="A6"/>
      <w:szCs w:val="21"/>
    </w:rPr>
  </w:style>
  <w:style w:type="paragraph" w:styleId="Heading8">
    <w:name w:val="heading 8"/>
    <w:basedOn w:val="Normal"/>
    <w:next w:val="Normal"/>
    <w:link w:val="Heading8Char"/>
    <w:uiPriority w:val="9"/>
    <w:semiHidden/>
    <w:unhideWhenUsed/>
    <w:qFormat/>
    <w:rsid w:val="00F576CF"/>
    <w:pPr>
      <w:keepNext/>
      <w:keepLines/>
      <w:spacing w:after="0"/>
      <w:outlineLvl w:val="7"/>
    </w:pPr>
    <w:rPr>
      <w:rFonts w:asciiTheme="minorHAnsi" w:eastAsiaTheme="majorEastAsia" w:hAnsiTheme="minorHAnsi" w:cstheme="majorBidi"/>
      <w:i/>
      <w:iCs/>
      <w:color w:val="272727" w:themeColor="text1" w:themeTint="D8"/>
      <w:szCs w:val="21"/>
    </w:rPr>
  </w:style>
  <w:style w:type="paragraph" w:styleId="Heading9">
    <w:name w:val="heading 9"/>
    <w:basedOn w:val="Normal"/>
    <w:next w:val="Normal"/>
    <w:link w:val="Heading9Char"/>
    <w:uiPriority w:val="9"/>
    <w:semiHidden/>
    <w:unhideWhenUsed/>
    <w:qFormat/>
    <w:rsid w:val="00F576CF"/>
    <w:pPr>
      <w:keepNext/>
      <w:keepLines/>
      <w:spacing w:after="0"/>
      <w:outlineLvl w:val="8"/>
    </w:pPr>
    <w:rPr>
      <w:rFonts w:asciiTheme="minorHAnsi" w:eastAsiaTheme="majorEastAsia" w:hAnsiTheme="min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158"/>
    <w:rPr>
      <w:rFonts w:ascii="Times New Roman" w:eastAsiaTheme="majorEastAsia" w:hAnsi="Times New Roman" w:cstheme="majorBidi"/>
      <w:b/>
      <w:color w:val="0D0D0D" w:themeColor="text1" w:themeTint="F2"/>
      <w:sz w:val="36"/>
      <w:szCs w:val="36"/>
      <w:lang w:val="en-GB" w:bidi="hi-IN"/>
    </w:rPr>
  </w:style>
  <w:style w:type="character" w:customStyle="1" w:styleId="Heading2Char">
    <w:name w:val="Heading 2 Char"/>
    <w:basedOn w:val="DefaultParagraphFont"/>
    <w:link w:val="Heading2"/>
    <w:uiPriority w:val="9"/>
    <w:semiHidden/>
    <w:rsid w:val="00522158"/>
    <w:rPr>
      <w:rFonts w:ascii="Times New Roman" w:eastAsiaTheme="majorEastAsia" w:hAnsi="Times New Roman" w:cstheme="majorBidi"/>
      <w:b/>
      <w:color w:val="0D0D0D" w:themeColor="text1" w:themeTint="F2"/>
      <w:sz w:val="32"/>
      <w:szCs w:val="29"/>
      <w:lang w:val="en-GB" w:bidi="hi-IN"/>
    </w:rPr>
  </w:style>
  <w:style w:type="character" w:customStyle="1" w:styleId="Heading3Char">
    <w:name w:val="Heading 3 Char"/>
    <w:basedOn w:val="DefaultParagraphFont"/>
    <w:link w:val="Heading3"/>
    <w:uiPriority w:val="9"/>
    <w:semiHidden/>
    <w:rsid w:val="009F50B3"/>
    <w:rPr>
      <w:rFonts w:ascii="Times New Roman" w:eastAsiaTheme="majorEastAsia" w:hAnsi="Times New Roman" w:cstheme="majorBidi"/>
      <w:b/>
      <w:color w:val="0D0D0D" w:themeColor="text1" w:themeTint="F2"/>
      <w:sz w:val="28"/>
      <w:szCs w:val="25"/>
      <w:lang w:val="en-GB" w:bidi="hi-IN"/>
    </w:rPr>
  </w:style>
  <w:style w:type="character" w:customStyle="1" w:styleId="Heading4Char">
    <w:name w:val="Heading 4 Char"/>
    <w:basedOn w:val="DefaultParagraphFont"/>
    <w:link w:val="Heading4"/>
    <w:uiPriority w:val="9"/>
    <w:semiHidden/>
    <w:rsid w:val="00F576CF"/>
    <w:rPr>
      <w:rFonts w:eastAsiaTheme="majorEastAsia" w:cstheme="majorBidi"/>
      <w:i/>
      <w:iCs/>
      <w:color w:val="0F4761" w:themeColor="accent1" w:themeShade="BF"/>
      <w:szCs w:val="21"/>
      <w:lang w:val="en-GB" w:bidi="hi-IN"/>
    </w:rPr>
  </w:style>
  <w:style w:type="character" w:customStyle="1" w:styleId="Heading5Char">
    <w:name w:val="Heading 5 Char"/>
    <w:basedOn w:val="DefaultParagraphFont"/>
    <w:link w:val="Heading5"/>
    <w:uiPriority w:val="9"/>
    <w:semiHidden/>
    <w:rsid w:val="00F576CF"/>
    <w:rPr>
      <w:rFonts w:eastAsiaTheme="majorEastAsia" w:cstheme="majorBidi"/>
      <w:color w:val="0F4761" w:themeColor="accent1" w:themeShade="BF"/>
      <w:szCs w:val="21"/>
      <w:lang w:val="en-GB" w:bidi="hi-IN"/>
    </w:rPr>
  </w:style>
  <w:style w:type="character" w:customStyle="1" w:styleId="Heading6Char">
    <w:name w:val="Heading 6 Char"/>
    <w:basedOn w:val="DefaultParagraphFont"/>
    <w:link w:val="Heading6"/>
    <w:uiPriority w:val="9"/>
    <w:semiHidden/>
    <w:rsid w:val="00F576CF"/>
    <w:rPr>
      <w:rFonts w:eastAsiaTheme="majorEastAsia" w:cstheme="majorBidi"/>
      <w:i/>
      <w:iCs/>
      <w:color w:val="595959" w:themeColor="text1" w:themeTint="A6"/>
      <w:szCs w:val="21"/>
      <w:lang w:val="en-GB" w:bidi="hi-IN"/>
    </w:rPr>
  </w:style>
  <w:style w:type="character" w:customStyle="1" w:styleId="Heading7Char">
    <w:name w:val="Heading 7 Char"/>
    <w:basedOn w:val="DefaultParagraphFont"/>
    <w:link w:val="Heading7"/>
    <w:uiPriority w:val="9"/>
    <w:semiHidden/>
    <w:rsid w:val="00F576CF"/>
    <w:rPr>
      <w:rFonts w:eastAsiaTheme="majorEastAsia" w:cstheme="majorBidi"/>
      <w:color w:val="595959" w:themeColor="text1" w:themeTint="A6"/>
      <w:szCs w:val="21"/>
      <w:lang w:val="en-GB" w:bidi="hi-IN"/>
    </w:rPr>
  </w:style>
  <w:style w:type="character" w:customStyle="1" w:styleId="Heading8Char">
    <w:name w:val="Heading 8 Char"/>
    <w:basedOn w:val="DefaultParagraphFont"/>
    <w:link w:val="Heading8"/>
    <w:uiPriority w:val="9"/>
    <w:semiHidden/>
    <w:rsid w:val="00F576CF"/>
    <w:rPr>
      <w:rFonts w:eastAsiaTheme="majorEastAsia" w:cstheme="majorBidi"/>
      <w:i/>
      <w:iCs/>
      <w:color w:val="272727" w:themeColor="text1" w:themeTint="D8"/>
      <w:szCs w:val="21"/>
      <w:lang w:val="en-GB" w:bidi="hi-IN"/>
    </w:rPr>
  </w:style>
  <w:style w:type="character" w:customStyle="1" w:styleId="Heading9Char">
    <w:name w:val="Heading 9 Char"/>
    <w:basedOn w:val="DefaultParagraphFont"/>
    <w:link w:val="Heading9"/>
    <w:uiPriority w:val="9"/>
    <w:semiHidden/>
    <w:rsid w:val="00F576CF"/>
    <w:rPr>
      <w:rFonts w:eastAsiaTheme="majorEastAsia" w:cstheme="majorBidi"/>
      <w:color w:val="272727" w:themeColor="text1" w:themeTint="D8"/>
      <w:szCs w:val="21"/>
      <w:lang w:val="en-GB" w:bidi="hi-IN"/>
    </w:rPr>
  </w:style>
  <w:style w:type="paragraph" w:styleId="Title">
    <w:name w:val="Title"/>
    <w:basedOn w:val="Normal"/>
    <w:next w:val="Normal"/>
    <w:link w:val="TitleChar"/>
    <w:uiPriority w:val="10"/>
    <w:qFormat/>
    <w:rsid w:val="00F576CF"/>
    <w:pPr>
      <w:spacing w:after="80" w:line="240" w:lineRule="auto"/>
      <w:contextualSpacing/>
    </w:pPr>
    <w:rPr>
      <w:rFonts w:asciiTheme="majorHAnsi" w:eastAsiaTheme="majorEastAsia" w:hAnsiTheme="majorHAnsi" w:cstheme="majorBidi"/>
      <w:color w:val="auto"/>
      <w:spacing w:val="-10"/>
      <w:kern w:val="28"/>
      <w:sz w:val="56"/>
      <w:szCs w:val="50"/>
    </w:rPr>
  </w:style>
  <w:style w:type="character" w:customStyle="1" w:styleId="TitleChar">
    <w:name w:val="Title Char"/>
    <w:basedOn w:val="DefaultParagraphFont"/>
    <w:link w:val="Title"/>
    <w:uiPriority w:val="10"/>
    <w:rsid w:val="00F576CF"/>
    <w:rPr>
      <w:rFonts w:asciiTheme="majorHAnsi" w:eastAsiaTheme="majorEastAsia" w:hAnsiTheme="majorHAnsi" w:cstheme="majorBidi"/>
      <w:spacing w:val="-10"/>
      <w:kern w:val="28"/>
      <w:sz w:val="56"/>
      <w:szCs w:val="50"/>
      <w:lang w:val="en-GB" w:bidi="hi-IN"/>
    </w:rPr>
  </w:style>
  <w:style w:type="paragraph" w:styleId="Subtitle">
    <w:name w:val="Subtitle"/>
    <w:basedOn w:val="Normal"/>
    <w:next w:val="Normal"/>
    <w:link w:val="SubtitleChar"/>
    <w:uiPriority w:val="11"/>
    <w:qFormat/>
    <w:rsid w:val="00F576CF"/>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576CF"/>
    <w:rPr>
      <w:rFonts w:eastAsiaTheme="majorEastAsia" w:cstheme="majorBidi"/>
      <w:color w:val="595959" w:themeColor="text1" w:themeTint="A6"/>
      <w:spacing w:val="15"/>
      <w:sz w:val="28"/>
      <w:szCs w:val="25"/>
      <w:lang w:val="en-GB" w:bidi="hi-IN"/>
    </w:rPr>
  </w:style>
  <w:style w:type="paragraph" w:styleId="Quote">
    <w:name w:val="Quote"/>
    <w:basedOn w:val="Normal"/>
    <w:next w:val="Normal"/>
    <w:link w:val="QuoteChar"/>
    <w:uiPriority w:val="29"/>
    <w:qFormat/>
    <w:rsid w:val="00F576CF"/>
    <w:pPr>
      <w:spacing w:before="160"/>
      <w:jc w:val="center"/>
    </w:pPr>
    <w:rPr>
      <w:i/>
      <w:iCs/>
      <w:color w:val="404040" w:themeColor="text1" w:themeTint="BF"/>
      <w:szCs w:val="21"/>
    </w:rPr>
  </w:style>
  <w:style w:type="character" w:customStyle="1" w:styleId="QuoteChar">
    <w:name w:val="Quote Char"/>
    <w:basedOn w:val="DefaultParagraphFont"/>
    <w:link w:val="Quote"/>
    <w:uiPriority w:val="29"/>
    <w:rsid w:val="00F576CF"/>
    <w:rPr>
      <w:rFonts w:ascii="Times New Roman" w:hAnsi="Times New Roman"/>
      <w:i/>
      <w:iCs/>
      <w:color w:val="404040" w:themeColor="text1" w:themeTint="BF"/>
      <w:szCs w:val="21"/>
      <w:lang w:val="en-GB" w:bidi="hi-IN"/>
    </w:rPr>
  </w:style>
  <w:style w:type="paragraph" w:styleId="ListParagraph">
    <w:name w:val="List Paragraph"/>
    <w:basedOn w:val="Normal"/>
    <w:uiPriority w:val="34"/>
    <w:qFormat/>
    <w:rsid w:val="00F576CF"/>
    <w:pPr>
      <w:ind w:left="720"/>
      <w:contextualSpacing/>
    </w:pPr>
    <w:rPr>
      <w:szCs w:val="21"/>
    </w:rPr>
  </w:style>
  <w:style w:type="character" w:styleId="IntenseEmphasis">
    <w:name w:val="Intense Emphasis"/>
    <w:basedOn w:val="DefaultParagraphFont"/>
    <w:uiPriority w:val="21"/>
    <w:qFormat/>
    <w:rsid w:val="00F576CF"/>
    <w:rPr>
      <w:i/>
      <w:iCs/>
      <w:color w:val="0F4761" w:themeColor="accent1" w:themeShade="BF"/>
    </w:rPr>
  </w:style>
  <w:style w:type="paragraph" w:styleId="IntenseQuote">
    <w:name w:val="Intense Quote"/>
    <w:basedOn w:val="Normal"/>
    <w:next w:val="Normal"/>
    <w:link w:val="IntenseQuoteChar"/>
    <w:uiPriority w:val="30"/>
    <w:qFormat/>
    <w:rsid w:val="00F57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1"/>
    </w:rPr>
  </w:style>
  <w:style w:type="character" w:customStyle="1" w:styleId="IntenseQuoteChar">
    <w:name w:val="Intense Quote Char"/>
    <w:basedOn w:val="DefaultParagraphFont"/>
    <w:link w:val="IntenseQuote"/>
    <w:uiPriority w:val="30"/>
    <w:rsid w:val="00F576CF"/>
    <w:rPr>
      <w:rFonts w:ascii="Times New Roman" w:hAnsi="Times New Roman"/>
      <w:i/>
      <w:iCs/>
      <w:color w:val="0F4761" w:themeColor="accent1" w:themeShade="BF"/>
      <w:szCs w:val="21"/>
      <w:lang w:val="en-GB" w:bidi="hi-IN"/>
    </w:rPr>
  </w:style>
  <w:style w:type="character" w:styleId="IntenseReference">
    <w:name w:val="Intense Reference"/>
    <w:basedOn w:val="DefaultParagraphFont"/>
    <w:uiPriority w:val="32"/>
    <w:qFormat/>
    <w:rsid w:val="00F576CF"/>
    <w:rPr>
      <w:b/>
      <w:bCs/>
      <w:smallCaps/>
      <w:color w:val="0F4761" w:themeColor="accent1" w:themeShade="BF"/>
      <w:spacing w:val="5"/>
    </w:rPr>
  </w:style>
  <w:style w:type="character" w:styleId="Hyperlink">
    <w:name w:val="Hyperlink"/>
    <w:basedOn w:val="DefaultParagraphFont"/>
    <w:uiPriority w:val="99"/>
    <w:unhideWhenUsed/>
    <w:rsid w:val="00F576CF"/>
    <w:rPr>
      <w:color w:val="467886" w:themeColor="hyperlink"/>
      <w:u w:val="single"/>
    </w:rPr>
  </w:style>
  <w:style w:type="paragraph" w:styleId="Header">
    <w:name w:val="header"/>
    <w:basedOn w:val="Normal"/>
    <w:link w:val="HeaderChar"/>
    <w:uiPriority w:val="99"/>
    <w:unhideWhenUsed/>
    <w:rsid w:val="00EB5710"/>
    <w:pPr>
      <w:tabs>
        <w:tab w:val="center" w:pos="4513"/>
        <w:tab w:val="right" w:pos="9026"/>
      </w:tabs>
      <w:spacing w:after="0" w:line="240" w:lineRule="auto"/>
    </w:pPr>
    <w:rPr>
      <w:szCs w:val="21"/>
    </w:rPr>
  </w:style>
  <w:style w:type="character" w:customStyle="1" w:styleId="HeaderChar">
    <w:name w:val="Header Char"/>
    <w:basedOn w:val="DefaultParagraphFont"/>
    <w:link w:val="Header"/>
    <w:uiPriority w:val="99"/>
    <w:rsid w:val="00EB5710"/>
    <w:rPr>
      <w:rFonts w:ascii="Times New Roman" w:hAnsi="Times New Roman"/>
      <w:color w:val="0D0D0D" w:themeColor="text1" w:themeTint="F2"/>
      <w:szCs w:val="21"/>
      <w:lang w:val="en-GB" w:bidi="hi-IN"/>
    </w:rPr>
  </w:style>
  <w:style w:type="paragraph" w:styleId="Footer">
    <w:name w:val="footer"/>
    <w:basedOn w:val="Normal"/>
    <w:link w:val="FooterChar"/>
    <w:uiPriority w:val="99"/>
    <w:unhideWhenUsed/>
    <w:rsid w:val="00EB5710"/>
    <w:pPr>
      <w:tabs>
        <w:tab w:val="center" w:pos="4513"/>
        <w:tab w:val="right" w:pos="9026"/>
      </w:tabs>
      <w:spacing w:after="0" w:line="240" w:lineRule="auto"/>
    </w:pPr>
    <w:rPr>
      <w:szCs w:val="21"/>
    </w:rPr>
  </w:style>
  <w:style w:type="character" w:customStyle="1" w:styleId="FooterChar">
    <w:name w:val="Footer Char"/>
    <w:basedOn w:val="DefaultParagraphFont"/>
    <w:link w:val="Footer"/>
    <w:uiPriority w:val="99"/>
    <w:rsid w:val="00EB5710"/>
    <w:rPr>
      <w:rFonts w:ascii="Times New Roman" w:hAnsi="Times New Roman"/>
      <w:color w:val="0D0D0D" w:themeColor="text1" w:themeTint="F2"/>
      <w:szCs w:val="21"/>
      <w:lang w:val="en-GB" w:bidi="hi-IN"/>
    </w:rPr>
  </w:style>
  <w:style w:type="paragraph" w:styleId="TOCHeading">
    <w:name w:val="TOC Heading"/>
    <w:basedOn w:val="Heading1"/>
    <w:next w:val="Normal"/>
    <w:uiPriority w:val="39"/>
    <w:unhideWhenUsed/>
    <w:qFormat/>
    <w:rsid w:val="00B1432A"/>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1432A"/>
    <w:pPr>
      <w:spacing w:after="10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investors/why-invest-in-unileve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542F8-1366-4108-9931-13ECDEA93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2470</Words>
  <Characters>14081</Characters>
  <Application>Microsoft Office Word</Application>
  <DocSecurity>0</DocSecurity>
  <Lines>117</Lines>
  <Paragraphs>33</Paragraphs>
  <ScaleCrop>false</ScaleCrop>
  <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2026-02-27T05:26:00Z</dcterms:created>
  <dcterms:modified xsi:type="dcterms:W3CDTF">2026-03-22T09:00:00Z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30ed1d69-1f37-4629-a06b-c87bd7b500ce</vt:lpwstr>
  </property>
</Properties>
</file>