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05D655">
      <w:pPr>
        <w:pStyle w:val="2"/>
        <w:keepNext w:val="0"/>
        <w:keepLines w:val="0"/>
        <w:widowControl/>
        <w:suppressLineNumbers w:val="0"/>
        <w:rPr>
          <w:rFonts w:hint="default" w:ascii="Arial" w:hAnsi="Arial" w:eastAsia="微软雅黑" w:cs="Arial"/>
          <w:b/>
          <w:bCs/>
          <w14:textFill>
            <w14:gradFill>
              <w14:gsLst>
                <w14:gs w14:pos="50000">
                  <w14:schemeClr w14:val="accent1"/>
                </w14:gs>
                <w14:gs w14:pos="0">
                  <w14:schemeClr w14:val="accent1">
                    <w14:lumMod w14:val="25000"/>
                    <w14:lumOff w14:val="75000"/>
                  </w14:schemeClr>
                </w14:gs>
                <w14:gs w14:pos="100000">
                  <w14:schemeClr w14:val="accent1">
                    <w14:lumMod w14:val="85000"/>
                  </w14:schemeClr>
                </w14:gs>
              </w14:gsLst>
              <w14:lin w14:ang="5400000" w14:scaled="1"/>
            </w14:gradFill>
          </w14:textFill>
        </w:rPr>
      </w:pPr>
      <w:r>
        <w:rPr>
          <w:rFonts w:hint="default" w:ascii="Arial" w:hAnsi="Arial" w:eastAsia="微软雅黑" w:cs="Arial"/>
          <w:b/>
          <w:bCs/>
          <w14:textFill>
            <w14:gradFill>
              <w14:gsLst>
                <w14:gs w14:pos="50000">
                  <w14:schemeClr w14:val="accent1"/>
                </w14:gs>
                <w14:gs w14:pos="0">
                  <w14:schemeClr w14:val="accent1">
                    <w14:lumMod w14:val="25000"/>
                    <w14:lumOff w14:val="75000"/>
                  </w14:schemeClr>
                </w14:gs>
                <w14:gs w14:pos="100000">
                  <w14:schemeClr w14:val="accent1">
                    <w14:lumMod w14:val="85000"/>
                  </w14:schemeClr>
                </w14:gs>
              </w14:gsLst>
              <w14:lin w14:ang="5400000" w14:scaled="1"/>
            </w14:gradFill>
          </w14:textFill>
        </w:rPr>
        <w:t>Reflective Blog Post: Reviewing Abstracts through the Lens of Participatory Public Art</w:t>
      </w:r>
      <w:bookmarkStart w:id="0" w:name="_GoBack"/>
      <w:bookmarkEnd w:id="0"/>
    </w:p>
    <w:p w14:paraId="796419FA">
      <w:pPr>
        <w:pStyle w:val="3"/>
        <w:keepNext w:val="0"/>
        <w:keepLines w:val="0"/>
        <w:widowControl/>
        <w:suppressLineNumbers w:val="0"/>
      </w:pPr>
      <w:r>
        <w:t>Engaging with the conference abstracts and review activities became more meaningful to me when I read them through the lens of my own research on participatory public art and socially engaged spatial practice. Rather than seeing the process as purely administrative, I began to understand abstract review as a curatorial and ethical act: a way of deciding which ideas are given space, visibility, and institutional support.</w:t>
      </w:r>
    </w:p>
    <w:p w14:paraId="4E9B60EA">
      <w:pPr>
        <w:pStyle w:val="3"/>
        <w:keepNext w:val="0"/>
        <w:keepLines w:val="0"/>
        <w:widowControl/>
        <w:suppressLineNumbers w:val="0"/>
      </w:pPr>
      <w:r>
        <w:rPr>
          <w:rFonts w:hint="eastAsia" w:eastAsia="宋体"/>
          <w:b/>
          <w:bCs/>
          <w:lang w:eastAsia="zh-CN"/>
        </w:rPr>
        <w:drawing>
          <wp:inline distT="0" distB="0" distL="114300" distR="114300">
            <wp:extent cx="5268595" cy="3951605"/>
            <wp:effectExtent l="0" t="0" r="8255" b="1270"/>
            <wp:docPr id="3" name="图片 3" descr="Reviewing Abstracts through the Lens of Participatory Public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Reviewing Abstracts through the Lens of Participatory Public Art"/>
                    <pic:cNvPicPr>
                      <a:picLocks noChangeAspect="1"/>
                    </pic:cNvPicPr>
                  </pic:nvPicPr>
                  <pic:blipFill>
                    <a:blip r:embed="rId4"/>
                    <a:stretch>
                      <a:fillRect/>
                    </a:stretch>
                  </pic:blipFill>
                  <pic:spPr>
                    <a:xfrm>
                      <a:off x="0" y="0"/>
                      <a:ext cx="5268595" cy="3951605"/>
                    </a:xfrm>
                    <a:prstGeom prst="rect">
                      <a:avLst/>
                    </a:prstGeom>
                  </pic:spPr>
                </pic:pic>
              </a:graphicData>
            </a:graphic>
          </wp:inline>
        </w:drawing>
      </w:r>
    </w:p>
    <w:p w14:paraId="1295F205">
      <w:pPr>
        <w:pStyle w:val="3"/>
        <w:keepNext w:val="0"/>
        <w:keepLines w:val="0"/>
        <w:widowControl/>
        <w:suppressLineNumbers w:val="0"/>
      </w:pPr>
      <w:r>
        <w:t>One of the most interesting aspects was noticing the difference between projects that simply used the language of participation and those that demonstrated real critical depth. Some abstracts referred to community engagement in very general terms, but offered little sense of method, context, or long-term impact. Others were more convincing because they articulated a clear relationship between social issue, artistic process, and public outcome. This was especially relevant to my own research, which asks not only how participation is generated, but how it is translated into durable spatial experience.</w:t>
      </w:r>
    </w:p>
    <w:p w14:paraId="6B58FC4D">
      <w:pPr>
        <w:pStyle w:val="3"/>
        <w:keepNext w:val="0"/>
        <w:keepLines w:val="0"/>
        <w:widowControl/>
        <w:suppressLineNumbers w:val="0"/>
      </w:pPr>
      <w:r>
        <w:t>The review process also made me think carefully about academic quality. A strong abstract was not necessarily the most ambitious in tone, but the one with the clearest research question, coherent methodology, and awareness of context. Collaborative decision-making during review reminded me that selection is rarely based on one criterion alone; originality, clarity, ethics, and relevance all matter.</w:t>
      </w:r>
    </w:p>
    <w:p w14:paraId="391429AF">
      <w:pPr>
        <w:pStyle w:val="3"/>
        <w:keepNext w:val="0"/>
        <w:keepLines w:val="0"/>
        <w:widowControl/>
        <w:suppressLineNumbers w:val="0"/>
      </w:pPr>
      <w:r>
        <w:t>Overall, this experience helped me see abstract review as both a professional responsibility and a reflective tool. It sharpened my understanding of what makes research rigorous, situated, and genuinely meaningful in socially engaged art.</w:t>
      </w:r>
    </w:p>
    <w:p w14:paraId="24ACC677">
      <w:pPr>
        <w:pStyle w:val="3"/>
        <w:keepNext w:val="0"/>
        <w:keepLines w:val="0"/>
        <w:widowControl/>
        <w:suppressLineNumbers w:val="0"/>
      </w:pPr>
    </w:p>
    <w:p w14:paraId="30B72CBC"/>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4B31F2"/>
    <w:rsid w:val="2A4B31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4</TotalTime>
  <ScaleCrop>false</ScaleCrop>
  <LinksUpToDate>false</LinksUpToDate>
  <CharactersWithSpaces>0</CharactersWithSpaces>
  <Application>WPS Office_12.1.0.25865_F1E327BC-269C-435d-A152-05C5408002CA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2026-05-04T13:24:00Z</dcterms:created>
  <dc:creator>虚数</dc:creator>
  <cp:lastModifiedBy>虚数</cp:lastModifiedBy>
  <dcterms:modified xsi:type="dcterms:W3CDTF">2026-05-04T13:29:25Z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9CEA2F4CBC364C979D6A5747E198D7AD_11</vt:lpwstr>
  </property>
  <property fmtid="{D5CDD505-2E9C-101B-9397-08002B2CF9AE}" pid="4" name="KSOTemplateDocerSaveRecord">
    <vt:lpwstr>eyJoZGlkIjoiODVjZjNkZjc2NWZhYWY3Y2MyMjQxYjU0YWIwZTQ5YTQiLCJ1c2VySWQiOiI0MjQyNjUzMDgifQ==</vt:lpwstr>
  </property>
</Properties>
</file>