
<file path=[Content_Types].xml><?xml version="1.0" encoding="utf-8"?>
<Types xmlns="http://schemas.openxmlformats.org/package/2006/content-types">
  <Default Extension="xml" ContentType="application/xml"/>
  <Default Extension="rels" ContentType="application/vnd.openxmlformats-package.relationships+xml"/>
  <Default Extension="png" ContentType="image/png"/>
  <Default Extension="jpeg" ContentType="image/jpeg"/>
  <Override PartName="/_rels/.rels" ContentType="application/vnd.openxmlformats-package.relationships+xml"/>
  <Override PartName="/docProps/core.xml" ContentType="application/vnd.openxmlformats-package.core-properties+xml"/>
  <Override PartName="/docProps/app.xml" ContentType="application/vnd.openxmlformats-officedocument.extended-properties+xml"/>
  <Override PartName="/word/_rels/document.xml.rels" ContentType="application/vnd.openxmlformats-package.relationships+xml"/>
  <Override PartName="/word/document.xml" ContentType="application/vnd.openxmlformats-officedocument.wordprocessingml.document.main+xml"/>
  <Override PartName="/word/styles.xml" ContentType="application/vnd.openxmlformats-officedocument.wordprocessingml.styles+xml"/>
  <Override PartName="/word/fontTable.xml" ContentType="application/vnd.openxmlformats-officedocument.wordprocessingml.fontTable+xml"/>
  <Override PartName="/word/settings.xml" ContentType="application/vnd.openxmlformats-officedocument.wordprocessingml.settings+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
</Relationships>
</file>

<file path=word/document.xml><?xml version="1.0" encoding="utf-8"?>
<w:document xmlns:o="urn:schemas-microsoft-com:office:office" xmlns:r="http://schemas.openxmlformats.org/officeDocument/2006/relationships" xmlns:v="urn:schemas-microsoft-com:vml" xmlns:w="http://schemas.openxmlformats.org/wordprocessingml/2006/main" xmlns:w10="urn:schemas-microsoft-com:office:word" xmlns:wp="http://schemas.openxmlformats.org/drawingml/2006/wordprocessingDrawing" xmlns:wps="http://schemas.microsoft.com/office/word/2010/wordprocessingShape" xmlns:wpg="http://schemas.microsoft.com/office/word/2010/wordprocessingGroup" xmlns:mc="http://schemas.openxmlformats.org/markup-compatibility/2006" xmlns:wp14="http://schemas.microsoft.com/office/word/2010/wordprocessingDrawing" xmlns:w14="http://schemas.microsoft.com/office/word/2010/wordml" mc:Ignorable="w14 wp14">
  <w:body>
    <w:p>
      <w:pPr>
        <w:pStyle w:val="TextBody"/>
        <w:spacing w:lineRule="auto" w:line="276" w:before="0" w:after="140"/>
        <w:ind w:left="1418" w:hanging="0"/>
        <w:jc w:val="both"/>
        <w:rPr>
          <w:sz w:val="28"/>
          <w:szCs w:val="28"/>
        </w:rPr>
      </w:pPr>
      <w:r>
        <w:rPr>
          <w:sz w:val="28"/>
          <w:szCs w:val="28"/>
        </w:rPr>
        <w:t>Cosmin Tudosie</w:t>
      </w:r>
    </w:p>
    <w:p>
      <w:pPr>
        <w:pStyle w:val="TextBody"/>
        <w:spacing w:lineRule="auto" w:line="276" w:before="0" w:after="140"/>
        <w:ind w:left="1418" w:hanging="0"/>
        <w:jc w:val="both"/>
        <w:rPr>
          <w:sz w:val="28"/>
          <w:szCs w:val="28"/>
        </w:rPr>
      </w:pPr>
      <w:r>
        <w:rPr>
          <w:sz w:val="28"/>
          <w:szCs w:val="28"/>
        </w:rPr>
        <w:t>1921421</w:t>
      </w:r>
    </w:p>
    <w:p>
      <w:pPr>
        <w:pStyle w:val="TextBody"/>
        <w:spacing w:lineRule="auto" w:line="276" w:before="0" w:after="140"/>
        <w:ind w:left="1418" w:hanging="0"/>
        <w:jc w:val="both"/>
        <w:rPr>
          <w:sz w:val="28"/>
          <w:szCs w:val="28"/>
        </w:rPr>
      </w:pPr>
      <w:r>
        <w:rPr>
          <w:sz w:val="28"/>
          <w:szCs w:val="28"/>
        </w:rPr>
        <w:t>Academic and Employability skills</w:t>
      </w:r>
    </w:p>
    <w:p>
      <w:pPr>
        <w:pStyle w:val="TextBody"/>
        <w:spacing w:lineRule="auto" w:line="276" w:before="0" w:after="140"/>
        <w:ind w:left="1418" w:hanging="0"/>
        <w:jc w:val="both"/>
        <w:rPr>
          <w:sz w:val="28"/>
          <w:szCs w:val="28"/>
        </w:rPr>
      </w:pPr>
      <w:r>
        <w:rPr>
          <w:sz w:val="28"/>
          <w:szCs w:val="28"/>
        </w:rPr>
        <w:t>Academic and Employability skills – Module 1</w:t>
      </w:r>
    </w:p>
    <w:p>
      <w:pPr>
        <w:pStyle w:val="TextBody"/>
        <w:spacing w:lineRule="auto" w:line="276" w:before="0" w:after="140"/>
        <w:ind w:left="1418" w:hanging="0"/>
        <w:jc w:val="both"/>
        <w:rPr>
          <w:sz w:val="28"/>
          <w:szCs w:val="28"/>
        </w:rPr>
      </w:pPr>
      <w:r>
        <w:rPr>
          <w:sz w:val="28"/>
          <w:szCs w:val="28"/>
        </w:rPr>
        <w:t>Toyin Adisa</w:t>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b/>
          <w:b/>
          <w:bCs/>
          <w:sz w:val="48"/>
          <w:szCs w:val="48"/>
        </w:rPr>
      </w:pPr>
      <w:r>
        <w:rPr>
          <w:b/>
          <w:bCs/>
          <w:sz w:val="48"/>
          <w:szCs w:val="48"/>
        </w:rPr>
        <w:t>Academic  and  Employability Skills</w:t>
      </w:r>
    </w:p>
    <w:p>
      <w:pPr>
        <w:pStyle w:val="TextBody"/>
        <w:spacing w:lineRule="auto" w:line="276" w:before="0" w:after="140"/>
        <w:ind w:left="1418" w:hanging="0"/>
        <w:jc w:val="both"/>
        <w:rPr>
          <w:b/>
          <w:b/>
          <w:bCs/>
          <w:sz w:val="48"/>
          <w:szCs w:val="48"/>
        </w:rPr>
      </w:pPr>
      <w:r>
        <w:rPr>
          <w:b/>
          <w:bCs/>
          <w:sz w:val="48"/>
          <w:szCs w:val="48"/>
        </w:rPr>
        <w:t xml:space="preserve">                   </w:t>
      </w:r>
      <w:r>
        <w:rPr>
          <w:b/>
          <w:bCs/>
          <w:sz w:val="48"/>
          <w:szCs w:val="48"/>
        </w:rPr>
        <w:t>Module 1</w:t>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spacing w:lineRule="auto" w:line="276" w:before="0" w:after="140"/>
        <w:ind w:left="1418" w:hanging="0"/>
        <w:jc w:val="both"/>
        <w:rPr>
          <w:rFonts w:ascii="Times New Roman" w:hAnsi="Times New Roman"/>
        </w:rPr>
      </w:pPr>
      <w:r>
        <w:rPr/>
      </w:r>
    </w:p>
    <w:p>
      <w:pPr>
        <w:pStyle w:val="TextBody"/>
        <w:tabs>
          <w:tab w:val="clear" w:pos="709"/>
          <w:tab w:val="left" w:pos="2167" w:leader="none"/>
        </w:tabs>
        <w:spacing w:lineRule="auto" w:line="276" w:before="0" w:after="140"/>
        <w:ind w:left="1418" w:hanging="0"/>
        <w:jc w:val="both"/>
        <w:rPr/>
      </w:pPr>
      <w:r>
        <w:rPr>
          <w:sz w:val="32"/>
          <w:szCs w:val="32"/>
        </w:rPr>
        <w:t xml:space="preserve">            </w:t>
      </w:r>
      <w:r>
        <w:rPr>
          <w:sz w:val="32"/>
          <w:szCs w:val="32"/>
        </w:rPr>
        <w:t xml:space="preserve">Academic and employability skills are fundamental skills for any person with a successful career to hold.  The first step to holding these skills is to understand them. Academic skills are described as a group of core skills and approaches to applied learning that are critical to success in learning and study that can be later applied throughout ones life. Employability skills as quoted by Knight, P. &amp; York, M (2003) are “A set of achievements, understandings and personal attributes”  that make a candidate more attractive to an employer. Academic and employability skills can be gained from education and on the job learning. One can prepare and refine their skills through the educational route, with college courses and degrees, often directed in a specific career choice or these skills can be learnt with experience and on the job learning. We can identify that a lot of the skills required from academic skills are transferable into employability skills. Overall there are a lot of different resources that offer information and instruction on these two skill sets.       </w:t>
      </w:r>
    </w:p>
    <w:p>
      <w:pPr>
        <w:pStyle w:val="TextBody"/>
        <w:tabs>
          <w:tab w:val="clear" w:pos="709"/>
          <w:tab w:val="left" w:pos="2167" w:leader="none"/>
        </w:tabs>
        <w:spacing w:lineRule="auto" w:line="276" w:before="0" w:after="140"/>
        <w:ind w:left="1418" w:hanging="0"/>
        <w:jc w:val="both"/>
        <w:rPr>
          <w:sz w:val="32"/>
          <w:szCs w:val="32"/>
        </w:rPr>
      </w:pPr>
      <w:r>
        <w:rPr>
          <w:sz w:val="32"/>
          <w:szCs w:val="32"/>
        </w:rPr>
        <w:t xml:space="preserve">This report will focus on four articles relating to both academic skills and then employability skills. The articles selected, in order, are as follows “What Are Academic Skills?”(Margo Upson, July 21 2020, wisegeek.com),  “5 Key Academic Skills That Actually Translate To The Professional World” (Ryan Hickey, no specific date but stated four years ago, wayup.com), “Employability Skills: Definition and 10 Examples (December 12 2019, indeed.com) and finally “What Are Employability Skills” (Alison Doyle, August 10 2020, thebalancecareer.com). The purpose of this report is to analyse and demonstrate understanding of the importance of academic and employability skills, to compare the articles, highlight the connections between the skill sets and summarise all relevant findings and common themes. </w:t>
      </w:r>
    </w:p>
    <w:p>
      <w:pPr>
        <w:pStyle w:val="TextBody"/>
        <w:tabs>
          <w:tab w:val="clear" w:pos="709"/>
          <w:tab w:val="left" w:pos="2167" w:leader="none"/>
        </w:tabs>
        <w:spacing w:lineRule="auto" w:line="276" w:before="0" w:after="140"/>
        <w:ind w:left="1418" w:hanging="0"/>
        <w:jc w:val="both"/>
        <w:rPr>
          <w:rFonts w:ascii="Times New Roman" w:hAnsi="Times New Roman"/>
          <w:sz w:val="32"/>
          <w:szCs w:val="32"/>
        </w:rPr>
      </w:pPr>
      <w:r>
        <w:rPr>
          <w:sz w:val="32"/>
          <w:szCs w:val="32"/>
        </w:rPr>
      </w:r>
    </w:p>
    <w:p>
      <w:pPr>
        <w:pStyle w:val="TextBody"/>
        <w:tabs>
          <w:tab w:val="clear" w:pos="709"/>
          <w:tab w:val="left" w:pos="2167" w:leader="none"/>
        </w:tabs>
        <w:spacing w:lineRule="auto" w:line="276" w:before="0" w:after="140"/>
        <w:ind w:left="1418" w:hanging="0"/>
        <w:jc w:val="both"/>
        <w:rPr>
          <w:sz w:val="32"/>
          <w:szCs w:val="32"/>
        </w:rPr>
      </w:pPr>
      <w:r>
        <w:rPr>
          <w:sz w:val="32"/>
          <w:szCs w:val="32"/>
        </w:rPr>
        <w:t xml:space="preserve">           </w:t>
      </w:r>
      <w:r>
        <w:rPr>
          <w:sz w:val="32"/>
          <w:szCs w:val="32"/>
        </w:rPr>
        <w:t xml:space="preserve">The first article, </w:t>
      </w:r>
      <w:bookmarkStart w:id="0" w:name="__DdeLink__0_1388639270"/>
      <w:r>
        <w:rPr>
          <w:sz w:val="32"/>
          <w:szCs w:val="32"/>
        </w:rPr>
        <w:t>“What Are Academic Skills?”</w:t>
      </w:r>
      <w:bookmarkEnd w:id="0"/>
      <w:r>
        <w:rPr>
          <w:sz w:val="32"/>
          <w:szCs w:val="32"/>
        </w:rPr>
        <w:t xml:space="preserve"> starts of with the statement that academic skills “are a collection of study habits, learning strategies and time management tools that help students learn”. This statement is both clear and concise and summarises the content immediately. The article then follows up with confirmation that the key purpose of academic skills is not limited to being a high achiever or excelling with test results but also skills that are transferable into employability skills. This finding is supported by the following statement,”solid study skills are essential for college success, for instance, and learning to balance multiple demands at once is valuable to many different career paths”.</w:t>
      </w:r>
    </w:p>
    <w:p>
      <w:pPr>
        <w:pStyle w:val="TextBody"/>
        <w:tabs>
          <w:tab w:val="clear" w:pos="709"/>
          <w:tab w:val="left" w:pos="2167" w:leader="none"/>
        </w:tabs>
        <w:spacing w:lineRule="auto" w:line="276" w:before="0" w:after="140"/>
        <w:ind w:left="1418" w:hanging="0"/>
        <w:jc w:val="both"/>
        <w:rPr>
          <w:sz w:val="32"/>
          <w:szCs w:val="32"/>
        </w:rPr>
      </w:pPr>
      <w:r>
        <w:rPr>
          <w:sz w:val="32"/>
          <w:szCs w:val="32"/>
        </w:rPr>
        <w:t xml:space="preserve">          </w:t>
      </w:r>
      <w:r>
        <w:rPr>
          <w:sz w:val="32"/>
          <w:szCs w:val="32"/>
        </w:rPr>
        <w:t>The article goes on to list five primary areas academic that education around the world teaches. These are language, arts, mathematics, science, history and technological skills. It also advises that academic skills “go hand in hand with these core subjects” and also suggests that these particular disciplines set students up to learn key lessons. It is explained that academic skills installed in us from an early age without our realisation, using homework as a form of teaching time management as an example. We learn throughout the article that the underlying ideas of academic skills are organisational and research based skills. Also touched upon is the importance of computer literacy as an academic skill. Whilst this might be a more modern skill as opposed to the more traditional academic skills it is fundamental and relevant to include this. The ever evolving nature of the current world makes it difficult to this of work based situations that do not involve at least basic technological knowledge.</w:t>
      </w:r>
    </w:p>
    <w:p>
      <w:pPr>
        <w:pStyle w:val="TextBody"/>
        <w:tabs>
          <w:tab w:val="clear" w:pos="709"/>
          <w:tab w:val="left" w:pos="2167" w:leader="none"/>
        </w:tabs>
        <w:spacing w:lineRule="auto" w:line="276" w:before="0" w:after="140"/>
        <w:ind w:left="1418" w:hanging="0"/>
        <w:jc w:val="both"/>
        <w:rPr>
          <w:sz w:val="32"/>
          <w:szCs w:val="32"/>
        </w:rPr>
      </w:pPr>
      <w:r>
        <w:rPr>
          <w:sz w:val="32"/>
          <w:szCs w:val="32"/>
        </w:rPr>
        <w:t xml:space="preserve">         </w:t>
      </w:r>
      <w:r>
        <w:rPr>
          <w:sz w:val="32"/>
          <w:szCs w:val="32"/>
        </w:rPr>
        <w:t>The article covers academic skills impact on test scores, stating that these skills are essential for successful studying, then going on to explain that these skills are required throughout our entire education to university. Through this course of education these skills and honed and perfected  resulting in “profound affects after graduation”. The key academic skills we learn from this course of education if applied correctly are listed as “time management, personal discipline and an ability to complete multi tasking” these all result in a good work ethic, which is desirable to potential employers.</w:t>
      </w:r>
    </w:p>
    <w:p>
      <w:pPr>
        <w:pStyle w:val="TextBody"/>
        <w:tabs>
          <w:tab w:val="clear" w:pos="709"/>
          <w:tab w:val="left" w:pos="2167" w:leader="none"/>
        </w:tabs>
        <w:spacing w:lineRule="auto" w:line="276" w:before="0" w:after="140"/>
        <w:ind w:left="1418" w:hanging="0"/>
        <w:jc w:val="both"/>
        <w:rPr>
          <w:sz w:val="32"/>
          <w:szCs w:val="32"/>
        </w:rPr>
      </w:pPr>
      <w:r>
        <w:rPr>
          <w:sz w:val="32"/>
          <w:szCs w:val="32"/>
        </w:rPr>
        <w:t xml:space="preserve">         </w:t>
      </w:r>
      <w:r>
        <w:rPr>
          <w:sz w:val="32"/>
          <w:szCs w:val="32"/>
        </w:rPr>
        <w:t>Reflection on this article shows that it breaks down the key values and skills needed to support one through out education, perfecting them along the way and transferring the skills in to a desirable work ethics and employability skills required for a successful career,. The general purpose of the article is to highlight the importance of possessing these skills due to the fact they are transferable in to employability skills, focusing on the development of them throughout education and therefore summarising the greater the education the better the career. The writing appears to be aimed at current students about to take the next steps in education or into a career and people that are perhaps looking at retraining for a new career direction. It would be suggested that this article is aimed at higher level candidates as there is a large emphasis on being successful in exams and study and also the assumption the reader either will or has graduated university.</w:t>
      </w:r>
    </w:p>
    <w:p>
      <w:pPr>
        <w:pStyle w:val="TextBody"/>
        <w:tabs>
          <w:tab w:val="clear" w:pos="709"/>
          <w:tab w:val="left" w:pos="2167" w:leader="none"/>
        </w:tabs>
        <w:spacing w:lineRule="auto" w:line="276" w:before="0" w:after="140"/>
        <w:ind w:left="1418" w:hanging="0"/>
        <w:jc w:val="both"/>
        <w:rPr>
          <w:rFonts w:ascii="Times New Roman" w:hAnsi="Times New Roman"/>
          <w:sz w:val="32"/>
          <w:szCs w:val="32"/>
        </w:rPr>
      </w:pPr>
      <w:r>
        <w:rPr>
          <w:sz w:val="32"/>
          <w:szCs w:val="32"/>
        </w:rPr>
      </w:r>
    </w:p>
    <w:p>
      <w:pPr>
        <w:pStyle w:val="TextBody"/>
        <w:tabs>
          <w:tab w:val="clear" w:pos="709"/>
          <w:tab w:val="left" w:pos="2167" w:leader="none"/>
        </w:tabs>
        <w:spacing w:lineRule="auto" w:line="276" w:before="0" w:after="140"/>
        <w:ind w:left="1418" w:hanging="0"/>
        <w:jc w:val="both"/>
        <w:rPr>
          <w:sz w:val="32"/>
          <w:szCs w:val="32"/>
        </w:rPr>
      </w:pPr>
      <w:r>
        <w:rPr>
          <w:sz w:val="32"/>
          <w:szCs w:val="32"/>
        </w:rPr>
        <w:t xml:space="preserve">             </w:t>
      </w:r>
      <w:r>
        <w:rPr>
          <w:sz w:val="32"/>
          <w:szCs w:val="32"/>
        </w:rPr>
        <w:t>The second article is also focused on academic skills, the article is titled: “5 Key Academic Skills That Actually Translate To The Professional World” this article starts of with the statement and a question to be answered, “To many, college can be kind of shanghai-La where a student gets to learn in a safe environment. Classes, particularly in some smaller liberal arts colleges, create a well rounded rounded student that has esoteric and theoretical knowledge regarding the application of their studies towards a career. But does that actually prepare them for a professional life?” this statement and question are both important in dissecting this article because, yes, it is understood certain studies are geared towards learning for certain careers, but, it is also asking us to consider what other skills from education are transferable to employability skills.</w:t>
      </w:r>
    </w:p>
    <w:p>
      <w:pPr>
        <w:pStyle w:val="TextBody"/>
        <w:tabs>
          <w:tab w:val="clear" w:pos="709"/>
          <w:tab w:val="left" w:pos="2167" w:leader="none"/>
        </w:tabs>
        <w:spacing w:lineRule="auto" w:line="276" w:before="0" w:after="140"/>
        <w:ind w:left="1418" w:hanging="0"/>
        <w:jc w:val="both"/>
        <w:rPr>
          <w:sz w:val="32"/>
          <w:szCs w:val="32"/>
        </w:rPr>
      </w:pPr>
      <w:r>
        <w:rPr>
          <w:sz w:val="32"/>
          <w:szCs w:val="32"/>
        </w:rPr>
        <w:t xml:space="preserve">           </w:t>
      </w:r>
      <w:r>
        <w:rPr>
          <w:sz w:val="32"/>
          <w:szCs w:val="32"/>
        </w:rPr>
        <w:t>The article goes on to highlight its not just what you learn but it is also how you learn. This reflects the same principles of our first article. This article emphasises that it is “imperative that you cultivate certain attributes that will make you stand out to a potential employer” as well as getting good grades. The key Academic skills led out in this article are as follows: leadership, communication, organisation, networking and awareness. Each skill is then explained in detail and advise on how to demonstrate the silk in employment or to a potential employer is clearly detailed under each subheading. An example of this is “Awareness: remain ahead of the curve of innovations in your field. One thing academia is particularly good for is to introduce cutting edge concepts. Faculty members are usually at the forefront of research and innovations in a particular field…. Make sure you engage with this and get as much of the information on new approaches to your area of study as possible”. This sets out a skill and a way to obtain this skill that is available to all students setting out on a career path. All of the five points are laid out in this advice style format, in comparison to the first article “What Are Academic Skills?”,this article is much clearer for the reader, it highlights its intention in the first sentence and answers the question set out in the introduction. Education does provide the tools yo learn academic skills but the individual will have to look for ways to take these academic skills and apply them appropriately into employability skills. This article is aimed at students looking to start moving towards their chosen career, particularly higher education students with career path in mind.</w:t>
      </w:r>
    </w:p>
    <w:p>
      <w:pPr>
        <w:pStyle w:val="TextBody"/>
        <w:tabs>
          <w:tab w:val="clear" w:pos="709"/>
          <w:tab w:val="left" w:pos="2167" w:leader="none"/>
        </w:tabs>
        <w:spacing w:lineRule="auto" w:line="276" w:before="0" w:after="140"/>
        <w:ind w:left="1418" w:hanging="0"/>
        <w:jc w:val="both"/>
        <w:rPr>
          <w:rFonts w:ascii="Times New Roman" w:hAnsi="Times New Roman"/>
          <w:sz w:val="32"/>
          <w:szCs w:val="32"/>
        </w:rPr>
      </w:pPr>
      <w:r>
        <w:rPr>
          <w:sz w:val="32"/>
          <w:szCs w:val="32"/>
        </w:rPr>
      </w:r>
    </w:p>
    <w:p>
      <w:pPr>
        <w:pStyle w:val="TextBody"/>
        <w:tabs>
          <w:tab w:val="clear" w:pos="709"/>
          <w:tab w:val="left" w:pos="2167" w:leader="none"/>
        </w:tabs>
        <w:spacing w:lineRule="auto" w:line="276" w:before="0" w:after="140"/>
        <w:ind w:left="1418" w:hanging="0"/>
        <w:jc w:val="both"/>
        <w:rPr>
          <w:sz w:val="32"/>
          <w:szCs w:val="32"/>
        </w:rPr>
      </w:pPr>
      <w:r>
        <w:rPr>
          <w:sz w:val="32"/>
          <w:szCs w:val="32"/>
        </w:rPr>
        <w:t xml:space="preserve">           </w:t>
      </w:r>
      <w:r>
        <w:rPr>
          <w:sz w:val="32"/>
          <w:szCs w:val="32"/>
        </w:rPr>
        <w:t>After two articles focusing on Academic skills and summarising how they can be transferred in to employability skills the next two articles will be focusing on employability skills. Based on survey skills demonstrated by companies including Microsoft, NACE and target jobs, the top skills that employers look for are verbal communication, teamwork, commercial awareness, initiative/self motivation, drive, written communication, planning and organising, flexibility and time management. With this in mind our first article is titled, “Employability skills: definition and 10 examples. This article gives a comprehensive definition of employability skills very simply as “certain skills and qualities” that employers look for in a job candidate, along side academic qualifications. The article also describes employability skills as “transferable skills that are useful in nearly every job”.</w:t>
      </w:r>
    </w:p>
    <w:p>
      <w:pPr>
        <w:pStyle w:val="TextBody"/>
        <w:tabs>
          <w:tab w:val="clear" w:pos="709"/>
          <w:tab w:val="left" w:pos="2167" w:leader="none"/>
        </w:tabs>
        <w:spacing w:lineRule="auto" w:line="276" w:before="0" w:after="140"/>
        <w:ind w:left="1418" w:hanging="0"/>
        <w:jc w:val="both"/>
        <w:rPr>
          <w:sz w:val="32"/>
          <w:szCs w:val="32"/>
        </w:rPr>
      </w:pPr>
      <w:r>
        <w:rPr>
          <w:sz w:val="32"/>
          <w:szCs w:val="32"/>
        </w:rPr>
        <w:t xml:space="preserve">          </w:t>
      </w:r>
      <w:r>
        <w:rPr>
          <w:sz w:val="32"/>
          <w:szCs w:val="32"/>
        </w:rPr>
        <w:t>The article goes on to list the key factors of employability but describes them in a simplistic way and furthermore provides tips on achieving these skills. The key skills listed in this article are listed as: communication, teamwork, reliability, problem solving, organisation and planning, initiative, self management, leadership, learning and technology. We can draw upon the similarities listed in the two previous articles listing the same skills as academic skills. This straight away supports what is written in both articles and also this article that transferable skills are a common theme. However, this article differs from the previous two articles as it does not refer to the skills as being only achievable via academia.. It informs the reader that they should be aware that these skills are not always listed in a job description and these skills are interchangeable. The reader takes onboard they should be armed with all of these listed skills to be a desirable candidate to an employer and then is given advice on how this can be achieved. An example of this is as follows: “Learning” after a clear description of what this skill means and why it is essential it then goes on to advise actions to take that you can include on a job application or discuss in an interview situation, demonstrating to your employer that you have this skill. The advice for learning is as follows “you can increase your ability to learn by: taking a course to improve your learning skills, such as speed reading, memory boosting or an accelerated memory course, researching skills and activities related to your job and teach yourself a new hobby”. It can be argued that anybody seeking employment, regardless of background can commit to at least one of these activities</w:t>
      </w:r>
    </w:p>
    <w:p>
      <w:pPr>
        <w:pStyle w:val="TextBody"/>
        <w:tabs>
          <w:tab w:val="clear" w:pos="709"/>
          <w:tab w:val="left" w:pos="2167" w:leader="none"/>
        </w:tabs>
        <w:spacing w:lineRule="auto" w:line="276" w:before="0" w:after="140"/>
        <w:ind w:left="1418" w:hanging="0"/>
        <w:jc w:val="both"/>
        <w:rPr>
          <w:sz w:val="32"/>
          <w:szCs w:val="32"/>
        </w:rPr>
      </w:pPr>
      <w:r>
        <w:rPr>
          <w:sz w:val="32"/>
          <w:szCs w:val="32"/>
        </w:rPr>
        <w:t xml:space="preserve">       </w:t>
      </w:r>
      <w:r>
        <w:rPr>
          <w:sz w:val="32"/>
          <w:szCs w:val="32"/>
        </w:rPr>
        <w:t>In evaluation of this article it can be said that it is very simplistic but very effective. It advises, explains and provides an action plan that is realistic and achievable for all backgrounds. This article implies that employment skills are available to everybody. Whilst it acknowledges that these skills are transferable from academic skills, it advises on a way for all people to access and perfect these skills for employment. This article is aimed at people from all walks of life looking to start a new career.</w:t>
      </w:r>
    </w:p>
    <w:p>
      <w:pPr>
        <w:pStyle w:val="TextBody"/>
        <w:tabs>
          <w:tab w:val="clear" w:pos="709"/>
          <w:tab w:val="left" w:pos="2167" w:leader="none"/>
        </w:tabs>
        <w:spacing w:lineRule="auto" w:line="276" w:before="0" w:after="140"/>
        <w:ind w:left="1418" w:hanging="0"/>
        <w:jc w:val="both"/>
        <w:rPr>
          <w:rFonts w:ascii="Times New Roman" w:hAnsi="Times New Roman"/>
          <w:sz w:val="32"/>
          <w:szCs w:val="32"/>
        </w:rPr>
      </w:pPr>
      <w:r>
        <w:rPr>
          <w:sz w:val="32"/>
          <w:szCs w:val="32"/>
        </w:rPr>
      </w:r>
    </w:p>
    <w:p>
      <w:pPr>
        <w:pStyle w:val="TextBody"/>
        <w:tabs>
          <w:tab w:val="clear" w:pos="709"/>
          <w:tab w:val="left" w:pos="2167" w:leader="none"/>
        </w:tabs>
        <w:spacing w:lineRule="auto" w:line="276" w:before="0" w:after="140"/>
        <w:ind w:left="1418" w:hanging="0"/>
        <w:jc w:val="both"/>
        <w:rPr>
          <w:sz w:val="32"/>
          <w:szCs w:val="32"/>
        </w:rPr>
      </w:pPr>
      <w:r>
        <w:rPr>
          <w:sz w:val="32"/>
          <w:szCs w:val="32"/>
        </w:rPr>
        <w:t xml:space="preserve">       </w:t>
      </w:r>
      <w:r>
        <w:rPr>
          <w:sz w:val="32"/>
          <w:szCs w:val="32"/>
        </w:rPr>
        <w:t>The final article selected for analysis is “Definition and Examples of Employability Skills”, unlike the simplistic wording and layout of the previous article this one makes the assumption that the reader already has some background on employability skills. However,  not only does this article  reinforce a lot of the previous points made in the above articles, it adds further insight to employability skills. The article separates employability skills in to categories that allow us to draw further comparison to academic skills. The categories are as follows “general skills, soft skills and professional skills”, concluding that the combination of these three transferable skills make an extremely desirable candidate to potential employers. The article is perhaps more targeted at higher entry level candidates that have an academic background. Whilst this article does provide some examples of of the most key skills, such as communication, the article quickly goes in to an exhaustive list of other employability skills that an employer would look for. This list comes with no explanations or actions to achieve suggesting that the reader already has a fairly in-depth knowledge of how to apply and transfer these skill but looking for prompts. It can be assumed tht this article is possible aimed at candidates already established in a career and are seeking promotion or a new career direction.</w:t>
      </w:r>
    </w:p>
    <w:p>
      <w:pPr>
        <w:pStyle w:val="TextBody"/>
        <w:tabs>
          <w:tab w:val="clear" w:pos="709"/>
          <w:tab w:val="left" w:pos="2167" w:leader="none"/>
        </w:tabs>
        <w:spacing w:lineRule="auto" w:line="276" w:before="0" w:after="140"/>
        <w:ind w:left="1418" w:hanging="0"/>
        <w:jc w:val="both"/>
        <w:rPr>
          <w:rFonts w:ascii="Times New Roman" w:hAnsi="Times New Roman"/>
          <w:sz w:val="32"/>
          <w:szCs w:val="32"/>
        </w:rPr>
      </w:pPr>
      <w:r>
        <w:rPr>
          <w:sz w:val="32"/>
          <w:szCs w:val="32"/>
        </w:rPr>
      </w:r>
    </w:p>
    <w:p>
      <w:pPr>
        <w:pStyle w:val="TextBody"/>
        <w:tabs>
          <w:tab w:val="clear" w:pos="709"/>
          <w:tab w:val="left" w:pos="2167" w:leader="none"/>
        </w:tabs>
        <w:spacing w:lineRule="auto" w:line="276" w:before="0" w:after="140"/>
        <w:ind w:left="1418" w:hanging="0"/>
        <w:jc w:val="both"/>
        <w:rPr>
          <w:sz w:val="32"/>
          <w:szCs w:val="32"/>
        </w:rPr>
      </w:pPr>
      <w:r>
        <w:rPr>
          <w:sz w:val="32"/>
          <w:szCs w:val="32"/>
        </w:rPr>
        <w:t xml:space="preserve">         </w:t>
      </w:r>
      <w:r>
        <w:rPr>
          <w:sz w:val="32"/>
          <w:szCs w:val="32"/>
        </w:rPr>
        <w:t>Upon analysing and comparing the selected four articles it can be concluded that employability skills are required to be successful in any career path one may embark upon and these skills can be drawn up on from life experiences and or education. We have learnt that academic skills can be transferred in to employability skills but whilst this is arguably the most successful way to obtain these skill they can also be taken from more simplistic areas of life. Employability skills are available to everybody seeking employment but for perhaps a more specialised or successful career transferred academic skills are the more desirable skill set to posses for higher entry level employment.</w:t>
      </w:r>
    </w:p>
    <w:p>
      <w:pPr>
        <w:pStyle w:val="TextBody"/>
        <w:tabs>
          <w:tab w:val="clear" w:pos="709"/>
          <w:tab w:val="left" w:pos="2167" w:leader="none"/>
        </w:tabs>
        <w:spacing w:lineRule="auto" w:line="276" w:before="0" w:after="140"/>
        <w:ind w:left="1418" w:hanging="0"/>
        <w:jc w:val="both"/>
        <w:rPr>
          <w:rFonts w:ascii="Times New Roman" w:hAnsi="Times New Roman"/>
          <w:sz w:val="32"/>
          <w:szCs w:val="32"/>
        </w:rPr>
      </w:pPr>
      <w:r>
        <w:rPr>
          <w:sz w:val="32"/>
          <w:szCs w:val="32"/>
        </w:rPr>
      </w:r>
    </w:p>
    <w:p>
      <w:pPr>
        <w:pStyle w:val="TextBody"/>
        <w:tabs>
          <w:tab w:val="clear" w:pos="709"/>
          <w:tab w:val="left" w:pos="2167" w:leader="none"/>
        </w:tabs>
        <w:spacing w:lineRule="auto" w:line="276" w:before="0" w:after="140"/>
        <w:ind w:left="1418" w:hanging="0"/>
        <w:jc w:val="both"/>
        <w:rPr>
          <w:rFonts w:ascii="Times New Roman" w:hAnsi="Times New Roman"/>
          <w:sz w:val="32"/>
          <w:szCs w:val="32"/>
        </w:rPr>
      </w:pPr>
      <w:r>
        <w:rPr>
          <w:sz w:val="32"/>
          <w:szCs w:val="32"/>
        </w:rPr>
      </w:r>
    </w:p>
    <w:p>
      <w:pPr>
        <w:pStyle w:val="TextBody"/>
        <w:tabs>
          <w:tab w:val="clear" w:pos="709"/>
          <w:tab w:val="left" w:pos="2167" w:leader="none"/>
        </w:tabs>
        <w:spacing w:lineRule="auto" w:line="276" w:before="0" w:after="140"/>
        <w:ind w:left="1418" w:hanging="0"/>
        <w:jc w:val="both"/>
        <w:rPr>
          <w:rFonts w:ascii="Times New Roman" w:hAnsi="Times New Roman"/>
          <w:sz w:val="32"/>
          <w:szCs w:val="32"/>
        </w:rPr>
      </w:pPr>
      <w:r>
        <w:rPr>
          <w:sz w:val="32"/>
          <w:szCs w:val="32"/>
        </w:rPr>
      </w:r>
    </w:p>
    <w:p>
      <w:pPr>
        <w:pStyle w:val="TextBody"/>
        <w:tabs>
          <w:tab w:val="clear" w:pos="709"/>
          <w:tab w:val="left" w:pos="2167" w:leader="none"/>
        </w:tabs>
        <w:spacing w:lineRule="auto" w:line="276" w:before="0" w:after="140"/>
        <w:ind w:left="1418" w:hanging="0"/>
        <w:jc w:val="both"/>
        <w:rPr/>
      </w:pPr>
      <w:r>
        <w:rPr>
          <w:sz w:val="32"/>
          <w:szCs w:val="32"/>
        </w:rPr>
        <w:t xml:space="preserve"> </w:t>
      </w:r>
    </w:p>
    <w:sectPr>
      <w:type w:val="nextPage"/>
      <w:pgSz w:w="11906" w:h="16838"/>
      <w:pgMar w:left="1134" w:right="1134" w:header="0" w:top="1134" w:footer="0" w:bottom="1134" w:gutter="0"/>
      <w:pgNumType w:fmt="decimal"/>
      <w:formProt w:val="false"/>
      <w:textDirection w:val="lrTb"/>
      <w:docGrid w:type="default" w:linePitch="100" w:charSpace="0"/>
    </w:sectPr>
  </w:body>
</w:document>
</file>

<file path=word/fontTable.xml><?xml version="1.0" encoding="utf-8"?>
<w:fonts xmlns:w="http://schemas.openxmlformats.org/wordprocessingml/2006/main" xmlns:r="http://schemas.openxmlformats.org/officeDocument/2006/relationships">
  <w:font w:name="Times New Roman">
    <w:charset w:val="00"/>
    <w:family w:val="roman"/>
    <w:pitch w:val="variable"/>
  </w:font>
  <w:font w:name="Symbol">
    <w:charset w:val="02"/>
    <w:family w:val="roman"/>
    <w:pitch w:val="variable"/>
  </w:font>
  <w:font w:name="Arial">
    <w:charset w:val="00"/>
    <w:family w:val="swiss"/>
    <w:pitch w:val="variable"/>
  </w:font>
  <w:font w:name="Liberation Sans">
    <w:altName w:val="Arial"/>
    <w:charset w:val="00"/>
    <w:family w:val="roman"/>
    <w:pitch w:val="variable"/>
  </w:font>
</w:fonts>
</file>

<file path=word/settings.xml><?xml version="1.0" encoding="utf-8"?>
<w:settings xmlns:w="http://schemas.openxmlformats.org/wordprocessingml/2006/main">
  <w:zoom w:percent="110"/>
  <w:defaultTabStop w:val="709"/>
  <w:autoHyphenation w:val="false"/>
  <w:compat/>
  <w:themeFontLang w:val="" w:eastAsia="" w:bidi=""/>
</w:settings>
</file>

<file path=word/styles.xml><?xml version="1.0" encoding="utf-8"?>
<w:styles xmlns:w="http://schemas.openxmlformats.org/wordprocessingml/2006/main" xmlns:w14="http://schemas.microsoft.com/office/word/2010/wordml" xmlns:mc="http://schemas.openxmlformats.org/markup-compatibility/2006" mc:Ignorable="w14">
  <w:docDefaults>
    <w:rPrDefault>
      <w:rPr>
        <w:rFonts w:ascii="Times New Roman" w:hAnsi="Times New Roman" w:eastAsia="NSimSun" w:cs="Arial"/>
        <w:kern w:val="2"/>
        <w:sz w:val="20"/>
        <w:szCs w:val="24"/>
        <w:lang w:val="en-GB" w:eastAsia="zh-CN" w:bidi="hi-IN"/>
      </w:rPr>
    </w:rPrDefault>
    <w:pPrDefault>
      <w:pPr/>
    </w:pPrDefault>
  </w:docDefaults>
  <w:style w:type="paragraph" w:styleId="Normal">
    <w:name w:val="Normal"/>
    <w:qFormat/>
    <w:pPr>
      <w:widowControl w:val="false"/>
      <w:suppressAutoHyphens w:val="true"/>
      <w:bidi w:val="0"/>
      <w:jc w:val="left"/>
    </w:pPr>
    <w:rPr>
      <w:rFonts w:ascii="Times New Roman" w:hAnsi="Times New Roman" w:eastAsia="Arial" w:cs="Times New Roman"/>
      <w:color w:val="auto"/>
      <w:kern w:val="2"/>
      <w:sz w:val="24"/>
      <w:szCs w:val="24"/>
      <w:lang w:val="en-GB" w:eastAsia="hi-IN" w:bidi="en-GB"/>
    </w:rPr>
  </w:style>
  <w:style w:type="paragraph" w:styleId="Heading">
    <w:name w:val="Heading"/>
    <w:basedOn w:val="Normal"/>
    <w:next w:val="TextBody"/>
    <w:qFormat/>
    <w:pPr>
      <w:keepNext w:val="true"/>
      <w:spacing w:before="240" w:after="120"/>
    </w:pPr>
    <w:rPr>
      <w:rFonts w:ascii="Liberation Sans" w:hAnsi="Liberation Sans"/>
      <w:sz w:val="28"/>
    </w:rPr>
  </w:style>
  <w:style w:type="paragraph" w:styleId="TextBody">
    <w:name w:val="Body Text"/>
    <w:basedOn w:val="Normal"/>
    <w:pPr>
      <w:spacing w:lineRule="auto" w:line="276" w:before="0" w:after="140"/>
    </w:pPr>
    <w:rPr/>
  </w:style>
  <w:style w:type="paragraph" w:styleId="List">
    <w:name w:val="List"/>
    <w:basedOn w:val="TextBody"/>
    <w:pPr>
      <w:spacing w:lineRule="auto" w:line="276" w:before="0" w:after="140"/>
    </w:pPr>
    <w:rPr/>
  </w:style>
  <w:style w:type="paragraph" w:styleId="Caption">
    <w:name w:val="Caption"/>
    <w:basedOn w:val="Normal"/>
    <w:qFormat/>
    <w:pPr>
      <w:spacing w:before="120" w:after="120"/>
    </w:pPr>
    <w:rPr>
      <w:i/>
    </w:rPr>
  </w:style>
  <w:style w:type="paragraph" w:styleId="Index">
    <w:name w:val="Index"/>
    <w:basedOn w:val="Normal"/>
    <w:qFormat/>
    <w:pPr/>
    <w:rPr/>
  </w:style>
</w:styles>
</file>

<file path=word/_rels/document.xml.rels><?xml version="1.0" encoding="UTF-8"?>
<Relationships xmlns="http://schemas.openxmlformats.org/package/2006/relationships"><Relationship Id="rId1" Type="http://schemas.openxmlformats.org/officeDocument/2006/relationships/styles" Target="styles.xml"/><Relationship Id="rId2" Type="http://schemas.openxmlformats.org/officeDocument/2006/relationships/fontTable" Target="fontTable.xml"/><Relationship Id="rId3" Type="http://schemas.openxmlformats.org/officeDocument/2006/relationships/settings" Target="settings.xml"/>
</Relationships>
</file>

<file path=docProps/app.xml><?xml version="1.0" encoding="utf-8"?>
<Properties xmlns="http://schemas.openxmlformats.org/officeDocument/2006/extended-properties" xmlns:vt="http://schemas.openxmlformats.org/officeDocument/2006/docPropsVTypes">
  <Template/>
  <TotalTime>10</TotalTime>
  <Application>Neat_Office/6.2.8.2$Windows_x86 LibreOffice_project/</Application>
  <Pages>8</Pages>
  <Words>2105</Words>
  <Characters>11127</Characters>
  <CharactersWithSpaces>13368</CharactersWithSpaces>
  <Paragraphs>21</Paragraph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description/>
  <dc:language>en-GB</dc:language>
  <cp:lastModifiedBy/>
  <dcterms:modified xsi:type="dcterms:W3CDTF">2020-08-19T22:59:21Z</dcterms:modified>
  <cp:revision>3</cp:revision>
  <dc:subject/>
  <dc:title/>
</cp:coreProperties>
</file>