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3F9DA4" w:rsidR="7908378C" w:rsidRDefault="7908378C" w:rsidP="33572C6E">
            <w:pPr>
              <w:ind w:right="237"/>
              <w:rPr>
                <w:b/>
                <w:bCs/>
                <w:color w:val="auto"/>
                <w:sz w:val="32"/>
                <w:szCs w:val="32"/>
              </w:rPr>
            </w:pPr>
            <w:r w:rsidRPr="33572C6E">
              <w:rPr>
                <w:b/>
                <w:bCs/>
                <w:color w:val="auto"/>
                <w:sz w:val="32"/>
                <w:szCs w:val="32"/>
              </w:rPr>
              <w:t xml:space="preserve">Learner name: </w:t>
            </w:r>
            <w:r w:rsidR="00102A70">
              <w:rPr>
                <w:b/>
                <w:bCs/>
                <w:color w:val="auto"/>
                <w:sz w:val="32"/>
                <w:szCs w:val="32"/>
              </w:rPr>
              <w:t>Hannah HOWE</w:t>
            </w:r>
            <w:r w:rsidRPr="33572C6E">
              <w:rPr>
                <w:b/>
                <w:bCs/>
                <w:color w:val="auto"/>
                <w:sz w:val="32"/>
                <w:szCs w:val="32"/>
              </w:rPr>
              <w:t>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B38A8A0" w:rsidR="7908378C" w:rsidRDefault="00102A70" w:rsidP="33572C6E">
            <w:pPr>
              <w:ind w:right="237"/>
              <w:rPr>
                <w:b/>
                <w:bCs/>
                <w:color w:val="auto"/>
                <w:sz w:val="32"/>
                <w:szCs w:val="32"/>
              </w:rPr>
            </w:pPr>
            <w:r>
              <w:rPr>
                <w:b/>
                <w:bCs/>
                <w:color w:val="auto"/>
                <w:sz w:val="32"/>
                <w:szCs w:val="32"/>
              </w:rPr>
              <w:t>2131888</w:t>
            </w:r>
            <w:r w:rsidR="7908378C"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C016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6AAB3267" w14:textId="4153887E" w:rsidR="00102A70" w:rsidRDefault="00102A70" w:rsidP="00102A70">
      <w:pPr>
        <w:jc w:val="both"/>
        <w:rPr>
          <w:rFonts w:ascii="Calibri" w:hAnsi="Calibri" w:cs="Calibri"/>
          <w:color w:val="auto"/>
        </w:rPr>
      </w:pPr>
      <w:r>
        <w:t>As a response officer I am often the first professional at the scene of incidents of acute need where the threat of harm is present. This is particularly the case for reports of domestic abuse, the extent and nature of which 'remains shocking' with seventy-seven women killed by their partners annually (Everyone's Business, HMICFRS, 2014). Furthermore, according to the Crime Survey for England and Wales in 2020 only 18% of domestic abuse incidents are reported by victims to police (ONS, 2021).</w:t>
      </w:r>
    </w:p>
    <w:p w14:paraId="44B98F6E" w14:textId="77777777" w:rsidR="00102A70" w:rsidRDefault="00102A70" w:rsidP="00102A70">
      <w:pPr>
        <w:jc w:val="both"/>
      </w:pPr>
    </w:p>
    <w:p w14:paraId="1DC04C06" w14:textId="77777777" w:rsidR="00102A70" w:rsidRDefault="00102A70" w:rsidP="00102A70">
      <w:pPr>
        <w:jc w:val="both"/>
      </w:pPr>
      <w:r>
        <w:t xml:space="preserve">With this in mind it is important for police to respond positively to incidents as this may be the only time that the victim makes contact to report what has happened. </w:t>
      </w:r>
    </w:p>
    <w:p w14:paraId="75314C95" w14:textId="77777777" w:rsidR="00102A70" w:rsidRDefault="00102A70" w:rsidP="00102A70">
      <w:pPr>
        <w:jc w:val="both"/>
      </w:pPr>
    </w:p>
    <w:p w14:paraId="7F53D820" w14:textId="6DD1688D" w:rsidR="00102A70" w:rsidRDefault="00102A70" w:rsidP="00102A70">
      <w:pPr>
        <w:jc w:val="both"/>
      </w:pPr>
      <w:r>
        <w:t xml:space="preserve">In February 2023 I attended an emergency call expressing concern regarding the welfare of a female that lived near to the reporting person. The neighbour had heard sounds of screaming and breaking glass and had contacted police. Their belief was that the female was being attacked by her partner, and that there was a </w:t>
      </w:r>
      <w:proofErr w:type="gramStart"/>
      <w:r>
        <w:t>15 month old</w:t>
      </w:r>
      <w:proofErr w:type="gramEnd"/>
      <w:r>
        <w:t xml:space="preserve"> child at the address.</w:t>
      </w:r>
    </w:p>
    <w:p w14:paraId="4E974853" w14:textId="77777777" w:rsidR="00102A70" w:rsidRDefault="00102A70" w:rsidP="00102A70">
      <w:pPr>
        <w:jc w:val="both"/>
      </w:pPr>
    </w:p>
    <w:p w14:paraId="1CBE6601" w14:textId="77777777" w:rsidR="00102A70" w:rsidRDefault="00102A70" w:rsidP="00102A70">
      <w:pPr>
        <w:jc w:val="both"/>
      </w:pPr>
      <w:r>
        <w:t>One of the principal duties of the police is to protect life, and so incidents of this nature will always be treated as urgent. When attending a report of domestic abuse, it is my responsibility as the first attending officer to carry out a primary risk assessment as soon as possible (College of Policing, 2023) however on this occasion the incident was still ongoing upon my arrival.</w:t>
      </w:r>
    </w:p>
    <w:p w14:paraId="4F5C03A3" w14:textId="77777777" w:rsidR="00102A70" w:rsidRDefault="00102A70" w:rsidP="00102A70">
      <w:pPr>
        <w:jc w:val="both"/>
      </w:pPr>
    </w:p>
    <w:p w14:paraId="180464CD" w14:textId="77777777" w:rsidR="00102A70" w:rsidRDefault="00102A70" w:rsidP="00102A70">
      <w:pPr>
        <w:jc w:val="both"/>
      </w:pPr>
      <w:r>
        <w:t xml:space="preserve">In these circumstances, the safety of everyone involved became my first priority and so one of my colleagues moved forward to secure the male partner and I spoke with the female separately, after checking that neither her </w:t>
      </w:r>
      <w:proofErr w:type="gramStart"/>
      <w:r>
        <w:t>or</w:t>
      </w:r>
      <w:proofErr w:type="gramEnd"/>
      <w:r>
        <w:t xml:space="preserve"> the child needed medical attention. It was immediately apparent that there would be a need to overcome a language barrier as the family were from Iran and spoke limited English.</w:t>
      </w:r>
    </w:p>
    <w:p w14:paraId="7B9BC51D" w14:textId="77777777" w:rsidR="00102A70" w:rsidRDefault="00102A70" w:rsidP="00102A70">
      <w:pPr>
        <w:jc w:val="both"/>
      </w:pPr>
    </w:p>
    <w:p w14:paraId="21E5F607" w14:textId="77777777" w:rsidR="00102A70" w:rsidRDefault="00102A70" w:rsidP="00102A70">
      <w:pPr>
        <w:jc w:val="both"/>
      </w:pPr>
      <w:r>
        <w:t>Despite this, the difficulties in communication did not prevent me from identifying that the victim was very distressed and that she was grateful for the police attendance, holding on to my arm and grabbing her child tightly.</w:t>
      </w:r>
    </w:p>
    <w:p w14:paraId="0E1C3433" w14:textId="77777777" w:rsidR="00102A70" w:rsidRDefault="00102A70" w:rsidP="00102A70">
      <w:pPr>
        <w:jc w:val="both"/>
      </w:pPr>
    </w:p>
    <w:p w14:paraId="6B0B5135" w14:textId="77777777" w:rsidR="00102A70" w:rsidRDefault="00102A70" w:rsidP="00102A70">
      <w:pPr>
        <w:jc w:val="both"/>
      </w:pPr>
      <w:r>
        <w:lastRenderedPageBreak/>
        <w:t>The scene inside the home showed that a violent incident had occurred, with furniture and belongings in disarray and a broken mirror with glass on the floor. Nearby was a wooden bat which I later learned had been used to hit the child in a previous incident. As a result of the damage and distress apparent, I formed the view that a criminal offence may have taken place, such as an affray (s.3 Public Order Act 1986).</w:t>
      </w:r>
    </w:p>
    <w:p w14:paraId="2C373F70" w14:textId="77777777" w:rsidR="00102A70" w:rsidRDefault="00102A70" w:rsidP="00102A70">
      <w:pPr>
        <w:jc w:val="both"/>
      </w:pPr>
      <w:r>
        <w:t xml:space="preserve">Force policy requires that body worn video is used in incidents of domestic abuse and so I captured a recording of the scene and my interaction with the victim. The importance of this approach can be summarised (Barrow-Grint et al, 2022) as 'life changing, through supporting victims to leave </w:t>
      </w:r>
      <w:proofErr w:type="gramStart"/>
      <w:r>
        <w:t>violent  and</w:t>
      </w:r>
      <w:proofErr w:type="gramEnd"/>
      <w:r>
        <w:t xml:space="preserve"> abusive relationships and bringing perpetrators to justice through diligent evidence capture and prosecution. However, where the policing response has not been timely or risk assessments are inappropriate, lives have been lost.'</w:t>
      </w:r>
    </w:p>
    <w:p w14:paraId="5E8975CA" w14:textId="77777777" w:rsidR="00102A70" w:rsidRDefault="00102A70" w:rsidP="00102A70">
      <w:pPr>
        <w:jc w:val="both"/>
      </w:pPr>
    </w:p>
    <w:p w14:paraId="5A78B8DF" w14:textId="77777777" w:rsidR="00102A70" w:rsidRDefault="00102A70" w:rsidP="00102A70">
      <w:pPr>
        <w:jc w:val="both"/>
      </w:pPr>
      <w:r>
        <w:t>Recognising the need to fully understand what had taken place I used the Language Line service to obtain a telephone interpreter and established with the female that her partner had made threats of violence to her and broken furniture with the bat. Asking questions to establish offences and assess risk I considered that there may also be an issue of coercive control, with the victim's partner the only one who could speak some English and the sole earner and decision maker.</w:t>
      </w:r>
    </w:p>
    <w:p w14:paraId="645931D4" w14:textId="77777777" w:rsidR="00102A70" w:rsidRDefault="00102A70" w:rsidP="00102A70">
      <w:pPr>
        <w:jc w:val="both"/>
      </w:pPr>
    </w:p>
    <w:p w14:paraId="4CD984A8" w14:textId="77777777" w:rsidR="00102A70" w:rsidRDefault="00102A70" w:rsidP="00102A70">
      <w:pPr>
        <w:jc w:val="both"/>
      </w:pPr>
      <w:r>
        <w:t xml:space="preserve">From asking questions via the telephone </w:t>
      </w:r>
      <w:proofErr w:type="gramStart"/>
      <w:r>
        <w:t>interpreter</w:t>
      </w:r>
      <w:proofErr w:type="gramEnd"/>
      <w:r>
        <w:t xml:space="preserve"> I established that the victim had no friends or family in the UK and so was isolated and reliant on her partner for everything. As such she felt trapped and unable to escape. To reassure her, I explained my role and the purpose of police attendance, recognising that her perception or experience of policing from Iran was likely to be very different to that in the UK. </w:t>
      </w:r>
    </w:p>
    <w:p w14:paraId="4FC2F76C" w14:textId="77777777" w:rsidR="00102A70" w:rsidRDefault="00102A70" w:rsidP="00102A70">
      <w:pPr>
        <w:jc w:val="both"/>
      </w:pPr>
    </w:p>
    <w:p w14:paraId="059AD4A3" w14:textId="77777777" w:rsidR="00102A70" w:rsidRDefault="00102A70" w:rsidP="00102A70">
      <w:pPr>
        <w:jc w:val="both"/>
      </w:pPr>
      <w:r>
        <w:t>The impact of race and culture with regard to domestic abuse has been described as 'double victimisation' (Gill, 2004) with the partner's initial crimes followed by society's failure to recognise the harm or take protective steps.</w:t>
      </w:r>
    </w:p>
    <w:p w14:paraId="1FDC21FF" w14:textId="77777777" w:rsidR="00102A70" w:rsidRDefault="00102A70" w:rsidP="00102A70">
      <w:pPr>
        <w:jc w:val="both"/>
      </w:pPr>
    </w:p>
    <w:p w14:paraId="5B10F0A1" w14:textId="77777777" w:rsidR="00102A70" w:rsidRDefault="00102A70" w:rsidP="00102A70">
      <w:pPr>
        <w:jc w:val="both"/>
      </w:pPr>
      <w:r>
        <w:t>The victim disclosed that the incident had begun with a verbal argument which then deteriorated, with her partner verbally abusing her and this being followed by an assault. He then used the wooden pole as a weapon, swinging it around and breaking the mirror as well as having hit their child with it. This clearly amounted to criminal offences.</w:t>
      </w:r>
    </w:p>
    <w:p w14:paraId="33EC24C9" w14:textId="77777777" w:rsidR="00102A70" w:rsidRDefault="00102A70" w:rsidP="00102A70">
      <w:pPr>
        <w:jc w:val="both"/>
      </w:pPr>
    </w:p>
    <w:p w14:paraId="054BF3C3" w14:textId="77777777" w:rsidR="00102A70" w:rsidRDefault="00102A70" w:rsidP="00102A70">
      <w:pPr>
        <w:jc w:val="both"/>
      </w:pPr>
      <w:r>
        <w:t xml:space="preserve">Based on the information I now had, I was able to apply a </w:t>
      </w:r>
      <w:proofErr w:type="gramStart"/>
      <w:r>
        <w:t>three stage</w:t>
      </w:r>
      <w:proofErr w:type="gramEnd"/>
      <w:r>
        <w:t xml:space="preserve"> process of risk assessment (Carson and Bain, 2008), first considering the likelihood of harm, then the consequences of it occurring and lastly taking action to address the threat and mitigate the impact.</w:t>
      </w:r>
    </w:p>
    <w:p w14:paraId="4DD330EB" w14:textId="77777777" w:rsidR="00102A70" w:rsidRDefault="00102A70" w:rsidP="00102A70">
      <w:pPr>
        <w:jc w:val="both"/>
      </w:pPr>
    </w:p>
    <w:p w14:paraId="3A08803D" w14:textId="77777777" w:rsidR="00102A70" w:rsidRDefault="00102A70" w:rsidP="00102A70">
      <w:pPr>
        <w:jc w:val="both"/>
      </w:pPr>
      <w:r>
        <w:t>I foresaw a repeat of the violence and continuation of abuse, which could lead to physical and psychological damage to the victim and child, and in line with the force policy of positive action on domestic abuse I considered it necessary to act and that I had a duty to do so. The initial decision to separate the victim and suspect, which was made to calm the situation and reduce the risk of further violence was also effective to preserve the account that each had given about the incident. My colleague who was dealing with the male partner had also used their body worn video to record what was said.</w:t>
      </w:r>
    </w:p>
    <w:p w14:paraId="732C67F8" w14:textId="77777777" w:rsidR="00102A70" w:rsidRDefault="00102A70" w:rsidP="00102A70">
      <w:pPr>
        <w:jc w:val="both"/>
      </w:pPr>
    </w:p>
    <w:p w14:paraId="099D7DB3" w14:textId="77777777" w:rsidR="00102A70" w:rsidRDefault="00102A70" w:rsidP="00102A70">
      <w:pPr>
        <w:jc w:val="both"/>
      </w:pPr>
      <w:r>
        <w:t xml:space="preserve">In </w:t>
      </w:r>
      <w:proofErr w:type="gramStart"/>
      <w:r>
        <w:t>making a decision</w:t>
      </w:r>
      <w:proofErr w:type="gramEnd"/>
      <w:r>
        <w:t xml:space="preserve"> on what to do, I was able to apply the National Decision Model (College of Policing, 2014) which is a tool used in policing for a range of purposes including the use of force and management of firearms incidents. In this context, the model first requires information and intelligence which I had gained from attending the incident and asking questions.</w:t>
      </w:r>
    </w:p>
    <w:p w14:paraId="79EBDF04" w14:textId="77777777" w:rsidR="00102A70" w:rsidRDefault="00102A70" w:rsidP="00102A70">
      <w:pPr>
        <w:jc w:val="both"/>
      </w:pPr>
    </w:p>
    <w:p w14:paraId="68D795FC" w14:textId="77777777" w:rsidR="00102A70" w:rsidRDefault="00102A70" w:rsidP="00102A70">
      <w:pPr>
        <w:jc w:val="both"/>
      </w:pPr>
      <w:r>
        <w:t xml:space="preserve">From this, I had carried out a threat assessment, determining that there was a current risk to the victim and her child. Following these steps is setting a strategy, which was to protect the victim and investigate the offence. I then considered powers and policies - the positive action policy for domestic abuse certainly applied and I was aware of my powers of arrest and recovery of evidence. Moving on to decide my tactical options - here it was to arrest the suspect, seize the bat, photograph the </w:t>
      </w:r>
      <w:proofErr w:type="gramStart"/>
      <w:r>
        <w:t>scene</w:t>
      </w:r>
      <w:proofErr w:type="gramEnd"/>
      <w:r>
        <w:t xml:space="preserve"> and obtain a statement from the victim and neighbour who was a witness. In this way, the capture of evidence would be maximised to support a prosecution.</w:t>
      </w:r>
    </w:p>
    <w:p w14:paraId="31A1D65D" w14:textId="77777777" w:rsidR="00102A70" w:rsidRDefault="00102A70" w:rsidP="00102A70">
      <w:pPr>
        <w:jc w:val="both"/>
      </w:pPr>
    </w:p>
    <w:p w14:paraId="28A98441" w14:textId="77777777" w:rsidR="00102A70" w:rsidRDefault="00102A70" w:rsidP="00102A70">
      <w:pPr>
        <w:jc w:val="both"/>
      </w:pPr>
      <w:r>
        <w:t xml:space="preserve">The criminal process then followed, but alongside this is a wider consideration of how to safeguard and support the victim. Across police forces, this approach varies with ownership divided in different ways between response, specialist departments and partnership arrangements. It has been demonstrated </w:t>
      </w:r>
      <w:r>
        <w:lastRenderedPageBreak/>
        <w:t>(Rumney et al, 2019) that specialist policing units outperform a generalised model across many measures including charges and cases that reach court. While this study focused on rape investigations, its findings echo others (HMICFRS, 2017) which have considered quality of service to victims of domestic abuse.</w:t>
      </w:r>
    </w:p>
    <w:p w14:paraId="0A437C9F" w14:textId="77777777" w:rsidR="00102A70" w:rsidRDefault="00102A70" w:rsidP="00102A70">
      <w:pPr>
        <w:jc w:val="both"/>
      </w:pPr>
    </w:p>
    <w:p w14:paraId="5A108C6B" w14:textId="77777777" w:rsidR="00102A70" w:rsidRDefault="00102A70" w:rsidP="00102A70">
      <w:pPr>
        <w:jc w:val="both"/>
      </w:pPr>
      <w:r>
        <w:t>In South Wales, the involvement of specialist support is achieved through a risk assessment and referral form (a 'PPN') which is completed with the victim by asking questions and noting their responses. Establishing trust is very important for this process to reduce the likelihood of a victim minimising the incident or concealing the true extent of the abuse, either from embarrassment or fear. This can be particularly relevant where cultural factors make the victim more vulnerable or where there are concerns about the impact on children (College of Policing, 2023).</w:t>
      </w:r>
    </w:p>
    <w:p w14:paraId="47E7C89A" w14:textId="77777777" w:rsidR="00102A70" w:rsidRDefault="00102A70" w:rsidP="00102A70">
      <w:pPr>
        <w:jc w:val="both"/>
      </w:pPr>
    </w:p>
    <w:p w14:paraId="22078CB8" w14:textId="77777777" w:rsidR="00102A70" w:rsidRDefault="00102A70" w:rsidP="00102A70">
      <w:pPr>
        <w:jc w:val="both"/>
      </w:pPr>
      <w:r>
        <w:t>In such circumstances, where a victim is less than candid or even refuses to assist police, the option exists to pursue a victimless prosecution as long as sufficient evidence exists from other sources. Body worn video can be an important factor, as historically prosecutions have rarely proceeded without victim involvement (Ellison, 2002).</w:t>
      </w:r>
    </w:p>
    <w:p w14:paraId="16AE4158" w14:textId="77777777" w:rsidR="00102A70" w:rsidRDefault="00102A70" w:rsidP="00102A70">
      <w:pPr>
        <w:jc w:val="both"/>
      </w:pPr>
    </w:p>
    <w:p w14:paraId="360D7FEC" w14:textId="77777777" w:rsidR="00102A70" w:rsidRDefault="00102A70" w:rsidP="00102A70">
      <w:pPr>
        <w:jc w:val="both"/>
      </w:pPr>
      <w:r>
        <w:t>I considered that a victimless prosecution might apply in these circumstances and so I ensured that 'golden hour' actions were carried out to preserve evidence which once lost, cannot be obtained again in the future (Rose, 2021). This included initial accounts from the victim and witness and images of the scene captured on body worn video.</w:t>
      </w:r>
    </w:p>
    <w:p w14:paraId="3EF147FE" w14:textId="77777777" w:rsidR="00102A70" w:rsidRDefault="00102A70" w:rsidP="00102A70">
      <w:pPr>
        <w:jc w:val="both"/>
      </w:pPr>
    </w:p>
    <w:p w14:paraId="4963AB26" w14:textId="77777777" w:rsidR="00102A70" w:rsidRDefault="00102A70" w:rsidP="00102A70">
      <w:pPr>
        <w:jc w:val="both"/>
      </w:pPr>
      <w:r>
        <w:t>Along with the investigative approach, this incident also provided an opportunity to consider what action could be taken to safeguard the victim. The profile of safeguarding has increased in recent years and has been assessed as accounting for as much as 84% of police demand (College of Policing, 2015).</w:t>
      </w:r>
    </w:p>
    <w:p w14:paraId="0FA99C69" w14:textId="77777777" w:rsidR="00102A70" w:rsidRDefault="00102A70" w:rsidP="00102A70">
      <w:pPr>
        <w:jc w:val="both"/>
      </w:pPr>
    </w:p>
    <w:p w14:paraId="78E2262F" w14:textId="77777777" w:rsidR="00102A70" w:rsidRDefault="00102A70" w:rsidP="00102A70">
      <w:pPr>
        <w:jc w:val="both"/>
      </w:pPr>
      <w:r>
        <w:t>This incident involved people who could be considered vulnerable (Paterson &amp; Best, 2016) and in these circumstances I took the view that although investigative actions might bring results in due course, the criminal justice system would not produce a swift outcome and so it was important to ensure the victim and her son could go to a place of safety.</w:t>
      </w:r>
    </w:p>
    <w:p w14:paraId="16DFC234" w14:textId="77777777" w:rsidR="00102A70" w:rsidRDefault="00102A70" w:rsidP="00102A70">
      <w:pPr>
        <w:jc w:val="both"/>
      </w:pPr>
    </w:p>
    <w:p w14:paraId="2129F260" w14:textId="77777777" w:rsidR="00102A70" w:rsidRDefault="00102A70" w:rsidP="00102A70">
      <w:pPr>
        <w:jc w:val="both"/>
      </w:pPr>
      <w:r>
        <w:t>In the first instance this was the police station, where the witness room was a safe and secure place which could not be accessed by the suspect. I brought the victim and her son to this location as it was immediately available, close by and demonstrated our ability to help quickly. I knew however that it would not be suitable as a place to stay overnight as there were no sleeping facilities and continuous supervision was necessary within the station.</w:t>
      </w:r>
    </w:p>
    <w:p w14:paraId="61440A2A" w14:textId="77777777" w:rsidR="00102A70" w:rsidRDefault="00102A70" w:rsidP="00102A70">
      <w:pPr>
        <w:jc w:val="both"/>
      </w:pPr>
    </w:p>
    <w:p w14:paraId="0A46DD6E" w14:textId="77777777" w:rsidR="00102A70" w:rsidRDefault="00102A70" w:rsidP="00102A70">
      <w:pPr>
        <w:jc w:val="both"/>
      </w:pPr>
      <w:r>
        <w:t>I recognised that the victim's immediate needs would be best served by colleagues in other agencies or third sector partners where a focus could be given to longer-term, community based preventive activity rather than solely a reactive crime-based approach (O'Neill, 2010). This also took account of the fact that the victim's language needs were likely to delay the taking of a formal statement of complaint until an interpreter was available, which would further limit the tactical options available to the police alone.</w:t>
      </w:r>
    </w:p>
    <w:p w14:paraId="5BA97537" w14:textId="77777777" w:rsidR="00102A70" w:rsidRDefault="00102A70" w:rsidP="00102A70">
      <w:pPr>
        <w:jc w:val="both"/>
      </w:pPr>
      <w:r>
        <w:t>The starting point was the main statutory partner, the local authority social services department. As this incident took place outside office hours engagement was with the Emergency Duty Team by phone. This demonstrates how police can operate as a 'front end' agency that takes actions which influence the later intervention of other services (Asquith et al, 2016).</w:t>
      </w:r>
    </w:p>
    <w:p w14:paraId="0F0297EC" w14:textId="77777777" w:rsidR="00102A70" w:rsidRDefault="00102A70" w:rsidP="00102A70">
      <w:pPr>
        <w:jc w:val="both"/>
      </w:pPr>
    </w:p>
    <w:p w14:paraId="718B0383" w14:textId="77777777" w:rsidR="00102A70" w:rsidRDefault="00102A70" w:rsidP="00102A70">
      <w:pPr>
        <w:jc w:val="both"/>
      </w:pPr>
      <w:r>
        <w:t>On receiving this notification, social services carried out their own assessment of risk based on the information that was available. It is at this point that the police view of vulnerability sometimes differs from that of partner agencies and this misalignment contributes to the large number of police safeguarding notifications which do not meet the threshold for intervention (Ford et al, 2020).</w:t>
      </w:r>
    </w:p>
    <w:p w14:paraId="7D129D11" w14:textId="77777777" w:rsidR="00102A70" w:rsidRDefault="00102A70" w:rsidP="00102A70">
      <w:pPr>
        <w:jc w:val="both"/>
      </w:pPr>
    </w:p>
    <w:p w14:paraId="4E208558" w14:textId="77777777" w:rsidR="00102A70" w:rsidRDefault="00102A70" w:rsidP="00102A70">
      <w:pPr>
        <w:jc w:val="both"/>
      </w:pPr>
      <w:r>
        <w:t>On this occasion, the police's view of vulnerability and need for action was accepted - assisted by the early actions to secure an account and identify risk - and the victim and her son were able to secure a place in a refuge.</w:t>
      </w:r>
    </w:p>
    <w:p w14:paraId="50A857A9" w14:textId="77777777" w:rsidR="00102A70" w:rsidRDefault="00102A70" w:rsidP="00102A70">
      <w:pPr>
        <w:jc w:val="both"/>
      </w:pPr>
    </w:p>
    <w:p w14:paraId="6537CE4D" w14:textId="77777777" w:rsidR="00102A70" w:rsidRDefault="00102A70" w:rsidP="00102A70">
      <w:pPr>
        <w:jc w:val="both"/>
      </w:pPr>
      <w:r>
        <w:t xml:space="preserve">This has the benefit of addressing the immediate safeguarding need and also has the effect of reducing the perpetrator's ability to influence the victim. Where victims return home and perpetrators continue to have access to them, not only is there a risk of ongoing harm but also victims may become less likely </w:t>
      </w:r>
      <w:r>
        <w:lastRenderedPageBreak/>
        <w:t>to support a prosecution, either through intimidation or becoming convinced to focus on restoring the relationship. In this way, securing lasting safety can be more difficult.</w:t>
      </w:r>
    </w:p>
    <w:p w14:paraId="28F24CFF" w14:textId="77777777" w:rsidR="00102A70" w:rsidRDefault="00102A70" w:rsidP="00102A70">
      <w:pPr>
        <w:jc w:val="both"/>
      </w:pPr>
    </w:p>
    <w:p w14:paraId="72809120" w14:textId="77777777" w:rsidR="00102A70" w:rsidRDefault="00102A70" w:rsidP="00102A70">
      <w:pPr>
        <w:jc w:val="both"/>
      </w:pPr>
      <w:r>
        <w:t>The methods of ensuring lasting protection for repeat victims in the domestic context focus either on the victim or the perpetrator. The criminal justice process centres on the prosecution of the perpetrator, but police have in recent years have recognised the importance of also supporting victims with Independent Domestic Violence Advocates and close working with charities and specialists. This aims to ensure that victims have the confidence to attend court and give evidence and to see a future without ongoing abuse.</w:t>
      </w:r>
    </w:p>
    <w:p w14:paraId="494C6532" w14:textId="77777777" w:rsidR="00102A70" w:rsidRDefault="00102A70" w:rsidP="00102A70">
      <w:pPr>
        <w:jc w:val="both"/>
      </w:pPr>
    </w:p>
    <w:p w14:paraId="12D310A6" w14:textId="6DC49E47" w:rsidR="00102A70" w:rsidRDefault="00102A70" w:rsidP="00102A70">
      <w:pPr>
        <w:jc w:val="both"/>
        <w:rPr>
          <w:b/>
          <w:bCs/>
        </w:rPr>
      </w:pPr>
      <w:r w:rsidRPr="00102A70">
        <w:rPr>
          <w:b/>
          <w:bCs/>
        </w:rPr>
        <w:t>1971 words</w:t>
      </w:r>
    </w:p>
    <w:p w14:paraId="2FAAE5D4" w14:textId="77777777" w:rsidR="00102A70" w:rsidRPr="00102A70" w:rsidRDefault="00102A70" w:rsidP="00102A70">
      <w:pPr>
        <w:jc w:val="both"/>
        <w:rPr>
          <w:b/>
          <w:bCs/>
        </w:rPr>
      </w:pPr>
    </w:p>
    <w:p w14:paraId="46326FD8" w14:textId="77777777" w:rsidR="00102A70" w:rsidRDefault="00102A70" w:rsidP="00102A70"/>
    <w:p w14:paraId="17F98C82" w14:textId="77777777" w:rsidR="00102A70" w:rsidRDefault="00102A70" w:rsidP="00102A70">
      <w:pPr>
        <w:rPr>
          <w:u w:val="single"/>
        </w:rPr>
      </w:pPr>
      <w:r>
        <w:rPr>
          <w:u w:val="single"/>
        </w:rPr>
        <w:t>References</w:t>
      </w:r>
    </w:p>
    <w:p w14:paraId="5B90254D" w14:textId="77777777" w:rsidR="00102A70" w:rsidRDefault="00102A70" w:rsidP="00102A70"/>
    <w:p w14:paraId="43F3DF27" w14:textId="77777777" w:rsidR="00102A70" w:rsidRDefault="00102A70" w:rsidP="00102A70">
      <w:r>
        <w:t>Asquith, NL, Bartkowiak-</w:t>
      </w:r>
      <w:proofErr w:type="spellStart"/>
      <w:r>
        <w:t>Théron</w:t>
      </w:r>
      <w:proofErr w:type="spellEnd"/>
      <w:r>
        <w:t xml:space="preserve">, I, Roberts, K (2016) Vulnerability and the criminal justice system. Journal of Criminological Research, </w:t>
      </w:r>
      <w:proofErr w:type="gramStart"/>
      <w:r>
        <w:t>Policy</w:t>
      </w:r>
      <w:proofErr w:type="gramEnd"/>
      <w:r>
        <w:t xml:space="preserve"> and Practice 2(3): p161–163.</w:t>
      </w:r>
    </w:p>
    <w:p w14:paraId="7DC4AF62" w14:textId="77777777" w:rsidR="00102A70" w:rsidRDefault="00102A70" w:rsidP="00102A70"/>
    <w:p w14:paraId="7D894918" w14:textId="77777777" w:rsidR="00102A70" w:rsidRDefault="00102A70" w:rsidP="00102A70">
      <w:r>
        <w:t xml:space="preserve">Barrow-Grint, K., </w:t>
      </w:r>
      <w:proofErr w:type="spellStart"/>
      <w:r>
        <w:t>Sebire</w:t>
      </w:r>
      <w:proofErr w:type="spellEnd"/>
      <w:r>
        <w:t>, J., Turton, J., &amp; Weir, R. (2022). Policing Domestic Abuse: Risk, Policy, and Practice (1st ed.). Routledge.</w:t>
      </w:r>
    </w:p>
    <w:p w14:paraId="16C61FB9" w14:textId="77777777" w:rsidR="00102A70" w:rsidRDefault="00102A70" w:rsidP="00102A70"/>
    <w:p w14:paraId="49BBB561" w14:textId="77777777" w:rsidR="00102A70" w:rsidRDefault="00102A70" w:rsidP="00102A70">
      <w:proofErr w:type="gramStart"/>
      <w:r>
        <w:t>Carson,  D.</w:t>
      </w:r>
      <w:proofErr w:type="gramEnd"/>
      <w:r>
        <w:t xml:space="preserve">,  Bain,  A.,  2008.  </w:t>
      </w:r>
      <w:proofErr w:type="gramStart"/>
      <w:r>
        <w:t>Professional  risk</w:t>
      </w:r>
      <w:proofErr w:type="gramEnd"/>
      <w:r>
        <w:t xml:space="preserve">  and  working  with  people:  Decision- making in health, social care and criminal justice. Jessica Kingsley Publishers.</w:t>
      </w:r>
    </w:p>
    <w:p w14:paraId="412A146B" w14:textId="77777777" w:rsidR="00102A70" w:rsidRDefault="00102A70" w:rsidP="00102A70"/>
    <w:p w14:paraId="065E1FF8" w14:textId="77777777" w:rsidR="00102A70" w:rsidRDefault="00102A70" w:rsidP="00102A70">
      <w:r>
        <w:t xml:space="preserve">Office for National Statistics, UK National Census (2021)  </w:t>
      </w:r>
    </w:p>
    <w:p w14:paraId="63FD316D" w14:textId="77777777" w:rsidR="00102A70" w:rsidRDefault="00FC0168" w:rsidP="00102A70">
      <w:hyperlink r:id="rId15" w:history="1">
        <w:r w:rsidR="00102A70">
          <w:rPr>
            <w:rStyle w:val="Hyperlink"/>
            <w:color w:val="1155CC"/>
          </w:rPr>
          <w:t>Http://www.ons.gov.uk</w:t>
        </w:r>
      </w:hyperlink>
    </w:p>
    <w:p w14:paraId="035E159E" w14:textId="77777777" w:rsidR="00102A70" w:rsidRDefault="00102A70" w:rsidP="00102A70"/>
    <w:p w14:paraId="4B6FFAE8" w14:textId="77777777" w:rsidR="00102A70" w:rsidRDefault="00102A70" w:rsidP="00102A70">
      <w:r>
        <w:t xml:space="preserve">College of Policing National Decision Model (2014) </w:t>
      </w:r>
      <w:hyperlink r:id="rId16" w:history="1">
        <w:r>
          <w:rPr>
            <w:rStyle w:val="Hyperlink"/>
            <w:color w:val="0563C1"/>
          </w:rPr>
          <w:t>https://www.college.police.uk/app/national-decision-model/national-decision-model</w:t>
        </w:r>
      </w:hyperlink>
    </w:p>
    <w:p w14:paraId="21F96C14" w14:textId="77777777" w:rsidR="00102A70" w:rsidRDefault="00102A70" w:rsidP="00102A70"/>
    <w:p w14:paraId="78B3EDEA" w14:textId="77777777" w:rsidR="00102A70" w:rsidRDefault="00102A70" w:rsidP="00102A70">
      <w:r>
        <w:t xml:space="preserve">College of Policing (2015) College of policing analysis: Estimating demand on the police service. </w:t>
      </w:r>
      <w:hyperlink r:id="rId17" w:history="1">
        <w:r>
          <w:rPr>
            <w:rStyle w:val="Hyperlink"/>
            <w:color w:val="0563C1"/>
          </w:rPr>
          <w:t>http://www.college.police.uk/News/College-news/Documents/Demand%20Report%2023_1_15_noBleed.pdf</w:t>
        </w:r>
      </w:hyperlink>
    </w:p>
    <w:p w14:paraId="29BB221F" w14:textId="77777777" w:rsidR="00102A70" w:rsidRDefault="00102A70" w:rsidP="00102A70"/>
    <w:p w14:paraId="0B18B956" w14:textId="77777777" w:rsidR="00102A70" w:rsidRDefault="00102A70" w:rsidP="00102A70">
      <w:r>
        <w:t xml:space="preserve">College of Policing Authorised Professional Practice: Domestic Abuse, College of Policing (2023), </w:t>
      </w:r>
      <w:hyperlink r:id="rId18" w:history="1">
        <w:r>
          <w:rPr>
            <w:rStyle w:val="Hyperlink"/>
            <w:color w:val="0563C1"/>
          </w:rPr>
          <w:t>https://www.college.police.uk/app/major-investigation-and-public-protection/domestic-abuse/understanding-risk-and-vulnerability-context-domestic-abuse</w:t>
        </w:r>
      </w:hyperlink>
    </w:p>
    <w:p w14:paraId="4E8AC2F3" w14:textId="77777777" w:rsidR="00102A70" w:rsidRDefault="00102A70" w:rsidP="00102A70"/>
    <w:p w14:paraId="3C65D2A6" w14:textId="77777777" w:rsidR="00102A70" w:rsidRDefault="00102A70" w:rsidP="00102A70">
      <w:r>
        <w:t>Ellison, L., 2002. Prosecuting domestic violence without victim participation. The Modern Law Review 65, p834 –858.</w:t>
      </w:r>
    </w:p>
    <w:p w14:paraId="294EF323" w14:textId="77777777" w:rsidR="00102A70" w:rsidRDefault="00102A70" w:rsidP="00102A70"/>
    <w:p w14:paraId="54D24E78" w14:textId="77777777" w:rsidR="00102A70" w:rsidRDefault="00102A70" w:rsidP="00102A70">
      <w:r>
        <w:t>Ford, K., Newbury, A., Meredith, Z., Evans, J., Hughes, K., Roderick, J., Davies, A. R., &amp; Bellis, M. A. (2020). Understanding the outcome of police safeguarding notifications to social services in South Wales. The Police Journal, 93(2), p87-108</w:t>
      </w:r>
    </w:p>
    <w:p w14:paraId="231939BF" w14:textId="77777777" w:rsidR="00102A70" w:rsidRDefault="00102A70" w:rsidP="00102A70"/>
    <w:p w14:paraId="19C91A4C" w14:textId="77777777" w:rsidR="00102A70" w:rsidRDefault="00102A70" w:rsidP="00102A70">
      <w:r>
        <w:t>Gill, A., 2004. Voicing the silent fear: South Asian women’s experiences of domestic violence. The Howard Journal of Criminal Justice 43, p.465 – 483.</w:t>
      </w:r>
    </w:p>
    <w:p w14:paraId="53029B24" w14:textId="77777777" w:rsidR="00102A70" w:rsidRDefault="00102A70" w:rsidP="00102A70"/>
    <w:p w14:paraId="2606A380" w14:textId="77777777" w:rsidR="00102A70" w:rsidRDefault="00102A70" w:rsidP="00102A70">
      <w:r>
        <w:t>HMICFRS: Everyone’s business: Improving the police response to domestic abuse (2014), p.</w:t>
      </w:r>
      <w:proofErr w:type="gramStart"/>
      <w:r>
        <w:t>5</w:t>
      </w:r>
      <w:proofErr w:type="gramEnd"/>
    </w:p>
    <w:p w14:paraId="67BB1CCC" w14:textId="77777777" w:rsidR="00102A70" w:rsidRDefault="00FC0168" w:rsidP="00102A70">
      <w:hyperlink r:id="rId19" w:history="1">
        <w:r w:rsidR="00102A70">
          <w:rPr>
            <w:rStyle w:val="Hyperlink"/>
            <w:color w:val="0563C1"/>
          </w:rPr>
          <w:t>https://assets-hmicfrs.justiceinspectorates.gov.uk/uploads/2014/04/improving-the-police-response-to-domestic-abuse.pdf</w:t>
        </w:r>
      </w:hyperlink>
    </w:p>
    <w:p w14:paraId="104C99E6" w14:textId="77777777" w:rsidR="00102A70" w:rsidRDefault="00102A70" w:rsidP="00102A70"/>
    <w:p w14:paraId="65B8D396" w14:textId="77777777" w:rsidR="00102A70" w:rsidRDefault="00102A70" w:rsidP="00102A70">
      <w:proofErr w:type="gramStart"/>
      <w:r>
        <w:t>HMICFRS,  (</w:t>
      </w:r>
      <w:proofErr w:type="gramEnd"/>
      <w:r>
        <w:t xml:space="preserve">2017).  </w:t>
      </w:r>
      <w:proofErr w:type="gramStart"/>
      <w:r>
        <w:t>Progress  report</w:t>
      </w:r>
      <w:proofErr w:type="gramEnd"/>
      <w:r>
        <w:t xml:space="preserve">  on  the  police  response  to  domestic  abuse.  HMICFRS.</w:t>
      </w:r>
    </w:p>
    <w:p w14:paraId="7E9A02D2" w14:textId="77777777" w:rsidR="00102A70" w:rsidRDefault="00102A70" w:rsidP="00102A70"/>
    <w:p w14:paraId="756B309E" w14:textId="77777777" w:rsidR="00102A70" w:rsidRDefault="00102A70" w:rsidP="00102A70">
      <w:r>
        <w:t>O’Neill, M. (2010) The police response to crime. In: Shoham SG, Knepper P, Kett M (editors) The International Handbook of Criminology. Boca Raton, FL: CRC Press, p. 483–510.</w:t>
      </w:r>
    </w:p>
    <w:p w14:paraId="2C3500D4" w14:textId="77777777" w:rsidR="00102A70" w:rsidRDefault="00102A70" w:rsidP="00102A70"/>
    <w:p w14:paraId="086DA05B" w14:textId="77777777" w:rsidR="00102A70" w:rsidRDefault="00102A70" w:rsidP="00102A70">
      <w:r>
        <w:t xml:space="preserve">Office for National Statistics, UK National Census (2021)  </w:t>
      </w:r>
    </w:p>
    <w:p w14:paraId="70AD86A4" w14:textId="77777777" w:rsidR="00102A70" w:rsidRDefault="00FC0168" w:rsidP="00102A70">
      <w:hyperlink r:id="rId20" w:history="1">
        <w:r w:rsidR="00102A70">
          <w:rPr>
            <w:rStyle w:val="Hyperlink"/>
            <w:color w:val="1155CC"/>
          </w:rPr>
          <w:t>Http://www.ons.gov.uk</w:t>
        </w:r>
      </w:hyperlink>
    </w:p>
    <w:p w14:paraId="4C133BA3" w14:textId="77777777" w:rsidR="00102A70" w:rsidRDefault="00102A70" w:rsidP="00102A70"/>
    <w:p w14:paraId="18E3B203" w14:textId="77777777" w:rsidR="00102A70" w:rsidRDefault="00102A70" w:rsidP="00102A70">
      <w:r>
        <w:lastRenderedPageBreak/>
        <w:t>Paterson, C., Best, D. (2016) Policing vulnerability through building community connections. Policing: A Journal of Policy and Practice 10(2): p150–157.</w:t>
      </w:r>
    </w:p>
    <w:p w14:paraId="7230CFBD" w14:textId="77777777" w:rsidR="00102A70" w:rsidRDefault="00102A70" w:rsidP="00102A70"/>
    <w:p w14:paraId="559E7DC5" w14:textId="77777777" w:rsidR="00102A70" w:rsidRDefault="00102A70" w:rsidP="00102A70">
      <w:r>
        <w:t xml:space="preserve">Public Order Act 1986 </w:t>
      </w:r>
      <w:hyperlink r:id="rId21" w:history="1">
        <w:r>
          <w:rPr>
            <w:rStyle w:val="Hyperlink"/>
            <w:color w:val="0563C1"/>
          </w:rPr>
          <w:t>https://www.legislation.gov.uk/ukpga/1986/64/section/3</w:t>
        </w:r>
      </w:hyperlink>
    </w:p>
    <w:p w14:paraId="3C4BCF00" w14:textId="77777777" w:rsidR="00102A70" w:rsidRDefault="00102A70" w:rsidP="00102A70"/>
    <w:p w14:paraId="43510413" w14:textId="77777777" w:rsidR="00102A70" w:rsidRDefault="00102A70" w:rsidP="00102A70">
      <w:r>
        <w:t>Rose, A., 2021. Forensics: The Golden Hour. Modern Police Leadership: Operational Effectiveness at Every Level, p223-233.</w:t>
      </w:r>
    </w:p>
    <w:p w14:paraId="161614E9" w14:textId="77777777" w:rsidR="00102A70" w:rsidRDefault="00102A70" w:rsidP="00102A70"/>
    <w:p w14:paraId="682CF779" w14:textId="77777777" w:rsidR="00102A70" w:rsidRDefault="00102A70" w:rsidP="00102A70">
      <w:r>
        <w:t>Rumney, P.N., McPhee, D., Fenton, R.A., Williams, A., 2019. A police specialist rape investigation unit: A comparative analysis of performance and victim care. ‘Policing and Society’.</w:t>
      </w:r>
    </w:p>
    <w:p w14:paraId="201ECC14" w14:textId="77777777" w:rsidR="00102A70" w:rsidRDefault="00102A70" w:rsidP="00102A70"/>
    <w:p w14:paraId="5887DD0D" w14:textId="77777777" w:rsidR="00102A70" w:rsidRDefault="00102A70" w:rsidP="00102A70">
      <w:pPr>
        <w:rPr>
          <w:u w:val="single"/>
        </w:rPr>
      </w:pPr>
    </w:p>
    <w:p w14:paraId="6F3827FE" w14:textId="77777777" w:rsidR="00102A70" w:rsidRDefault="00102A70" w:rsidP="00102A70">
      <w:pPr>
        <w:rPr>
          <w:u w:val="single"/>
        </w:rPr>
      </w:pPr>
    </w:p>
    <w:p w14:paraId="5863272B" w14:textId="77777777" w:rsidR="00102A70" w:rsidRDefault="00102A70" w:rsidP="00102A70">
      <w:pPr>
        <w:rPr>
          <w:u w:val="single"/>
        </w:rPr>
      </w:pPr>
    </w:p>
    <w:p w14:paraId="6EE28C09" w14:textId="77777777" w:rsidR="00102A70" w:rsidRDefault="00102A70" w:rsidP="00102A70">
      <w:pPr>
        <w:rPr>
          <w:u w:val="single"/>
        </w:rPr>
      </w:pPr>
    </w:p>
    <w:p w14:paraId="06AE0F58" w14:textId="77777777" w:rsidR="00102A70" w:rsidRPr="00E676F7" w:rsidRDefault="00102A7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06491356" w14:textId="412E03E9" w:rsidR="00A221AB" w:rsidRPr="00102A70" w:rsidRDefault="00E676F7" w:rsidP="00102A70">
      <w:pPr>
        <w:overflowPunct/>
        <w:autoSpaceDE/>
        <w:autoSpaceDN/>
        <w:adjustRightInd/>
        <w:textAlignment w:val="auto"/>
        <w:rPr>
          <w:b/>
          <w:bCs/>
          <w:sz w:val="24"/>
          <w:szCs w:val="24"/>
        </w:rPr>
      </w:pPr>
      <w:r w:rsidRPr="5CE196A1">
        <w:rPr>
          <w:b/>
          <w:bCs/>
          <w:sz w:val="24"/>
          <w:szCs w:val="24"/>
        </w:rPr>
        <w:br w:type="page"/>
      </w:r>
    </w:p>
    <w:p w14:paraId="2598748B" w14:textId="28A40FAA" w:rsidR="69F7424F" w:rsidRDefault="69F7424F" w:rsidP="00102A70">
      <w:pPr>
        <w:ind w:right="237"/>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0F901C86" w14:textId="6E9679CB" w:rsidR="00025650" w:rsidRDefault="00025650" w:rsidP="0FF883D4">
      <w:pPr>
        <w:ind w:right="237"/>
        <w:jc w:val="both"/>
        <w:rPr>
          <w:b/>
          <w:bCs/>
          <w:color w:val="000000" w:themeColor="text1"/>
          <w:sz w:val="24"/>
          <w:szCs w:val="24"/>
        </w:rPr>
      </w:pPr>
    </w:p>
    <w:p w14:paraId="62DC31B9" w14:textId="77777777" w:rsidR="00102A70" w:rsidRPr="00E676F7" w:rsidRDefault="00102A7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Default="00025650" w:rsidP="5CE196A1">
      <w:pPr>
        <w:ind w:right="237"/>
        <w:jc w:val="center"/>
        <w:rPr>
          <w:rFonts w:eastAsia="Arial"/>
          <w:color w:val="000000" w:themeColor="text1"/>
          <w:sz w:val="28"/>
          <w:szCs w:val="28"/>
        </w:rPr>
      </w:pPr>
    </w:p>
    <w:p w14:paraId="75B22CAA" w14:textId="77777777" w:rsidR="00102A70" w:rsidRDefault="00102A70" w:rsidP="5CE196A1">
      <w:pPr>
        <w:ind w:right="237"/>
        <w:jc w:val="center"/>
        <w:rPr>
          <w:rFonts w:eastAsia="Arial"/>
          <w:color w:val="000000" w:themeColor="text1"/>
          <w:sz w:val="28"/>
          <w:szCs w:val="28"/>
        </w:rPr>
      </w:pPr>
    </w:p>
    <w:p w14:paraId="7274534A" w14:textId="77777777" w:rsidR="00102A70" w:rsidRDefault="00102A70" w:rsidP="5CE196A1">
      <w:pPr>
        <w:ind w:right="237"/>
        <w:jc w:val="center"/>
        <w:rPr>
          <w:rFonts w:eastAsia="Arial"/>
          <w:color w:val="000000" w:themeColor="text1"/>
          <w:sz w:val="28"/>
          <w:szCs w:val="28"/>
        </w:rPr>
      </w:pPr>
    </w:p>
    <w:p w14:paraId="2E52EC4B" w14:textId="77777777" w:rsidR="00102A70" w:rsidRDefault="00102A70" w:rsidP="5CE196A1">
      <w:pPr>
        <w:ind w:right="237"/>
        <w:jc w:val="center"/>
        <w:rPr>
          <w:rFonts w:eastAsia="Arial"/>
          <w:color w:val="000000" w:themeColor="text1"/>
          <w:sz w:val="28"/>
          <w:szCs w:val="28"/>
        </w:rPr>
      </w:pPr>
    </w:p>
    <w:p w14:paraId="316F4638" w14:textId="77777777" w:rsidR="00102A70" w:rsidRDefault="00102A70" w:rsidP="5CE196A1">
      <w:pPr>
        <w:ind w:right="237"/>
        <w:jc w:val="center"/>
        <w:rPr>
          <w:rFonts w:eastAsia="Arial"/>
          <w:color w:val="000000" w:themeColor="text1"/>
          <w:sz w:val="28"/>
          <w:szCs w:val="28"/>
        </w:rPr>
      </w:pPr>
    </w:p>
    <w:p w14:paraId="45E3C899" w14:textId="77777777" w:rsidR="00102A70" w:rsidRDefault="00102A70" w:rsidP="5CE196A1">
      <w:pPr>
        <w:ind w:right="237"/>
        <w:jc w:val="center"/>
        <w:rPr>
          <w:rFonts w:eastAsia="Arial"/>
          <w:color w:val="000000" w:themeColor="text1"/>
          <w:sz w:val="28"/>
          <w:szCs w:val="28"/>
        </w:rPr>
      </w:pPr>
    </w:p>
    <w:p w14:paraId="079F6580" w14:textId="77777777" w:rsidR="00102A70" w:rsidRDefault="00102A70" w:rsidP="5CE196A1">
      <w:pPr>
        <w:ind w:right="237"/>
        <w:jc w:val="center"/>
        <w:rPr>
          <w:rFonts w:eastAsia="Arial"/>
          <w:color w:val="000000" w:themeColor="text1"/>
          <w:sz w:val="28"/>
          <w:szCs w:val="28"/>
        </w:rPr>
      </w:pPr>
    </w:p>
    <w:p w14:paraId="33942D22" w14:textId="77777777" w:rsidR="00102A70" w:rsidRDefault="00102A70" w:rsidP="5CE196A1">
      <w:pPr>
        <w:ind w:right="237"/>
        <w:jc w:val="center"/>
        <w:rPr>
          <w:rFonts w:eastAsia="Arial"/>
          <w:color w:val="000000" w:themeColor="text1"/>
          <w:sz w:val="28"/>
          <w:szCs w:val="28"/>
        </w:rPr>
      </w:pPr>
    </w:p>
    <w:p w14:paraId="12C1E0B7" w14:textId="77777777" w:rsidR="00102A70" w:rsidRDefault="00102A70" w:rsidP="5CE196A1">
      <w:pPr>
        <w:ind w:right="237"/>
        <w:jc w:val="center"/>
        <w:rPr>
          <w:rFonts w:eastAsia="Arial"/>
          <w:color w:val="000000" w:themeColor="text1"/>
          <w:sz w:val="28"/>
          <w:szCs w:val="28"/>
        </w:rPr>
      </w:pPr>
    </w:p>
    <w:p w14:paraId="6D16C7B9" w14:textId="77777777" w:rsidR="00102A70" w:rsidRDefault="00102A70" w:rsidP="5CE196A1">
      <w:pPr>
        <w:ind w:right="237"/>
        <w:jc w:val="center"/>
        <w:rPr>
          <w:rFonts w:eastAsia="Arial"/>
          <w:color w:val="000000" w:themeColor="text1"/>
          <w:sz w:val="28"/>
          <w:szCs w:val="28"/>
        </w:rPr>
      </w:pPr>
    </w:p>
    <w:p w14:paraId="70233BD4" w14:textId="77777777" w:rsidR="00102A70" w:rsidRDefault="00102A70" w:rsidP="5CE196A1">
      <w:pPr>
        <w:ind w:right="237"/>
        <w:jc w:val="center"/>
        <w:rPr>
          <w:rFonts w:eastAsia="Arial"/>
          <w:color w:val="000000" w:themeColor="text1"/>
          <w:sz w:val="28"/>
          <w:szCs w:val="28"/>
        </w:rPr>
      </w:pPr>
    </w:p>
    <w:p w14:paraId="2EC168DA" w14:textId="77777777" w:rsidR="00102A70" w:rsidRPr="00E676F7" w:rsidRDefault="00102A7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3419B160" w14:textId="4D678DB1" w:rsidR="0FF883D4" w:rsidRDefault="0FF883D4" w:rsidP="0FF883D4">
      <w:pPr>
        <w:ind w:right="237"/>
        <w:jc w:val="both"/>
        <w:rPr>
          <w:color w:val="000000" w:themeColor="text1"/>
          <w:sz w:val="24"/>
          <w:szCs w:val="24"/>
        </w:rPr>
      </w:pPr>
    </w:p>
    <w:p w14:paraId="3E80D4E7" w14:textId="77777777" w:rsidR="00102A70" w:rsidRDefault="00102A70"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54B8BB47" w14:textId="77777777" w:rsidR="00102A70" w:rsidRDefault="00102A70" w:rsidP="0FF883D4">
      <w:pPr>
        <w:ind w:right="237"/>
        <w:jc w:val="both"/>
        <w:rPr>
          <w:color w:val="000000" w:themeColor="text1"/>
          <w:sz w:val="24"/>
          <w:szCs w:val="24"/>
        </w:rPr>
      </w:pPr>
    </w:p>
    <w:p w14:paraId="5A21C25C" w14:textId="77777777" w:rsidR="00102A70" w:rsidRDefault="00102A70" w:rsidP="0FF883D4">
      <w:pPr>
        <w:ind w:right="237"/>
        <w:jc w:val="both"/>
        <w:rPr>
          <w:color w:val="000000" w:themeColor="text1"/>
          <w:sz w:val="24"/>
          <w:szCs w:val="24"/>
        </w:rPr>
      </w:pPr>
    </w:p>
    <w:p w14:paraId="59776511" w14:textId="77777777" w:rsidR="00102A70" w:rsidRDefault="00102A70" w:rsidP="0FF883D4">
      <w:pPr>
        <w:ind w:right="237"/>
        <w:jc w:val="both"/>
        <w:rPr>
          <w:color w:val="000000" w:themeColor="text1"/>
          <w:sz w:val="24"/>
          <w:szCs w:val="24"/>
        </w:rPr>
      </w:pPr>
    </w:p>
    <w:p w14:paraId="7AB687FD" w14:textId="77777777" w:rsidR="00102A70" w:rsidRDefault="00102A70" w:rsidP="0FF883D4">
      <w:pPr>
        <w:ind w:right="237"/>
        <w:jc w:val="both"/>
        <w:rPr>
          <w:color w:val="000000" w:themeColor="text1"/>
          <w:sz w:val="24"/>
          <w:szCs w:val="24"/>
        </w:rPr>
      </w:pPr>
    </w:p>
    <w:p w14:paraId="5F0ACE12" w14:textId="77777777" w:rsidR="00102A70" w:rsidRDefault="00102A70" w:rsidP="0FF883D4">
      <w:pPr>
        <w:ind w:right="237"/>
        <w:jc w:val="both"/>
        <w:rPr>
          <w:color w:val="000000" w:themeColor="text1"/>
          <w:sz w:val="24"/>
          <w:szCs w:val="24"/>
        </w:rPr>
      </w:pPr>
    </w:p>
    <w:p w14:paraId="0D98ECB1" w14:textId="77777777" w:rsidR="00102A70" w:rsidRDefault="00102A70" w:rsidP="0FF883D4">
      <w:pPr>
        <w:ind w:right="237"/>
        <w:jc w:val="both"/>
        <w:rPr>
          <w:color w:val="000000" w:themeColor="text1"/>
          <w:sz w:val="24"/>
          <w:szCs w:val="24"/>
        </w:rPr>
      </w:pPr>
    </w:p>
    <w:p w14:paraId="75835E8D" w14:textId="77777777" w:rsidR="00102A70" w:rsidRDefault="00102A70" w:rsidP="0FF883D4">
      <w:pPr>
        <w:ind w:right="237"/>
        <w:jc w:val="both"/>
        <w:rPr>
          <w:color w:val="000000" w:themeColor="text1"/>
          <w:sz w:val="24"/>
          <w:szCs w:val="24"/>
        </w:rPr>
      </w:pPr>
    </w:p>
    <w:p w14:paraId="6A6F8CDB" w14:textId="77777777" w:rsidR="00102A70" w:rsidRDefault="00102A70" w:rsidP="0FF883D4">
      <w:pPr>
        <w:ind w:right="237"/>
        <w:jc w:val="both"/>
        <w:rPr>
          <w:color w:val="000000" w:themeColor="text1"/>
          <w:sz w:val="24"/>
          <w:szCs w:val="24"/>
        </w:rPr>
      </w:pPr>
    </w:p>
    <w:p w14:paraId="263C153B" w14:textId="77777777" w:rsidR="00102A70" w:rsidRDefault="00102A70" w:rsidP="0FF883D4">
      <w:pPr>
        <w:ind w:right="237"/>
        <w:jc w:val="both"/>
        <w:rPr>
          <w:color w:val="000000" w:themeColor="text1"/>
          <w:sz w:val="24"/>
          <w:szCs w:val="24"/>
        </w:rPr>
      </w:pPr>
    </w:p>
    <w:p w14:paraId="343A0CA1" w14:textId="77777777" w:rsidR="00102A70" w:rsidRDefault="00102A70" w:rsidP="0FF883D4">
      <w:pPr>
        <w:ind w:right="237"/>
        <w:jc w:val="both"/>
        <w:rPr>
          <w:color w:val="000000" w:themeColor="text1"/>
          <w:sz w:val="24"/>
          <w:szCs w:val="24"/>
        </w:rPr>
      </w:pPr>
    </w:p>
    <w:p w14:paraId="46473859" w14:textId="77777777" w:rsidR="00102A70" w:rsidRDefault="00102A70" w:rsidP="0FF883D4">
      <w:pPr>
        <w:ind w:right="237"/>
        <w:jc w:val="both"/>
        <w:rPr>
          <w:color w:val="000000" w:themeColor="text1"/>
          <w:sz w:val="24"/>
          <w:szCs w:val="24"/>
        </w:rPr>
      </w:pPr>
    </w:p>
    <w:p w14:paraId="63D110EF" w14:textId="77777777" w:rsidR="00102A70" w:rsidRDefault="00102A70" w:rsidP="0FF883D4">
      <w:pPr>
        <w:ind w:right="237"/>
        <w:jc w:val="both"/>
        <w:rPr>
          <w:color w:val="000000" w:themeColor="text1"/>
          <w:sz w:val="24"/>
          <w:szCs w:val="24"/>
        </w:rPr>
      </w:pPr>
    </w:p>
    <w:p w14:paraId="61AE87C2" w14:textId="77777777" w:rsidR="00102A70" w:rsidRDefault="00102A70"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17C23C01" w14:textId="77777777" w:rsidR="00102A70" w:rsidRDefault="00102A70" w:rsidP="00102A70">
      <w:pPr>
        <w:jc w:val="both"/>
        <w:rPr>
          <w:rFonts w:ascii="Calibri" w:hAnsi="Calibri" w:cs="Calibri"/>
          <w:color w:val="auto"/>
        </w:rPr>
      </w:pPr>
      <w:r>
        <w:t>The police service in the UK has a number of different responsibilities. These include the prevention of crime and disorder, responding to welfare and vulnerability concerns and locating missing persons. The balance of these functions varies over time in line with societal changes, but one aspect of police work that has remained constant has been the investigation of crime, although the techniques and processes involved continue to evolve.</w:t>
      </w:r>
    </w:p>
    <w:p w14:paraId="11849E46" w14:textId="77777777" w:rsidR="00102A70" w:rsidRDefault="00102A70" w:rsidP="00102A70">
      <w:pPr>
        <w:jc w:val="both"/>
      </w:pPr>
    </w:p>
    <w:p w14:paraId="27B8A7D7" w14:textId="77777777" w:rsidR="00102A70" w:rsidRDefault="00102A70" w:rsidP="00102A70">
      <w:pPr>
        <w:jc w:val="both"/>
      </w:pPr>
      <w:r>
        <w:t>Criminal investigation is defined in law (Criminal Procedure and Investigations Act, 1996, s.22) as ‘an investigation conducted by police [to establish] whether a person should be charged with an offence, or whether a person charged with an offence is guilty of it’.</w:t>
      </w:r>
    </w:p>
    <w:p w14:paraId="720BB6B9" w14:textId="77777777" w:rsidR="00102A70" w:rsidRDefault="00102A70" w:rsidP="00102A70">
      <w:pPr>
        <w:jc w:val="both"/>
      </w:pPr>
    </w:p>
    <w:p w14:paraId="466DCC52" w14:textId="77777777" w:rsidR="00102A70" w:rsidRDefault="00102A70" w:rsidP="00102A70">
      <w:pPr>
        <w:jc w:val="both"/>
      </w:pPr>
      <w:r>
        <w:t xml:space="preserve">Successfully investigating crime is the cornerstone of the criminal justice system, as without </w:t>
      </w:r>
      <w:proofErr w:type="gramStart"/>
      <w:r>
        <w:t>this offenders</w:t>
      </w:r>
      <w:proofErr w:type="gramEnd"/>
      <w:r>
        <w:t xml:space="preserve"> would go unpunished. Police officers must act as impartial investigators during an investigation, following all reasonable lines of enquiry which can either lead both towards </w:t>
      </w:r>
      <w:proofErr w:type="gramStart"/>
      <w:r>
        <w:t>and</w:t>
      </w:r>
      <w:proofErr w:type="gramEnd"/>
      <w:r>
        <w:t xml:space="preserve"> away from a suspect (College of Policing, 2023).</w:t>
      </w:r>
    </w:p>
    <w:p w14:paraId="7D443C07" w14:textId="77777777" w:rsidR="00102A70" w:rsidRDefault="00102A70" w:rsidP="00102A70">
      <w:pPr>
        <w:jc w:val="both"/>
      </w:pPr>
    </w:p>
    <w:p w14:paraId="3DBFDB5E" w14:textId="77777777" w:rsidR="00102A70" w:rsidRDefault="00102A70" w:rsidP="00102A70">
      <w:pPr>
        <w:jc w:val="both"/>
      </w:pPr>
      <w:r>
        <w:t>In recent decades, policing has seen an increase in political engagement and oversight, which has been a trend apparent across many Western democracies (</w:t>
      </w:r>
      <w:proofErr w:type="spellStart"/>
      <w:r>
        <w:t>Cavadino</w:t>
      </w:r>
      <w:proofErr w:type="spellEnd"/>
      <w:r>
        <w:t xml:space="preserve"> and Dignan, 2006) as governments pursue policies that seek to address public concern about crime.</w:t>
      </w:r>
    </w:p>
    <w:p w14:paraId="044F84B0" w14:textId="77777777" w:rsidR="00102A70" w:rsidRDefault="00102A70" w:rsidP="00102A70">
      <w:pPr>
        <w:jc w:val="both"/>
      </w:pPr>
    </w:p>
    <w:p w14:paraId="79A1F7C0" w14:textId="77777777" w:rsidR="00102A70" w:rsidRDefault="00102A70" w:rsidP="00102A70">
      <w:pPr>
        <w:jc w:val="both"/>
      </w:pPr>
      <w:r>
        <w:t xml:space="preserve">In my role as a response officer a significant part of my workload is the investigation of reported crime. One recent example was an offence of Coercive Control (Serious Crime Act 2015, s.76) which emerged following a report of a domestic welfare concern. </w:t>
      </w:r>
    </w:p>
    <w:p w14:paraId="55AA7A35" w14:textId="77777777" w:rsidR="00102A70" w:rsidRDefault="00102A70" w:rsidP="00102A70">
      <w:pPr>
        <w:jc w:val="both"/>
      </w:pPr>
    </w:p>
    <w:p w14:paraId="081F2E08" w14:textId="77777777" w:rsidR="00102A70" w:rsidRDefault="00102A70" w:rsidP="00102A70">
      <w:pPr>
        <w:jc w:val="both"/>
      </w:pPr>
      <w:r>
        <w:t>The police’s approach to investigation is typically perceived by the public (Maguire, 2003) as having six common characteristics:</w:t>
      </w:r>
    </w:p>
    <w:p w14:paraId="2F35962A" w14:textId="77777777" w:rsidR="00102A70" w:rsidRDefault="00102A70" w:rsidP="00102A70">
      <w:pPr>
        <w:jc w:val="both"/>
      </w:pPr>
    </w:p>
    <w:p w14:paraId="35CE9802" w14:textId="77777777" w:rsidR="00102A70" w:rsidRDefault="00102A70" w:rsidP="00102A70">
      <w:pPr>
        <w:numPr>
          <w:ilvl w:val="0"/>
          <w:numId w:val="50"/>
        </w:numPr>
        <w:overflowPunct/>
        <w:autoSpaceDE/>
        <w:autoSpaceDN/>
        <w:adjustRightInd/>
        <w:jc w:val="both"/>
        <w:textAlignment w:val="auto"/>
      </w:pPr>
      <w:r>
        <w:t xml:space="preserve">That police respond to a public complaint rather than generating their own </w:t>
      </w:r>
      <w:proofErr w:type="gramStart"/>
      <w:r>
        <w:t>cases</w:t>
      </w:r>
      <w:proofErr w:type="gramEnd"/>
    </w:p>
    <w:p w14:paraId="51AA5AE5" w14:textId="77777777" w:rsidR="00102A70" w:rsidRDefault="00102A70" w:rsidP="00102A70">
      <w:pPr>
        <w:numPr>
          <w:ilvl w:val="0"/>
          <w:numId w:val="50"/>
        </w:numPr>
        <w:overflowPunct/>
        <w:autoSpaceDE/>
        <w:autoSpaceDN/>
        <w:adjustRightInd/>
        <w:jc w:val="both"/>
        <w:textAlignment w:val="auto"/>
      </w:pPr>
      <w:r>
        <w:t xml:space="preserve">That offences being investigated have already taken place, and not </w:t>
      </w:r>
      <w:proofErr w:type="gramStart"/>
      <w:r>
        <w:t>prevented</w:t>
      </w:r>
      <w:proofErr w:type="gramEnd"/>
    </w:p>
    <w:p w14:paraId="0F6DD8B0" w14:textId="77777777" w:rsidR="00102A70" w:rsidRDefault="00102A70" w:rsidP="00102A70">
      <w:pPr>
        <w:numPr>
          <w:ilvl w:val="0"/>
          <w:numId w:val="50"/>
        </w:numPr>
        <w:overflowPunct/>
        <w:autoSpaceDE/>
        <w:autoSpaceDN/>
        <w:adjustRightInd/>
        <w:jc w:val="both"/>
        <w:textAlignment w:val="auto"/>
      </w:pPr>
      <w:r>
        <w:lastRenderedPageBreak/>
        <w:t>That there is a crime apparent from the outset</w:t>
      </w:r>
    </w:p>
    <w:p w14:paraId="041E9515" w14:textId="77777777" w:rsidR="00102A70" w:rsidRDefault="00102A70" w:rsidP="00102A70">
      <w:pPr>
        <w:numPr>
          <w:ilvl w:val="0"/>
          <w:numId w:val="50"/>
        </w:numPr>
        <w:overflowPunct/>
        <w:autoSpaceDE/>
        <w:autoSpaceDN/>
        <w:adjustRightInd/>
        <w:jc w:val="both"/>
        <w:textAlignment w:val="auto"/>
      </w:pPr>
      <w:r>
        <w:t>That the investigation is focused on uncovering the truth</w:t>
      </w:r>
    </w:p>
    <w:p w14:paraId="244A0280" w14:textId="77777777" w:rsidR="00102A70" w:rsidRDefault="00102A70" w:rsidP="00102A70">
      <w:pPr>
        <w:numPr>
          <w:ilvl w:val="0"/>
          <w:numId w:val="50"/>
        </w:numPr>
        <w:overflowPunct/>
        <w:autoSpaceDE/>
        <w:autoSpaceDN/>
        <w:adjustRightInd/>
        <w:jc w:val="both"/>
        <w:textAlignment w:val="auto"/>
      </w:pPr>
      <w:r>
        <w:t xml:space="preserve">That investigations are carried out by </w:t>
      </w:r>
      <w:proofErr w:type="gramStart"/>
      <w:r>
        <w:t>detectives</w:t>
      </w:r>
      <w:proofErr w:type="gramEnd"/>
    </w:p>
    <w:p w14:paraId="464EA0FF" w14:textId="77777777" w:rsidR="00102A70" w:rsidRDefault="00102A70" w:rsidP="00102A70">
      <w:pPr>
        <w:numPr>
          <w:ilvl w:val="0"/>
          <w:numId w:val="50"/>
        </w:numPr>
        <w:overflowPunct/>
        <w:autoSpaceDE/>
        <w:autoSpaceDN/>
        <w:adjustRightInd/>
        <w:jc w:val="both"/>
        <w:textAlignment w:val="auto"/>
      </w:pPr>
      <w:r>
        <w:t>That the main skillset required is the discovery of clues as to who is responsible</w:t>
      </w:r>
    </w:p>
    <w:p w14:paraId="51832ED4" w14:textId="77777777" w:rsidR="00102A70" w:rsidRDefault="00102A70" w:rsidP="00102A70">
      <w:pPr>
        <w:jc w:val="both"/>
      </w:pPr>
    </w:p>
    <w:p w14:paraId="30A84CD7" w14:textId="77777777" w:rsidR="00102A70" w:rsidRDefault="00102A70" w:rsidP="00102A70">
      <w:pPr>
        <w:jc w:val="both"/>
      </w:pPr>
      <w:r>
        <w:t xml:space="preserve">The investigation I consider here departed from these assumptions in that it was carried out within a uniformed frontline role, and that it was not immediately obvious what crime, if any, had occurred. The initial report was regarding the welfare of a woman who had recently left her job quite </w:t>
      </w:r>
      <w:proofErr w:type="gramStart"/>
      <w:r>
        <w:t>suddenly, and</w:t>
      </w:r>
      <w:proofErr w:type="gramEnd"/>
      <w:r>
        <w:t xml:space="preserve"> was no longer responding to calls or messages from her former colleagues. She was originally from Swansea, but it was known that she had associates in the Cardiff area and so the enquiry was allocated to me and my colleague. We were tasked with conducting a welfare visit to establish if the missing female was safe and well. </w:t>
      </w:r>
    </w:p>
    <w:p w14:paraId="43989512" w14:textId="77777777" w:rsidR="00102A70" w:rsidRDefault="00102A70" w:rsidP="00102A70">
      <w:pPr>
        <w:jc w:val="both"/>
      </w:pPr>
    </w:p>
    <w:p w14:paraId="4F9B9985" w14:textId="77777777" w:rsidR="00102A70" w:rsidRDefault="00102A70" w:rsidP="00102A70">
      <w:pPr>
        <w:jc w:val="both"/>
      </w:pPr>
      <w:r>
        <w:t>Taking on this report, I began responding to the incident by researching the available information and intelligence, in line with the National Decision Model (College of Policing, 2014). This approach, of beginning with an objective assessment of the available material aligns with the ‘scientific model’ of investigation (Jackson and Jackson, 2004) and has the advantage of not only ensuring that from the outset, decisions are made based on evidence, but also allows any gaps in knowledge to be established.</w:t>
      </w:r>
    </w:p>
    <w:p w14:paraId="1F5D762F" w14:textId="77777777" w:rsidR="00102A70" w:rsidRDefault="00102A70" w:rsidP="00102A70">
      <w:pPr>
        <w:jc w:val="both"/>
      </w:pPr>
    </w:p>
    <w:p w14:paraId="5F8BAE02" w14:textId="77777777" w:rsidR="00102A70" w:rsidRDefault="00102A70" w:rsidP="00102A70">
      <w:pPr>
        <w:jc w:val="both"/>
      </w:pPr>
      <w:r>
        <w:t>Although an investigation may involve forensic techniques or expert medical evidence, it does not follow that police investigations are themselves scientific in character - in fact, scientific evidence can be misused and be responsible for miscarriages of justice (Balding and Donnelly, 1994). Compared to the scientific model’s impartial pursuit of truth, many criminal investigations are instead focused on building a prosecution case against an identified suspect (Sanders and Young, 2003). However, current guidance dictates that investigators should utilise, where available, ‘both scientific and technical expertise to maximise evidential opportunities’ (College of Policing, 2023).</w:t>
      </w:r>
    </w:p>
    <w:p w14:paraId="0C9F60C4" w14:textId="77777777" w:rsidR="00102A70" w:rsidRDefault="00102A70" w:rsidP="00102A70">
      <w:pPr>
        <w:jc w:val="both"/>
      </w:pPr>
    </w:p>
    <w:p w14:paraId="594FF11B" w14:textId="77777777" w:rsidR="00102A70" w:rsidRDefault="00102A70" w:rsidP="00102A70">
      <w:pPr>
        <w:jc w:val="both"/>
      </w:pPr>
      <w:r>
        <w:t xml:space="preserve">This leads to a discussion of the ‘investigative mindset’ (ACPO, 2005) which describes the cognitive and </w:t>
      </w:r>
      <w:proofErr w:type="gramStart"/>
      <w:r>
        <w:t>decision making</w:t>
      </w:r>
      <w:proofErr w:type="gramEnd"/>
      <w:r>
        <w:t xml:space="preserve"> processes that take place to maximise the capture of evidence, test its reliability and present it appropriately. Although the most prominent police decision-making process is the National Decision Model, it has not been extensively researched as an investigative tool (O’Neill, 2018) and so is not necessarily applicable in this context. It may have validity for isolated decisions but will not always fit an investigation which requires progress in multiple directions.</w:t>
      </w:r>
    </w:p>
    <w:p w14:paraId="6AE17199" w14:textId="77777777" w:rsidR="00102A70" w:rsidRDefault="00102A70" w:rsidP="00102A70">
      <w:pPr>
        <w:jc w:val="both"/>
      </w:pPr>
    </w:p>
    <w:p w14:paraId="65CFDDC9" w14:textId="77777777" w:rsidR="00102A70" w:rsidRDefault="00102A70" w:rsidP="00102A70">
      <w:pPr>
        <w:jc w:val="both"/>
      </w:pPr>
      <w:r>
        <w:t xml:space="preserve">My approach to this enquiry was to put any preconceptions and assumptions to one side, establish the facts and identify the unknowns. This is </w:t>
      </w:r>
      <w:proofErr w:type="gramStart"/>
      <w:r>
        <w:t>a method investigators</w:t>
      </w:r>
      <w:proofErr w:type="gramEnd"/>
      <w:r>
        <w:t xml:space="preserve"> are traditionally encouraged to adopt and is abbreviated to ‘A, B, C’, meaning to assume nothing, believe no-one and check everything. The more serious and complex a case may be, the more onerous this task becomes (Wood et al, 2021).</w:t>
      </w:r>
    </w:p>
    <w:p w14:paraId="727C54BD" w14:textId="77777777" w:rsidR="00102A70" w:rsidRDefault="00102A70" w:rsidP="00102A70">
      <w:pPr>
        <w:jc w:val="both"/>
      </w:pPr>
    </w:p>
    <w:p w14:paraId="26CBC601" w14:textId="77777777" w:rsidR="00102A70" w:rsidRDefault="00102A70" w:rsidP="00102A70">
      <w:pPr>
        <w:jc w:val="both"/>
      </w:pPr>
      <w:r>
        <w:t>At the initial stage, potential offences were not obvious, and the process of moving from an uncertain position to proving guilt has been described (Innes, 2003) as a three-stage process. First, ‘identification and acquisition’, followed by ‘interpretation and understanding’, and finally ‘ordering and representing’.</w:t>
      </w:r>
    </w:p>
    <w:p w14:paraId="7277EB34" w14:textId="77777777" w:rsidR="00102A70" w:rsidRDefault="00102A70" w:rsidP="00102A70">
      <w:pPr>
        <w:jc w:val="both"/>
      </w:pPr>
    </w:p>
    <w:p w14:paraId="7D8717BB" w14:textId="77777777" w:rsidR="00102A70" w:rsidRDefault="00102A70" w:rsidP="00102A70">
      <w:pPr>
        <w:jc w:val="both"/>
      </w:pPr>
      <w:r>
        <w:t>The ‘identification’ undertaken in this first stage provided us with a phone number linked to the missing woman, but on calling, it was answered by a man who reluctantly offered limited information. This raised concerns about whether a crime in action, such as a kidnapping or false imprisonment might be underway. The man did however offer to bring the missing woman to the police station for us to speak with her.</w:t>
      </w:r>
    </w:p>
    <w:p w14:paraId="42A66C3A" w14:textId="77777777" w:rsidR="00102A70" w:rsidRDefault="00102A70" w:rsidP="00102A70">
      <w:pPr>
        <w:jc w:val="both"/>
      </w:pPr>
    </w:p>
    <w:p w14:paraId="0592BA53" w14:textId="77777777" w:rsidR="00102A70" w:rsidRDefault="00102A70" w:rsidP="00102A70">
      <w:pPr>
        <w:jc w:val="both"/>
      </w:pPr>
      <w:r>
        <w:t>Following this contact, the ‘acquisition’ phase now progressed, and following a systematic and rational process (Scott, 1998) the phone number was linked to an address. Recognising that there was a need for urgency in addressing potential safeguarding, I attended the address where the identities of the male and female were confirmed.</w:t>
      </w:r>
    </w:p>
    <w:p w14:paraId="6902C00A" w14:textId="77777777" w:rsidR="00102A70" w:rsidRDefault="00102A70" w:rsidP="00102A70">
      <w:pPr>
        <w:jc w:val="both"/>
      </w:pPr>
    </w:p>
    <w:p w14:paraId="298E412F" w14:textId="77777777" w:rsidR="00102A70" w:rsidRDefault="00102A70" w:rsidP="00102A70">
      <w:pPr>
        <w:jc w:val="both"/>
      </w:pPr>
      <w:r>
        <w:t xml:space="preserve">By building a rapport and establishing trust I found that the woman had left an abusive </w:t>
      </w:r>
      <w:proofErr w:type="gramStart"/>
      <w:r>
        <w:t>relationship, and</w:t>
      </w:r>
      <w:proofErr w:type="gramEnd"/>
      <w:r>
        <w:t xml:space="preserve"> was now living with a new partner. They were concerned that her estranged husband would attempt to find her, and so had broken off all contact with family and friends in case their location became known. This was the reason for the evasive behaviour, as there was a suspicion that someone may have been impersonating the police to locate the woman.</w:t>
      </w:r>
    </w:p>
    <w:p w14:paraId="51678416" w14:textId="77777777" w:rsidR="00102A70" w:rsidRDefault="00102A70" w:rsidP="00102A70">
      <w:pPr>
        <w:jc w:val="both"/>
      </w:pPr>
    </w:p>
    <w:p w14:paraId="0B431BEF" w14:textId="77777777" w:rsidR="00102A70" w:rsidRDefault="00102A70" w:rsidP="00102A70">
      <w:pPr>
        <w:jc w:val="both"/>
      </w:pPr>
      <w:r>
        <w:t>This stage can be considered as ‘interpretation and understanding’ as I was then able to ask open questions which covered the gaps in our knowledge of what had occurred. She was not willing to disclose full details about her previous relationship but outlined that she had to leave because of her husband’s unacceptable behaviour towards her.</w:t>
      </w:r>
    </w:p>
    <w:p w14:paraId="28934E6E" w14:textId="77777777" w:rsidR="00102A70" w:rsidRDefault="00102A70" w:rsidP="00102A70">
      <w:pPr>
        <w:jc w:val="both"/>
      </w:pPr>
    </w:p>
    <w:p w14:paraId="3634AB0D" w14:textId="77777777" w:rsidR="00102A70" w:rsidRDefault="00102A70" w:rsidP="00102A70">
      <w:pPr>
        <w:jc w:val="both"/>
      </w:pPr>
      <w:r>
        <w:t>Recording this information on our IT system I then ensured that the woman’s former colleagues were updated that we were satisfied she was safe and well, although respecting her privacy (Human Rights Act 1998) I did not disclose any further details. This aligns with Innes’ ‘ordering and representing’ phase.</w:t>
      </w:r>
    </w:p>
    <w:p w14:paraId="1D92EA71" w14:textId="77777777" w:rsidR="00102A70" w:rsidRDefault="00102A70" w:rsidP="00102A70">
      <w:pPr>
        <w:jc w:val="both"/>
      </w:pPr>
    </w:p>
    <w:p w14:paraId="2838A6ED" w14:textId="77777777" w:rsidR="00102A70" w:rsidRDefault="00102A70" w:rsidP="00102A70">
      <w:pPr>
        <w:jc w:val="both"/>
      </w:pPr>
      <w:r>
        <w:t>This, however, was not the end of the enquiry. Having resolved the question of the woman’s welfare, I received a phone call from her a few days later. The development of rapport and establishment of trust in police had now given her the confidence to come forward and report what had happened. It was apparent that any offences committed would have taken place in Swansea, but I considered that I should respond to her in these circumstances.</w:t>
      </w:r>
    </w:p>
    <w:p w14:paraId="20689C94" w14:textId="77777777" w:rsidR="00102A70" w:rsidRDefault="00102A70" w:rsidP="00102A70">
      <w:pPr>
        <w:jc w:val="both"/>
      </w:pPr>
    </w:p>
    <w:p w14:paraId="684BA25E" w14:textId="77777777" w:rsidR="00102A70" w:rsidRDefault="00102A70" w:rsidP="00102A70">
      <w:pPr>
        <w:jc w:val="both"/>
      </w:pPr>
      <w:r>
        <w:t xml:space="preserve">This is an example of how personal values can be important. As a Cardiff officer, an option open to me would have been to direct this enquiry to Swansea to follow up, as they would own any investigation of crimes that took place in their area. I decided not to do this, because I considered that I had already established a positive relationship with the victim, who had demonstrated a previous mistrust of police and so I was best placed to engage with her. Had I told her to call Swansea instead, it was likely that she would not have been confident to do so, and offences would not have been identified and public protection opportunities could be missed. </w:t>
      </w:r>
    </w:p>
    <w:p w14:paraId="38A0F0BA" w14:textId="77777777" w:rsidR="00102A70" w:rsidRDefault="00102A70" w:rsidP="00102A70">
      <w:pPr>
        <w:jc w:val="both"/>
      </w:pPr>
    </w:p>
    <w:p w14:paraId="113FDDB9" w14:textId="77777777" w:rsidR="00102A70" w:rsidRDefault="00102A70" w:rsidP="00102A70">
      <w:pPr>
        <w:jc w:val="both"/>
      </w:pPr>
      <w:r>
        <w:t>This approach has been recommended to student officers, ‘establishing a good relationship with victims increases the chances that they will cooperate effectively with the investigation and prosecution’ (Wood et al, 2021) and so it proved on this occasion. Recognising the importance of this opportunity I arranged to obtain a statement from the victim in order to secure and preserve evidence at the earliest opportunity, from which decisions could then be made on fast-track actions.</w:t>
      </w:r>
    </w:p>
    <w:p w14:paraId="5A29C6FD" w14:textId="77777777" w:rsidR="00102A70" w:rsidRDefault="00102A70" w:rsidP="00102A70">
      <w:pPr>
        <w:jc w:val="both"/>
      </w:pPr>
    </w:p>
    <w:p w14:paraId="0FC3CE60" w14:textId="77777777" w:rsidR="00102A70" w:rsidRDefault="00102A70" w:rsidP="00102A70">
      <w:pPr>
        <w:jc w:val="both"/>
      </w:pPr>
      <w:r>
        <w:t xml:space="preserve">I met with the victim at her address, where she would feel most comfortable. I took another female colleague with me who could identify anything that had been missed, so that the statement would be as thorough as possible. This approach put the victim at the centre of the process, ensuring that the support provided for her was maximised. </w:t>
      </w:r>
    </w:p>
    <w:p w14:paraId="65D0F304" w14:textId="77777777" w:rsidR="00102A70" w:rsidRDefault="00102A70" w:rsidP="00102A70">
      <w:pPr>
        <w:jc w:val="both"/>
      </w:pPr>
    </w:p>
    <w:p w14:paraId="1C07DEDC" w14:textId="77777777" w:rsidR="00102A70" w:rsidRDefault="00102A70" w:rsidP="00102A70">
      <w:pPr>
        <w:jc w:val="both"/>
      </w:pPr>
      <w:r>
        <w:t xml:space="preserve">All victims are different and as such an inflexible approach in supporting them does not produce the best outcomes, as the College of Policing 2023 states ‘throughout the investigation and criminal justice process, victims should be supported according to their diverse needs, allowing them to give their best evidence. Any risks should be effectively </w:t>
      </w:r>
      <w:proofErr w:type="gramStart"/>
      <w:r>
        <w:t>managed</w:t>
      </w:r>
      <w:proofErr w:type="gramEnd"/>
      <w:r>
        <w:t xml:space="preserve"> and they should be directed to appropriate support services’.</w:t>
      </w:r>
    </w:p>
    <w:p w14:paraId="74FD61CE" w14:textId="77777777" w:rsidR="00102A70" w:rsidRDefault="00102A70" w:rsidP="00102A70">
      <w:pPr>
        <w:jc w:val="both"/>
      </w:pPr>
    </w:p>
    <w:p w14:paraId="379E0B68" w14:textId="77777777" w:rsidR="00102A70" w:rsidRDefault="00102A70" w:rsidP="00102A70">
      <w:pPr>
        <w:jc w:val="both"/>
      </w:pPr>
      <w:r>
        <w:t>As this was a matter of domestic abuse, I ensured the submission of a Public Protection Notification (PPN) form which would bring the issue to the attention of specialist officers and partner agencies with the victim’s consent. Again, my approach to this reflected my own values and commitment to doing the best for victims of crime. This is reinforced by the Ministry of Justice (Victim’s Code, 2020) which creates a series of rights and entitlements, including access to support and to be kept informed about the progress of the investigation.</w:t>
      </w:r>
    </w:p>
    <w:p w14:paraId="45285A17" w14:textId="77777777" w:rsidR="00102A70" w:rsidRDefault="00102A70" w:rsidP="00102A70">
      <w:pPr>
        <w:jc w:val="both"/>
      </w:pPr>
      <w:r>
        <w:t>Following this, I contacted supervisors in Swansea to advise them of the developments in this enquiry as it would be necessary for actions to be progressed in their area. I then recorded an action plan outlining the steps that were to be taken and their owners. This was to ensure that all necessary investigative actions were carried out, with accountability and that they were tasked appropriately. This included steps to trace, arrest and interview the alleged offender for coercive and controlling behaviour.</w:t>
      </w:r>
    </w:p>
    <w:p w14:paraId="3814FEDF" w14:textId="77777777" w:rsidR="00102A70" w:rsidRDefault="00102A70" w:rsidP="00102A70">
      <w:pPr>
        <w:jc w:val="both"/>
      </w:pPr>
    </w:p>
    <w:p w14:paraId="188274AD" w14:textId="77777777" w:rsidR="00102A70" w:rsidRDefault="00102A70" w:rsidP="00102A70">
      <w:pPr>
        <w:jc w:val="both"/>
      </w:pPr>
      <w:r>
        <w:t xml:space="preserve">I then considered mitigating actions to reduce the likelihood of harm and contacted the force’s Public Service Centre to apply a ‘critical marker’ to the victim’s address. This would mean that any further calls to the premises would be understood in context and, if appropriate, receive an enhanced response. </w:t>
      </w:r>
      <w:proofErr w:type="gramStart"/>
      <w:r>
        <w:t>Furthermore</w:t>
      </w:r>
      <w:proofErr w:type="gramEnd"/>
      <w:r>
        <w:t xml:space="preserve"> I endorsed the occurrence log with an instruction that officers were not to disclose the location of the victim to any third parties, in line with her wishes and to ensure her safety from her estranged husband.</w:t>
      </w:r>
    </w:p>
    <w:p w14:paraId="5FC2C525" w14:textId="77777777" w:rsidR="00102A70" w:rsidRDefault="00102A70" w:rsidP="00102A70">
      <w:pPr>
        <w:jc w:val="both"/>
      </w:pPr>
    </w:p>
    <w:p w14:paraId="4E121467" w14:textId="77777777" w:rsidR="00102A70" w:rsidRDefault="00102A70" w:rsidP="00102A70">
      <w:pPr>
        <w:jc w:val="both"/>
      </w:pPr>
      <w:r>
        <w:lastRenderedPageBreak/>
        <w:t xml:space="preserve">In conclusion, this investigation presented complexities due to the way in which it was initially presented and the gradual disclosure of information. The victim’s concerns about her location becoming known and the effect on her safety influenced this, but in the early stages it appeared that her current partner might in fact have been holding her against her will. </w:t>
      </w:r>
    </w:p>
    <w:p w14:paraId="26A585D7" w14:textId="77777777" w:rsidR="00102A70" w:rsidRDefault="00102A70" w:rsidP="00102A70">
      <w:pPr>
        <w:jc w:val="both"/>
      </w:pPr>
    </w:p>
    <w:p w14:paraId="370C5B74" w14:textId="77777777" w:rsidR="00102A70" w:rsidRDefault="00102A70" w:rsidP="00102A70">
      <w:pPr>
        <w:jc w:val="both"/>
      </w:pPr>
      <w:r>
        <w:t>The truth emerged through a careful and impartial approach, and this has reinforced to me the importance of maintaining an open mind and avoiding drawing conclusions from limited information. I made the most of the opportunity to develop a positive relationship with the victim in line with my values and this led to a successful outcome that otherwise may not have been possible.</w:t>
      </w:r>
    </w:p>
    <w:p w14:paraId="701D3C84" w14:textId="77777777" w:rsidR="00102A70" w:rsidRDefault="00102A70" w:rsidP="00102A70">
      <w:pPr>
        <w:jc w:val="both"/>
      </w:pPr>
    </w:p>
    <w:p w14:paraId="2CA789D1" w14:textId="048FC089" w:rsidR="00102A70" w:rsidRPr="00A73272" w:rsidRDefault="00102A70" w:rsidP="00102A70">
      <w:pPr>
        <w:jc w:val="both"/>
        <w:rPr>
          <w:b/>
          <w:bCs/>
        </w:rPr>
      </w:pPr>
      <w:r w:rsidRPr="00A73272">
        <w:rPr>
          <w:b/>
          <w:bCs/>
        </w:rPr>
        <w:t>1890 words</w:t>
      </w:r>
    </w:p>
    <w:p w14:paraId="325EE620" w14:textId="77777777" w:rsidR="00102A70" w:rsidRDefault="00102A70" w:rsidP="00102A70"/>
    <w:p w14:paraId="0B34DAA5" w14:textId="77777777" w:rsidR="00A73272" w:rsidRDefault="00A73272" w:rsidP="00102A70"/>
    <w:p w14:paraId="7DAF333C" w14:textId="77777777" w:rsidR="00102A70" w:rsidRDefault="00102A70" w:rsidP="00102A70">
      <w:pPr>
        <w:rPr>
          <w:u w:val="single"/>
        </w:rPr>
      </w:pPr>
      <w:r>
        <w:rPr>
          <w:u w:val="single"/>
        </w:rPr>
        <w:t>References</w:t>
      </w:r>
    </w:p>
    <w:p w14:paraId="454D8E4A" w14:textId="77777777" w:rsidR="00102A70" w:rsidRDefault="00102A70" w:rsidP="00102A70">
      <w:pPr>
        <w:rPr>
          <w:u w:val="single"/>
        </w:rPr>
      </w:pPr>
    </w:p>
    <w:p w14:paraId="4B5892B6" w14:textId="77777777" w:rsidR="00102A70" w:rsidRDefault="00102A70" w:rsidP="00102A70">
      <w:r>
        <w:t>Association of Chief Police Officers Centrex (2005), Practice Advice on Core Investigative Doctrine, Camborne: National Centre for Policing Excellence.</w:t>
      </w:r>
    </w:p>
    <w:p w14:paraId="20012430" w14:textId="77777777" w:rsidR="00102A70" w:rsidRDefault="00102A70" w:rsidP="00102A70"/>
    <w:p w14:paraId="66D617A2" w14:textId="77777777" w:rsidR="00102A70" w:rsidRDefault="00102A70" w:rsidP="00102A70">
      <w:r>
        <w:t>Balding, D.J. and Donnelly, P. (1994) ‘The prosecutor’s fallacy and DNA evidence’, Criminal Law Review, p711–21.</w:t>
      </w:r>
    </w:p>
    <w:p w14:paraId="3E5585A8" w14:textId="77777777" w:rsidR="00102A70" w:rsidRDefault="00102A70" w:rsidP="00102A70"/>
    <w:p w14:paraId="71F555C5" w14:textId="77777777" w:rsidR="00102A70" w:rsidRDefault="00102A70" w:rsidP="00102A70">
      <w:proofErr w:type="spellStart"/>
      <w:r>
        <w:t>Cavadino</w:t>
      </w:r>
      <w:proofErr w:type="spellEnd"/>
      <w:r>
        <w:t>, M. and Dignan, J. (2006) Penal Systems: A Comparative Analysis. London: Sage</w:t>
      </w:r>
    </w:p>
    <w:p w14:paraId="6BE85B4D" w14:textId="77777777" w:rsidR="00102A70" w:rsidRDefault="00102A70" w:rsidP="00102A70"/>
    <w:p w14:paraId="4C03992D" w14:textId="77777777" w:rsidR="00102A70" w:rsidRDefault="00102A70" w:rsidP="00102A70">
      <w:r>
        <w:t xml:space="preserve">College of Policing National Decision Model (2014) </w:t>
      </w:r>
      <w:hyperlink r:id="rId22" w:history="1">
        <w:r>
          <w:rPr>
            <w:rStyle w:val="Hyperlink"/>
            <w:color w:val="0563C1"/>
          </w:rPr>
          <w:t>https://www.college.police.uk/app/national-decision-model/national-decision-model</w:t>
        </w:r>
      </w:hyperlink>
    </w:p>
    <w:p w14:paraId="41182518" w14:textId="77777777" w:rsidR="00102A70" w:rsidRDefault="00102A70" w:rsidP="00102A70"/>
    <w:p w14:paraId="5653EA13" w14:textId="77777777" w:rsidR="00102A70" w:rsidRDefault="00102A70" w:rsidP="00102A70">
      <w:r>
        <w:t>College of Policing Investigations APP (2023)</w:t>
      </w:r>
    </w:p>
    <w:p w14:paraId="6C47CB5E" w14:textId="77777777" w:rsidR="00102A70" w:rsidRDefault="00FC0168" w:rsidP="00102A70">
      <w:hyperlink r:id="rId23" w:history="1">
        <w:r w:rsidR="00102A70">
          <w:rPr>
            <w:rStyle w:val="Hyperlink"/>
            <w:color w:val="1155CC"/>
          </w:rPr>
          <w:t>https://www.college.police.uk/app/investigations</w:t>
        </w:r>
      </w:hyperlink>
    </w:p>
    <w:p w14:paraId="1951C7A4" w14:textId="77777777" w:rsidR="00102A70" w:rsidRDefault="00102A70" w:rsidP="00102A70"/>
    <w:p w14:paraId="7164A708" w14:textId="77777777" w:rsidR="00102A70" w:rsidRDefault="00102A70" w:rsidP="00102A70">
      <w:r>
        <w:t>Criminal Procedure and Investigations Act s.22 (1996)</w:t>
      </w:r>
    </w:p>
    <w:p w14:paraId="3D68D08C" w14:textId="77777777" w:rsidR="00102A70" w:rsidRDefault="00FC0168" w:rsidP="00102A70">
      <w:hyperlink r:id="rId24" w:history="1">
        <w:r w:rsidR="00102A70">
          <w:rPr>
            <w:rStyle w:val="Hyperlink"/>
            <w:color w:val="1155CC"/>
          </w:rPr>
          <w:t>Criminal Procedure and Investigations Act 1996 (legislation.gov.uk)</w:t>
        </w:r>
      </w:hyperlink>
    </w:p>
    <w:p w14:paraId="79156166" w14:textId="77777777" w:rsidR="00102A70" w:rsidRDefault="00102A70" w:rsidP="00102A70"/>
    <w:p w14:paraId="44467E64" w14:textId="77777777" w:rsidR="00102A70" w:rsidRDefault="00102A70" w:rsidP="00102A70">
      <w:r>
        <w:t xml:space="preserve">Human Rights Act Article 8 (1998) </w:t>
      </w:r>
    </w:p>
    <w:p w14:paraId="5F6B9160" w14:textId="77777777" w:rsidR="00102A70" w:rsidRDefault="00FC0168" w:rsidP="00102A70">
      <w:hyperlink r:id="rId25" w:history="1">
        <w:r w:rsidR="00102A70">
          <w:rPr>
            <w:rStyle w:val="Hyperlink"/>
            <w:color w:val="1155CC"/>
          </w:rPr>
          <w:t>Human Rights Act 1998 (legislation.gov.uk)</w:t>
        </w:r>
      </w:hyperlink>
    </w:p>
    <w:p w14:paraId="3CB501EB" w14:textId="77777777" w:rsidR="00102A70" w:rsidRDefault="00102A70" w:rsidP="00102A70"/>
    <w:p w14:paraId="07175962" w14:textId="77777777" w:rsidR="00102A70" w:rsidRDefault="00102A70" w:rsidP="00102A70">
      <w:r>
        <w:t>Innes, M. (2003) Investigating Murder: Detective Work and the Police Response to Criminal Homicide. Oxford, Clarendon Press</w:t>
      </w:r>
    </w:p>
    <w:p w14:paraId="25CCC33E" w14:textId="77777777" w:rsidR="00102A70" w:rsidRDefault="00102A70" w:rsidP="00102A70"/>
    <w:p w14:paraId="3B6AF5AB" w14:textId="77777777" w:rsidR="00102A70" w:rsidRDefault="00102A70" w:rsidP="00102A70">
      <w:r>
        <w:t>Jackson, A.R.W. and Jackson, J.M. (2004) Forensic Science. Harlow: Pearson.</w:t>
      </w:r>
    </w:p>
    <w:p w14:paraId="115F7A4A" w14:textId="77777777" w:rsidR="00102A70" w:rsidRDefault="00102A70" w:rsidP="00102A70"/>
    <w:p w14:paraId="16E32235" w14:textId="77777777" w:rsidR="00102A70" w:rsidRDefault="00102A70" w:rsidP="00102A70">
      <w:r>
        <w:t xml:space="preserve">Maguire, M. (2003) ‘Criminal investigation and crime control’, in T. Newburn (editor) </w:t>
      </w:r>
    </w:p>
    <w:p w14:paraId="22A3FD02" w14:textId="77777777" w:rsidR="00102A70" w:rsidRDefault="00102A70" w:rsidP="00102A70">
      <w:r>
        <w:t>Handbook of Policing. Cullompton: Willan Publishing</w:t>
      </w:r>
    </w:p>
    <w:p w14:paraId="082E0095" w14:textId="77777777" w:rsidR="00102A70" w:rsidRDefault="00102A70" w:rsidP="00102A70"/>
    <w:p w14:paraId="67D91936" w14:textId="77777777" w:rsidR="00102A70" w:rsidRDefault="00102A70" w:rsidP="00102A70">
      <w:r>
        <w:t>O’Neill, M. (2018) Key Challenges in Criminal Investigation, Bristol, Policy Press.</w:t>
      </w:r>
    </w:p>
    <w:p w14:paraId="0EA91898" w14:textId="77777777" w:rsidR="00102A70" w:rsidRDefault="00102A70" w:rsidP="00102A70"/>
    <w:p w14:paraId="082128E2" w14:textId="77777777" w:rsidR="00102A70" w:rsidRDefault="00102A70" w:rsidP="00102A70">
      <w:r>
        <w:t>Sanders, A. and Young, R. (2003) ‘Police powers’, in T. Newburn (ed.) Handbook of Policing. Cullompton: Willan Publishing</w:t>
      </w:r>
    </w:p>
    <w:p w14:paraId="7B2A1946" w14:textId="77777777" w:rsidR="00102A70" w:rsidRDefault="00102A70" w:rsidP="00102A70"/>
    <w:p w14:paraId="191894F5" w14:textId="77777777" w:rsidR="00102A70" w:rsidRDefault="00102A70" w:rsidP="00102A70">
      <w:r>
        <w:t xml:space="preserve">Serious Crime Act s.76 (2015) </w:t>
      </w:r>
    </w:p>
    <w:p w14:paraId="5F173EAA" w14:textId="77777777" w:rsidR="00102A70" w:rsidRDefault="00FC0168" w:rsidP="00102A70">
      <w:hyperlink r:id="rId26" w:history="1">
        <w:r w:rsidR="00102A70">
          <w:rPr>
            <w:rStyle w:val="Hyperlink"/>
            <w:color w:val="0563C1"/>
          </w:rPr>
          <w:t>Serious Crime Act 2015 (legislation.gov.uk)</w:t>
        </w:r>
      </w:hyperlink>
    </w:p>
    <w:p w14:paraId="19CBDA6C" w14:textId="77777777" w:rsidR="00102A70" w:rsidRDefault="00102A70" w:rsidP="00102A70"/>
    <w:p w14:paraId="3C8732D5" w14:textId="77777777" w:rsidR="00102A70" w:rsidRDefault="00102A70" w:rsidP="00102A70">
      <w:r>
        <w:t>Scott, W. (1998) Organisations: Rational, Natural and Open Systems. London: Prentice Hall</w:t>
      </w:r>
    </w:p>
    <w:p w14:paraId="29B5E7CD" w14:textId="77777777" w:rsidR="00102A70" w:rsidRDefault="00102A70" w:rsidP="00102A70"/>
    <w:p w14:paraId="428A75D2" w14:textId="77777777" w:rsidR="00102A70" w:rsidRDefault="00102A70" w:rsidP="00102A70">
      <w:r>
        <w:t xml:space="preserve">Victim’s Code: The Code of Practice for Victims of Crime (2020) </w:t>
      </w:r>
    </w:p>
    <w:p w14:paraId="54D6C4AA" w14:textId="77777777" w:rsidR="00102A70" w:rsidRDefault="00FC0168" w:rsidP="00102A70">
      <w:hyperlink r:id="rId27" w:history="1">
        <w:r w:rsidR="00102A70">
          <w:rPr>
            <w:rStyle w:val="Hyperlink"/>
            <w:color w:val="1155CC"/>
          </w:rPr>
          <w:t>MoJ Victims Code 2020 (publishing.service.gov.uk)</w:t>
        </w:r>
      </w:hyperlink>
    </w:p>
    <w:p w14:paraId="4E43A39F" w14:textId="77777777" w:rsidR="00102A70" w:rsidRDefault="00102A70" w:rsidP="00102A70"/>
    <w:p w14:paraId="13E8D9E4" w14:textId="77777777" w:rsidR="00102A70" w:rsidRDefault="00102A70" w:rsidP="00102A70">
      <w:r>
        <w:t>Wood, D., Bradshaw, S., Dickens, T., Parker-McLeod, J., Simpson, F. and Weaver, G. (2021) Blackstone’s Handbook for Policing Students 2022, Oxford University Press p.316</w:t>
      </w:r>
    </w:p>
    <w:p w14:paraId="66FBAC1C" w14:textId="77777777" w:rsidR="00102A70" w:rsidRDefault="00102A70" w:rsidP="00102A70"/>
    <w:p w14:paraId="6006956C" w14:textId="77777777" w:rsidR="00102A70" w:rsidRDefault="00102A70" w:rsidP="00102A70"/>
    <w:p w14:paraId="779F359C" w14:textId="77777777" w:rsidR="00102A70" w:rsidRDefault="00102A70" w:rsidP="00102A70"/>
    <w:p w14:paraId="31D898A9" w14:textId="77777777" w:rsidR="00102A70" w:rsidRDefault="00102A70" w:rsidP="00102A70"/>
    <w:p w14:paraId="5D654FF4" w14:textId="77777777" w:rsidR="00102A70" w:rsidRDefault="00102A70" w:rsidP="00102A70"/>
    <w:p w14:paraId="12B92533" w14:textId="77777777" w:rsidR="00102A70" w:rsidRDefault="00102A70" w:rsidP="00102A70"/>
    <w:p w14:paraId="63D4DC08" w14:textId="77777777" w:rsidR="00102A70" w:rsidRDefault="00102A70" w:rsidP="00102A70"/>
    <w:p w14:paraId="780A1C2F" w14:textId="77777777" w:rsidR="00102A70" w:rsidRDefault="00102A70" w:rsidP="00102A70"/>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20A0D32C" w:rsidR="0FF883D4" w:rsidRDefault="5CE196A1" w:rsidP="5CE196A1">
      <w:r w:rsidRPr="5CE196A1">
        <w:rPr>
          <w:rFonts w:eastAsia="Arial"/>
          <w:b/>
          <w:bCs/>
          <w:color w:val="000000" w:themeColor="text1"/>
          <w:sz w:val="24"/>
          <w:szCs w:val="24"/>
        </w:rPr>
        <w:t xml:space="preserve">Authentication signature: </w:t>
      </w:r>
      <w:r w:rsidR="00FC0168">
        <w:rPr>
          <w:rFonts w:eastAsia="Arial"/>
          <w:b/>
          <w:bCs/>
          <w:color w:val="000000" w:themeColor="text1"/>
          <w:sz w:val="24"/>
          <w:szCs w:val="24"/>
        </w:rPr>
        <w:t>H Howe</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A2E5912" w:rsidR="0FF883D4" w:rsidRDefault="5CE196A1" w:rsidP="5CE196A1">
      <w:r w:rsidRPr="5CE196A1">
        <w:rPr>
          <w:rFonts w:eastAsia="Arial"/>
          <w:b/>
          <w:bCs/>
          <w:color w:val="000000" w:themeColor="text1"/>
          <w:sz w:val="24"/>
          <w:szCs w:val="24"/>
        </w:rPr>
        <w:t xml:space="preserve">Signed: </w:t>
      </w:r>
      <w:r w:rsidR="00FC0168">
        <w:rPr>
          <w:rFonts w:eastAsia="Arial"/>
          <w:b/>
          <w:bCs/>
          <w:color w:val="000000" w:themeColor="text1"/>
          <w:sz w:val="24"/>
          <w:szCs w:val="24"/>
        </w:rPr>
        <w:t>H Howe</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2600722" w:rsidR="0FF883D4" w:rsidRDefault="5CE196A1" w:rsidP="5CE196A1">
      <w:r w:rsidRPr="5CE196A1">
        <w:rPr>
          <w:rFonts w:eastAsia="Arial"/>
          <w:b/>
          <w:bCs/>
          <w:color w:val="000000" w:themeColor="text1"/>
          <w:sz w:val="24"/>
          <w:szCs w:val="24"/>
        </w:rPr>
        <w:t>Date:</w:t>
      </w:r>
      <w:r w:rsidR="00FC0168">
        <w:rPr>
          <w:rFonts w:eastAsia="Arial"/>
          <w:b/>
          <w:bCs/>
          <w:color w:val="000000" w:themeColor="text1"/>
          <w:sz w:val="24"/>
          <w:szCs w:val="24"/>
        </w:rPr>
        <w:t xml:space="preserve"> 29/10/2023</w:t>
      </w:r>
    </w:p>
    <w:p w14:paraId="482B2B3A" w14:textId="25CF43D5" w:rsidR="0FF883D4" w:rsidRDefault="0FF883D4" w:rsidP="5CE196A1">
      <w:pPr>
        <w:ind w:left="2880" w:right="225" w:firstLine="720"/>
        <w:rPr>
          <w:b/>
          <w:bCs/>
          <w:sz w:val="24"/>
          <w:szCs w:val="24"/>
          <w:lang w:eastAsia="zh-TW"/>
        </w:rPr>
        <w:sectPr w:rsidR="0FF883D4" w:rsidSect="0022001B">
          <w:footerReference w:type="default" r:id="rId28"/>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FAA08384"/>
    <w:lvl w:ilvl="0" w:tplc="C590C6D2">
      <w:start w:val="1"/>
      <w:numFmt w:val="decimal"/>
      <w:lvlText w:val="%1."/>
      <w:lvlJc w:val="left"/>
      <w:pPr>
        <w:ind w:left="720" w:hanging="360"/>
      </w:pPr>
    </w:lvl>
    <w:lvl w:ilvl="1" w:tplc="E878C9B0">
      <w:start w:val="1"/>
      <w:numFmt w:val="lowerLetter"/>
      <w:lvlText w:val="%2."/>
      <w:lvlJc w:val="left"/>
      <w:pPr>
        <w:ind w:left="1440" w:hanging="360"/>
      </w:pPr>
    </w:lvl>
    <w:lvl w:ilvl="2" w:tplc="0060D1E8">
      <w:start w:val="1"/>
      <w:numFmt w:val="lowerRoman"/>
      <w:lvlText w:val="%3."/>
      <w:lvlJc w:val="right"/>
      <w:pPr>
        <w:ind w:left="2160" w:hanging="180"/>
      </w:pPr>
    </w:lvl>
    <w:lvl w:ilvl="3" w:tplc="56624362">
      <w:start w:val="1"/>
      <w:numFmt w:val="decimal"/>
      <w:lvlText w:val="%4."/>
      <w:lvlJc w:val="left"/>
      <w:pPr>
        <w:ind w:left="2880" w:hanging="360"/>
      </w:pPr>
    </w:lvl>
    <w:lvl w:ilvl="4" w:tplc="77625AC2">
      <w:start w:val="1"/>
      <w:numFmt w:val="lowerLetter"/>
      <w:lvlText w:val="%5."/>
      <w:lvlJc w:val="left"/>
      <w:pPr>
        <w:ind w:left="3600" w:hanging="360"/>
      </w:pPr>
    </w:lvl>
    <w:lvl w:ilvl="5" w:tplc="3C40B736">
      <w:start w:val="1"/>
      <w:numFmt w:val="lowerRoman"/>
      <w:lvlText w:val="%6."/>
      <w:lvlJc w:val="right"/>
      <w:pPr>
        <w:ind w:left="4320" w:hanging="180"/>
      </w:pPr>
    </w:lvl>
    <w:lvl w:ilvl="6" w:tplc="39D40B5A">
      <w:start w:val="1"/>
      <w:numFmt w:val="decimal"/>
      <w:lvlText w:val="%7."/>
      <w:lvlJc w:val="left"/>
      <w:pPr>
        <w:ind w:left="5040" w:hanging="360"/>
      </w:pPr>
    </w:lvl>
    <w:lvl w:ilvl="7" w:tplc="DFD8E67A">
      <w:start w:val="1"/>
      <w:numFmt w:val="lowerLetter"/>
      <w:lvlText w:val="%8."/>
      <w:lvlJc w:val="left"/>
      <w:pPr>
        <w:ind w:left="5760" w:hanging="360"/>
      </w:pPr>
    </w:lvl>
    <w:lvl w:ilvl="8" w:tplc="84F88BB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FEE2C1FE"/>
    <w:lvl w:ilvl="0" w:tplc="B6C0714A">
      <w:start w:val="1"/>
      <w:numFmt w:val="decimal"/>
      <w:lvlText w:val="%1."/>
      <w:lvlJc w:val="left"/>
      <w:pPr>
        <w:ind w:left="720" w:hanging="360"/>
      </w:pPr>
    </w:lvl>
    <w:lvl w:ilvl="1" w:tplc="8602634C">
      <w:start w:val="1"/>
      <w:numFmt w:val="decimal"/>
      <w:lvlText w:val="%2."/>
      <w:lvlJc w:val="left"/>
      <w:pPr>
        <w:ind w:left="1440" w:hanging="360"/>
      </w:pPr>
    </w:lvl>
    <w:lvl w:ilvl="2" w:tplc="DCF40696">
      <w:start w:val="1"/>
      <w:numFmt w:val="lowerRoman"/>
      <w:lvlText w:val="%3."/>
      <w:lvlJc w:val="right"/>
      <w:pPr>
        <w:ind w:left="2160" w:hanging="180"/>
      </w:pPr>
    </w:lvl>
    <w:lvl w:ilvl="3" w:tplc="2A6CC60A">
      <w:start w:val="1"/>
      <w:numFmt w:val="decimal"/>
      <w:lvlText w:val="%4."/>
      <w:lvlJc w:val="left"/>
      <w:pPr>
        <w:ind w:left="2880" w:hanging="360"/>
      </w:pPr>
    </w:lvl>
    <w:lvl w:ilvl="4" w:tplc="1006244A">
      <w:start w:val="1"/>
      <w:numFmt w:val="lowerLetter"/>
      <w:lvlText w:val="%5."/>
      <w:lvlJc w:val="left"/>
      <w:pPr>
        <w:ind w:left="3600" w:hanging="360"/>
      </w:pPr>
    </w:lvl>
    <w:lvl w:ilvl="5" w:tplc="97343A8E">
      <w:start w:val="1"/>
      <w:numFmt w:val="lowerRoman"/>
      <w:lvlText w:val="%6."/>
      <w:lvlJc w:val="right"/>
      <w:pPr>
        <w:ind w:left="4320" w:hanging="180"/>
      </w:pPr>
    </w:lvl>
    <w:lvl w:ilvl="6" w:tplc="EBFA72AC">
      <w:start w:val="1"/>
      <w:numFmt w:val="decimal"/>
      <w:lvlText w:val="%7."/>
      <w:lvlJc w:val="left"/>
      <w:pPr>
        <w:ind w:left="5040" w:hanging="360"/>
      </w:pPr>
    </w:lvl>
    <w:lvl w:ilvl="7" w:tplc="B2D08704">
      <w:start w:val="1"/>
      <w:numFmt w:val="lowerLetter"/>
      <w:lvlText w:val="%8."/>
      <w:lvlJc w:val="left"/>
      <w:pPr>
        <w:ind w:left="5760" w:hanging="360"/>
      </w:pPr>
    </w:lvl>
    <w:lvl w:ilvl="8" w:tplc="180E3650">
      <w:start w:val="1"/>
      <w:numFmt w:val="lowerRoman"/>
      <w:lvlText w:val="%9."/>
      <w:lvlJc w:val="right"/>
      <w:pPr>
        <w:ind w:left="6480" w:hanging="180"/>
      </w:pPr>
    </w:lvl>
  </w:abstractNum>
  <w:abstractNum w:abstractNumId="48" w15:restartNumberingAfterBreak="0">
    <w:nsid w:val="7BC92C13"/>
    <w:multiLevelType w:val="multilevel"/>
    <w:tmpl w:val="1200F8C2"/>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6874152">
    <w:abstractNumId w:val="47"/>
  </w:num>
  <w:num w:numId="2" w16cid:durableId="1520467312">
    <w:abstractNumId w:val="10"/>
  </w:num>
  <w:num w:numId="3" w16cid:durableId="1631592583">
    <w:abstractNumId w:val="1"/>
    <w:lvlOverride w:ilvl="0">
      <w:lvl w:ilvl="0">
        <w:start w:val="1"/>
        <w:numFmt w:val="bullet"/>
        <w:lvlText w:val=""/>
        <w:lvlJc w:val="left"/>
        <w:pPr>
          <w:ind w:left="720" w:hanging="360"/>
        </w:pPr>
        <w:rPr>
          <w:rFonts w:ascii="Symbol" w:hAnsi="Symbol" w:hint="default"/>
        </w:rPr>
      </w:lvl>
    </w:lvlOverride>
  </w:num>
  <w:num w:numId="4" w16cid:durableId="607390939">
    <w:abstractNumId w:val="22"/>
  </w:num>
  <w:num w:numId="5" w16cid:durableId="1802260651">
    <w:abstractNumId w:val="44"/>
  </w:num>
  <w:num w:numId="6" w16cid:durableId="668407364">
    <w:abstractNumId w:val="46"/>
  </w:num>
  <w:num w:numId="7" w16cid:durableId="377585503">
    <w:abstractNumId w:val="34"/>
  </w:num>
  <w:num w:numId="8" w16cid:durableId="870801631">
    <w:abstractNumId w:val="32"/>
  </w:num>
  <w:num w:numId="9" w16cid:durableId="444735106">
    <w:abstractNumId w:val="29"/>
  </w:num>
  <w:num w:numId="10" w16cid:durableId="637153846">
    <w:abstractNumId w:val="30"/>
  </w:num>
  <w:num w:numId="11" w16cid:durableId="14236763">
    <w:abstractNumId w:val="9"/>
  </w:num>
  <w:num w:numId="12" w16cid:durableId="449860251">
    <w:abstractNumId w:val="33"/>
  </w:num>
  <w:num w:numId="13" w16cid:durableId="1248074474">
    <w:abstractNumId w:val="17"/>
  </w:num>
  <w:num w:numId="14" w16cid:durableId="1567372622">
    <w:abstractNumId w:val="16"/>
  </w:num>
  <w:num w:numId="15" w16cid:durableId="1651442653">
    <w:abstractNumId w:val="26"/>
  </w:num>
  <w:num w:numId="16" w16cid:durableId="1821775950">
    <w:abstractNumId w:val="7"/>
  </w:num>
  <w:num w:numId="17" w16cid:durableId="1301687880">
    <w:abstractNumId w:val="25"/>
  </w:num>
  <w:num w:numId="18" w16cid:durableId="1126123204">
    <w:abstractNumId w:val="15"/>
  </w:num>
  <w:num w:numId="19" w16cid:durableId="1125125866">
    <w:abstractNumId w:val="13"/>
  </w:num>
  <w:num w:numId="20" w16cid:durableId="187965896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9786332">
    <w:abstractNumId w:val="23"/>
  </w:num>
  <w:num w:numId="22" w16cid:durableId="1044409824">
    <w:abstractNumId w:val="18"/>
  </w:num>
  <w:num w:numId="23" w16cid:durableId="130364767">
    <w:abstractNumId w:val="14"/>
  </w:num>
  <w:num w:numId="24" w16cid:durableId="1704137706">
    <w:abstractNumId w:val="11"/>
  </w:num>
  <w:num w:numId="25" w16cid:durableId="1089501711">
    <w:abstractNumId w:val="27"/>
  </w:num>
  <w:num w:numId="26" w16cid:durableId="548685903">
    <w:abstractNumId w:val="19"/>
  </w:num>
  <w:num w:numId="27" w16cid:durableId="480927325">
    <w:abstractNumId w:val="40"/>
  </w:num>
  <w:num w:numId="28" w16cid:durableId="1282373352">
    <w:abstractNumId w:val="35"/>
  </w:num>
  <w:num w:numId="29" w16cid:durableId="2099861392">
    <w:abstractNumId w:val="39"/>
  </w:num>
  <w:num w:numId="30" w16cid:durableId="1603027528">
    <w:abstractNumId w:val="20"/>
  </w:num>
  <w:num w:numId="31" w16cid:durableId="287007170">
    <w:abstractNumId w:val="42"/>
  </w:num>
  <w:num w:numId="32" w16cid:durableId="1411851654">
    <w:abstractNumId w:val="31"/>
  </w:num>
  <w:num w:numId="33" w16cid:durableId="1178957400">
    <w:abstractNumId w:val="12"/>
  </w:num>
  <w:num w:numId="34" w16cid:durableId="389235335">
    <w:abstractNumId w:val="43"/>
  </w:num>
  <w:num w:numId="35" w16cid:durableId="1026831657">
    <w:abstractNumId w:val="38"/>
  </w:num>
  <w:num w:numId="36" w16cid:durableId="2082558019">
    <w:abstractNumId w:val="4"/>
  </w:num>
  <w:num w:numId="37" w16cid:durableId="2144538371">
    <w:abstractNumId w:val="45"/>
  </w:num>
  <w:num w:numId="38" w16cid:durableId="889536436">
    <w:abstractNumId w:val="41"/>
  </w:num>
  <w:num w:numId="39" w16cid:durableId="397288045">
    <w:abstractNumId w:val="36"/>
  </w:num>
  <w:num w:numId="40" w16cid:durableId="1246256716">
    <w:abstractNumId w:val="37"/>
  </w:num>
  <w:num w:numId="41" w16cid:durableId="1618759889">
    <w:abstractNumId w:val="3"/>
  </w:num>
  <w:num w:numId="42" w16cid:durableId="483355225">
    <w:abstractNumId w:val="5"/>
  </w:num>
  <w:num w:numId="43" w16cid:durableId="1990746023">
    <w:abstractNumId w:val="24"/>
  </w:num>
  <w:num w:numId="44" w16cid:durableId="304547964">
    <w:abstractNumId w:val="6"/>
  </w:num>
  <w:num w:numId="45" w16cid:durableId="1525946210">
    <w:abstractNumId w:val="2"/>
  </w:num>
  <w:num w:numId="46" w16cid:durableId="1860586243">
    <w:abstractNumId w:val="0"/>
  </w:num>
  <w:num w:numId="47" w16cid:durableId="93748467">
    <w:abstractNumId w:val="21"/>
  </w:num>
  <w:num w:numId="48" w16cid:durableId="986007878">
    <w:abstractNumId w:val="28"/>
  </w:num>
  <w:num w:numId="49" w16cid:durableId="1137647127">
    <w:abstractNumId w:val="49"/>
  </w:num>
  <w:num w:numId="50" w16cid:durableId="302317713">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A70"/>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56C3"/>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406"/>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72"/>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0168"/>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814622">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902788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understanding-risk-and-vulnerability-context-domestic-abuse" TargetMode="External"/><Relationship Id="rId26" Type="http://schemas.openxmlformats.org/officeDocument/2006/relationships/hyperlink" Target="https://www.legislation.gov.uk/ukpga/2015/9/section/76/enacted" TargetMode="External"/><Relationship Id="rId3" Type="http://schemas.openxmlformats.org/officeDocument/2006/relationships/customXml" Target="../customXml/item3.xml"/><Relationship Id="rId21" Type="http://schemas.openxmlformats.org/officeDocument/2006/relationships/hyperlink" Target="https://www.legislation.gov.uk/ukpga/1986/64/section/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college.police.uk/News/College-news/Documents/Demand%20Report%2023_1_15_noBleed.pdf" TargetMode="External"/><Relationship Id="rId25" Type="http://schemas.openxmlformats.org/officeDocument/2006/relationships/hyperlink" Target="https://www.legislation.gov.uk/ukpga/1998/42/schedule/1/part/I/chapter/7" TargetMode="External"/><Relationship Id="rId2" Type="http://schemas.openxmlformats.org/officeDocument/2006/relationships/customXml" Target="../customXml/item2.xml"/><Relationship Id="rId16" Type="http://schemas.openxmlformats.org/officeDocument/2006/relationships/hyperlink" Target="https://www.college.police.uk/app/national-decision-model/national-decision-model" TargetMode="External"/><Relationship Id="rId20" Type="http://schemas.openxmlformats.org/officeDocument/2006/relationships/hyperlink" Target="http://www.ons.gov.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6/25/section/22" TargetMode="External"/><Relationship Id="rId5" Type="http://schemas.openxmlformats.org/officeDocument/2006/relationships/numbering" Target="numbering.xml"/><Relationship Id="rId15" Type="http://schemas.openxmlformats.org/officeDocument/2006/relationships/hyperlink" Target="http://www.ons.gov.uk" TargetMode="External"/><Relationship Id="rId23" Type="http://schemas.openxmlformats.org/officeDocument/2006/relationships/hyperlink" Target="https://www.college.police.uk/app/investigation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assets-hmicfrs.justiceinspectorates.gov.uk/uploads/2014/04/improving-the-police-response-to-domestic-abuse.pdf"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assets.publishing.service.gov.uk/media/60620279d3bf7f5ceaca0d89/victims-code-2020.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6058</Words>
  <Characters>35187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Howe,Hannah swp8232</cp:lastModifiedBy>
  <cp:revision>5</cp:revision>
  <cp:lastPrinted>2014-08-26T08:55:00Z</cp:lastPrinted>
  <dcterms:created xsi:type="dcterms:W3CDTF">2023-04-08T06:38:00Z</dcterms:created>
  <dcterms:modified xsi:type="dcterms:W3CDTF">2023-10-29T20:54:00Z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2023-04-08T06:38:08Z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66bf6451-b312-425f-b7f5-00b5d120e5fa</vt:lpwstr>
  </property>
  <property fmtid="{D5CDD505-2E9C-101B-9397-08002B2CF9AE}" pid="9" name="MSIP_Label_66cf8fe5-b7b7-4df7-b38d-1c61ac2f6639_ContentBits">
    <vt:lpwstr>0</vt:lpwstr>
  </property>
</Properties>
</file>